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E732C" w14:textId="77777777" w:rsidR="00650851" w:rsidRPr="009D11AD" w:rsidRDefault="00650851" w:rsidP="00CA55FD">
      <w:pPr>
        <w:pStyle w:val="afd"/>
        <w:overflowPunct w:val="0"/>
        <w:rPr>
          <w:rFonts w:ascii="標楷體" w:hAnsi="標楷體"/>
          <w:color w:val="000000" w:themeColor="text1"/>
        </w:rPr>
      </w:pPr>
      <w:bookmarkStart w:id="0" w:name="_Hlk202512988"/>
      <w:bookmarkEnd w:id="0"/>
      <w:r w:rsidRPr="009D11AD">
        <w:rPr>
          <w:rFonts w:ascii="標楷體" w:hAnsi="標楷體" w:hint="eastAsia"/>
          <w:color w:val="000000" w:themeColor="text1"/>
        </w:rPr>
        <w:t>貳、行政院主管</w:t>
      </w:r>
    </w:p>
    <w:p w14:paraId="0C453707" w14:textId="29DB394E" w:rsidR="00650851" w:rsidRPr="00191C0B" w:rsidRDefault="00F31B83" w:rsidP="00CA55FD">
      <w:pPr>
        <w:pStyle w:val="aff5"/>
        <w:overflowPunct w:val="0"/>
        <w:spacing w:line="420" w:lineRule="exact"/>
        <w:ind w:firstLine="480"/>
        <w:rPr>
          <w:rFonts w:hAnsi="標楷體"/>
          <w:color w:val="FF0000"/>
        </w:rPr>
      </w:pPr>
      <w:r w:rsidRPr="00A33E93">
        <w:rPr>
          <w:rFonts w:hAnsi="標楷體" w:hint="eastAsia"/>
        </w:rPr>
        <w:t>行政院主管包括行政院、主計總處、人事行政總處、公務人力發展學院、國立故宮博物院、國家發展委員會、檔案管理局、原住民族委員會、原住民族文化發展中心、客家委員會及所屬、中央選舉委員會及所屬、</w:t>
      </w:r>
      <w:r w:rsidR="00A33E93" w:rsidRPr="00A33E93">
        <w:rPr>
          <w:rFonts w:hAnsi="標楷體" w:hint="eastAsia"/>
        </w:rPr>
        <w:t>核能安全委員會及所屬、</w:t>
      </w:r>
      <w:r w:rsidRPr="00A33E93">
        <w:rPr>
          <w:rFonts w:hAnsi="標楷體" w:hint="eastAsia"/>
        </w:rPr>
        <w:t>公平交易委員會、國家通訊傳播委員會</w:t>
      </w:r>
      <w:r w:rsidR="00CB7CDB" w:rsidRPr="00A33E93">
        <w:rPr>
          <w:rFonts w:hAnsi="標楷體" w:hint="eastAsia"/>
        </w:rPr>
        <w:t>、大陸委員會、國家運輸安全調查委員會</w:t>
      </w:r>
      <w:r w:rsidRPr="00A33E93">
        <w:rPr>
          <w:rFonts w:hAnsi="標楷體" w:hint="eastAsia"/>
        </w:rPr>
        <w:t>、不當黨產處理委員會、公共工程委員會等</w:t>
      </w:r>
      <w:r w:rsidR="00CB7CDB" w:rsidRPr="00A33E93">
        <w:rPr>
          <w:rFonts w:hAnsi="標楷體" w:hint="eastAsia"/>
        </w:rPr>
        <w:t>1</w:t>
      </w:r>
      <w:r w:rsidR="00A33E93" w:rsidRPr="00A33E93">
        <w:rPr>
          <w:rFonts w:hAnsi="標楷體" w:hint="eastAsia"/>
        </w:rPr>
        <w:t>8</w:t>
      </w:r>
      <w:r w:rsidRPr="00A33E93">
        <w:rPr>
          <w:rFonts w:hAnsi="標楷體" w:hint="eastAsia"/>
        </w:rPr>
        <w:t>個機關，</w:t>
      </w:r>
      <w:r w:rsidRPr="00F25E51">
        <w:rPr>
          <w:rFonts w:hAnsi="標楷體" w:hint="eastAsia"/>
        </w:rPr>
        <w:t>掌理政策之審議及國家長期發展方向之策定，全國重要行政事務、歲計、會計、統計事宜，行政院所屬人事行政之政策規劃、執行及發展，國家古文物及藝術品之保管、</w:t>
      </w:r>
      <w:proofErr w:type="gramStart"/>
      <w:r w:rsidRPr="00F25E51">
        <w:rPr>
          <w:rFonts w:hAnsi="標楷體" w:hint="eastAsia"/>
        </w:rPr>
        <w:t>研</w:t>
      </w:r>
      <w:proofErr w:type="gramEnd"/>
      <w:r w:rsidRPr="00F25E51">
        <w:rPr>
          <w:rFonts w:hAnsi="標楷體" w:hint="eastAsia"/>
        </w:rPr>
        <w:t>析、徵集與展覽，國家發展之規劃、協調、審議、資源分配業務，原住民族政策、制度、法規之擬訂、規劃及推動，客家文化之闡揚及研究，公職人員選舉、罷免事務之辦理及指揮監督，</w:t>
      </w:r>
      <w:r w:rsidR="00CE5DB0" w:rsidRPr="00CE5DB0">
        <w:rPr>
          <w:rFonts w:hAnsi="標楷體" w:hint="eastAsia"/>
        </w:rPr>
        <w:t>核能及輻射安全</w:t>
      </w:r>
      <w:r w:rsidR="0072068C">
        <w:rPr>
          <w:rFonts w:hAnsi="標楷體" w:hint="eastAsia"/>
        </w:rPr>
        <w:t>之</w:t>
      </w:r>
      <w:r w:rsidR="00CE5DB0" w:rsidRPr="00CE5DB0">
        <w:rPr>
          <w:rFonts w:hAnsi="標楷體" w:hint="eastAsia"/>
        </w:rPr>
        <w:t>監督管理</w:t>
      </w:r>
      <w:r w:rsidR="0033051F">
        <w:rPr>
          <w:rFonts w:hAnsi="標楷體" w:hint="eastAsia"/>
        </w:rPr>
        <w:t>，</w:t>
      </w:r>
      <w:r w:rsidRPr="00F25E51">
        <w:rPr>
          <w:rFonts w:hAnsi="標楷體" w:hint="eastAsia"/>
        </w:rPr>
        <w:t>公平交易之政策擬訂及案件調查處分，通訊傳播監理政策、法令訂定及事業營運之監督管理</w:t>
      </w:r>
      <w:r w:rsidR="00CB7CDB" w:rsidRPr="00F25E51">
        <w:rPr>
          <w:rFonts w:hAnsi="標楷體" w:hint="eastAsia"/>
        </w:rPr>
        <w:t>，大陸政策之研究與規劃，重大運輸事故通報、調查、肇因鑑定及分析</w:t>
      </w:r>
      <w:r w:rsidRPr="00F25E51">
        <w:rPr>
          <w:rFonts w:hAnsi="標楷體" w:hint="eastAsia"/>
        </w:rPr>
        <w:t>，政黨、附隨組織及其受託管理人不當取得財產之調查、返還，政府採購事務及公共工程政策之規劃、審議、協調及督導等業務</w:t>
      </w:r>
      <w:r w:rsidRPr="00F86AF1">
        <w:rPr>
          <w:rFonts w:hAnsi="標楷體" w:hint="eastAsia"/>
        </w:rPr>
        <w:t>。茲將</w:t>
      </w:r>
      <w:proofErr w:type="gramStart"/>
      <w:r w:rsidRPr="00F86AF1">
        <w:rPr>
          <w:rFonts w:hAnsi="標楷體" w:hint="eastAsia"/>
        </w:rPr>
        <w:t>11</w:t>
      </w:r>
      <w:r w:rsidR="00F25E51" w:rsidRPr="00F86AF1">
        <w:rPr>
          <w:rFonts w:hAnsi="標楷體" w:hint="eastAsia"/>
        </w:rPr>
        <w:t>3</w:t>
      </w:r>
      <w:proofErr w:type="gramEnd"/>
      <w:r w:rsidRPr="00F86AF1">
        <w:rPr>
          <w:rFonts w:hAnsi="標楷體" w:hint="eastAsia"/>
        </w:rPr>
        <w:t>年度決算審核結果說明如次（</w:t>
      </w:r>
      <w:r w:rsidR="00895712" w:rsidRPr="00F86AF1">
        <w:rPr>
          <w:rFonts w:hAnsi="標楷體" w:hint="eastAsia"/>
        </w:rPr>
        <w:t>有關歲入、歲出決算之審定及各項差異之原因分析等詳細內容，請至審計部全球資訊網/總決算審核報告/總決算審核報告查詢平台查閱</w:t>
      </w:r>
      <w:r w:rsidRPr="00F86AF1">
        <w:rPr>
          <w:rFonts w:hAnsi="標楷體" w:hint="eastAsia"/>
        </w:rPr>
        <w:t>）：</w:t>
      </w:r>
    </w:p>
    <w:p w14:paraId="565CCB6D" w14:textId="77777777" w:rsidR="00650851" w:rsidRPr="003865A8" w:rsidRDefault="00FE73F8" w:rsidP="00CA55FD">
      <w:pPr>
        <w:pStyle w:val="10"/>
        <w:overflowPunct w:val="0"/>
        <w:spacing w:beforeLines="30" w:before="108" w:afterLines="30" w:after="108" w:line="430" w:lineRule="exact"/>
        <w:ind w:firstLineChars="100" w:firstLine="320"/>
        <w:rPr>
          <w:rFonts w:ascii="標楷體" w:eastAsia="標楷體" w:hAnsi="標楷體"/>
          <w:b w:val="0"/>
          <w:sz w:val="32"/>
          <w:szCs w:val="32"/>
        </w:rPr>
      </w:pPr>
      <w:r w:rsidRPr="003865A8">
        <w:rPr>
          <w:rFonts w:ascii="標楷體" w:eastAsia="標楷體" w:hAnsi="標楷體" w:hint="eastAsia"/>
          <w:sz w:val="32"/>
          <w:szCs w:val="32"/>
        </w:rPr>
        <w:t>一、</w:t>
      </w:r>
      <w:r w:rsidR="00650851" w:rsidRPr="003865A8">
        <w:rPr>
          <w:rFonts w:ascii="標楷體" w:eastAsia="標楷體" w:hAnsi="標楷體" w:hint="eastAsia"/>
          <w:sz w:val="32"/>
          <w:szCs w:val="32"/>
        </w:rPr>
        <w:t>計畫實施之查核</w:t>
      </w:r>
    </w:p>
    <w:p w14:paraId="40F5042B" w14:textId="15743042" w:rsidR="00A97FA8" w:rsidRPr="007242F8" w:rsidRDefault="00650851" w:rsidP="00CA55FD">
      <w:pPr>
        <w:pStyle w:val="aff5"/>
        <w:overflowPunct w:val="0"/>
        <w:spacing w:line="420" w:lineRule="exact"/>
        <w:ind w:firstLine="480"/>
        <w:rPr>
          <w:rFonts w:hAnsi="標楷體"/>
        </w:rPr>
      </w:pPr>
      <w:r w:rsidRPr="007242F8">
        <w:rPr>
          <w:rFonts w:hAnsi="標楷體" w:hint="eastAsia"/>
        </w:rPr>
        <w:t>業務計畫</w:t>
      </w:r>
      <w:r w:rsidR="001F6A01" w:rsidRPr="007242F8">
        <w:rPr>
          <w:rFonts w:hAnsi="標楷體" w:hint="eastAsia"/>
        </w:rPr>
        <w:t>10</w:t>
      </w:r>
      <w:r w:rsidR="007F049C" w:rsidRPr="007242F8">
        <w:rPr>
          <w:rFonts w:hAnsi="標楷體" w:hint="eastAsia"/>
        </w:rPr>
        <w:t>5</w:t>
      </w:r>
      <w:r w:rsidRPr="007242F8">
        <w:rPr>
          <w:rFonts w:hAnsi="標楷體" w:hint="eastAsia"/>
        </w:rPr>
        <w:t>項，下分工作計畫</w:t>
      </w:r>
      <w:r w:rsidR="001F6A01" w:rsidRPr="007242F8">
        <w:rPr>
          <w:rFonts w:hAnsi="標楷體" w:hint="eastAsia"/>
        </w:rPr>
        <w:t>11</w:t>
      </w:r>
      <w:r w:rsidR="007F049C" w:rsidRPr="007242F8">
        <w:rPr>
          <w:rFonts w:hAnsi="標楷體" w:hint="eastAsia"/>
        </w:rPr>
        <w:t>9</w:t>
      </w:r>
      <w:r w:rsidRPr="007242F8">
        <w:rPr>
          <w:rFonts w:hAnsi="標楷體" w:hint="eastAsia"/>
        </w:rPr>
        <w:t>項，</w:t>
      </w:r>
      <w:r w:rsidR="00B2080E" w:rsidRPr="007242F8">
        <w:rPr>
          <w:rFonts w:hAnsi="標楷體" w:hint="eastAsia"/>
        </w:rPr>
        <w:t>包括</w:t>
      </w:r>
      <w:r w:rsidR="00F06D48" w:rsidRPr="007242F8">
        <w:rPr>
          <w:rFonts w:hAnsi="標楷體" w:hint="eastAsia"/>
        </w:rPr>
        <w:t>國土安全、災害防救、消費者保護等政策之規劃、推動、督導</w:t>
      </w:r>
      <w:r w:rsidR="00214FE6" w:rsidRPr="007242F8">
        <w:rPr>
          <w:rFonts w:hAnsi="標楷體" w:hint="eastAsia"/>
        </w:rPr>
        <w:t>，</w:t>
      </w:r>
      <w:proofErr w:type="gramStart"/>
      <w:r w:rsidR="00721AB5" w:rsidRPr="007242F8">
        <w:rPr>
          <w:rFonts w:hAnsi="標楷體" w:hint="eastAsia"/>
        </w:rPr>
        <w:t>研</w:t>
      </w:r>
      <w:proofErr w:type="gramEnd"/>
      <w:r w:rsidR="00721AB5" w:rsidRPr="007242F8">
        <w:rPr>
          <w:rFonts w:hAnsi="標楷體" w:hint="eastAsia"/>
        </w:rPr>
        <w:t>擬經濟政策、協調推動財經措施、促進產業發展</w:t>
      </w:r>
      <w:r w:rsidR="002D55C7" w:rsidRPr="007242F8">
        <w:rPr>
          <w:rFonts w:hAnsi="標楷體" w:hint="eastAsia"/>
        </w:rPr>
        <w:t>，</w:t>
      </w:r>
      <w:r w:rsidR="00137B95" w:rsidRPr="007242F8">
        <w:rPr>
          <w:rFonts w:hAnsi="標楷體" w:hint="eastAsia"/>
        </w:rPr>
        <w:t>健全政府會計制度、</w:t>
      </w:r>
      <w:r w:rsidR="0036390D" w:rsidRPr="007242F8">
        <w:rPr>
          <w:rFonts w:hAnsi="標楷體" w:hint="eastAsia"/>
        </w:rPr>
        <w:t>發揮內部控制功能</w:t>
      </w:r>
      <w:r w:rsidR="00B4256D" w:rsidRPr="007242F8">
        <w:rPr>
          <w:rFonts w:hAnsi="標楷體" w:hint="eastAsia"/>
        </w:rPr>
        <w:t>，</w:t>
      </w:r>
      <w:r w:rsidR="00B263FA" w:rsidRPr="007242F8">
        <w:rPr>
          <w:rFonts w:hAnsi="標楷體" w:hint="eastAsia"/>
        </w:rPr>
        <w:t>推動公務人才培育</w:t>
      </w:r>
      <w:r w:rsidR="00302D62" w:rsidRPr="007242F8">
        <w:rPr>
          <w:rFonts w:hAnsi="標楷體" w:hint="eastAsia"/>
        </w:rPr>
        <w:t>，</w:t>
      </w:r>
      <w:r w:rsidR="00DF204B" w:rsidRPr="007242F8">
        <w:rPr>
          <w:rFonts w:hAnsi="標楷體" w:hint="eastAsia"/>
        </w:rPr>
        <w:t>強化</w:t>
      </w:r>
      <w:r w:rsidR="00E82220" w:rsidRPr="007242F8">
        <w:rPr>
          <w:rFonts w:hAnsi="標楷體" w:hint="eastAsia"/>
        </w:rPr>
        <w:t>文物安全、管理與修護，</w:t>
      </w:r>
      <w:r w:rsidR="00AC07D1" w:rsidRPr="007242F8">
        <w:rPr>
          <w:rFonts w:hAnsi="標楷體" w:hint="eastAsia"/>
        </w:rPr>
        <w:t>推動</w:t>
      </w:r>
      <w:r w:rsidR="00AC07D1" w:rsidRPr="007242F8">
        <w:rPr>
          <w:rFonts w:hAnsi="標楷體"/>
        </w:rPr>
        <w:t>原住民族經濟產業發展</w:t>
      </w:r>
      <w:r w:rsidR="00AC07D1" w:rsidRPr="007242F8">
        <w:rPr>
          <w:rFonts w:hAnsi="標楷體" w:hint="eastAsia"/>
        </w:rPr>
        <w:t>、強化民族教育體系暨保障原住民族語言發展</w:t>
      </w:r>
      <w:r w:rsidR="00B263FA" w:rsidRPr="007242F8">
        <w:rPr>
          <w:rFonts w:hAnsi="標楷體" w:hint="eastAsia"/>
        </w:rPr>
        <w:t>，</w:t>
      </w:r>
      <w:r w:rsidR="00A31813" w:rsidRPr="007242F8">
        <w:rPr>
          <w:rFonts w:hAnsi="標楷體" w:hint="eastAsia"/>
        </w:rPr>
        <w:t>建立客語推廣機制</w:t>
      </w:r>
      <w:r w:rsidR="0084062C" w:rsidRPr="007242F8">
        <w:rPr>
          <w:rFonts w:hAnsi="標楷體" w:hint="eastAsia"/>
        </w:rPr>
        <w:t>、</w:t>
      </w:r>
      <w:r w:rsidR="00A31813" w:rsidRPr="007242F8">
        <w:rPr>
          <w:rFonts w:hAnsi="標楷體" w:hint="eastAsia"/>
        </w:rPr>
        <w:t>創新客家文化產業價值</w:t>
      </w:r>
      <w:r w:rsidR="00125E9E" w:rsidRPr="007242F8">
        <w:rPr>
          <w:rFonts w:hAnsi="標楷體" w:hint="eastAsia"/>
        </w:rPr>
        <w:t>，</w:t>
      </w:r>
      <w:r w:rsidR="003454CE" w:rsidRPr="007242F8">
        <w:rPr>
          <w:rFonts w:hAnsi="標楷體" w:hint="eastAsia"/>
        </w:rPr>
        <w:t>核能、輻射之安全管制及原子能科技研究發展，</w:t>
      </w:r>
      <w:r w:rsidR="00007940" w:rsidRPr="007242F8">
        <w:rPr>
          <w:rFonts w:hAnsi="標楷體" w:hint="eastAsia"/>
        </w:rPr>
        <w:t>查處妨礙市場競爭行為，</w:t>
      </w:r>
      <w:r w:rsidR="00741B1B" w:rsidRPr="007242F8">
        <w:rPr>
          <w:rFonts w:hAnsi="標楷體" w:hint="eastAsia"/>
        </w:rPr>
        <w:t>通訊傳播監理</w:t>
      </w:r>
      <w:r w:rsidR="004A0211" w:rsidRPr="007242F8">
        <w:rPr>
          <w:rFonts w:hAnsi="標楷體" w:hint="eastAsia"/>
        </w:rPr>
        <w:t>政策、法令訂定及事業營運之監督管理</w:t>
      </w:r>
      <w:r w:rsidR="00F115FB" w:rsidRPr="007242F8">
        <w:rPr>
          <w:rFonts w:hAnsi="標楷體" w:hint="eastAsia"/>
        </w:rPr>
        <w:t>，</w:t>
      </w:r>
      <w:r w:rsidR="00273A15" w:rsidRPr="007242F8">
        <w:rPr>
          <w:rFonts w:hAnsi="標楷體" w:hint="eastAsia"/>
        </w:rPr>
        <w:t>推動兩岸制度化協商、深化兩岸經貿</w:t>
      </w:r>
      <w:r w:rsidR="00137B95" w:rsidRPr="007242F8">
        <w:rPr>
          <w:rFonts w:hAnsi="標楷體" w:hint="eastAsia"/>
        </w:rPr>
        <w:t>交流</w:t>
      </w:r>
      <w:r w:rsidR="00273A15" w:rsidRPr="007242F8">
        <w:rPr>
          <w:rFonts w:hAnsi="標楷體" w:hint="eastAsia"/>
        </w:rPr>
        <w:t>及合作</w:t>
      </w:r>
      <w:r w:rsidR="000128D6" w:rsidRPr="007242F8">
        <w:rPr>
          <w:rFonts w:hAnsi="標楷體" w:hint="eastAsia"/>
        </w:rPr>
        <w:t>，受理政黨</w:t>
      </w:r>
      <w:r w:rsidR="00125E9E" w:rsidRPr="007242F8">
        <w:rPr>
          <w:rFonts w:hAnsi="標楷體" w:hint="eastAsia"/>
        </w:rPr>
        <w:t>、附隨組織等財產申報並界定其</w:t>
      </w:r>
      <w:r w:rsidR="005E79D1" w:rsidRPr="007242F8">
        <w:rPr>
          <w:rFonts w:hAnsi="標楷體" w:hint="eastAsia"/>
        </w:rPr>
        <w:t>財產範圍，</w:t>
      </w:r>
      <w:r w:rsidR="00302D62" w:rsidRPr="007242F8">
        <w:rPr>
          <w:rFonts w:hAnsi="標楷體" w:hint="eastAsia"/>
        </w:rPr>
        <w:t>積極推動各項重大公共建設計畫</w:t>
      </w:r>
      <w:r w:rsidR="00137B95" w:rsidRPr="007242F8">
        <w:rPr>
          <w:rFonts w:hAnsi="標楷體" w:hint="eastAsia"/>
        </w:rPr>
        <w:t>等</w:t>
      </w:r>
      <w:r w:rsidR="00B2080E" w:rsidRPr="007242F8">
        <w:rPr>
          <w:rFonts w:hAnsi="標楷體" w:hint="eastAsia"/>
        </w:rPr>
        <w:t>重要施政項目，</w:t>
      </w:r>
      <w:r w:rsidR="00AB271A" w:rsidRPr="007242F8">
        <w:rPr>
          <w:rFonts w:hAnsi="標楷體" w:hint="eastAsia"/>
        </w:rPr>
        <w:t>其</w:t>
      </w:r>
      <w:r w:rsidRPr="007242F8">
        <w:rPr>
          <w:rFonts w:hAnsi="標楷體" w:hint="eastAsia"/>
        </w:rPr>
        <w:t>中已執行完成者</w:t>
      </w:r>
      <w:r w:rsidR="007242F8" w:rsidRPr="007242F8">
        <w:rPr>
          <w:rFonts w:hAnsi="標楷體" w:hint="eastAsia"/>
        </w:rPr>
        <w:t>73</w:t>
      </w:r>
      <w:r w:rsidRPr="007242F8">
        <w:rPr>
          <w:rFonts w:hAnsi="標楷體" w:hint="eastAsia"/>
        </w:rPr>
        <w:t>項，尚在執行者</w:t>
      </w:r>
      <w:r w:rsidR="00092A3B" w:rsidRPr="007242F8">
        <w:rPr>
          <w:rFonts w:hAnsi="標楷體" w:hint="eastAsia"/>
        </w:rPr>
        <w:t>4</w:t>
      </w:r>
      <w:r w:rsidR="00BC44D1" w:rsidRPr="007242F8">
        <w:rPr>
          <w:rFonts w:hAnsi="標楷體" w:hint="eastAsia"/>
        </w:rPr>
        <w:t>5</w:t>
      </w:r>
      <w:r w:rsidRPr="007242F8">
        <w:rPr>
          <w:rFonts w:hAnsi="標楷體" w:hint="eastAsia"/>
        </w:rPr>
        <w:t>項，</w:t>
      </w:r>
      <w:r w:rsidRPr="00BD7DF5">
        <w:rPr>
          <w:rFonts w:hAnsi="標楷體" w:hint="eastAsia"/>
        </w:rPr>
        <w:t>主要係</w:t>
      </w:r>
      <w:r w:rsidR="00092A3B" w:rsidRPr="00021547">
        <w:rPr>
          <w:rFonts w:hAnsi="標楷體" w:hint="eastAsia"/>
        </w:rPr>
        <w:t>原住民族委員會</w:t>
      </w:r>
      <w:r w:rsidR="00AC4C86" w:rsidRPr="00021547">
        <w:rPr>
          <w:rFonts w:hAnsi="標楷體" w:hint="eastAsia"/>
        </w:rPr>
        <w:t>捐</w:t>
      </w:r>
      <w:r w:rsidR="00BC44D1" w:rsidRPr="00021547">
        <w:rPr>
          <w:rFonts w:hAnsi="標楷體" w:hint="eastAsia"/>
        </w:rPr>
        <w:t>助財團法人原住民族文化事業基金會及財團法人原住民族語言研究發展基金會</w:t>
      </w:r>
      <w:r w:rsidR="00C614E7" w:rsidRPr="00021547">
        <w:rPr>
          <w:rFonts w:hAnsi="標楷體" w:hint="eastAsia"/>
        </w:rPr>
        <w:t>之</w:t>
      </w:r>
      <w:r w:rsidR="00BC44D1" w:rsidRPr="00021547">
        <w:rPr>
          <w:rFonts w:hAnsi="標楷體" w:hint="eastAsia"/>
        </w:rPr>
        <w:t>永久會址興建計畫</w:t>
      </w:r>
      <w:r w:rsidR="00C614E7" w:rsidRPr="00021547">
        <w:rPr>
          <w:rFonts w:hAnsi="標楷體" w:hint="eastAsia"/>
        </w:rPr>
        <w:t>、補助辦理0403震災住宅專案、</w:t>
      </w:r>
      <w:proofErr w:type="gramStart"/>
      <w:r w:rsidR="00C614E7" w:rsidRPr="00021547">
        <w:rPr>
          <w:rFonts w:hAnsi="標楷體" w:hint="eastAsia"/>
        </w:rPr>
        <w:t>凱</w:t>
      </w:r>
      <w:proofErr w:type="gramEnd"/>
      <w:r w:rsidR="00C614E7" w:rsidRPr="00021547">
        <w:rPr>
          <w:rFonts w:hAnsi="標楷體" w:hint="eastAsia"/>
        </w:rPr>
        <w:t>米颱風致原住民族人住宅損毀補助重建及修繕專案；客家委員會及所屬補助辦理</w:t>
      </w:r>
      <w:proofErr w:type="gramStart"/>
      <w:r w:rsidR="00C614E7" w:rsidRPr="00021547">
        <w:rPr>
          <w:rFonts w:hAnsi="標楷體" w:hint="eastAsia"/>
        </w:rPr>
        <w:t>客庄創生環境</w:t>
      </w:r>
      <w:proofErr w:type="gramEnd"/>
      <w:r w:rsidR="00C614E7" w:rsidRPr="00021547">
        <w:rPr>
          <w:rFonts w:hAnsi="標楷體" w:hint="eastAsia"/>
        </w:rPr>
        <w:t>營造計畫；國家發展委員會檔案管理局委託內政部</w:t>
      </w:r>
      <w:r w:rsidR="006C4BF8" w:rsidRPr="00021547">
        <w:rPr>
          <w:rFonts w:hAnsi="標楷體" w:hint="eastAsia"/>
        </w:rPr>
        <w:t>國土管理</w:t>
      </w:r>
      <w:r w:rsidR="00C614E7" w:rsidRPr="00021547">
        <w:rPr>
          <w:rFonts w:hAnsi="標楷體" w:hint="eastAsia"/>
        </w:rPr>
        <w:t>署代辦國家檔案館新建工程；核能安全委員會及所屬補助國家原子能科技研究院辦理70MeV中型迴旋加速器館新建工程及相關設備採購案；</w:t>
      </w:r>
      <w:r w:rsidR="00392470" w:rsidRPr="00021547">
        <w:rPr>
          <w:rFonts w:hAnsi="標楷體" w:hint="eastAsia"/>
        </w:rPr>
        <w:t>國立故宮博物院委託</w:t>
      </w:r>
      <w:r w:rsidR="00C614E7" w:rsidRPr="00021547">
        <w:rPr>
          <w:rFonts w:hAnsi="標楷體" w:hint="eastAsia"/>
        </w:rPr>
        <w:t>內政部國土管理署代辦故宮國寶文物修復展示館建置計畫工程等</w:t>
      </w:r>
      <w:r w:rsidR="0084062C" w:rsidRPr="00021547">
        <w:rPr>
          <w:rFonts w:hAnsi="標楷體" w:hint="eastAsia"/>
        </w:rPr>
        <w:t>，</w:t>
      </w:r>
      <w:r w:rsidR="00C614E7" w:rsidRPr="00C614E7">
        <w:rPr>
          <w:rFonts w:hAnsi="標楷體" w:hint="eastAsia"/>
        </w:rPr>
        <w:t>或</w:t>
      </w:r>
      <w:r w:rsidR="00C7196D" w:rsidRPr="00C614E7">
        <w:rPr>
          <w:rFonts w:hAnsi="標楷體" w:hint="eastAsia"/>
        </w:rPr>
        <w:t>尚在執行中，或</w:t>
      </w:r>
      <w:r w:rsidR="00C614E7" w:rsidRPr="00C614E7">
        <w:rPr>
          <w:rFonts w:hAnsi="標楷體" w:hint="eastAsia"/>
        </w:rPr>
        <w:t>合約期程跨年度，或相關經費未及於年底核銷等，仍須繼續執行。</w:t>
      </w:r>
      <w:r w:rsidR="009A73B5" w:rsidRPr="007242F8">
        <w:rPr>
          <w:rFonts w:hAnsi="標楷體" w:hint="eastAsia"/>
        </w:rPr>
        <w:t>未執行者</w:t>
      </w:r>
      <w:r w:rsidR="007242F8" w:rsidRPr="007242F8">
        <w:rPr>
          <w:rFonts w:hAnsi="標楷體" w:hint="eastAsia"/>
        </w:rPr>
        <w:t>1</w:t>
      </w:r>
      <w:r w:rsidR="009A73B5" w:rsidRPr="007242F8">
        <w:rPr>
          <w:rFonts w:hAnsi="標楷體" w:hint="eastAsia"/>
        </w:rPr>
        <w:t>項，</w:t>
      </w:r>
      <w:r w:rsidR="005D749F" w:rsidRPr="007242F8">
        <w:rPr>
          <w:rFonts w:hAnsi="標楷體" w:hint="eastAsia"/>
        </w:rPr>
        <w:t>係</w:t>
      </w:r>
      <w:r w:rsidR="00B51BBD" w:rsidRPr="007242F8">
        <w:rPr>
          <w:rFonts w:hAnsi="標楷體" w:hint="eastAsia"/>
        </w:rPr>
        <w:t>行政院</w:t>
      </w:r>
      <w:r w:rsidR="005D749F" w:rsidRPr="007242F8">
        <w:rPr>
          <w:rFonts w:hAnsi="標楷體" w:hint="eastAsia"/>
        </w:rPr>
        <w:t>人事行政總處</w:t>
      </w:r>
      <w:r w:rsidR="00B7411F" w:rsidRPr="007242F8">
        <w:rPr>
          <w:rFonts w:hAnsi="標楷體" w:hint="eastAsia"/>
        </w:rPr>
        <w:t>之執行公教員工資遣退職給付，因各機關無申請案件，</w:t>
      </w:r>
      <w:proofErr w:type="gramStart"/>
      <w:r w:rsidR="00B7411F" w:rsidRPr="007242F8">
        <w:rPr>
          <w:rFonts w:hAnsi="標楷體" w:hint="eastAsia"/>
        </w:rPr>
        <w:t>爰</w:t>
      </w:r>
      <w:proofErr w:type="gramEnd"/>
      <w:r w:rsidR="00B7411F" w:rsidRPr="007242F8">
        <w:rPr>
          <w:rFonts w:hAnsi="標楷體" w:hint="eastAsia"/>
        </w:rPr>
        <w:t>未執行。</w:t>
      </w:r>
    </w:p>
    <w:p w14:paraId="12ADAADC" w14:textId="77777777" w:rsidR="00650851" w:rsidRPr="00A83F99" w:rsidRDefault="00FE73F8" w:rsidP="005C4600">
      <w:pPr>
        <w:pStyle w:val="10"/>
        <w:overflowPunct w:val="0"/>
        <w:spacing w:beforeLines="30" w:before="108" w:afterLines="30" w:after="108" w:line="450" w:lineRule="exact"/>
        <w:ind w:firstLineChars="100" w:firstLine="320"/>
        <w:rPr>
          <w:rFonts w:ascii="標楷體" w:eastAsia="標楷體" w:hAnsi="標楷體"/>
          <w:sz w:val="32"/>
          <w:szCs w:val="32"/>
        </w:rPr>
      </w:pPr>
      <w:r w:rsidRPr="00A83F99">
        <w:rPr>
          <w:rFonts w:ascii="標楷體" w:eastAsia="標楷體" w:hAnsi="標楷體" w:hint="eastAsia"/>
          <w:sz w:val="32"/>
          <w:szCs w:val="32"/>
        </w:rPr>
        <w:lastRenderedPageBreak/>
        <w:t>二、</w:t>
      </w:r>
      <w:r w:rsidR="00650851" w:rsidRPr="00A83F99">
        <w:rPr>
          <w:rFonts w:ascii="標楷體" w:eastAsia="標楷體" w:hAnsi="標楷體" w:hint="eastAsia"/>
          <w:sz w:val="32"/>
          <w:szCs w:val="32"/>
        </w:rPr>
        <w:t>預算執行之審核</w:t>
      </w:r>
    </w:p>
    <w:p w14:paraId="2B80671B" w14:textId="2BC968AD" w:rsidR="0019529A" w:rsidRPr="00191C0B" w:rsidRDefault="009876C8" w:rsidP="005C4600">
      <w:pPr>
        <w:pStyle w:val="13"/>
        <w:overflowPunct w:val="0"/>
        <w:spacing w:line="440" w:lineRule="exact"/>
        <w:ind w:firstLineChars="200" w:firstLine="480"/>
        <w:rPr>
          <w:rFonts w:hAnsi="標楷體"/>
          <w:color w:val="FF0000"/>
        </w:rPr>
      </w:pPr>
      <w:r w:rsidRPr="00683252">
        <w:rPr>
          <w:rFonts w:hAnsi="標楷體" w:hint="eastAsia"/>
        </w:rPr>
        <w:t>（一）</w:t>
      </w:r>
      <w:r w:rsidR="00650851" w:rsidRPr="00683252">
        <w:rPr>
          <w:rFonts w:hAnsi="標楷體" w:hint="eastAsia"/>
        </w:rPr>
        <w:t xml:space="preserve">　</w:t>
      </w:r>
      <w:r w:rsidR="003E1CB0" w:rsidRPr="00683252">
        <w:rPr>
          <w:rFonts w:hAnsi="標楷體" w:hint="eastAsia"/>
        </w:rPr>
        <w:t>歲入預算數</w:t>
      </w:r>
      <w:r w:rsidR="00683252" w:rsidRPr="00683252">
        <w:rPr>
          <w:rFonts w:hAnsi="標楷體" w:hint="eastAsia"/>
        </w:rPr>
        <w:t>2</w:t>
      </w:r>
      <w:r w:rsidR="003E1CB0" w:rsidRPr="00683252">
        <w:rPr>
          <w:rFonts w:hAnsi="標楷體" w:hint="eastAsia"/>
        </w:rPr>
        <w:t>,</w:t>
      </w:r>
      <w:r w:rsidR="00683252" w:rsidRPr="00683252">
        <w:rPr>
          <w:rFonts w:hAnsi="標楷體" w:hint="eastAsia"/>
        </w:rPr>
        <w:t>297</w:t>
      </w:r>
      <w:r w:rsidR="003E1CB0" w:rsidRPr="00683252">
        <w:rPr>
          <w:rFonts w:hAnsi="標楷體" w:hint="eastAsia"/>
        </w:rPr>
        <w:t>億</w:t>
      </w:r>
      <w:r w:rsidR="00683252" w:rsidRPr="00683252">
        <w:rPr>
          <w:rFonts w:hAnsi="標楷體" w:hint="eastAsia"/>
        </w:rPr>
        <w:t>9</w:t>
      </w:r>
      <w:r w:rsidR="003E1CB0" w:rsidRPr="00683252">
        <w:rPr>
          <w:rFonts w:hAnsi="標楷體" w:hint="eastAsia"/>
        </w:rPr>
        <w:t>,</w:t>
      </w:r>
      <w:r w:rsidR="00683252" w:rsidRPr="00683252">
        <w:rPr>
          <w:rFonts w:hAnsi="標楷體" w:hint="eastAsia"/>
        </w:rPr>
        <w:t>730</w:t>
      </w:r>
      <w:r w:rsidR="003E1CB0" w:rsidRPr="00683252">
        <w:rPr>
          <w:rFonts w:hAnsi="標楷體" w:hint="eastAsia"/>
        </w:rPr>
        <w:t>萬餘元，決算審核結果，修正增列應收保留數</w:t>
      </w:r>
      <w:r w:rsidR="00683252" w:rsidRPr="00683252">
        <w:rPr>
          <w:rFonts w:hAnsi="標楷體" w:hint="eastAsia"/>
        </w:rPr>
        <w:t>6</w:t>
      </w:r>
      <w:r w:rsidR="003E1CB0" w:rsidRPr="00683252">
        <w:rPr>
          <w:rFonts w:hAnsi="標楷體" w:hint="eastAsia"/>
        </w:rPr>
        <w:t>,</w:t>
      </w:r>
      <w:r w:rsidR="00683252" w:rsidRPr="00683252">
        <w:rPr>
          <w:rFonts w:hAnsi="標楷體" w:hint="eastAsia"/>
        </w:rPr>
        <w:t>270</w:t>
      </w:r>
      <w:r w:rsidR="003E1CB0" w:rsidRPr="00683252">
        <w:rPr>
          <w:rFonts w:hAnsi="標楷體" w:hint="eastAsia"/>
        </w:rPr>
        <w:t>萬餘元</w:t>
      </w:r>
      <w:r w:rsidR="00A457C7" w:rsidRPr="00683252">
        <w:rPr>
          <w:rFonts w:hAnsi="標楷體" w:hint="eastAsia"/>
        </w:rPr>
        <w:t>，係應收中央銀行繳庫股息紅利</w:t>
      </w:r>
      <w:r w:rsidR="00A457C7" w:rsidRPr="00C2770E">
        <w:rPr>
          <w:rFonts w:hAnsi="標楷體" w:hint="eastAsia"/>
        </w:rPr>
        <w:t>；</w:t>
      </w:r>
      <w:r w:rsidR="003E1CB0" w:rsidRPr="00C2770E">
        <w:rPr>
          <w:rFonts w:hAnsi="標楷體" w:hint="eastAsia"/>
        </w:rPr>
        <w:t>審定實現數</w:t>
      </w:r>
      <w:r w:rsidR="00C2770E" w:rsidRPr="00C2770E">
        <w:rPr>
          <w:rFonts w:hAnsi="標楷體" w:hint="eastAsia"/>
        </w:rPr>
        <w:t>2</w:t>
      </w:r>
      <w:r w:rsidR="003E1CB0" w:rsidRPr="00C2770E">
        <w:rPr>
          <w:rFonts w:hAnsi="標楷體" w:hint="eastAsia"/>
        </w:rPr>
        <w:t>,</w:t>
      </w:r>
      <w:r w:rsidR="00C2770E" w:rsidRPr="00C2770E">
        <w:rPr>
          <w:rFonts w:hAnsi="標楷體" w:hint="eastAsia"/>
        </w:rPr>
        <w:t>299</w:t>
      </w:r>
      <w:r w:rsidR="003E1CB0" w:rsidRPr="00C2770E">
        <w:rPr>
          <w:rFonts w:hAnsi="標楷體" w:hint="eastAsia"/>
        </w:rPr>
        <w:t>億</w:t>
      </w:r>
      <w:r w:rsidR="00C2770E" w:rsidRPr="00C2770E">
        <w:rPr>
          <w:rFonts w:hAnsi="標楷體" w:hint="eastAsia"/>
        </w:rPr>
        <w:t>4</w:t>
      </w:r>
      <w:r w:rsidR="003E1CB0" w:rsidRPr="00C2770E">
        <w:rPr>
          <w:rFonts w:hAnsi="標楷體" w:hint="eastAsia"/>
        </w:rPr>
        <w:t>,</w:t>
      </w:r>
      <w:r w:rsidR="00C2770E" w:rsidRPr="00C2770E">
        <w:rPr>
          <w:rFonts w:hAnsi="標楷體" w:hint="eastAsia"/>
        </w:rPr>
        <w:t>554</w:t>
      </w:r>
      <w:r w:rsidR="003E1CB0" w:rsidRPr="00C2770E">
        <w:rPr>
          <w:rFonts w:hAnsi="標楷體" w:hint="eastAsia"/>
        </w:rPr>
        <w:t>萬餘元，應收保留數</w:t>
      </w:r>
      <w:r w:rsidR="00C2770E" w:rsidRPr="00C2770E">
        <w:rPr>
          <w:rFonts w:hAnsi="標楷體" w:hint="eastAsia"/>
        </w:rPr>
        <w:t>1億3</w:t>
      </w:r>
      <w:r w:rsidR="003E1CB0" w:rsidRPr="00C2770E">
        <w:rPr>
          <w:rFonts w:hAnsi="標楷體" w:hint="eastAsia"/>
        </w:rPr>
        <w:t>,4</w:t>
      </w:r>
      <w:r w:rsidR="00C2770E" w:rsidRPr="00C2770E">
        <w:rPr>
          <w:rFonts w:hAnsi="標楷體" w:hint="eastAsia"/>
        </w:rPr>
        <w:t>93</w:t>
      </w:r>
      <w:r w:rsidR="003E1CB0" w:rsidRPr="00C2770E">
        <w:rPr>
          <w:rFonts w:hAnsi="標楷體" w:hint="eastAsia"/>
        </w:rPr>
        <w:t>萬餘元</w:t>
      </w:r>
      <w:r w:rsidR="00A457C7" w:rsidRPr="00C2770E">
        <w:rPr>
          <w:rFonts w:hAnsi="標楷體" w:hint="eastAsia"/>
        </w:rPr>
        <w:t>，</w:t>
      </w:r>
      <w:r w:rsidR="00A457C7" w:rsidRPr="009A56E6">
        <w:rPr>
          <w:rFonts w:hAnsi="標楷體" w:hint="eastAsia"/>
        </w:rPr>
        <w:t>主要係應收中央銀行繳庫股息紅利</w:t>
      </w:r>
      <w:r w:rsidR="00A457C7" w:rsidRPr="00EF6E1B">
        <w:rPr>
          <w:rFonts w:hAnsi="標楷體" w:hint="eastAsia"/>
        </w:rPr>
        <w:t>；</w:t>
      </w:r>
      <w:r w:rsidR="003E1CB0" w:rsidRPr="00EF6E1B">
        <w:rPr>
          <w:rFonts w:hAnsi="標楷體" w:hint="eastAsia"/>
        </w:rPr>
        <w:t>合計決算審定數</w:t>
      </w:r>
      <w:r w:rsidR="00DB0D14" w:rsidRPr="00EF6E1B">
        <w:rPr>
          <w:rFonts w:hAnsi="標楷體" w:hint="eastAsia"/>
        </w:rPr>
        <w:t>2</w:t>
      </w:r>
      <w:r w:rsidR="003E1CB0" w:rsidRPr="00EF6E1B">
        <w:rPr>
          <w:rFonts w:hAnsi="標楷體" w:hint="eastAsia"/>
        </w:rPr>
        <w:t>,</w:t>
      </w:r>
      <w:r w:rsidR="00DB0D14" w:rsidRPr="00EF6E1B">
        <w:rPr>
          <w:rFonts w:hAnsi="標楷體" w:hint="eastAsia"/>
        </w:rPr>
        <w:t>300</w:t>
      </w:r>
      <w:r w:rsidR="003E1CB0" w:rsidRPr="00EF6E1B">
        <w:rPr>
          <w:rFonts w:hAnsi="標楷體" w:hint="eastAsia"/>
        </w:rPr>
        <w:t>億</w:t>
      </w:r>
      <w:r w:rsidR="00DB0D14" w:rsidRPr="00EF6E1B">
        <w:rPr>
          <w:rFonts w:hAnsi="標楷體" w:hint="eastAsia"/>
        </w:rPr>
        <w:t>8</w:t>
      </w:r>
      <w:r w:rsidR="003E1CB0" w:rsidRPr="00EF6E1B">
        <w:rPr>
          <w:rFonts w:hAnsi="標楷體" w:hint="eastAsia"/>
        </w:rPr>
        <w:t>,0</w:t>
      </w:r>
      <w:r w:rsidR="00DB0D14" w:rsidRPr="00EF6E1B">
        <w:rPr>
          <w:rFonts w:hAnsi="標楷體" w:hint="eastAsia"/>
        </w:rPr>
        <w:t>4</w:t>
      </w:r>
      <w:r w:rsidR="00CB14B5">
        <w:rPr>
          <w:rFonts w:hAnsi="標楷體" w:hint="eastAsia"/>
        </w:rPr>
        <w:t>8</w:t>
      </w:r>
      <w:r w:rsidR="003E1CB0" w:rsidRPr="00EF6E1B">
        <w:rPr>
          <w:rFonts w:hAnsi="標楷體" w:hint="eastAsia"/>
        </w:rPr>
        <w:t>萬餘元，較預算增加</w:t>
      </w:r>
      <w:r w:rsidR="00EF6E1B" w:rsidRPr="00EF6E1B">
        <w:rPr>
          <w:rFonts w:hAnsi="標楷體" w:hint="eastAsia"/>
        </w:rPr>
        <w:t>2億</w:t>
      </w:r>
      <w:r w:rsidR="003E1CB0" w:rsidRPr="00EF6E1B">
        <w:rPr>
          <w:rFonts w:hAnsi="標楷體" w:hint="eastAsia"/>
        </w:rPr>
        <w:t>8,</w:t>
      </w:r>
      <w:r w:rsidR="00EF6E1B" w:rsidRPr="00EF6E1B">
        <w:rPr>
          <w:rFonts w:hAnsi="標楷體" w:hint="eastAsia"/>
        </w:rPr>
        <w:t>317</w:t>
      </w:r>
      <w:r w:rsidR="003E1CB0" w:rsidRPr="00EF6E1B">
        <w:rPr>
          <w:rFonts w:hAnsi="標楷體" w:hint="eastAsia"/>
        </w:rPr>
        <w:t>萬餘元（0.</w:t>
      </w:r>
      <w:r w:rsidR="00EF6E1B" w:rsidRPr="00EF6E1B">
        <w:rPr>
          <w:rFonts w:hAnsi="標楷體" w:hint="eastAsia"/>
        </w:rPr>
        <w:t>12</w:t>
      </w:r>
      <w:r w:rsidR="003E1CB0" w:rsidRPr="00EF6E1B">
        <w:rPr>
          <w:rFonts w:hAnsi="標楷體" w:hint="eastAsia"/>
        </w:rPr>
        <w:t>％），</w:t>
      </w:r>
      <w:r w:rsidR="003E1CB0" w:rsidRPr="00831BB1">
        <w:rPr>
          <w:rFonts w:hAnsi="標楷體" w:hint="eastAsia"/>
        </w:rPr>
        <w:t>主要係</w:t>
      </w:r>
      <w:r w:rsidR="00831BB1">
        <w:rPr>
          <w:rFonts w:hAnsi="標楷體" w:hint="eastAsia"/>
        </w:rPr>
        <w:t>中央銀行繳庫股息紅利及</w:t>
      </w:r>
      <w:r w:rsidR="00A457C7" w:rsidRPr="00831BB1">
        <w:rPr>
          <w:rFonts w:hAnsi="標楷體" w:hint="eastAsia"/>
        </w:rPr>
        <w:t>國立故宮博物院門票收入</w:t>
      </w:r>
      <w:r w:rsidR="007A3D85" w:rsidRPr="00831BB1">
        <w:rPr>
          <w:rFonts w:hAnsi="標楷體" w:hint="eastAsia"/>
        </w:rPr>
        <w:t>等</w:t>
      </w:r>
      <w:r w:rsidR="00A457C7" w:rsidRPr="00831BB1">
        <w:rPr>
          <w:rFonts w:hAnsi="標楷體" w:hint="eastAsia"/>
        </w:rPr>
        <w:t>較預計增加</w:t>
      </w:r>
      <w:r w:rsidR="003E1CB0" w:rsidRPr="00831BB1">
        <w:rPr>
          <w:rFonts w:hAnsi="標楷體" w:hint="eastAsia"/>
        </w:rPr>
        <w:t>。</w:t>
      </w:r>
    </w:p>
    <w:p w14:paraId="78003E96" w14:textId="2615E491" w:rsidR="0019529A" w:rsidRPr="003A0DB8" w:rsidRDefault="009876C8" w:rsidP="005C4600">
      <w:pPr>
        <w:pStyle w:val="13"/>
        <w:overflowPunct w:val="0"/>
        <w:spacing w:line="440" w:lineRule="exact"/>
        <w:ind w:firstLineChars="200" w:firstLine="480"/>
        <w:rPr>
          <w:rFonts w:hAnsi="標楷體"/>
        </w:rPr>
      </w:pPr>
      <w:r w:rsidRPr="00831BB1">
        <w:rPr>
          <w:rFonts w:hAnsi="標楷體" w:hint="eastAsia"/>
        </w:rPr>
        <w:t>（二）</w:t>
      </w:r>
      <w:r w:rsidR="00650851" w:rsidRPr="00831BB1">
        <w:rPr>
          <w:rFonts w:hAnsi="標楷體" w:hint="eastAsia"/>
        </w:rPr>
        <w:t xml:space="preserve">　以前年度歲入轉入數計</w:t>
      </w:r>
      <w:r w:rsidR="0075163D" w:rsidRPr="00831BB1">
        <w:rPr>
          <w:rFonts w:hAnsi="標楷體"/>
          <w:kern w:val="0"/>
        </w:rPr>
        <w:t>1億</w:t>
      </w:r>
      <w:r w:rsidR="00831BB1" w:rsidRPr="00831BB1">
        <w:rPr>
          <w:rFonts w:hAnsi="標楷體" w:hint="eastAsia"/>
          <w:kern w:val="0"/>
        </w:rPr>
        <w:t>379</w:t>
      </w:r>
      <w:r w:rsidR="0075163D" w:rsidRPr="00831BB1">
        <w:rPr>
          <w:rFonts w:hAnsi="標楷體"/>
          <w:kern w:val="0"/>
        </w:rPr>
        <w:t>萬餘元</w:t>
      </w:r>
      <w:r w:rsidR="00650851" w:rsidRPr="00831BB1">
        <w:rPr>
          <w:rFonts w:hAnsi="標楷體" w:hint="eastAsia"/>
        </w:rPr>
        <w:t>，決算審核結果，審定實現數</w:t>
      </w:r>
      <w:r w:rsidR="00831BB1" w:rsidRPr="00831BB1">
        <w:rPr>
          <w:rFonts w:hAnsi="標楷體" w:hint="eastAsia"/>
        </w:rPr>
        <w:t>1</w:t>
      </w:r>
      <w:r w:rsidR="00C97BC3">
        <w:rPr>
          <w:rFonts w:hAnsi="標楷體" w:hint="eastAsia"/>
        </w:rPr>
        <w:t>,</w:t>
      </w:r>
      <w:r w:rsidR="0075163D" w:rsidRPr="00831BB1">
        <w:rPr>
          <w:rFonts w:hAnsi="標楷體"/>
          <w:kern w:val="0"/>
        </w:rPr>
        <w:t>68</w:t>
      </w:r>
      <w:r w:rsidR="00831BB1" w:rsidRPr="00831BB1">
        <w:rPr>
          <w:rFonts w:hAnsi="標楷體" w:hint="eastAsia"/>
          <w:kern w:val="0"/>
        </w:rPr>
        <w:t>2</w:t>
      </w:r>
      <w:r w:rsidR="0075163D" w:rsidRPr="00831BB1">
        <w:rPr>
          <w:rFonts w:hAnsi="標楷體"/>
          <w:kern w:val="0"/>
        </w:rPr>
        <w:t>萬餘元</w:t>
      </w:r>
      <w:r w:rsidR="0075163D" w:rsidRPr="003877C0">
        <w:rPr>
          <w:rFonts w:hAnsi="標楷體"/>
          <w:kern w:val="0"/>
        </w:rPr>
        <w:t>（</w:t>
      </w:r>
      <w:r w:rsidR="003877C0" w:rsidRPr="003877C0">
        <w:rPr>
          <w:rFonts w:hAnsi="標楷體" w:hint="eastAsia"/>
          <w:kern w:val="0"/>
        </w:rPr>
        <w:t>16</w:t>
      </w:r>
      <w:r w:rsidR="0075163D" w:rsidRPr="003877C0">
        <w:rPr>
          <w:rFonts w:hAnsi="標楷體"/>
          <w:kern w:val="0"/>
        </w:rPr>
        <w:t>.2</w:t>
      </w:r>
      <w:r w:rsidR="003877C0" w:rsidRPr="003877C0">
        <w:rPr>
          <w:rFonts w:hAnsi="標楷體" w:hint="eastAsia"/>
          <w:kern w:val="0"/>
        </w:rPr>
        <w:t>1</w:t>
      </w:r>
      <w:r w:rsidR="0075163D" w:rsidRPr="003877C0">
        <w:rPr>
          <w:rFonts w:hAnsi="標楷體"/>
          <w:kern w:val="0"/>
        </w:rPr>
        <w:t>％）</w:t>
      </w:r>
      <w:r w:rsidR="00650851" w:rsidRPr="003877C0">
        <w:rPr>
          <w:rFonts w:hAnsi="標楷體" w:hint="eastAsia"/>
        </w:rPr>
        <w:t>；減免</w:t>
      </w:r>
      <w:r w:rsidR="00DF204B" w:rsidRPr="003877C0">
        <w:rPr>
          <w:rFonts w:hAnsi="標楷體" w:hint="eastAsia"/>
        </w:rPr>
        <w:t>（註銷）</w:t>
      </w:r>
      <w:r w:rsidR="00650851" w:rsidRPr="003877C0">
        <w:rPr>
          <w:rFonts w:hAnsi="標楷體" w:hint="eastAsia"/>
        </w:rPr>
        <w:t>數</w:t>
      </w:r>
      <w:r w:rsidR="00C97BC3" w:rsidRPr="003877C0">
        <w:rPr>
          <w:rFonts w:hAnsi="標楷體" w:hint="eastAsia"/>
          <w:kern w:val="0"/>
        </w:rPr>
        <w:t>1</w:t>
      </w:r>
      <w:r w:rsidR="00C97BC3" w:rsidRPr="003877C0">
        <w:rPr>
          <w:rFonts w:hAnsi="標楷體"/>
          <w:kern w:val="0"/>
        </w:rPr>
        <w:t>,</w:t>
      </w:r>
      <w:r w:rsidR="00C97BC3" w:rsidRPr="003877C0">
        <w:rPr>
          <w:rFonts w:hAnsi="標楷體" w:hint="eastAsia"/>
          <w:kern w:val="0"/>
        </w:rPr>
        <w:t>509</w:t>
      </w:r>
      <w:r w:rsidR="0075163D" w:rsidRPr="003877C0">
        <w:rPr>
          <w:rFonts w:hAnsi="標楷體"/>
          <w:kern w:val="0"/>
        </w:rPr>
        <w:t>萬餘元（</w:t>
      </w:r>
      <w:r w:rsidR="003877C0" w:rsidRPr="003877C0">
        <w:rPr>
          <w:rFonts w:hAnsi="標楷體" w:hint="eastAsia"/>
          <w:kern w:val="0"/>
        </w:rPr>
        <w:t>14</w:t>
      </w:r>
      <w:r w:rsidR="0075163D" w:rsidRPr="003877C0">
        <w:rPr>
          <w:rFonts w:hAnsi="標楷體"/>
          <w:kern w:val="0"/>
        </w:rPr>
        <w:t>.</w:t>
      </w:r>
      <w:r w:rsidR="003877C0" w:rsidRPr="003877C0">
        <w:rPr>
          <w:rFonts w:hAnsi="標楷體" w:hint="eastAsia"/>
          <w:kern w:val="0"/>
        </w:rPr>
        <w:t>54</w:t>
      </w:r>
      <w:r w:rsidR="0075163D" w:rsidRPr="003877C0">
        <w:rPr>
          <w:rFonts w:hAnsi="標楷體"/>
          <w:kern w:val="0"/>
        </w:rPr>
        <w:t>％）</w:t>
      </w:r>
      <w:r w:rsidR="003A544B" w:rsidRPr="003877C0">
        <w:rPr>
          <w:rFonts w:hAnsi="標楷體" w:hint="eastAsia"/>
        </w:rPr>
        <w:t>，</w:t>
      </w:r>
      <w:r w:rsidR="003A544B" w:rsidRPr="003A0DB8">
        <w:rPr>
          <w:rFonts w:hAnsi="標楷體" w:hint="eastAsia"/>
        </w:rPr>
        <w:t>主要</w:t>
      </w:r>
      <w:r w:rsidR="003A544B" w:rsidRPr="003A0DB8">
        <w:rPr>
          <w:rFonts w:hAnsi="標楷體"/>
        </w:rPr>
        <w:t>係</w:t>
      </w:r>
      <w:r w:rsidR="003A0DB8" w:rsidRPr="003A0DB8">
        <w:rPr>
          <w:rFonts w:hAnsi="標楷體" w:hint="eastAsia"/>
        </w:rPr>
        <w:t>國家通訊傳播委員會應收違反通訊傳播相關法規之罰鍰，移送行政執行取得債權憑證，經核定註銷</w:t>
      </w:r>
      <w:r w:rsidR="00650851" w:rsidRPr="003A0DB8">
        <w:rPr>
          <w:rFonts w:hAnsi="標楷體" w:hint="eastAsia"/>
        </w:rPr>
        <w:t>；</w:t>
      </w:r>
      <w:r w:rsidR="00650851" w:rsidRPr="00340B48">
        <w:rPr>
          <w:rFonts w:hAnsi="標楷體" w:hint="eastAsia"/>
        </w:rPr>
        <w:t>應收保留數</w:t>
      </w:r>
      <w:r w:rsidR="0075163D" w:rsidRPr="00340B48">
        <w:rPr>
          <w:rFonts w:hAnsi="標楷體"/>
          <w:kern w:val="0"/>
        </w:rPr>
        <w:t>7,</w:t>
      </w:r>
      <w:r w:rsidR="00340B48" w:rsidRPr="00340B48">
        <w:rPr>
          <w:rFonts w:hAnsi="標楷體" w:hint="eastAsia"/>
          <w:kern w:val="0"/>
        </w:rPr>
        <w:t>187</w:t>
      </w:r>
      <w:r w:rsidR="0075163D" w:rsidRPr="00340B48">
        <w:rPr>
          <w:rFonts w:hAnsi="標楷體"/>
          <w:kern w:val="0"/>
        </w:rPr>
        <w:t>萬餘元</w:t>
      </w:r>
      <w:r w:rsidR="0075163D" w:rsidRPr="003877C0">
        <w:rPr>
          <w:rFonts w:hAnsi="標楷體"/>
          <w:kern w:val="0"/>
        </w:rPr>
        <w:t>（</w:t>
      </w:r>
      <w:r w:rsidR="003877C0" w:rsidRPr="003877C0">
        <w:rPr>
          <w:rFonts w:hAnsi="標楷體" w:hint="eastAsia"/>
          <w:kern w:val="0"/>
        </w:rPr>
        <w:t>69</w:t>
      </w:r>
      <w:r w:rsidR="0075163D" w:rsidRPr="003877C0">
        <w:rPr>
          <w:rFonts w:hAnsi="標楷體"/>
          <w:kern w:val="0"/>
        </w:rPr>
        <w:t>.2</w:t>
      </w:r>
      <w:r w:rsidR="003877C0" w:rsidRPr="003877C0">
        <w:rPr>
          <w:rFonts w:hAnsi="標楷體" w:hint="eastAsia"/>
          <w:kern w:val="0"/>
        </w:rPr>
        <w:t>5</w:t>
      </w:r>
      <w:r w:rsidR="0075163D" w:rsidRPr="003877C0">
        <w:rPr>
          <w:rFonts w:hAnsi="標楷體"/>
          <w:kern w:val="0"/>
        </w:rPr>
        <w:t>％</w:t>
      </w:r>
      <w:r w:rsidR="0075163D" w:rsidRPr="003A0DB8">
        <w:rPr>
          <w:rFonts w:hAnsi="標楷體"/>
          <w:kern w:val="0"/>
        </w:rPr>
        <w:t>）</w:t>
      </w:r>
      <w:r w:rsidR="00650851" w:rsidRPr="003A0DB8">
        <w:rPr>
          <w:rFonts w:hAnsi="標楷體" w:hint="eastAsia"/>
        </w:rPr>
        <w:t>，主要係</w:t>
      </w:r>
      <w:r w:rsidR="00004A85" w:rsidRPr="003A0DB8">
        <w:rPr>
          <w:rFonts w:hAnsi="標楷體" w:hint="eastAsia"/>
        </w:rPr>
        <w:t>國家通訊傳播委員會以前年度核處之罰鍰及</w:t>
      </w:r>
      <w:r w:rsidR="00E40389" w:rsidRPr="003A0DB8">
        <w:rPr>
          <w:rFonts w:hAnsi="標楷體" w:hint="eastAsia"/>
        </w:rPr>
        <w:t>通訊傳播業務許可費</w:t>
      </w:r>
      <w:r w:rsidR="00004A85" w:rsidRPr="003A0DB8">
        <w:rPr>
          <w:rFonts w:hAnsi="標楷體" w:hint="eastAsia"/>
        </w:rPr>
        <w:t>等</w:t>
      </w:r>
      <w:r w:rsidR="00650851" w:rsidRPr="003A0DB8">
        <w:rPr>
          <w:rFonts w:hAnsi="標楷體" w:hint="eastAsia"/>
        </w:rPr>
        <w:t>，尚待繼續收取。</w:t>
      </w:r>
    </w:p>
    <w:p w14:paraId="3C6E0125" w14:textId="52340C3F" w:rsidR="000B715E" w:rsidRPr="002832AC" w:rsidRDefault="009876C8" w:rsidP="005C4600">
      <w:pPr>
        <w:pStyle w:val="13"/>
        <w:overflowPunct w:val="0"/>
        <w:spacing w:line="440" w:lineRule="exact"/>
        <w:ind w:firstLineChars="200" w:firstLine="480"/>
        <w:rPr>
          <w:rFonts w:hAnsi="標楷體"/>
        </w:rPr>
      </w:pPr>
      <w:r w:rsidRPr="003A5018">
        <w:rPr>
          <w:rFonts w:hAnsi="標楷體" w:hint="eastAsia"/>
        </w:rPr>
        <w:t>（三）</w:t>
      </w:r>
      <w:r w:rsidR="00650851" w:rsidRPr="003A5018">
        <w:rPr>
          <w:rFonts w:hAnsi="標楷體" w:hint="eastAsia"/>
        </w:rPr>
        <w:t xml:space="preserve">　</w:t>
      </w:r>
      <w:r w:rsidR="00650851" w:rsidRPr="00783952">
        <w:rPr>
          <w:rFonts w:hAnsi="標楷體" w:hint="eastAsia"/>
          <w:spacing w:val="-2"/>
        </w:rPr>
        <w:t>歲出原編列預算數</w:t>
      </w:r>
      <w:r w:rsidR="003A5018" w:rsidRPr="00783952">
        <w:rPr>
          <w:rFonts w:hAnsi="標楷體" w:hint="eastAsia"/>
          <w:spacing w:val="-2"/>
          <w:kern w:val="0"/>
        </w:rPr>
        <w:t>344</w:t>
      </w:r>
      <w:r w:rsidR="006057BC" w:rsidRPr="00783952">
        <w:rPr>
          <w:rFonts w:hAnsi="標楷體"/>
          <w:spacing w:val="-2"/>
          <w:kern w:val="0"/>
        </w:rPr>
        <w:t>億</w:t>
      </w:r>
      <w:r w:rsidR="003A5018" w:rsidRPr="00783952">
        <w:rPr>
          <w:rFonts w:hAnsi="標楷體" w:hint="eastAsia"/>
          <w:spacing w:val="-2"/>
          <w:kern w:val="0"/>
        </w:rPr>
        <w:t>5</w:t>
      </w:r>
      <w:r w:rsidR="006057BC" w:rsidRPr="00783952">
        <w:rPr>
          <w:rFonts w:hAnsi="標楷體"/>
          <w:spacing w:val="-2"/>
          <w:kern w:val="0"/>
        </w:rPr>
        <w:t>,</w:t>
      </w:r>
      <w:r w:rsidR="003A5018" w:rsidRPr="00783952">
        <w:rPr>
          <w:rFonts w:hAnsi="標楷體" w:hint="eastAsia"/>
          <w:spacing w:val="-2"/>
          <w:kern w:val="0"/>
        </w:rPr>
        <w:t>856</w:t>
      </w:r>
      <w:r w:rsidR="006057BC" w:rsidRPr="00783952">
        <w:rPr>
          <w:rFonts w:hAnsi="標楷體"/>
          <w:spacing w:val="-2"/>
          <w:kern w:val="0"/>
        </w:rPr>
        <w:t>萬餘元</w:t>
      </w:r>
      <w:r w:rsidR="00650851" w:rsidRPr="00783952">
        <w:rPr>
          <w:rFonts w:hAnsi="標楷體" w:hint="eastAsia"/>
          <w:spacing w:val="-2"/>
        </w:rPr>
        <w:t>，</w:t>
      </w:r>
      <w:r w:rsidR="00F31B83" w:rsidRPr="00783952">
        <w:rPr>
          <w:rFonts w:hAnsi="標楷體" w:hint="eastAsia"/>
          <w:spacing w:val="-2"/>
        </w:rPr>
        <w:t>因</w:t>
      </w:r>
      <w:r w:rsidR="00E766CA" w:rsidRPr="00783952">
        <w:rPr>
          <w:rFonts w:hAnsi="標楷體" w:hint="eastAsia"/>
          <w:spacing w:val="-2"/>
        </w:rPr>
        <w:t>國家通訊傳播委員會辦理新世代打擊詐欺策略行動綱領1.5版，</w:t>
      </w:r>
      <w:r w:rsidR="003A5018" w:rsidRPr="00783952">
        <w:rPr>
          <w:rFonts w:hAnsi="標楷體" w:hint="eastAsia"/>
          <w:spacing w:val="-2"/>
        </w:rPr>
        <w:t>原住民族委員會辦理0403花蓮地震災後部落旅遊振興計畫及原住民現使用台灣糖業股份有限公司土地</w:t>
      </w:r>
      <w:proofErr w:type="gramStart"/>
      <w:r w:rsidR="003A5018" w:rsidRPr="00783952">
        <w:rPr>
          <w:rFonts w:hAnsi="標楷體" w:hint="eastAsia"/>
          <w:spacing w:val="-2"/>
        </w:rPr>
        <w:t>第二次價購</w:t>
      </w:r>
      <w:proofErr w:type="gramEnd"/>
      <w:r w:rsidR="003A5018" w:rsidRPr="00783952">
        <w:rPr>
          <w:rFonts w:hAnsi="標楷體" w:hint="eastAsia"/>
          <w:spacing w:val="-2"/>
        </w:rPr>
        <w:t>實施計畫，核能安全委員會輻射偵測中心辦理生物</w:t>
      </w:r>
      <w:proofErr w:type="gramStart"/>
      <w:r w:rsidR="003A5018" w:rsidRPr="00783952">
        <w:rPr>
          <w:rFonts w:hAnsi="標楷體" w:hint="eastAsia"/>
          <w:spacing w:val="-2"/>
        </w:rPr>
        <w:t>氚</w:t>
      </w:r>
      <w:proofErr w:type="gramEnd"/>
      <w:r w:rsidR="003A5018" w:rsidRPr="00783952">
        <w:rPr>
          <w:rFonts w:hAnsi="標楷體" w:hint="eastAsia"/>
          <w:spacing w:val="-2"/>
        </w:rPr>
        <w:t>檢測量能提升專案實施計畫</w:t>
      </w:r>
      <w:r w:rsidR="00F31B83" w:rsidRPr="00783952">
        <w:rPr>
          <w:rFonts w:hAnsi="標楷體" w:hint="eastAsia"/>
          <w:spacing w:val="-2"/>
        </w:rPr>
        <w:t>等所需經費或經費不敷</w:t>
      </w:r>
      <w:r w:rsidR="000B18B3" w:rsidRPr="00783952">
        <w:rPr>
          <w:rFonts w:hAnsi="標楷體" w:hint="eastAsia"/>
          <w:spacing w:val="-2"/>
        </w:rPr>
        <w:t>，經動支第二預備</w:t>
      </w:r>
      <w:r w:rsidR="001F40AF" w:rsidRPr="00783952">
        <w:rPr>
          <w:rFonts w:hAnsi="標楷體" w:hint="eastAsia"/>
          <w:spacing w:val="-2"/>
        </w:rPr>
        <w:t>金8</w:t>
      </w:r>
      <w:r w:rsidR="001F40AF" w:rsidRPr="00783952">
        <w:rPr>
          <w:rFonts w:hAnsi="標楷體"/>
          <w:spacing w:val="-2"/>
        </w:rPr>
        <w:t>,</w:t>
      </w:r>
      <w:r w:rsidR="001F40AF" w:rsidRPr="00783952">
        <w:rPr>
          <w:rFonts w:hAnsi="標楷體" w:hint="eastAsia"/>
          <w:spacing w:val="-2"/>
        </w:rPr>
        <w:t>482</w:t>
      </w:r>
      <w:r w:rsidR="006057BC" w:rsidRPr="00783952">
        <w:rPr>
          <w:rFonts w:hAnsi="標楷體"/>
          <w:spacing w:val="-2"/>
          <w:kern w:val="0"/>
        </w:rPr>
        <w:t>萬餘元</w:t>
      </w:r>
      <w:r w:rsidR="000B18B3" w:rsidRPr="00783952">
        <w:rPr>
          <w:rFonts w:hAnsi="標楷體" w:hint="eastAsia"/>
          <w:spacing w:val="-2"/>
        </w:rPr>
        <w:t>，合計</w:t>
      </w:r>
      <w:r w:rsidR="00A3549F" w:rsidRPr="00783952">
        <w:rPr>
          <w:rFonts w:hAnsi="標楷體" w:hint="eastAsia"/>
          <w:spacing w:val="-2"/>
          <w:kern w:val="0"/>
        </w:rPr>
        <w:t>345</w:t>
      </w:r>
      <w:r w:rsidR="00F12054" w:rsidRPr="00783952">
        <w:rPr>
          <w:rFonts w:hAnsi="標楷體"/>
          <w:spacing w:val="-2"/>
          <w:kern w:val="0"/>
        </w:rPr>
        <w:t>億</w:t>
      </w:r>
      <w:r w:rsidR="00A3549F" w:rsidRPr="00783952">
        <w:rPr>
          <w:rFonts w:hAnsi="標楷體" w:hint="eastAsia"/>
          <w:spacing w:val="-2"/>
          <w:kern w:val="0"/>
        </w:rPr>
        <w:t>4</w:t>
      </w:r>
      <w:r w:rsidR="00F12054" w:rsidRPr="00783952">
        <w:rPr>
          <w:rFonts w:hAnsi="標楷體"/>
          <w:spacing w:val="-2"/>
          <w:kern w:val="0"/>
        </w:rPr>
        <w:t>,</w:t>
      </w:r>
      <w:r w:rsidR="00A3549F" w:rsidRPr="00783952">
        <w:rPr>
          <w:rFonts w:hAnsi="標楷體" w:hint="eastAsia"/>
          <w:spacing w:val="-2"/>
          <w:kern w:val="0"/>
        </w:rPr>
        <w:t>339</w:t>
      </w:r>
      <w:r w:rsidR="00F12054" w:rsidRPr="00783952">
        <w:rPr>
          <w:rFonts w:hAnsi="標楷體"/>
          <w:spacing w:val="-2"/>
          <w:kern w:val="0"/>
        </w:rPr>
        <w:t>萬餘元</w:t>
      </w:r>
      <w:r w:rsidR="000B18B3" w:rsidRPr="00783952">
        <w:rPr>
          <w:rFonts w:hAnsi="標楷體" w:hint="eastAsia"/>
          <w:spacing w:val="-2"/>
        </w:rPr>
        <w:t>，</w:t>
      </w:r>
      <w:r w:rsidR="00650851" w:rsidRPr="00783952">
        <w:rPr>
          <w:rFonts w:hAnsi="標楷體" w:hint="eastAsia"/>
          <w:spacing w:val="-2"/>
        </w:rPr>
        <w:t>決算審核結果，審定實現數</w:t>
      </w:r>
      <w:r w:rsidR="00A3549F" w:rsidRPr="00783952">
        <w:rPr>
          <w:rFonts w:hAnsi="標楷體" w:hint="eastAsia"/>
          <w:spacing w:val="-2"/>
          <w:kern w:val="0"/>
        </w:rPr>
        <w:t>301</w:t>
      </w:r>
      <w:r w:rsidR="00F12054" w:rsidRPr="00783952">
        <w:rPr>
          <w:rFonts w:hAnsi="標楷體"/>
          <w:spacing w:val="-2"/>
          <w:kern w:val="0"/>
        </w:rPr>
        <w:t>億8,</w:t>
      </w:r>
      <w:r w:rsidR="00A3549F" w:rsidRPr="00783952">
        <w:rPr>
          <w:rFonts w:hAnsi="標楷體" w:hint="eastAsia"/>
          <w:spacing w:val="-2"/>
          <w:kern w:val="0"/>
        </w:rPr>
        <w:t>346</w:t>
      </w:r>
      <w:r w:rsidR="00F12054" w:rsidRPr="00783952">
        <w:rPr>
          <w:rFonts w:hAnsi="標楷體"/>
          <w:spacing w:val="-2"/>
          <w:kern w:val="0"/>
        </w:rPr>
        <w:t>萬餘元（8</w:t>
      </w:r>
      <w:r w:rsidR="00874ED5" w:rsidRPr="00783952">
        <w:rPr>
          <w:rFonts w:hAnsi="標楷體" w:hint="eastAsia"/>
          <w:spacing w:val="-2"/>
          <w:kern w:val="0"/>
        </w:rPr>
        <w:t>7</w:t>
      </w:r>
      <w:r w:rsidR="00F12054" w:rsidRPr="00783952">
        <w:rPr>
          <w:rFonts w:hAnsi="標楷體"/>
          <w:spacing w:val="-2"/>
          <w:kern w:val="0"/>
        </w:rPr>
        <w:t>.</w:t>
      </w:r>
      <w:r w:rsidR="00874ED5" w:rsidRPr="00783952">
        <w:rPr>
          <w:rFonts w:hAnsi="標楷體" w:hint="eastAsia"/>
          <w:spacing w:val="-2"/>
          <w:kern w:val="0"/>
        </w:rPr>
        <w:t>38</w:t>
      </w:r>
      <w:r w:rsidR="00F12054" w:rsidRPr="00783952">
        <w:rPr>
          <w:rFonts w:hAnsi="標楷體"/>
          <w:spacing w:val="-2"/>
          <w:kern w:val="0"/>
        </w:rPr>
        <w:t>％）</w:t>
      </w:r>
      <w:r w:rsidR="00650851" w:rsidRPr="00783952">
        <w:rPr>
          <w:rFonts w:hAnsi="標楷體" w:hint="eastAsia"/>
          <w:spacing w:val="-2"/>
        </w:rPr>
        <w:t>，</w:t>
      </w:r>
      <w:r w:rsidR="004E09EE" w:rsidRPr="00783952">
        <w:rPr>
          <w:rFonts w:hAnsi="標楷體" w:hint="eastAsia"/>
          <w:spacing w:val="-2"/>
        </w:rPr>
        <w:t>應付保留數</w:t>
      </w:r>
      <w:r w:rsidR="00F12054" w:rsidRPr="00783952">
        <w:rPr>
          <w:rFonts w:hAnsi="標楷體"/>
          <w:spacing w:val="-2"/>
          <w:kern w:val="0"/>
        </w:rPr>
        <w:t>3</w:t>
      </w:r>
      <w:r w:rsidR="00A3549F" w:rsidRPr="00783952">
        <w:rPr>
          <w:rFonts w:hAnsi="標楷體" w:hint="eastAsia"/>
          <w:spacing w:val="-2"/>
          <w:kern w:val="0"/>
        </w:rPr>
        <w:t>1</w:t>
      </w:r>
      <w:r w:rsidR="00F12054" w:rsidRPr="00783952">
        <w:rPr>
          <w:rFonts w:hAnsi="標楷體"/>
          <w:spacing w:val="-2"/>
          <w:kern w:val="0"/>
        </w:rPr>
        <w:t>億</w:t>
      </w:r>
      <w:r w:rsidR="00A3549F" w:rsidRPr="00783952">
        <w:rPr>
          <w:rFonts w:hAnsi="標楷體" w:hint="eastAsia"/>
          <w:spacing w:val="-2"/>
          <w:kern w:val="0"/>
        </w:rPr>
        <w:t>1</w:t>
      </w:r>
      <w:r w:rsidR="00F12054" w:rsidRPr="00783952">
        <w:rPr>
          <w:rFonts w:hAnsi="標楷體"/>
          <w:spacing w:val="-2"/>
          <w:kern w:val="0"/>
        </w:rPr>
        <w:t>,</w:t>
      </w:r>
      <w:r w:rsidR="00A3549F" w:rsidRPr="00783952">
        <w:rPr>
          <w:rFonts w:hAnsi="標楷體" w:hint="eastAsia"/>
          <w:spacing w:val="-2"/>
          <w:kern w:val="0"/>
        </w:rPr>
        <w:t>195</w:t>
      </w:r>
      <w:r w:rsidR="00F12054" w:rsidRPr="00783952">
        <w:rPr>
          <w:rFonts w:hAnsi="標楷體"/>
          <w:spacing w:val="-2"/>
          <w:kern w:val="0"/>
        </w:rPr>
        <w:t>萬餘元（</w:t>
      </w:r>
      <w:r w:rsidR="00B2267B" w:rsidRPr="00783952">
        <w:rPr>
          <w:rFonts w:hAnsi="標楷體" w:hint="eastAsia"/>
          <w:spacing w:val="-2"/>
          <w:kern w:val="0"/>
        </w:rPr>
        <w:t>9</w:t>
      </w:r>
      <w:r w:rsidR="00F12054" w:rsidRPr="00783952">
        <w:rPr>
          <w:rFonts w:hAnsi="標楷體"/>
          <w:spacing w:val="-2"/>
          <w:kern w:val="0"/>
        </w:rPr>
        <w:t>.</w:t>
      </w:r>
      <w:r w:rsidR="00B2267B" w:rsidRPr="00783952">
        <w:rPr>
          <w:rFonts w:hAnsi="標楷體" w:hint="eastAsia"/>
          <w:spacing w:val="-2"/>
          <w:kern w:val="0"/>
        </w:rPr>
        <w:t>01</w:t>
      </w:r>
      <w:r w:rsidR="00F12054" w:rsidRPr="00783952">
        <w:rPr>
          <w:rFonts w:hAnsi="標楷體"/>
          <w:spacing w:val="-2"/>
          <w:kern w:val="0"/>
        </w:rPr>
        <w:t>％）</w:t>
      </w:r>
      <w:r w:rsidR="00650851" w:rsidRPr="00783952">
        <w:rPr>
          <w:rFonts w:hAnsi="標楷體" w:hint="eastAsia"/>
          <w:spacing w:val="-2"/>
        </w:rPr>
        <w:t>，保留原因詳「一</w:t>
      </w:r>
      <w:r w:rsidR="007050E8" w:rsidRPr="00783952">
        <w:rPr>
          <w:rFonts w:hAnsi="標楷體" w:hint="eastAsia"/>
          <w:spacing w:val="-2"/>
        </w:rPr>
        <w:t>、</w:t>
      </w:r>
      <w:r w:rsidR="00650851" w:rsidRPr="00783952">
        <w:rPr>
          <w:rFonts w:hAnsi="標楷體" w:hint="eastAsia"/>
          <w:spacing w:val="-2"/>
        </w:rPr>
        <w:t>計畫實施之查核」說明；合計決算審定數</w:t>
      </w:r>
      <w:r w:rsidR="00A3549F" w:rsidRPr="00783952">
        <w:rPr>
          <w:rFonts w:hAnsi="標楷體" w:hint="eastAsia"/>
          <w:spacing w:val="-2"/>
          <w:kern w:val="0"/>
        </w:rPr>
        <w:t>332</w:t>
      </w:r>
      <w:r w:rsidR="00F12054" w:rsidRPr="00783952">
        <w:rPr>
          <w:rFonts w:hAnsi="標楷體"/>
          <w:spacing w:val="-2"/>
          <w:kern w:val="0"/>
        </w:rPr>
        <w:t>億</w:t>
      </w:r>
      <w:r w:rsidR="00A3549F" w:rsidRPr="00783952">
        <w:rPr>
          <w:rFonts w:hAnsi="標楷體" w:hint="eastAsia"/>
          <w:spacing w:val="-2"/>
          <w:kern w:val="0"/>
        </w:rPr>
        <w:t>9</w:t>
      </w:r>
      <w:r w:rsidR="00F12054" w:rsidRPr="00783952">
        <w:rPr>
          <w:rFonts w:hAnsi="標楷體"/>
          <w:spacing w:val="-2"/>
          <w:kern w:val="0"/>
        </w:rPr>
        <w:t>,</w:t>
      </w:r>
      <w:r w:rsidR="00A3549F" w:rsidRPr="00783952">
        <w:rPr>
          <w:rFonts w:hAnsi="標楷體" w:hint="eastAsia"/>
          <w:spacing w:val="-2"/>
          <w:kern w:val="0"/>
        </w:rPr>
        <w:t>542</w:t>
      </w:r>
      <w:r w:rsidR="00F12054" w:rsidRPr="00783952">
        <w:rPr>
          <w:rFonts w:hAnsi="標楷體"/>
          <w:spacing w:val="-2"/>
          <w:kern w:val="0"/>
        </w:rPr>
        <w:t>萬餘元</w:t>
      </w:r>
      <w:r w:rsidR="00650851" w:rsidRPr="00783952">
        <w:rPr>
          <w:rFonts w:hAnsi="標楷體" w:hint="eastAsia"/>
          <w:spacing w:val="-2"/>
        </w:rPr>
        <w:t>，預算賸餘</w:t>
      </w:r>
      <w:r w:rsidR="00A3549F" w:rsidRPr="00783952">
        <w:rPr>
          <w:rFonts w:hAnsi="標楷體" w:hint="eastAsia"/>
          <w:spacing w:val="-2"/>
          <w:kern w:val="0"/>
        </w:rPr>
        <w:t>12</w:t>
      </w:r>
      <w:r w:rsidR="00F12054" w:rsidRPr="00783952">
        <w:rPr>
          <w:rFonts w:hAnsi="標楷體"/>
          <w:spacing w:val="-2"/>
          <w:kern w:val="0"/>
        </w:rPr>
        <w:t>億</w:t>
      </w:r>
      <w:r w:rsidR="00A3549F" w:rsidRPr="00783952">
        <w:rPr>
          <w:rFonts w:hAnsi="標楷體" w:hint="eastAsia"/>
          <w:spacing w:val="-2"/>
          <w:kern w:val="0"/>
        </w:rPr>
        <w:t>4</w:t>
      </w:r>
      <w:r w:rsidR="00A3549F" w:rsidRPr="00783952">
        <w:rPr>
          <w:rFonts w:hAnsi="標楷體"/>
          <w:spacing w:val="-2"/>
          <w:kern w:val="0"/>
        </w:rPr>
        <w:t>,</w:t>
      </w:r>
      <w:r w:rsidR="00F12054" w:rsidRPr="00783952">
        <w:rPr>
          <w:rFonts w:hAnsi="標楷體"/>
          <w:spacing w:val="-2"/>
          <w:kern w:val="0"/>
        </w:rPr>
        <w:t>7</w:t>
      </w:r>
      <w:r w:rsidR="00A3549F" w:rsidRPr="00783952">
        <w:rPr>
          <w:rFonts w:hAnsi="標楷體" w:hint="eastAsia"/>
          <w:spacing w:val="-2"/>
          <w:kern w:val="0"/>
        </w:rPr>
        <w:t>97</w:t>
      </w:r>
      <w:r w:rsidR="00F12054" w:rsidRPr="00783952">
        <w:rPr>
          <w:rFonts w:hAnsi="標楷體"/>
          <w:spacing w:val="-2"/>
          <w:kern w:val="0"/>
        </w:rPr>
        <w:t>萬餘元（</w:t>
      </w:r>
      <w:r w:rsidR="00B2267B" w:rsidRPr="00783952">
        <w:rPr>
          <w:rFonts w:hAnsi="標楷體" w:hint="eastAsia"/>
          <w:spacing w:val="-2"/>
          <w:kern w:val="0"/>
        </w:rPr>
        <w:t>3</w:t>
      </w:r>
      <w:r w:rsidR="00F12054" w:rsidRPr="00783952">
        <w:rPr>
          <w:rFonts w:hAnsi="標楷體"/>
          <w:spacing w:val="-2"/>
          <w:kern w:val="0"/>
        </w:rPr>
        <w:t>.</w:t>
      </w:r>
      <w:r w:rsidR="00B2267B" w:rsidRPr="00783952">
        <w:rPr>
          <w:rFonts w:hAnsi="標楷體" w:hint="eastAsia"/>
          <w:spacing w:val="-2"/>
          <w:kern w:val="0"/>
        </w:rPr>
        <w:t>61</w:t>
      </w:r>
      <w:r w:rsidR="00F12054" w:rsidRPr="00783952">
        <w:rPr>
          <w:rFonts w:hAnsi="標楷體"/>
          <w:spacing w:val="-2"/>
          <w:kern w:val="0"/>
        </w:rPr>
        <w:t>％）</w:t>
      </w:r>
      <w:r w:rsidR="00650851" w:rsidRPr="00783952">
        <w:rPr>
          <w:rFonts w:hAnsi="標楷體" w:hint="eastAsia"/>
          <w:spacing w:val="-2"/>
        </w:rPr>
        <w:t>，主要係</w:t>
      </w:r>
      <w:r w:rsidR="007E0983" w:rsidRPr="00783952">
        <w:rPr>
          <w:rFonts w:hAnsi="標楷體" w:hint="eastAsia"/>
          <w:spacing w:val="-2"/>
        </w:rPr>
        <w:t>行政院人事行政總處</w:t>
      </w:r>
      <w:r w:rsidR="0017644D" w:rsidRPr="00783952">
        <w:rPr>
          <w:rFonts w:hAnsi="標楷體" w:hint="eastAsia"/>
          <w:spacing w:val="-2"/>
        </w:rPr>
        <w:t>核發</w:t>
      </w:r>
      <w:r w:rsidR="00055AD5" w:rsidRPr="00783952">
        <w:rPr>
          <w:rFonts w:hAnsi="標楷體" w:hint="eastAsia"/>
          <w:spacing w:val="-2"/>
        </w:rPr>
        <w:t>各機關</w:t>
      </w:r>
      <w:r w:rsidR="006C1F76" w:rsidRPr="00783952">
        <w:rPr>
          <w:rFonts w:hAnsi="標楷體" w:hint="eastAsia"/>
          <w:spacing w:val="-2"/>
        </w:rPr>
        <w:t>人員</w:t>
      </w:r>
      <w:proofErr w:type="gramStart"/>
      <w:r w:rsidR="006C1F76" w:rsidRPr="00783952">
        <w:rPr>
          <w:rFonts w:hAnsi="標楷體" w:hint="eastAsia"/>
          <w:spacing w:val="-2"/>
        </w:rPr>
        <w:t>婚</w:t>
      </w:r>
      <w:proofErr w:type="gramEnd"/>
      <w:r w:rsidR="006C1F76" w:rsidRPr="00783952">
        <w:rPr>
          <w:rFonts w:hAnsi="標楷體" w:hint="eastAsia"/>
          <w:spacing w:val="-2"/>
        </w:rPr>
        <w:t>喪生育及子女教育補助</w:t>
      </w:r>
      <w:r w:rsidR="00055AD5" w:rsidRPr="00783952">
        <w:rPr>
          <w:rFonts w:hAnsi="標楷體" w:hint="eastAsia"/>
          <w:spacing w:val="-2"/>
        </w:rPr>
        <w:t>之金額，較預計減少</w:t>
      </w:r>
      <w:r w:rsidR="004E09EE" w:rsidRPr="00783952">
        <w:rPr>
          <w:rFonts w:hAnsi="標楷體" w:hint="eastAsia"/>
          <w:spacing w:val="-2"/>
        </w:rPr>
        <w:t>；</w:t>
      </w:r>
      <w:r w:rsidR="003C7CC8" w:rsidRPr="00783952">
        <w:rPr>
          <w:rFonts w:hAnsi="標楷體" w:hint="eastAsia"/>
          <w:spacing w:val="-2"/>
        </w:rPr>
        <w:t>中央選舉委員會辦理第16任總統副總統及第11屆立法委員選舉，相關經費之結餘</w:t>
      </w:r>
      <w:r w:rsidR="00264DF5" w:rsidRPr="00783952">
        <w:rPr>
          <w:rFonts w:hAnsi="標楷體" w:hint="eastAsia"/>
          <w:spacing w:val="-2"/>
        </w:rPr>
        <w:t>；</w:t>
      </w:r>
      <w:r w:rsidR="004E09EE" w:rsidRPr="00783952">
        <w:rPr>
          <w:rFonts w:hAnsi="標楷體" w:hint="eastAsia"/>
          <w:spacing w:val="-2"/>
        </w:rPr>
        <w:t>部分機關</w:t>
      </w:r>
      <w:r w:rsidR="00653AD2" w:rsidRPr="00783952">
        <w:rPr>
          <w:rFonts w:hAnsi="標楷體" w:hint="eastAsia"/>
          <w:spacing w:val="-2"/>
        </w:rPr>
        <w:t>補助或委辦計畫經費之結餘，或</w:t>
      </w:r>
      <w:r w:rsidR="004E09EE" w:rsidRPr="00783952">
        <w:rPr>
          <w:rFonts w:hAnsi="標楷體" w:hint="eastAsia"/>
          <w:spacing w:val="-2"/>
        </w:rPr>
        <w:t>實際進用人員較少之人事費結餘。</w:t>
      </w:r>
    </w:p>
    <w:p w14:paraId="632EBDA2" w14:textId="20B26814" w:rsidR="00650851" w:rsidRPr="00191C0B" w:rsidRDefault="009876C8" w:rsidP="005C4600">
      <w:pPr>
        <w:pStyle w:val="13"/>
        <w:overflowPunct w:val="0"/>
        <w:spacing w:line="440" w:lineRule="exact"/>
        <w:ind w:firstLineChars="200" w:firstLine="480"/>
        <w:rPr>
          <w:rFonts w:hAnsi="標楷體"/>
          <w:color w:val="FF0000"/>
        </w:rPr>
      </w:pPr>
      <w:r w:rsidRPr="001C3290">
        <w:rPr>
          <w:rFonts w:hAnsi="標楷體" w:hint="eastAsia"/>
        </w:rPr>
        <w:t>（四</w:t>
      </w:r>
      <w:r w:rsidR="009157C1">
        <w:rPr>
          <w:rFonts w:hAnsi="標楷體" w:hint="eastAsia"/>
        </w:rPr>
        <w:t>）</w:t>
      </w:r>
      <w:r w:rsidR="00650851" w:rsidRPr="001C3290">
        <w:rPr>
          <w:rFonts w:hAnsi="標楷體" w:hint="eastAsia"/>
        </w:rPr>
        <w:t xml:space="preserve">　以前年度歲出轉入數計</w:t>
      </w:r>
      <w:r w:rsidR="001C3290" w:rsidRPr="001C3290">
        <w:rPr>
          <w:rFonts w:hAnsi="標楷體" w:hint="eastAsia"/>
          <w:kern w:val="0"/>
        </w:rPr>
        <w:t>44</w:t>
      </w:r>
      <w:r w:rsidR="009F7614" w:rsidRPr="001C3290">
        <w:rPr>
          <w:rFonts w:hAnsi="標楷體"/>
          <w:kern w:val="0"/>
        </w:rPr>
        <w:t>億</w:t>
      </w:r>
      <w:r w:rsidR="001C3290" w:rsidRPr="001C3290">
        <w:rPr>
          <w:rFonts w:hAnsi="標楷體" w:hint="eastAsia"/>
          <w:kern w:val="0"/>
        </w:rPr>
        <w:t>2</w:t>
      </w:r>
      <w:r w:rsidR="009F7614" w:rsidRPr="001C3290">
        <w:rPr>
          <w:rFonts w:hAnsi="標楷體"/>
          <w:kern w:val="0"/>
        </w:rPr>
        <w:t>,</w:t>
      </w:r>
      <w:r w:rsidR="001C3290" w:rsidRPr="001C3290">
        <w:rPr>
          <w:rFonts w:hAnsi="標楷體" w:hint="eastAsia"/>
          <w:kern w:val="0"/>
        </w:rPr>
        <w:t>044</w:t>
      </w:r>
      <w:r w:rsidR="009F7614" w:rsidRPr="001C3290">
        <w:rPr>
          <w:rFonts w:hAnsi="標楷體"/>
          <w:kern w:val="0"/>
        </w:rPr>
        <w:t>萬餘元</w:t>
      </w:r>
      <w:r w:rsidR="00650851" w:rsidRPr="001C3290">
        <w:rPr>
          <w:rFonts w:hAnsi="標楷體" w:hint="eastAsia"/>
        </w:rPr>
        <w:t>，決算審核結果，審定實現數</w:t>
      </w:r>
      <w:r w:rsidR="001C3290" w:rsidRPr="001C3290">
        <w:rPr>
          <w:rFonts w:hAnsi="標楷體" w:hint="eastAsia"/>
          <w:kern w:val="0"/>
        </w:rPr>
        <w:t>31</w:t>
      </w:r>
      <w:r w:rsidR="009F7614" w:rsidRPr="001C3290">
        <w:rPr>
          <w:rFonts w:hAnsi="標楷體"/>
          <w:kern w:val="0"/>
        </w:rPr>
        <w:t>億</w:t>
      </w:r>
      <w:r w:rsidR="001C3290" w:rsidRPr="001C3290">
        <w:rPr>
          <w:rFonts w:hAnsi="標楷體" w:hint="eastAsia"/>
          <w:kern w:val="0"/>
        </w:rPr>
        <w:t>9</w:t>
      </w:r>
      <w:r w:rsidR="009F7614" w:rsidRPr="001C3290">
        <w:rPr>
          <w:rFonts w:hAnsi="標楷體"/>
          <w:kern w:val="0"/>
        </w:rPr>
        <w:t>,</w:t>
      </w:r>
      <w:r w:rsidR="001C3290" w:rsidRPr="001C3290">
        <w:rPr>
          <w:rFonts w:hAnsi="標楷體" w:hint="eastAsia"/>
          <w:kern w:val="0"/>
        </w:rPr>
        <w:t>365</w:t>
      </w:r>
      <w:r w:rsidR="009F7614" w:rsidRPr="001C3290">
        <w:rPr>
          <w:rFonts w:hAnsi="標楷體"/>
          <w:kern w:val="0"/>
        </w:rPr>
        <w:t>萬餘元</w:t>
      </w:r>
      <w:r w:rsidR="009F7614" w:rsidRPr="00862622">
        <w:rPr>
          <w:rFonts w:hAnsi="標楷體"/>
          <w:kern w:val="0"/>
        </w:rPr>
        <w:t>（</w:t>
      </w:r>
      <w:r w:rsidR="00862622" w:rsidRPr="00862622">
        <w:rPr>
          <w:rFonts w:hAnsi="標楷體" w:hint="eastAsia"/>
          <w:kern w:val="0"/>
        </w:rPr>
        <w:t>72</w:t>
      </w:r>
      <w:r w:rsidR="009F7614" w:rsidRPr="00862622">
        <w:rPr>
          <w:rFonts w:hAnsi="標楷體"/>
          <w:kern w:val="0"/>
        </w:rPr>
        <w:t>.</w:t>
      </w:r>
      <w:r w:rsidR="00862622" w:rsidRPr="00862622">
        <w:rPr>
          <w:rFonts w:hAnsi="標楷體" w:hint="eastAsia"/>
          <w:kern w:val="0"/>
        </w:rPr>
        <w:t>25</w:t>
      </w:r>
      <w:r w:rsidR="009F7614" w:rsidRPr="00862622">
        <w:rPr>
          <w:rFonts w:hAnsi="標楷體"/>
          <w:kern w:val="0"/>
        </w:rPr>
        <w:t>％）</w:t>
      </w:r>
      <w:r w:rsidR="00650851" w:rsidRPr="00862622">
        <w:rPr>
          <w:rFonts w:hAnsi="標楷體" w:hint="eastAsia"/>
        </w:rPr>
        <w:t>，</w:t>
      </w:r>
      <w:r w:rsidR="00650851" w:rsidRPr="001C3290">
        <w:rPr>
          <w:rFonts w:hAnsi="標楷體" w:hint="eastAsia"/>
        </w:rPr>
        <w:t>減免</w:t>
      </w:r>
      <w:r w:rsidR="00DF204B" w:rsidRPr="001C3290">
        <w:rPr>
          <w:rFonts w:hAnsi="標楷體" w:hint="eastAsia"/>
        </w:rPr>
        <w:t>（註銷）</w:t>
      </w:r>
      <w:r w:rsidR="00650851" w:rsidRPr="001C3290">
        <w:rPr>
          <w:rFonts w:hAnsi="標楷體" w:hint="eastAsia"/>
        </w:rPr>
        <w:t>數</w:t>
      </w:r>
      <w:r w:rsidR="001C3290" w:rsidRPr="001C3290">
        <w:rPr>
          <w:rFonts w:hAnsi="標楷體" w:hint="eastAsia"/>
        </w:rPr>
        <w:t>1億</w:t>
      </w:r>
      <w:r w:rsidR="001C3290" w:rsidRPr="001C3290">
        <w:rPr>
          <w:rFonts w:hAnsi="標楷體" w:hint="eastAsia"/>
          <w:kern w:val="0"/>
        </w:rPr>
        <w:t>3</w:t>
      </w:r>
      <w:r w:rsidR="009F7614" w:rsidRPr="001C3290">
        <w:rPr>
          <w:rFonts w:hAnsi="標楷體"/>
          <w:kern w:val="0"/>
        </w:rPr>
        <w:t>,2</w:t>
      </w:r>
      <w:r w:rsidR="001C3290" w:rsidRPr="001C3290">
        <w:rPr>
          <w:rFonts w:hAnsi="標楷體" w:hint="eastAsia"/>
          <w:kern w:val="0"/>
        </w:rPr>
        <w:t>83</w:t>
      </w:r>
      <w:r w:rsidR="009F7614" w:rsidRPr="001C3290">
        <w:rPr>
          <w:rFonts w:hAnsi="標楷體"/>
          <w:kern w:val="0"/>
        </w:rPr>
        <w:t>萬餘元</w:t>
      </w:r>
      <w:r w:rsidR="009F7614" w:rsidRPr="00862622">
        <w:rPr>
          <w:rFonts w:hAnsi="標楷體"/>
          <w:kern w:val="0"/>
        </w:rPr>
        <w:t>（3.</w:t>
      </w:r>
      <w:r w:rsidR="00862622" w:rsidRPr="00862622">
        <w:rPr>
          <w:rFonts w:hAnsi="標楷體" w:hint="eastAsia"/>
          <w:kern w:val="0"/>
        </w:rPr>
        <w:t>00</w:t>
      </w:r>
      <w:r w:rsidR="009F7614" w:rsidRPr="00862622">
        <w:rPr>
          <w:rFonts w:hAnsi="標楷體"/>
          <w:kern w:val="0"/>
        </w:rPr>
        <w:t>％）</w:t>
      </w:r>
      <w:r w:rsidR="00650851" w:rsidRPr="004A3E52">
        <w:rPr>
          <w:rFonts w:hAnsi="標楷體" w:hint="eastAsia"/>
        </w:rPr>
        <w:t>，</w:t>
      </w:r>
      <w:r w:rsidR="009F7614" w:rsidRPr="004A3E52">
        <w:rPr>
          <w:rFonts w:hAnsi="標楷體" w:hint="eastAsia"/>
        </w:rPr>
        <w:t>主要係原住民族委員會補助及委辦計畫經費之結餘</w:t>
      </w:r>
      <w:r w:rsidR="00785239" w:rsidRPr="004A3E52">
        <w:rPr>
          <w:rFonts w:hAnsi="標楷體" w:hint="eastAsia"/>
        </w:rPr>
        <w:t>；</w:t>
      </w:r>
      <w:r w:rsidR="00650851" w:rsidRPr="00A52E09">
        <w:rPr>
          <w:rFonts w:hAnsi="標楷體" w:hint="eastAsia"/>
        </w:rPr>
        <w:t>應付保留數</w:t>
      </w:r>
      <w:r w:rsidR="00A52E09" w:rsidRPr="00A52E09">
        <w:rPr>
          <w:rFonts w:hAnsi="標楷體" w:hint="eastAsia"/>
          <w:kern w:val="0"/>
        </w:rPr>
        <w:t>10</w:t>
      </w:r>
      <w:r w:rsidR="009F7614" w:rsidRPr="00A52E09">
        <w:rPr>
          <w:rFonts w:hAnsi="標楷體"/>
          <w:kern w:val="0"/>
        </w:rPr>
        <w:t>億</w:t>
      </w:r>
      <w:r w:rsidR="00A52E09" w:rsidRPr="00A52E09">
        <w:rPr>
          <w:rFonts w:hAnsi="標楷體" w:hint="eastAsia"/>
          <w:kern w:val="0"/>
        </w:rPr>
        <w:t>9</w:t>
      </w:r>
      <w:r w:rsidR="009F7614" w:rsidRPr="00A52E09">
        <w:rPr>
          <w:rFonts w:hAnsi="標楷體"/>
          <w:kern w:val="0"/>
        </w:rPr>
        <w:t>,3</w:t>
      </w:r>
      <w:r w:rsidR="00A52E09" w:rsidRPr="00A52E09">
        <w:rPr>
          <w:rFonts w:hAnsi="標楷體" w:hint="eastAsia"/>
          <w:kern w:val="0"/>
        </w:rPr>
        <w:t>95</w:t>
      </w:r>
      <w:r w:rsidR="009F7614" w:rsidRPr="00A52E09">
        <w:rPr>
          <w:rFonts w:hAnsi="標楷體"/>
          <w:kern w:val="0"/>
        </w:rPr>
        <w:t>萬餘元</w:t>
      </w:r>
      <w:r w:rsidR="009F7614" w:rsidRPr="000536E5">
        <w:rPr>
          <w:rFonts w:hAnsi="標楷體"/>
          <w:kern w:val="0"/>
        </w:rPr>
        <w:t>（2</w:t>
      </w:r>
      <w:r w:rsidR="000536E5" w:rsidRPr="000536E5">
        <w:rPr>
          <w:rFonts w:hAnsi="標楷體" w:hint="eastAsia"/>
          <w:kern w:val="0"/>
        </w:rPr>
        <w:t>4</w:t>
      </w:r>
      <w:r w:rsidR="009F7614" w:rsidRPr="000536E5">
        <w:rPr>
          <w:rFonts w:hAnsi="標楷體"/>
          <w:kern w:val="0"/>
        </w:rPr>
        <w:t>.</w:t>
      </w:r>
      <w:r w:rsidR="000536E5" w:rsidRPr="000536E5">
        <w:rPr>
          <w:rFonts w:hAnsi="標楷體" w:hint="eastAsia"/>
          <w:kern w:val="0"/>
        </w:rPr>
        <w:t>75</w:t>
      </w:r>
      <w:r w:rsidR="009F7614" w:rsidRPr="000536E5">
        <w:rPr>
          <w:rFonts w:hAnsi="標楷體"/>
          <w:kern w:val="0"/>
        </w:rPr>
        <w:t>％）</w:t>
      </w:r>
      <w:r w:rsidR="00650851" w:rsidRPr="00B0309B">
        <w:rPr>
          <w:rFonts w:hAnsi="標楷體" w:hint="eastAsia"/>
        </w:rPr>
        <w:t>，</w:t>
      </w:r>
      <w:r w:rsidR="009009F6" w:rsidRPr="00B0309B">
        <w:rPr>
          <w:rFonts w:hAnsi="標楷體" w:hint="eastAsia"/>
        </w:rPr>
        <w:t>主要係</w:t>
      </w:r>
      <w:r w:rsidR="00EF7C31" w:rsidRPr="00B0309B">
        <w:rPr>
          <w:rFonts w:hAnsi="標楷體" w:hint="eastAsia"/>
        </w:rPr>
        <w:t>原住民族委員</w:t>
      </w:r>
      <w:r w:rsidR="0036192B">
        <w:rPr>
          <w:rFonts w:hAnsi="標楷體" w:hint="eastAsia"/>
        </w:rPr>
        <w:t>會</w:t>
      </w:r>
      <w:r w:rsidR="00B0309B" w:rsidRPr="00B0309B">
        <w:rPr>
          <w:rFonts w:hAnsi="標楷體" w:hint="eastAsia"/>
        </w:rPr>
        <w:t>辦理原住民族教育師資修習原住民族文化及多元文化教育課程作業計畫、補助辦理南島民族社區總體營造及交流計畫等，尚在執行中。</w:t>
      </w:r>
    </w:p>
    <w:p w14:paraId="132DDDD9" w14:textId="77777777" w:rsidR="006B0827" w:rsidRPr="009D11AD" w:rsidRDefault="00FE73F8" w:rsidP="005C4600">
      <w:pPr>
        <w:pStyle w:val="10"/>
        <w:overflowPunct w:val="0"/>
        <w:spacing w:beforeLines="30" w:before="108" w:afterLines="30" w:after="108" w:line="460"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t>三</w:t>
      </w:r>
      <w:r w:rsidR="006B0827" w:rsidRPr="009D11AD">
        <w:rPr>
          <w:rFonts w:ascii="標楷體" w:eastAsia="標楷體" w:hAnsi="標楷體" w:hint="eastAsia"/>
          <w:color w:val="000000" w:themeColor="text1"/>
          <w:sz w:val="32"/>
          <w:szCs w:val="32"/>
        </w:rPr>
        <w:t>、提供行政院決定施政方針之</w:t>
      </w:r>
      <w:r w:rsidR="006B0827" w:rsidRPr="00F36B9D">
        <w:rPr>
          <w:rFonts w:ascii="標楷體" w:eastAsia="標楷體" w:hAnsi="標楷體" w:hint="eastAsia"/>
          <w:color w:val="000000" w:themeColor="text1"/>
          <w:sz w:val="32"/>
          <w:szCs w:val="32"/>
        </w:rPr>
        <w:t>建議意見</w:t>
      </w:r>
    </w:p>
    <w:p w14:paraId="61A49A2F" w14:textId="2C121FA9" w:rsidR="00E522F1" w:rsidRPr="009D11AD" w:rsidRDefault="008F730F" w:rsidP="00CA55FD">
      <w:pPr>
        <w:pStyle w:val="a7"/>
        <w:overflowPunct w:val="0"/>
        <w:spacing w:line="440" w:lineRule="exact"/>
        <w:ind w:firstLineChars="200" w:firstLine="480"/>
        <w:jc w:val="both"/>
        <w:rPr>
          <w:rFonts w:ascii="標楷體" w:eastAsia="標楷體" w:hAnsi="標楷體"/>
          <w:color w:val="000000" w:themeColor="text1"/>
          <w:szCs w:val="24"/>
        </w:rPr>
      </w:pPr>
      <w:r w:rsidRPr="008F730F">
        <w:rPr>
          <w:rFonts w:ascii="標楷體" w:eastAsia="標楷體" w:hAnsi="標楷體" w:hint="eastAsia"/>
          <w:color w:val="000000" w:themeColor="text1"/>
          <w:szCs w:val="24"/>
        </w:rPr>
        <w:t>依審計法第70條及預算法第28條規定，本部應提供審核中央政府以前年度歲入、歲出、財務（物）經營管理、附屬單位預算（包含營業及非營業部分）等預算執行之有關資料，及財務上增進效能與減少不經濟支出之建議，以供行政院作為決定</w:t>
      </w:r>
      <w:proofErr w:type="gramStart"/>
      <w:r w:rsidRPr="008F730F">
        <w:rPr>
          <w:rFonts w:ascii="標楷體" w:eastAsia="標楷體" w:hAnsi="標楷體" w:hint="eastAsia"/>
          <w:color w:val="000000" w:themeColor="text1"/>
          <w:szCs w:val="24"/>
        </w:rPr>
        <w:t>115</w:t>
      </w:r>
      <w:proofErr w:type="gramEnd"/>
      <w:r w:rsidRPr="008F730F">
        <w:rPr>
          <w:rFonts w:ascii="標楷體" w:eastAsia="標楷體" w:hAnsi="標楷體" w:hint="eastAsia"/>
          <w:color w:val="000000" w:themeColor="text1"/>
          <w:szCs w:val="24"/>
        </w:rPr>
        <w:t>年度施政方針之參考。茲將所提建議意見，</w:t>
      </w:r>
      <w:proofErr w:type="gramStart"/>
      <w:r w:rsidRPr="008F730F">
        <w:rPr>
          <w:rFonts w:ascii="標楷體" w:eastAsia="標楷體" w:hAnsi="標楷體" w:hint="eastAsia"/>
          <w:color w:val="000000" w:themeColor="text1"/>
          <w:szCs w:val="24"/>
        </w:rPr>
        <w:t>摘述如次</w:t>
      </w:r>
      <w:proofErr w:type="gramEnd"/>
      <w:r w:rsidRPr="008F730F">
        <w:rPr>
          <w:rFonts w:ascii="標楷體" w:eastAsia="標楷體" w:hAnsi="標楷體" w:hint="eastAsia"/>
          <w:color w:val="000000" w:themeColor="text1"/>
          <w:szCs w:val="24"/>
        </w:rPr>
        <w:t>：</w:t>
      </w:r>
    </w:p>
    <w:p w14:paraId="1C62EAB9" w14:textId="02D5F78E" w:rsidR="00E8604E" w:rsidRPr="002764DD" w:rsidRDefault="00E8604E" w:rsidP="00CA55FD">
      <w:pPr>
        <w:pStyle w:val="2"/>
        <w:overflowPunct w:val="0"/>
        <w:spacing w:beforeLines="30" w:before="108" w:afterLines="30" w:after="108" w:line="44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lastRenderedPageBreak/>
        <w:t xml:space="preserve">（一）　</w:t>
      </w:r>
      <w:r w:rsidR="00497B27" w:rsidRPr="00497B27">
        <w:rPr>
          <w:rFonts w:hAnsi="標楷體" w:hint="eastAsia"/>
          <w:b/>
          <w:color w:val="000000" w:themeColor="text1"/>
          <w:sz w:val="28"/>
          <w:szCs w:val="28"/>
        </w:rPr>
        <w:t>政府</w:t>
      </w:r>
      <w:proofErr w:type="gramStart"/>
      <w:r w:rsidR="00497B27" w:rsidRPr="00497B27">
        <w:rPr>
          <w:rFonts w:hAnsi="標楷體" w:hint="eastAsia"/>
          <w:b/>
          <w:color w:val="000000" w:themeColor="text1"/>
          <w:sz w:val="28"/>
          <w:szCs w:val="28"/>
        </w:rPr>
        <w:t>推動淨零轉型</w:t>
      </w:r>
      <w:proofErr w:type="gramEnd"/>
      <w:r w:rsidR="00497B27" w:rsidRPr="00497B27">
        <w:rPr>
          <w:rFonts w:hAnsi="標楷體" w:hint="eastAsia"/>
          <w:b/>
          <w:color w:val="000000" w:themeColor="text1"/>
          <w:sz w:val="28"/>
          <w:szCs w:val="28"/>
        </w:rPr>
        <w:t>，惟溫室氣體排放量及</w:t>
      </w:r>
      <w:proofErr w:type="gramStart"/>
      <w:r w:rsidR="00497B27" w:rsidRPr="00497B27">
        <w:rPr>
          <w:rFonts w:hAnsi="標楷體" w:hint="eastAsia"/>
          <w:b/>
          <w:color w:val="000000" w:themeColor="text1"/>
          <w:sz w:val="28"/>
          <w:szCs w:val="28"/>
        </w:rPr>
        <w:t>電力排碳係數</w:t>
      </w:r>
      <w:proofErr w:type="gramEnd"/>
      <w:r w:rsidR="00497B27" w:rsidRPr="00497B27">
        <w:rPr>
          <w:rFonts w:hAnsi="標楷體" w:hint="eastAsia"/>
          <w:b/>
          <w:color w:val="000000" w:themeColor="text1"/>
          <w:sz w:val="28"/>
          <w:szCs w:val="28"/>
        </w:rPr>
        <w:t>，距114年目標值仍有相當努力空間，又國內事業</w:t>
      </w:r>
      <w:proofErr w:type="gramStart"/>
      <w:r w:rsidR="00497B27" w:rsidRPr="00497B27">
        <w:rPr>
          <w:rFonts w:hAnsi="標楷體" w:hint="eastAsia"/>
          <w:b/>
          <w:color w:val="000000" w:themeColor="text1"/>
          <w:sz w:val="28"/>
          <w:szCs w:val="28"/>
        </w:rPr>
        <w:t>對於綠電需求</w:t>
      </w:r>
      <w:proofErr w:type="gramEnd"/>
      <w:r w:rsidR="00497B27" w:rsidRPr="00497B27">
        <w:rPr>
          <w:rFonts w:hAnsi="標楷體" w:hint="eastAsia"/>
          <w:b/>
          <w:color w:val="000000" w:themeColor="text1"/>
          <w:sz w:val="28"/>
          <w:szCs w:val="28"/>
        </w:rPr>
        <w:t>日益增加，恐排擠公用售電業</w:t>
      </w:r>
      <w:proofErr w:type="gramStart"/>
      <w:r w:rsidR="00497B27" w:rsidRPr="00497B27">
        <w:rPr>
          <w:rFonts w:hAnsi="標楷體" w:hint="eastAsia"/>
          <w:b/>
          <w:color w:val="000000" w:themeColor="text1"/>
          <w:sz w:val="28"/>
          <w:szCs w:val="28"/>
        </w:rPr>
        <w:t>躉購之綠電</w:t>
      </w:r>
      <w:proofErr w:type="gramEnd"/>
      <w:r w:rsidR="00497B27" w:rsidRPr="00497B27">
        <w:rPr>
          <w:rFonts w:hAnsi="標楷體" w:hint="eastAsia"/>
          <w:b/>
          <w:color w:val="000000" w:themeColor="text1"/>
          <w:sz w:val="28"/>
          <w:szCs w:val="28"/>
        </w:rPr>
        <w:t>數量，影響</w:t>
      </w:r>
      <w:proofErr w:type="gramStart"/>
      <w:r w:rsidR="00497B27" w:rsidRPr="00497B27">
        <w:rPr>
          <w:rFonts w:hAnsi="標楷體" w:hint="eastAsia"/>
          <w:b/>
          <w:color w:val="000000" w:themeColor="text1"/>
          <w:sz w:val="28"/>
          <w:szCs w:val="28"/>
        </w:rPr>
        <w:t>電力排碳係數</w:t>
      </w:r>
      <w:proofErr w:type="gramEnd"/>
      <w:r w:rsidR="00497B27" w:rsidRPr="00497B27">
        <w:rPr>
          <w:rFonts w:hAnsi="標楷體" w:hint="eastAsia"/>
          <w:b/>
          <w:color w:val="000000" w:themeColor="text1"/>
          <w:sz w:val="28"/>
          <w:szCs w:val="28"/>
        </w:rPr>
        <w:t>降幅；另國內事業得以</w:t>
      </w:r>
      <w:proofErr w:type="gramStart"/>
      <w:r w:rsidR="00497B27" w:rsidRPr="00497B27">
        <w:rPr>
          <w:rFonts w:hAnsi="標楷體" w:hint="eastAsia"/>
          <w:b/>
          <w:color w:val="000000" w:themeColor="text1"/>
          <w:sz w:val="28"/>
          <w:szCs w:val="28"/>
        </w:rPr>
        <w:t>國內外減</w:t>
      </w:r>
      <w:proofErr w:type="gramEnd"/>
      <w:r w:rsidR="00497B27" w:rsidRPr="00497B27">
        <w:rPr>
          <w:rFonts w:hAnsi="標楷體" w:hint="eastAsia"/>
          <w:b/>
          <w:color w:val="000000" w:themeColor="text1"/>
          <w:sz w:val="28"/>
          <w:szCs w:val="28"/>
        </w:rPr>
        <w:t>量額度抵扣應</w:t>
      </w:r>
      <w:proofErr w:type="gramStart"/>
      <w:r w:rsidR="00497B27" w:rsidRPr="00497B27">
        <w:rPr>
          <w:rFonts w:hAnsi="標楷體" w:hint="eastAsia"/>
          <w:b/>
          <w:color w:val="000000" w:themeColor="text1"/>
          <w:sz w:val="28"/>
          <w:szCs w:val="28"/>
        </w:rPr>
        <w:t>繳碳費</w:t>
      </w:r>
      <w:proofErr w:type="gramEnd"/>
      <w:r w:rsidR="00497B27" w:rsidRPr="00497B27">
        <w:rPr>
          <w:rFonts w:hAnsi="標楷體" w:hint="eastAsia"/>
          <w:b/>
          <w:color w:val="000000" w:themeColor="text1"/>
          <w:sz w:val="28"/>
          <w:szCs w:val="28"/>
        </w:rPr>
        <w:t>，恐無法全額申請CBAM憑證減免，且國內事業購買</w:t>
      </w:r>
      <w:proofErr w:type="gramStart"/>
      <w:r w:rsidR="00497B27" w:rsidRPr="00497B27">
        <w:rPr>
          <w:rFonts w:hAnsi="標楷體" w:hint="eastAsia"/>
          <w:b/>
          <w:color w:val="000000" w:themeColor="text1"/>
          <w:sz w:val="28"/>
          <w:szCs w:val="28"/>
        </w:rPr>
        <w:t>國外減</w:t>
      </w:r>
      <w:proofErr w:type="gramEnd"/>
      <w:r w:rsidR="00497B27" w:rsidRPr="00497B27">
        <w:rPr>
          <w:rFonts w:hAnsi="標楷體" w:hint="eastAsia"/>
          <w:b/>
          <w:color w:val="000000" w:themeColor="text1"/>
          <w:sz w:val="28"/>
          <w:szCs w:val="28"/>
        </w:rPr>
        <w:t>量額度抵扣應</w:t>
      </w:r>
      <w:proofErr w:type="gramStart"/>
      <w:r w:rsidR="00497B27" w:rsidRPr="00497B27">
        <w:rPr>
          <w:rFonts w:hAnsi="標楷體" w:hint="eastAsia"/>
          <w:b/>
          <w:color w:val="000000" w:themeColor="text1"/>
          <w:sz w:val="28"/>
          <w:szCs w:val="28"/>
        </w:rPr>
        <w:t>繳碳費</w:t>
      </w:r>
      <w:proofErr w:type="gramEnd"/>
      <w:r w:rsidR="00497B27" w:rsidRPr="00497B27">
        <w:rPr>
          <w:rFonts w:hAnsi="標楷體" w:hint="eastAsia"/>
          <w:b/>
          <w:color w:val="000000" w:themeColor="text1"/>
          <w:sz w:val="28"/>
          <w:szCs w:val="28"/>
        </w:rPr>
        <w:t>，尚無助於國內實質減量</w:t>
      </w:r>
      <w:r w:rsidR="001E08E2">
        <w:rPr>
          <w:rFonts w:hAnsi="標楷體" w:hint="eastAsia"/>
          <w:b/>
          <w:color w:val="000000" w:themeColor="text1"/>
          <w:sz w:val="28"/>
          <w:szCs w:val="28"/>
        </w:rPr>
        <w:t>，</w:t>
      </w:r>
      <w:r w:rsidR="00497B27" w:rsidRPr="00497B27">
        <w:rPr>
          <w:rFonts w:hAnsi="標楷體" w:hint="eastAsia"/>
          <w:b/>
          <w:color w:val="000000" w:themeColor="text1"/>
          <w:sz w:val="28"/>
          <w:szCs w:val="28"/>
        </w:rPr>
        <w:t>允宜督促</w:t>
      </w:r>
      <w:proofErr w:type="gramStart"/>
      <w:r w:rsidR="00497B27" w:rsidRPr="00497B27">
        <w:rPr>
          <w:rFonts w:hAnsi="標楷體" w:hint="eastAsia"/>
          <w:b/>
          <w:color w:val="000000" w:themeColor="text1"/>
          <w:sz w:val="28"/>
          <w:szCs w:val="28"/>
        </w:rPr>
        <w:t>研謀妥處</w:t>
      </w:r>
      <w:proofErr w:type="gramEnd"/>
      <w:r w:rsidR="00497B27" w:rsidRPr="00497B27">
        <w:rPr>
          <w:rFonts w:hAnsi="標楷體" w:hint="eastAsia"/>
          <w:b/>
          <w:color w:val="000000" w:themeColor="text1"/>
          <w:sz w:val="28"/>
          <w:szCs w:val="28"/>
        </w:rPr>
        <w:t>，</w:t>
      </w:r>
      <w:proofErr w:type="gramStart"/>
      <w:r w:rsidR="00497B27" w:rsidRPr="00497B27">
        <w:rPr>
          <w:rFonts w:hAnsi="標楷體" w:hint="eastAsia"/>
          <w:b/>
          <w:color w:val="000000" w:themeColor="text1"/>
          <w:sz w:val="28"/>
          <w:szCs w:val="28"/>
        </w:rPr>
        <w:t>增進淨零排放</w:t>
      </w:r>
      <w:proofErr w:type="gramEnd"/>
      <w:r w:rsidR="00497B27" w:rsidRPr="00497B27">
        <w:rPr>
          <w:rFonts w:hAnsi="標楷體" w:hint="eastAsia"/>
          <w:b/>
          <w:color w:val="000000" w:themeColor="text1"/>
          <w:sz w:val="28"/>
          <w:szCs w:val="28"/>
        </w:rPr>
        <w:t>預算之財務效能。</w:t>
      </w:r>
    </w:p>
    <w:p w14:paraId="19D3767A" w14:textId="549162B2" w:rsidR="00E8604E" w:rsidRPr="002764DD" w:rsidRDefault="0097125D" w:rsidP="00CA55FD">
      <w:pPr>
        <w:pStyle w:val="a7"/>
        <w:overflowPunct w:val="0"/>
        <w:spacing w:line="440" w:lineRule="exact"/>
        <w:ind w:firstLineChars="200" w:firstLine="480"/>
        <w:jc w:val="both"/>
        <w:rPr>
          <w:rFonts w:ascii="標楷體" w:eastAsia="標楷體" w:hAnsi="標楷體"/>
          <w:color w:val="000000" w:themeColor="text1"/>
          <w:szCs w:val="24"/>
        </w:rPr>
      </w:pPr>
      <w:r w:rsidRPr="0097125D">
        <w:rPr>
          <w:rFonts w:ascii="標楷體" w:eastAsia="標楷體" w:hAnsi="標楷體" w:hint="eastAsia"/>
          <w:color w:val="000000" w:themeColor="text1"/>
          <w:szCs w:val="24"/>
        </w:rPr>
        <w:t>政府為因應</w:t>
      </w:r>
      <w:proofErr w:type="gramStart"/>
      <w:r w:rsidRPr="0097125D">
        <w:rPr>
          <w:rFonts w:ascii="標楷體" w:eastAsia="標楷體" w:hAnsi="標楷體" w:hint="eastAsia"/>
          <w:color w:val="000000" w:themeColor="text1"/>
          <w:szCs w:val="24"/>
        </w:rPr>
        <w:t>國際淨零排放</w:t>
      </w:r>
      <w:proofErr w:type="gramEnd"/>
      <w:r w:rsidRPr="0097125D">
        <w:rPr>
          <w:rFonts w:ascii="標楷體" w:eastAsia="標楷體" w:hAnsi="標楷體" w:hint="eastAsia"/>
          <w:color w:val="000000" w:themeColor="text1"/>
          <w:szCs w:val="24"/>
        </w:rPr>
        <w:t>趨勢，減緩氣候變遷所帶來之負面影響，由國家發展委員會於111年公布「臺灣2050</w:t>
      </w:r>
      <w:proofErr w:type="gramStart"/>
      <w:r w:rsidRPr="0097125D">
        <w:rPr>
          <w:rFonts w:ascii="標楷體" w:eastAsia="標楷體" w:hAnsi="標楷體" w:hint="eastAsia"/>
          <w:color w:val="000000" w:themeColor="text1"/>
          <w:szCs w:val="24"/>
        </w:rPr>
        <w:t>淨零排放</w:t>
      </w:r>
      <w:proofErr w:type="gramEnd"/>
      <w:r w:rsidRPr="0097125D">
        <w:rPr>
          <w:rFonts w:ascii="標楷體" w:eastAsia="標楷體" w:hAnsi="標楷體" w:hint="eastAsia"/>
          <w:color w:val="000000" w:themeColor="text1"/>
          <w:szCs w:val="24"/>
        </w:rPr>
        <w:t>路徑」，復於112年修正公布氣候變遷因應法，正式</w:t>
      </w:r>
      <w:proofErr w:type="gramStart"/>
      <w:r w:rsidRPr="0097125D">
        <w:rPr>
          <w:rFonts w:ascii="標楷體" w:eastAsia="標楷體" w:hAnsi="標楷體" w:hint="eastAsia"/>
          <w:color w:val="000000" w:themeColor="text1"/>
          <w:szCs w:val="24"/>
        </w:rPr>
        <w:t>將淨零排放</w:t>
      </w:r>
      <w:proofErr w:type="gramEnd"/>
      <w:r w:rsidRPr="0097125D">
        <w:rPr>
          <w:rFonts w:ascii="標楷體" w:eastAsia="標楷體" w:hAnsi="標楷體" w:hint="eastAsia"/>
          <w:color w:val="000000" w:themeColor="text1"/>
          <w:szCs w:val="24"/>
        </w:rPr>
        <w:t>目標入法，明定國家溫室氣體長期減量目標為139年（2050年）</w:t>
      </w:r>
      <w:proofErr w:type="gramStart"/>
      <w:r w:rsidRPr="0097125D">
        <w:rPr>
          <w:rFonts w:ascii="標楷體" w:eastAsia="標楷體" w:hAnsi="標楷體" w:hint="eastAsia"/>
          <w:color w:val="000000" w:themeColor="text1"/>
          <w:szCs w:val="24"/>
        </w:rPr>
        <w:t>淨零排放</w:t>
      </w:r>
      <w:proofErr w:type="gramEnd"/>
      <w:r w:rsidRPr="0097125D">
        <w:rPr>
          <w:rFonts w:ascii="標楷體" w:eastAsia="標楷體" w:hAnsi="標楷體" w:hint="eastAsia"/>
          <w:color w:val="000000" w:themeColor="text1"/>
          <w:szCs w:val="24"/>
        </w:rPr>
        <w:t>，並增</w:t>
      </w:r>
      <w:proofErr w:type="gramStart"/>
      <w:r w:rsidRPr="0097125D">
        <w:rPr>
          <w:rFonts w:ascii="標楷體" w:eastAsia="標楷體" w:hAnsi="標楷體" w:hint="eastAsia"/>
          <w:color w:val="000000" w:themeColor="text1"/>
          <w:szCs w:val="24"/>
        </w:rPr>
        <w:t>列碳費</w:t>
      </w:r>
      <w:proofErr w:type="gramEnd"/>
      <w:r w:rsidRPr="0097125D">
        <w:rPr>
          <w:rFonts w:ascii="標楷體" w:eastAsia="標楷體" w:hAnsi="標楷體" w:hint="eastAsia"/>
          <w:color w:val="000000" w:themeColor="text1"/>
          <w:szCs w:val="24"/>
        </w:rPr>
        <w:t>徵收依據。行政院於112及</w:t>
      </w:r>
      <w:proofErr w:type="gramStart"/>
      <w:r w:rsidRPr="0097125D">
        <w:rPr>
          <w:rFonts w:ascii="標楷體" w:eastAsia="標楷體" w:hAnsi="標楷體" w:hint="eastAsia"/>
          <w:color w:val="000000" w:themeColor="text1"/>
          <w:szCs w:val="24"/>
        </w:rPr>
        <w:t>113</w:t>
      </w:r>
      <w:proofErr w:type="gramEnd"/>
      <w:r w:rsidRPr="0097125D">
        <w:rPr>
          <w:rFonts w:ascii="標楷體" w:eastAsia="標楷體" w:hAnsi="標楷體" w:hint="eastAsia"/>
          <w:color w:val="000000" w:themeColor="text1"/>
          <w:szCs w:val="24"/>
        </w:rPr>
        <w:t>年度</w:t>
      </w:r>
      <w:proofErr w:type="gramStart"/>
      <w:r w:rsidRPr="0097125D">
        <w:rPr>
          <w:rFonts w:ascii="標楷體" w:eastAsia="標楷體" w:hAnsi="標楷體" w:hint="eastAsia"/>
          <w:color w:val="000000" w:themeColor="text1"/>
          <w:szCs w:val="24"/>
        </w:rPr>
        <w:t>編列淨零排放</w:t>
      </w:r>
      <w:proofErr w:type="gramEnd"/>
      <w:r w:rsidRPr="0097125D">
        <w:rPr>
          <w:rFonts w:ascii="標楷體" w:eastAsia="標楷體" w:hAnsi="標楷體" w:hint="eastAsia"/>
          <w:color w:val="000000" w:themeColor="text1"/>
          <w:szCs w:val="24"/>
        </w:rPr>
        <w:t>相關經費預算計1,646億元，由相關部會持續推動各項溫室氣體減量策略。有關政府推動溫室氣體減量策略</w:t>
      </w:r>
      <w:proofErr w:type="gramStart"/>
      <w:r w:rsidRPr="0097125D">
        <w:rPr>
          <w:rFonts w:ascii="標楷體" w:eastAsia="標楷體" w:hAnsi="標楷體" w:hint="eastAsia"/>
          <w:color w:val="000000" w:themeColor="text1"/>
          <w:szCs w:val="24"/>
        </w:rPr>
        <w:t>與碳費徵收</w:t>
      </w:r>
      <w:proofErr w:type="gramEnd"/>
      <w:r w:rsidRPr="0097125D">
        <w:rPr>
          <w:rFonts w:ascii="標楷體" w:eastAsia="標楷體" w:hAnsi="標楷體" w:hint="eastAsia"/>
          <w:color w:val="000000" w:themeColor="text1"/>
          <w:szCs w:val="24"/>
        </w:rPr>
        <w:t>情形，核有下列事項：</w:t>
      </w:r>
    </w:p>
    <w:p w14:paraId="6074F3CB" w14:textId="63E5E735" w:rsidR="00E8604E" w:rsidRPr="002764DD" w:rsidRDefault="00E8604E" w:rsidP="00CA55FD">
      <w:pPr>
        <w:overflowPunct w:val="0"/>
        <w:spacing w:line="43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97125D" w:rsidRPr="0097125D">
        <w:rPr>
          <w:rFonts w:ascii="標楷體" w:eastAsia="標楷體" w:hAnsi="標楷體" w:hint="eastAsia"/>
          <w:b/>
          <w:color w:val="000000" w:themeColor="text1"/>
          <w:szCs w:val="24"/>
        </w:rPr>
        <w:t>113年6月發布之</w:t>
      </w:r>
      <w:proofErr w:type="gramStart"/>
      <w:r w:rsidR="0097125D" w:rsidRPr="0097125D">
        <w:rPr>
          <w:rFonts w:ascii="標楷體" w:eastAsia="標楷體" w:hAnsi="標楷體" w:hint="eastAsia"/>
          <w:b/>
          <w:color w:val="000000" w:themeColor="text1"/>
          <w:szCs w:val="24"/>
        </w:rPr>
        <w:t>111</w:t>
      </w:r>
      <w:proofErr w:type="gramEnd"/>
      <w:r w:rsidR="0097125D" w:rsidRPr="0097125D">
        <w:rPr>
          <w:rFonts w:ascii="標楷體" w:eastAsia="標楷體" w:hAnsi="標楷體" w:hint="eastAsia"/>
          <w:b/>
          <w:color w:val="000000" w:themeColor="text1"/>
          <w:szCs w:val="24"/>
        </w:rPr>
        <w:t>年度國家溫室氣體淨排放量雖有下降，惟與第二期溫室氣體階段管制目標仍有相當差距，</w:t>
      </w:r>
      <w:proofErr w:type="gramStart"/>
      <w:r w:rsidR="0097125D" w:rsidRPr="0097125D">
        <w:rPr>
          <w:rFonts w:ascii="標楷體" w:eastAsia="標楷體" w:hAnsi="標楷體" w:hint="eastAsia"/>
          <w:b/>
          <w:color w:val="000000" w:themeColor="text1"/>
          <w:szCs w:val="24"/>
        </w:rPr>
        <w:t>後續減碳路徑</w:t>
      </w:r>
      <w:proofErr w:type="gramEnd"/>
      <w:r w:rsidR="0097125D" w:rsidRPr="0097125D">
        <w:rPr>
          <w:rFonts w:ascii="標楷體" w:eastAsia="標楷體" w:hAnsi="標楷體" w:hint="eastAsia"/>
          <w:b/>
          <w:color w:val="000000" w:themeColor="text1"/>
          <w:szCs w:val="24"/>
        </w:rPr>
        <w:t>面臨相當壓力與挑戰：</w:t>
      </w:r>
      <w:proofErr w:type="gramStart"/>
      <w:r w:rsidR="0097125D" w:rsidRPr="0097125D">
        <w:rPr>
          <w:rFonts w:ascii="標楷體" w:eastAsia="標楷體" w:hAnsi="標楷體" w:hint="eastAsia"/>
          <w:color w:val="000000" w:themeColor="text1"/>
          <w:szCs w:val="24"/>
        </w:rPr>
        <w:t>環境部為確立我國減碳路徑</w:t>
      </w:r>
      <w:proofErr w:type="gramEnd"/>
      <w:r w:rsidR="0097125D" w:rsidRPr="0097125D">
        <w:rPr>
          <w:rFonts w:ascii="標楷體" w:eastAsia="標楷體" w:hAnsi="標楷體" w:hint="eastAsia"/>
          <w:color w:val="000000" w:themeColor="text1"/>
          <w:szCs w:val="24"/>
        </w:rPr>
        <w:t>暨能源、製造、運輸、住商、農業及環境等六大部門各自承擔之溫室氣體減量責任，於107年間提出第一期至第三期溫室氣體階段管制目標，預計國家溫室氣體淨排放量於109年、114年及119年應分別較基準年94年減量2％、10％及20％，109及114年國家溫室氣體淨排放量</w:t>
      </w:r>
      <w:proofErr w:type="gramStart"/>
      <w:r w:rsidR="0097125D" w:rsidRPr="0097125D">
        <w:rPr>
          <w:rFonts w:ascii="標楷體" w:eastAsia="標楷體" w:hAnsi="標楷體" w:hint="eastAsia"/>
          <w:color w:val="000000" w:themeColor="text1"/>
          <w:szCs w:val="24"/>
        </w:rPr>
        <w:t>應分別下降至</w:t>
      </w:r>
      <w:proofErr w:type="gramEnd"/>
      <w:r w:rsidR="0097125D" w:rsidRPr="0097125D">
        <w:rPr>
          <w:rFonts w:ascii="標楷體" w:eastAsia="標楷體" w:hAnsi="標楷體" w:hint="eastAsia"/>
          <w:color w:val="000000" w:themeColor="text1"/>
          <w:szCs w:val="24"/>
        </w:rPr>
        <w:t>260.717</w:t>
      </w:r>
      <w:proofErr w:type="gramStart"/>
      <w:r w:rsidR="0097125D" w:rsidRPr="0097125D">
        <w:rPr>
          <w:rFonts w:ascii="標楷體" w:eastAsia="標楷體" w:hAnsi="標楷體" w:hint="eastAsia"/>
          <w:color w:val="000000" w:themeColor="text1"/>
          <w:szCs w:val="24"/>
        </w:rPr>
        <w:t>百萬</w:t>
      </w:r>
      <w:proofErr w:type="gramEnd"/>
      <w:r w:rsidR="0097125D" w:rsidRPr="0097125D">
        <w:rPr>
          <w:rFonts w:ascii="標楷體" w:eastAsia="標楷體" w:hAnsi="標楷體" w:hint="eastAsia"/>
          <w:color w:val="000000" w:themeColor="text1"/>
          <w:szCs w:val="24"/>
        </w:rPr>
        <w:t>公噸二氧化碳當量（下稱MtCO</w:t>
      </w:r>
      <w:r w:rsidR="0097125D" w:rsidRPr="0097125D">
        <w:rPr>
          <w:rFonts w:ascii="標楷體" w:eastAsia="標楷體" w:hAnsi="標楷體"/>
          <w:color w:val="000000" w:themeColor="text1"/>
          <w:szCs w:val="24"/>
          <w:vertAlign w:val="subscript"/>
        </w:rPr>
        <w:t>2</w:t>
      </w:r>
      <w:r w:rsidR="0097125D" w:rsidRPr="0097125D">
        <w:rPr>
          <w:rFonts w:ascii="標楷體" w:eastAsia="標楷體" w:hAnsi="標楷體" w:hint="eastAsia"/>
          <w:color w:val="000000" w:themeColor="text1"/>
          <w:szCs w:val="24"/>
        </w:rPr>
        <w:t>e）及241.011 MtCO</w:t>
      </w:r>
      <w:r w:rsidR="0097125D" w:rsidRPr="0097125D">
        <w:rPr>
          <w:rFonts w:ascii="標楷體" w:eastAsia="標楷體" w:hAnsi="標楷體" w:hint="eastAsia"/>
          <w:color w:val="000000" w:themeColor="text1"/>
          <w:szCs w:val="24"/>
          <w:vertAlign w:val="subscript"/>
        </w:rPr>
        <w:t>2</w:t>
      </w:r>
      <w:r w:rsidR="0097125D" w:rsidRPr="0097125D">
        <w:rPr>
          <w:rFonts w:ascii="標楷體" w:eastAsia="標楷體" w:hAnsi="標楷體" w:hint="eastAsia"/>
          <w:color w:val="000000" w:themeColor="text1"/>
          <w:szCs w:val="24"/>
        </w:rPr>
        <w:t>e，並分別設定能源、製造、運輸、住商、農業及環境等六大部門114年溫室氣體排放目標值。</w:t>
      </w:r>
      <w:proofErr w:type="gramStart"/>
      <w:r w:rsidR="0097125D" w:rsidRPr="0097125D">
        <w:rPr>
          <w:rFonts w:ascii="標楷體" w:eastAsia="標楷體" w:hAnsi="標楷體" w:hint="eastAsia"/>
          <w:color w:val="000000" w:themeColor="text1"/>
          <w:szCs w:val="24"/>
        </w:rPr>
        <w:t>嗣環境部為因應</w:t>
      </w:r>
      <w:proofErr w:type="gramEnd"/>
      <w:r w:rsidR="0097125D" w:rsidRPr="0097125D">
        <w:rPr>
          <w:rFonts w:ascii="標楷體" w:eastAsia="標楷體" w:hAnsi="標楷體" w:hint="eastAsia"/>
          <w:color w:val="000000" w:themeColor="text1"/>
          <w:szCs w:val="24"/>
        </w:rPr>
        <w:t>我國2050</w:t>
      </w:r>
      <w:proofErr w:type="gramStart"/>
      <w:r w:rsidR="0097125D" w:rsidRPr="0097125D">
        <w:rPr>
          <w:rFonts w:ascii="標楷體" w:eastAsia="標楷體" w:hAnsi="標楷體" w:hint="eastAsia"/>
          <w:color w:val="000000" w:themeColor="text1"/>
          <w:szCs w:val="24"/>
        </w:rPr>
        <w:t>淨零排放</w:t>
      </w:r>
      <w:proofErr w:type="gramEnd"/>
      <w:r w:rsidR="0097125D" w:rsidRPr="0097125D">
        <w:rPr>
          <w:rFonts w:ascii="標楷體" w:eastAsia="標楷體" w:hAnsi="標楷體" w:hint="eastAsia"/>
          <w:color w:val="000000" w:themeColor="text1"/>
          <w:szCs w:val="24"/>
        </w:rPr>
        <w:t>目標，加速</w:t>
      </w:r>
      <w:proofErr w:type="gramStart"/>
      <w:r w:rsidR="0097125D" w:rsidRPr="0097125D">
        <w:rPr>
          <w:rFonts w:ascii="標楷體" w:eastAsia="標楷體" w:hAnsi="標楷體" w:hint="eastAsia"/>
          <w:color w:val="000000" w:themeColor="text1"/>
          <w:szCs w:val="24"/>
        </w:rPr>
        <w:t>提升減碳量能</w:t>
      </w:r>
      <w:proofErr w:type="gramEnd"/>
      <w:r w:rsidR="0097125D" w:rsidRPr="0097125D">
        <w:rPr>
          <w:rFonts w:ascii="標楷體" w:eastAsia="標楷體" w:hAnsi="標楷體" w:hint="eastAsia"/>
          <w:color w:val="000000" w:themeColor="text1"/>
          <w:szCs w:val="24"/>
        </w:rPr>
        <w:t>，於111年12月將原119年應較基準年94年減量20％之目標，調高為24％正負1個百分點，另於113年8月</w:t>
      </w:r>
      <w:proofErr w:type="gramStart"/>
      <w:r w:rsidR="0097125D" w:rsidRPr="0097125D">
        <w:rPr>
          <w:rFonts w:ascii="標楷體" w:eastAsia="標楷體" w:hAnsi="標楷體" w:hint="eastAsia"/>
          <w:color w:val="000000" w:themeColor="text1"/>
          <w:szCs w:val="24"/>
        </w:rPr>
        <w:t>宣示碳費制度</w:t>
      </w:r>
      <w:proofErr w:type="gramEnd"/>
      <w:r w:rsidR="0097125D" w:rsidRPr="0097125D">
        <w:rPr>
          <w:rFonts w:ascii="標楷體" w:eastAsia="標楷體" w:hAnsi="標楷體" w:hint="eastAsia"/>
          <w:color w:val="000000" w:themeColor="text1"/>
          <w:szCs w:val="24"/>
        </w:rPr>
        <w:t>將於114年正式上路，預計達成121年（2032年）減量40％之目標。據環境部113年6月發布「2024年中華民國國家溫室氣體排放清冊報告」，最新統計111年溫室氣體淨排放量為264.133 MtCO</w:t>
      </w:r>
      <w:r w:rsidR="0097125D" w:rsidRPr="0097125D">
        <w:rPr>
          <w:rFonts w:ascii="標楷體" w:eastAsia="標楷體" w:hAnsi="標楷體" w:hint="eastAsia"/>
          <w:color w:val="000000" w:themeColor="text1"/>
          <w:szCs w:val="24"/>
          <w:vertAlign w:val="subscript"/>
        </w:rPr>
        <w:t>2</w:t>
      </w:r>
      <w:r w:rsidR="0097125D" w:rsidRPr="0097125D">
        <w:rPr>
          <w:rFonts w:ascii="標楷體" w:eastAsia="標楷體" w:hAnsi="標楷體" w:hint="eastAsia"/>
          <w:color w:val="000000" w:themeColor="text1"/>
          <w:szCs w:val="24"/>
        </w:rPr>
        <w:t>e，雖較110年之275.350 MtCO</w:t>
      </w:r>
      <w:r w:rsidR="0097125D" w:rsidRPr="0097125D">
        <w:rPr>
          <w:rFonts w:ascii="標楷體" w:eastAsia="標楷體" w:hAnsi="標楷體" w:hint="eastAsia"/>
          <w:color w:val="000000" w:themeColor="text1"/>
          <w:szCs w:val="24"/>
          <w:vertAlign w:val="subscript"/>
        </w:rPr>
        <w:t>2</w:t>
      </w:r>
      <w:r w:rsidR="0097125D" w:rsidRPr="0097125D">
        <w:rPr>
          <w:rFonts w:ascii="標楷體" w:eastAsia="標楷體" w:hAnsi="標楷體" w:hint="eastAsia"/>
          <w:color w:val="000000" w:themeColor="text1"/>
          <w:szCs w:val="24"/>
        </w:rPr>
        <w:t>e下降4.07％，仍高於109年溫室氣體階段管制目標260.717 MtCO</w:t>
      </w:r>
      <w:r w:rsidR="0097125D" w:rsidRPr="0097125D">
        <w:rPr>
          <w:rFonts w:ascii="標楷體" w:eastAsia="標楷體" w:hAnsi="標楷體" w:hint="eastAsia"/>
          <w:color w:val="000000" w:themeColor="text1"/>
          <w:szCs w:val="24"/>
          <w:vertAlign w:val="subscript"/>
        </w:rPr>
        <w:t>2</w:t>
      </w:r>
      <w:r w:rsidR="0097125D" w:rsidRPr="0097125D">
        <w:rPr>
          <w:rFonts w:ascii="標楷體" w:eastAsia="標楷體" w:hAnsi="標楷體" w:hint="eastAsia"/>
          <w:color w:val="000000" w:themeColor="text1"/>
          <w:szCs w:val="24"/>
        </w:rPr>
        <w:t>e</w:t>
      </w:r>
      <w:proofErr w:type="gramStart"/>
      <w:r w:rsidR="0097125D" w:rsidRPr="0097125D">
        <w:rPr>
          <w:rFonts w:ascii="標楷體" w:eastAsia="標楷體" w:hAnsi="標楷體" w:hint="eastAsia"/>
          <w:color w:val="000000" w:themeColor="text1"/>
          <w:szCs w:val="24"/>
        </w:rPr>
        <w:t>（</w:t>
      </w:r>
      <w:proofErr w:type="gramEnd"/>
      <w:r w:rsidR="0097125D" w:rsidRPr="0097125D">
        <w:rPr>
          <w:rFonts w:ascii="標楷體" w:eastAsia="標楷體" w:hAnsi="標楷體" w:hint="eastAsia"/>
          <w:color w:val="000000" w:themeColor="text1"/>
          <w:szCs w:val="24"/>
        </w:rPr>
        <w:t>減量2％)，又按六大部門溫室氣體排放情形分析結果，能源、製造、住商、農業及環境等5個部門111年之溫室氣體排放量均已較110年下降，而運輸部門則持續增加，溫室氣體減量幅度並不顯著。另國家發展委員會為加速</w:t>
      </w:r>
      <w:proofErr w:type="gramStart"/>
      <w:r w:rsidR="0097125D" w:rsidRPr="0097125D">
        <w:rPr>
          <w:rFonts w:ascii="標楷體" w:eastAsia="標楷體" w:hAnsi="標楷體" w:hint="eastAsia"/>
          <w:color w:val="000000" w:themeColor="text1"/>
          <w:szCs w:val="24"/>
        </w:rPr>
        <w:t>落實淨零排放</w:t>
      </w:r>
      <w:proofErr w:type="gramEnd"/>
      <w:r w:rsidR="0097125D" w:rsidRPr="0097125D">
        <w:rPr>
          <w:rFonts w:ascii="標楷體" w:eastAsia="標楷體" w:hAnsi="標楷體" w:hint="eastAsia"/>
          <w:color w:val="000000" w:themeColor="text1"/>
          <w:szCs w:val="24"/>
        </w:rPr>
        <w:t>相關策略，已於111年12月28日公布「12項關鍵戰略行動計畫」，規劃</w:t>
      </w:r>
      <w:proofErr w:type="gramStart"/>
      <w:r w:rsidR="0097125D" w:rsidRPr="0097125D">
        <w:rPr>
          <w:rFonts w:ascii="標楷體" w:eastAsia="標楷體" w:hAnsi="標楷體" w:hint="eastAsia"/>
          <w:color w:val="000000" w:themeColor="text1"/>
          <w:szCs w:val="24"/>
        </w:rPr>
        <w:t>辦理淨零轉型</w:t>
      </w:r>
      <w:proofErr w:type="gramEnd"/>
      <w:r w:rsidR="0097125D" w:rsidRPr="0097125D">
        <w:rPr>
          <w:rFonts w:ascii="標楷體" w:eastAsia="標楷體" w:hAnsi="標楷體" w:hint="eastAsia"/>
          <w:color w:val="000000" w:themeColor="text1"/>
          <w:szCs w:val="24"/>
        </w:rPr>
        <w:t>之具體行動與相關措施。據行政院國家永續發展委員會112年10月及113年4月召開第58次、第59次工作會議簡報資料，112年上述12項關鍵戰略執行成果包括：累計安裝283座風機，離</w:t>
      </w:r>
      <w:proofErr w:type="gramStart"/>
      <w:r w:rsidR="0097125D" w:rsidRPr="0097125D">
        <w:rPr>
          <w:rFonts w:ascii="標楷體" w:eastAsia="標楷體" w:hAnsi="標楷體" w:hint="eastAsia"/>
          <w:color w:val="000000" w:themeColor="text1"/>
          <w:szCs w:val="24"/>
        </w:rPr>
        <w:t>岸風電累計</w:t>
      </w:r>
      <w:proofErr w:type="gramEnd"/>
      <w:r w:rsidR="0097125D" w:rsidRPr="0097125D">
        <w:rPr>
          <w:rFonts w:ascii="標楷體" w:eastAsia="標楷體" w:hAnsi="標楷體" w:hint="eastAsia"/>
          <w:color w:val="000000" w:themeColor="text1"/>
          <w:szCs w:val="24"/>
        </w:rPr>
        <w:t>設置量2.25GW（百萬</w:t>
      </w:r>
      <w:proofErr w:type="gramStart"/>
      <w:r w:rsidR="0097125D" w:rsidRPr="0097125D">
        <w:rPr>
          <w:rFonts w:ascii="標楷體" w:eastAsia="標楷體" w:hAnsi="標楷體" w:hint="eastAsia"/>
          <w:color w:val="000000" w:themeColor="text1"/>
          <w:szCs w:val="24"/>
        </w:rPr>
        <w:t>瓩</w:t>
      </w:r>
      <w:proofErr w:type="gramEnd"/>
      <w:r w:rsidR="0097125D" w:rsidRPr="0097125D">
        <w:rPr>
          <w:rFonts w:ascii="標楷體" w:eastAsia="標楷體" w:hAnsi="標楷體" w:hint="eastAsia"/>
          <w:color w:val="000000" w:themeColor="text1"/>
          <w:szCs w:val="24"/>
        </w:rPr>
        <w:t>）；太陽光電累計</w:t>
      </w:r>
      <w:proofErr w:type="gramStart"/>
      <w:r w:rsidR="0097125D" w:rsidRPr="0097125D">
        <w:rPr>
          <w:rFonts w:ascii="標楷體" w:eastAsia="標楷體" w:hAnsi="標楷體" w:hint="eastAsia"/>
          <w:color w:val="000000" w:themeColor="text1"/>
          <w:szCs w:val="24"/>
        </w:rPr>
        <w:t>併網量</w:t>
      </w:r>
      <w:proofErr w:type="gramEnd"/>
      <w:r w:rsidR="0097125D" w:rsidRPr="0097125D">
        <w:rPr>
          <w:rFonts w:ascii="標楷體" w:eastAsia="標楷體" w:hAnsi="標楷體" w:hint="eastAsia"/>
          <w:color w:val="000000" w:themeColor="text1"/>
          <w:szCs w:val="24"/>
        </w:rPr>
        <w:t>12.42GW；儲能系統裝置容量累計461.6MW（百萬瓦）；電動小客車</w:t>
      </w:r>
      <w:proofErr w:type="gramStart"/>
      <w:r w:rsidR="0097125D" w:rsidRPr="0097125D">
        <w:rPr>
          <w:rFonts w:ascii="標楷體" w:eastAsia="標楷體" w:hAnsi="標楷體" w:hint="eastAsia"/>
          <w:color w:val="000000" w:themeColor="text1"/>
          <w:szCs w:val="24"/>
        </w:rPr>
        <w:t>市售比達</w:t>
      </w:r>
      <w:proofErr w:type="gramEnd"/>
      <w:r w:rsidR="0097125D" w:rsidRPr="0097125D">
        <w:rPr>
          <w:rFonts w:ascii="標楷體" w:eastAsia="標楷體" w:hAnsi="標楷體" w:hint="eastAsia"/>
          <w:color w:val="000000" w:themeColor="text1"/>
          <w:szCs w:val="24"/>
        </w:rPr>
        <w:t>5.7％；公共運輸載客運輸總量達20.9億人次等，應有助相關部門</w:t>
      </w:r>
      <w:proofErr w:type="gramStart"/>
      <w:r w:rsidR="0097125D" w:rsidRPr="0097125D">
        <w:rPr>
          <w:rFonts w:ascii="標楷體" w:eastAsia="標楷體" w:hAnsi="標楷體" w:hint="eastAsia"/>
          <w:color w:val="000000" w:themeColor="text1"/>
          <w:szCs w:val="24"/>
        </w:rPr>
        <w:t>減碳，</w:t>
      </w:r>
      <w:proofErr w:type="gramEnd"/>
      <w:r w:rsidR="0097125D" w:rsidRPr="0097125D">
        <w:rPr>
          <w:rFonts w:ascii="標楷體" w:eastAsia="標楷體" w:hAnsi="標楷體" w:hint="eastAsia"/>
          <w:color w:val="000000" w:themeColor="text1"/>
          <w:szCs w:val="24"/>
        </w:rPr>
        <w:t>然對於至114年溫室氣體須減量10％，與後續各</w:t>
      </w:r>
      <w:proofErr w:type="gramStart"/>
      <w:r w:rsidR="0097125D" w:rsidRPr="0097125D">
        <w:rPr>
          <w:rFonts w:ascii="標楷體" w:eastAsia="標楷體" w:hAnsi="標楷體" w:hint="eastAsia"/>
          <w:color w:val="000000" w:themeColor="text1"/>
          <w:szCs w:val="24"/>
        </w:rPr>
        <w:t>階段減碳路徑</w:t>
      </w:r>
      <w:proofErr w:type="gramEnd"/>
      <w:r w:rsidR="0097125D" w:rsidRPr="0097125D">
        <w:rPr>
          <w:rFonts w:ascii="標楷體" w:eastAsia="標楷體" w:hAnsi="標楷體" w:hint="eastAsia"/>
          <w:color w:val="000000" w:themeColor="text1"/>
          <w:szCs w:val="24"/>
        </w:rPr>
        <w:t>之目標，仍面臨相當壓力及挑戰。</w:t>
      </w:r>
    </w:p>
    <w:p w14:paraId="4B04B21B" w14:textId="484D59EA" w:rsidR="00E8604E" w:rsidRDefault="00E8604E" w:rsidP="00CA55FD">
      <w:pPr>
        <w:overflowPunct w:val="0"/>
        <w:spacing w:line="42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lastRenderedPageBreak/>
        <w:t xml:space="preserve">2.　</w:t>
      </w:r>
      <w:proofErr w:type="gramStart"/>
      <w:r w:rsidR="0097125D" w:rsidRPr="00484E64">
        <w:rPr>
          <w:rFonts w:ascii="標楷體" w:eastAsia="標楷體" w:hAnsi="標楷體" w:hint="eastAsia"/>
          <w:b/>
          <w:szCs w:val="24"/>
        </w:rPr>
        <w:t>電力排碳係數降幅距第二</w:t>
      </w:r>
      <w:proofErr w:type="gramEnd"/>
      <w:r w:rsidR="0097125D" w:rsidRPr="00484E64">
        <w:rPr>
          <w:rFonts w:ascii="標楷體" w:eastAsia="標楷體" w:hAnsi="標楷體" w:hint="eastAsia"/>
          <w:b/>
          <w:szCs w:val="24"/>
        </w:rPr>
        <w:t>期階段管制目標仍有相當大努力空間，又國內事業</w:t>
      </w:r>
      <w:proofErr w:type="gramStart"/>
      <w:r w:rsidR="0097125D" w:rsidRPr="00484E64">
        <w:rPr>
          <w:rFonts w:ascii="標楷體" w:eastAsia="標楷體" w:hAnsi="標楷體" w:hint="eastAsia"/>
          <w:b/>
          <w:szCs w:val="24"/>
        </w:rPr>
        <w:t>對於直供或</w:t>
      </w:r>
      <w:proofErr w:type="gramEnd"/>
      <w:r w:rsidR="0097125D" w:rsidRPr="00484E64">
        <w:rPr>
          <w:rFonts w:ascii="標楷體" w:eastAsia="標楷體" w:hAnsi="標楷體" w:hint="eastAsia"/>
          <w:b/>
          <w:szCs w:val="24"/>
        </w:rPr>
        <w:t>轉供</w:t>
      </w:r>
      <w:proofErr w:type="gramStart"/>
      <w:r w:rsidR="0097125D" w:rsidRPr="00484E64">
        <w:rPr>
          <w:rFonts w:ascii="標楷體" w:eastAsia="標楷體" w:hAnsi="標楷體" w:hint="eastAsia"/>
          <w:b/>
          <w:szCs w:val="24"/>
        </w:rPr>
        <w:t>之綠電需求</w:t>
      </w:r>
      <w:proofErr w:type="gramEnd"/>
      <w:r w:rsidR="0097125D" w:rsidRPr="00484E64">
        <w:rPr>
          <w:rFonts w:ascii="標楷體" w:eastAsia="標楷體" w:hAnsi="標楷體" w:hint="eastAsia"/>
          <w:b/>
          <w:szCs w:val="24"/>
        </w:rPr>
        <w:t>日益增加，恐排擠公用售電業</w:t>
      </w:r>
      <w:proofErr w:type="gramStart"/>
      <w:r w:rsidR="0097125D" w:rsidRPr="00484E64">
        <w:rPr>
          <w:rFonts w:ascii="標楷體" w:eastAsia="標楷體" w:hAnsi="標楷體" w:hint="eastAsia"/>
          <w:b/>
          <w:szCs w:val="24"/>
        </w:rPr>
        <w:t>躉購之綠電</w:t>
      </w:r>
      <w:proofErr w:type="gramEnd"/>
      <w:r w:rsidR="0097125D" w:rsidRPr="00484E64">
        <w:rPr>
          <w:rFonts w:ascii="標楷體" w:eastAsia="標楷體" w:hAnsi="標楷體" w:hint="eastAsia"/>
          <w:b/>
          <w:szCs w:val="24"/>
        </w:rPr>
        <w:t>數量，不利降低</w:t>
      </w:r>
      <w:proofErr w:type="gramStart"/>
      <w:r w:rsidR="0097125D" w:rsidRPr="00484E64">
        <w:rPr>
          <w:rFonts w:ascii="標楷體" w:eastAsia="標楷體" w:hAnsi="標楷體" w:hint="eastAsia"/>
          <w:b/>
          <w:szCs w:val="24"/>
        </w:rPr>
        <w:t>電力排碳係數</w:t>
      </w:r>
      <w:proofErr w:type="gramEnd"/>
      <w:r w:rsidR="0097125D" w:rsidRPr="00484E64">
        <w:rPr>
          <w:rFonts w:ascii="標楷體" w:eastAsia="標楷體" w:hAnsi="標楷體" w:hint="eastAsia"/>
          <w:b/>
          <w:szCs w:val="24"/>
        </w:rPr>
        <w:t>：</w:t>
      </w:r>
      <w:r w:rsidR="0097125D" w:rsidRPr="00484E64">
        <w:rPr>
          <w:rFonts w:ascii="標楷體" w:eastAsia="標楷體" w:hAnsi="標楷體" w:hint="eastAsia"/>
          <w:szCs w:val="24"/>
        </w:rPr>
        <w:t>據經濟部能源署發布資訊，我國</w:t>
      </w:r>
      <w:proofErr w:type="gramStart"/>
      <w:r w:rsidR="0097125D" w:rsidRPr="00484E64">
        <w:rPr>
          <w:rFonts w:ascii="標楷體" w:eastAsia="標楷體" w:hAnsi="標楷體" w:hint="eastAsia"/>
          <w:szCs w:val="24"/>
        </w:rPr>
        <w:t>電力排碳係數</w:t>
      </w:r>
      <w:proofErr w:type="gramEnd"/>
      <w:r w:rsidR="0097125D" w:rsidRPr="00484E64">
        <w:rPr>
          <w:rFonts w:ascii="標楷體" w:eastAsia="標楷體" w:hAnsi="標楷體" w:hint="eastAsia"/>
          <w:szCs w:val="24"/>
        </w:rPr>
        <w:t>自110年之0.509公斤CO</w:t>
      </w:r>
      <w:r w:rsidR="0097125D" w:rsidRPr="00484E64">
        <w:rPr>
          <w:rFonts w:ascii="標楷體" w:eastAsia="標楷體" w:hAnsi="標楷體" w:hint="eastAsia"/>
          <w:szCs w:val="24"/>
          <w:vertAlign w:val="subscript"/>
        </w:rPr>
        <w:t>2</w:t>
      </w:r>
      <w:r w:rsidR="0097125D" w:rsidRPr="00484E64">
        <w:rPr>
          <w:rFonts w:ascii="標楷體" w:eastAsia="標楷體" w:hAnsi="標楷體" w:hint="eastAsia"/>
          <w:szCs w:val="24"/>
        </w:rPr>
        <w:t>e/度逐年下降至112年0.494公斤CO</w:t>
      </w:r>
      <w:r w:rsidR="0097125D" w:rsidRPr="00484E64">
        <w:rPr>
          <w:rFonts w:ascii="標楷體" w:eastAsia="標楷體" w:hAnsi="標楷體" w:hint="eastAsia"/>
          <w:szCs w:val="24"/>
          <w:vertAlign w:val="subscript"/>
        </w:rPr>
        <w:t>2</w:t>
      </w:r>
      <w:r w:rsidR="0097125D" w:rsidRPr="00484E64">
        <w:rPr>
          <w:rFonts w:ascii="標楷體" w:eastAsia="標楷體" w:hAnsi="標楷體" w:hint="eastAsia"/>
          <w:szCs w:val="24"/>
        </w:rPr>
        <w:t>e/度，惟仍未達成109年目標值0.492公斤CO</w:t>
      </w:r>
      <w:r w:rsidR="0097125D" w:rsidRPr="00484E64">
        <w:rPr>
          <w:rFonts w:ascii="標楷體" w:eastAsia="標楷體" w:hAnsi="標楷體" w:hint="eastAsia"/>
          <w:szCs w:val="24"/>
          <w:vertAlign w:val="subscript"/>
        </w:rPr>
        <w:t>2</w:t>
      </w:r>
      <w:r w:rsidR="0097125D" w:rsidRPr="00484E64">
        <w:rPr>
          <w:rFonts w:ascii="標楷體" w:eastAsia="標楷體" w:hAnsi="標楷體" w:hint="eastAsia"/>
          <w:szCs w:val="24"/>
        </w:rPr>
        <w:t>e/度，距114年目標值0.388公斤CO</w:t>
      </w:r>
      <w:r w:rsidR="0097125D" w:rsidRPr="00484E64">
        <w:rPr>
          <w:rFonts w:ascii="標楷體" w:eastAsia="標楷體" w:hAnsi="標楷體" w:hint="eastAsia"/>
          <w:szCs w:val="24"/>
          <w:vertAlign w:val="subscript"/>
        </w:rPr>
        <w:t>2</w:t>
      </w:r>
      <w:r w:rsidR="0097125D" w:rsidRPr="00484E64">
        <w:rPr>
          <w:rFonts w:ascii="標楷體" w:eastAsia="標楷體" w:hAnsi="標楷體" w:hint="eastAsia"/>
          <w:szCs w:val="24"/>
        </w:rPr>
        <w:t>e/度，仍待加大能源轉型政策推動力道。另依據環境部發布「溫室氣體排放量盤查作業指引（113年版）」，溫室氣體排放量可分為直接排放、能源間接排放（包含外購電力及外購蒸汽）、其他間接排放等3類，其中外購電力之能源間接排放量為用電度數×</w:t>
      </w:r>
      <w:proofErr w:type="gramStart"/>
      <w:r w:rsidR="0097125D" w:rsidRPr="00484E64">
        <w:rPr>
          <w:rFonts w:ascii="標楷體" w:eastAsia="標楷體" w:hAnsi="標楷體" w:hint="eastAsia"/>
          <w:szCs w:val="24"/>
        </w:rPr>
        <w:t>電力排碳係數</w:t>
      </w:r>
      <w:proofErr w:type="gramEnd"/>
      <w:r w:rsidR="0097125D" w:rsidRPr="00484E64">
        <w:rPr>
          <w:rFonts w:ascii="標楷體" w:eastAsia="標楷體" w:hAnsi="標楷體" w:hint="eastAsia"/>
          <w:szCs w:val="24"/>
        </w:rPr>
        <w:t>。復依再生能源發展條例第9條第4項規定，再生能源電能（下稱綠電），除依電業</w:t>
      </w:r>
      <w:proofErr w:type="gramStart"/>
      <w:r w:rsidR="0097125D" w:rsidRPr="00484E64">
        <w:rPr>
          <w:rFonts w:ascii="標楷體" w:eastAsia="標楷體" w:hAnsi="標楷體" w:hint="eastAsia"/>
          <w:szCs w:val="24"/>
        </w:rPr>
        <w:t>法直供</w:t>
      </w:r>
      <w:proofErr w:type="gramEnd"/>
      <w:r w:rsidR="0097125D" w:rsidRPr="00484E64">
        <w:rPr>
          <w:rFonts w:ascii="標楷體" w:eastAsia="標楷體" w:hAnsi="標楷體" w:hint="eastAsia"/>
          <w:szCs w:val="24"/>
        </w:rPr>
        <w:t>、轉供、自用及售予再生能源售電業外，應由公用售電</w:t>
      </w:r>
      <w:proofErr w:type="gramStart"/>
      <w:r w:rsidR="0097125D" w:rsidRPr="00484E64">
        <w:rPr>
          <w:rFonts w:ascii="標楷體" w:eastAsia="標楷體" w:hAnsi="標楷體" w:hint="eastAsia"/>
          <w:szCs w:val="24"/>
        </w:rPr>
        <w:t>業躉購</w:t>
      </w:r>
      <w:proofErr w:type="gramEnd"/>
      <w:r w:rsidR="0097125D" w:rsidRPr="00484E64">
        <w:rPr>
          <w:rFonts w:ascii="標楷體" w:eastAsia="標楷體" w:hAnsi="標楷體" w:hint="eastAsia"/>
          <w:szCs w:val="24"/>
        </w:rPr>
        <w:t>。按公用售電業</w:t>
      </w:r>
      <w:proofErr w:type="gramStart"/>
      <w:r w:rsidR="0097125D" w:rsidRPr="00484E64">
        <w:rPr>
          <w:rFonts w:ascii="標楷體" w:eastAsia="標楷體" w:hAnsi="標楷體" w:hint="eastAsia"/>
          <w:szCs w:val="24"/>
        </w:rPr>
        <w:t>躉購之綠電</w:t>
      </w:r>
      <w:proofErr w:type="gramEnd"/>
      <w:r w:rsidR="0097125D" w:rsidRPr="00484E64">
        <w:rPr>
          <w:rFonts w:ascii="標楷體" w:eastAsia="標楷體" w:hAnsi="標楷體" w:hint="eastAsia"/>
          <w:szCs w:val="24"/>
        </w:rPr>
        <w:t>（溫室氣體排放量為零）</w:t>
      </w:r>
      <w:proofErr w:type="gramStart"/>
      <w:r w:rsidR="0097125D" w:rsidRPr="00484E64">
        <w:rPr>
          <w:rFonts w:ascii="標楷體" w:eastAsia="標楷體" w:hAnsi="標楷體" w:hint="eastAsia"/>
          <w:szCs w:val="24"/>
        </w:rPr>
        <w:t>占比越高</w:t>
      </w:r>
      <w:proofErr w:type="gramEnd"/>
      <w:r w:rsidR="0097125D" w:rsidRPr="00484E64">
        <w:rPr>
          <w:rFonts w:ascii="標楷體" w:eastAsia="標楷體" w:hAnsi="標楷體" w:hint="eastAsia"/>
          <w:szCs w:val="24"/>
        </w:rPr>
        <w:t>，則總銷售電量之單位排放量越低，</w:t>
      </w:r>
      <w:proofErr w:type="gramStart"/>
      <w:r w:rsidR="0097125D" w:rsidRPr="00484E64">
        <w:rPr>
          <w:rFonts w:ascii="標楷體" w:eastAsia="標楷體" w:hAnsi="標楷體" w:hint="eastAsia"/>
          <w:szCs w:val="24"/>
        </w:rPr>
        <w:t>電力排碳係數</w:t>
      </w:r>
      <w:proofErr w:type="gramEnd"/>
      <w:r w:rsidR="0097125D" w:rsidRPr="00484E64">
        <w:rPr>
          <w:rFonts w:ascii="標楷體" w:eastAsia="標楷體" w:hAnsi="標楷體" w:hint="eastAsia"/>
          <w:szCs w:val="24"/>
        </w:rPr>
        <w:t>亦越低，</w:t>
      </w:r>
      <w:proofErr w:type="gramStart"/>
      <w:r w:rsidR="0097125D" w:rsidRPr="00484E64">
        <w:rPr>
          <w:rFonts w:ascii="標楷體" w:eastAsia="標楷體" w:hAnsi="標楷體" w:hint="eastAsia"/>
          <w:szCs w:val="24"/>
        </w:rPr>
        <w:t>爰</w:t>
      </w:r>
      <w:proofErr w:type="gramEnd"/>
      <w:r w:rsidR="0097125D" w:rsidRPr="00484E64">
        <w:rPr>
          <w:rFonts w:ascii="標楷體" w:eastAsia="標楷體" w:hAnsi="標楷體" w:hint="eastAsia"/>
          <w:szCs w:val="24"/>
        </w:rPr>
        <w:t>能大幅降低外購電力之能源間接排放量，</w:t>
      </w:r>
      <w:proofErr w:type="gramStart"/>
      <w:r w:rsidR="0097125D" w:rsidRPr="00484E64">
        <w:rPr>
          <w:rFonts w:ascii="標楷體" w:eastAsia="標楷體" w:hAnsi="標楷體" w:hint="eastAsia"/>
          <w:szCs w:val="24"/>
        </w:rPr>
        <w:t>次據經濟部</w:t>
      </w:r>
      <w:proofErr w:type="gramEnd"/>
      <w:r w:rsidR="0097125D" w:rsidRPr="00484E64">
        <w:rPr>
          <w:rFonts w:ascii="標楷體" w:eastAsia="標楷體" w:hAnsi="標楷體" w:hint="eastAsia"/>
          <w:szCs w:val="24"/>
        </w:rPr>
        <w:t>能源署表示，</w:t>
      </w:r>
      <w:proofErr w:type="gramStart"/>
      <w:r w:rsidR="0097125D" w:rsidRPr="00484E64">
        <w:rPr>
          <w:rFonts w:ascii="標楷體" w:eastAsia="標楷體" w:hAnsi="標楷體" w:hint="eastAsia"/>
          <w:szCs w:val="24"/>
        </w:rPr>
        <w:t>綠電倘經</w:t>
      </w:r>
      <w:proofErr w:type="gramEnd"/>
      <w:r w:rsidR="0097125D" w:rsidRPr="00484E64">
        <w:rPr>
          <w:rFonts w:ascii="標楷體" w:eastAsia="標楷體" w:hAnsi="標楷體" w:hint="eastAsia"/>
          <w:szCs w:val="24"/>
        </w:rPr>
        <w:t>再生能源發（售）電</w:t>
      </w:r>
      <w:proofErr w:type="gramStart"/>
      <w:r w:rsidR="0097125D" w:rsidRPr="00484E64">
        <w:rPr>
          <w:rFonts w:ascii="標楷體" w:eastAsia="標楷體" w:hAnsi="標楷體" w:hint="eastAsia"/>
          <w:szCs w:val="24"/>
        </w:rPr>
        <w:t>業直供</w:t>
      </w:r>
      <w:proofErr w:type="gramEnd"/>
      <w:r w:rsidR="0097125D" w:rsidRPr="00484E64">
        <w:rPr>
          <w:rFonts w:ascii="標楷體" w:eastAsia="標楷體" w:hAnsi="標楷體" w:hint="eastAsia"/>
          <w:szCs w:val="24"/>
        </w:rPr>
        <w:t>或輸配電業轉供給用戶使用，而未經公用售電</w:t>
      </w:r>
      <w:proofErr w:type="gramStart"/>
      <w:r w:rsidR="0097125D" w:rsidRPr="00484E64">
        <w:rPr>
          <w:rFonts w:ascii="標楷體" w:eastAsia="標楷體" w:hAnsi="標楷體" w:hint="eastAsia"/>
          <w:szCs w:val="24"/>
        </w:rPr>
        <w:t>業者躉購</w:t>
      </w:r>
      <w:proofErr w:type="gramEnd"/>
      <w:r w:rsidR="0097125D" w:rsidRPr="00484E64">
        <w:rPr>
          <w:rFonts w:ascii="標楷體" w:eastAsia="標楷體" w:hAnsi="標楷體" w:hint="eastAsia"/>
          <w:szCs w:val="24"/>
        </w:rPr>
        <w:t>，則不予納入計算</w:t>
      </w:r>
      <w:proofErr w:type="gramStart"/>
      <w:r w:rsidR="0097125D" w:rsidRPr="00484E64">
        <w:rPr>
          <w:rFonts w:ascii="標楷體" w:eastAsia="標楷體" w:hAnsi="標楷體" w:hint="eastAsia"/>
          <w:szCs w:val="24"/>
        </w:rPr>
        <w:t>電力排碳係數</w:t>
      </w:r>
      <w:proofErr w:type="gramEnd"/>
      <w:r w:rsidR="0097125D" w:rsidRPr="00484E64">
        <w:rPr>
          <w:rFonts w:ascii="標楷體" w:eastAsia="標楷體" w:hAnsi="標楷體" w:hint="eastAsia"/>
          <w:szCs w:val="24"/>
        </w:rPr>
        <w:t>，以</w:t>
      </w:r>
      <w:proofErr w:type="gramStart"/>
      <w:r w:rsidR="0097125D" w:rsidRPr="00484E64">
        <w:rPr>
          <w:rFonts w:ascii="標楷體" w:eastAsia="標楷體" w:hAnsi="標楷體" w:hint="eastAsia"/>
          <w:szCs w:val="24"/>
        </w:rPr>
        <w:t>避免減碳效益</w:t>
      </w:r>
      <w:proofErr w:type="gramEnd"/>
      <w:r w:rsidR="0097125D" w:rsidRPr="00484E64">
        <w:rPr>
          <w:rFonts w:ascii="標楷體" w:eastAsia="標楷體" w:hAnsi="標楷體" w:hint="eastAsia"/>
          <w:szCs w:val="24"/>
        </w:rPr>
        <w:t>重複計算。國內大型事業體為因應國際供應鏈要求，近年已陸續向再生能源發（售）電業者直接</w:t>
      </w:r>
      <w:proofErr w:type="gramStart"/>
      <w:r w:rsidR="0097125D" w:rsidRPr="00484E64">
        <w:rPr>
          <w:rFonts w:ascii="標楷體" w:eastAsia="標楷體" w:hAnsi="標楷體" w:hint="eastAsia"/>
          <w:szCs w:val="24"/>
        </w:rPr>
        <w:t>購買綠電</w:t>
      </w:r>
      <w:proofErr w:type="gramEnd"/>
      <w:r w:rsidR="0097125D" w:rsidRPr="00484E64">
        <w:rPr>
          <w:rFonts w:ascii="標楷體" w:eastAsia="標楷體" w:hAnsi="標楷體" w:hint="eastAsia"/>
          <w:szCs w:val="24"/>
        </w:rPr>
        <w:t>，又環境</w:t>
      </w:r>
      <w:proofErr w:type="gramStart"/>
      <w:r w:rsidR="0097125D" w:rsidRPr="00484E64">
        <w:rPr>
          <w:rFonts w:ascii="標楷體" w:eastAsia="標楷體" w:hAnsi="標楷體" w:hint="eastAsia"/>
          <w:szCs w:val="24"/>
        </w:rPr>
        <w:t>部為鼓勵碳費</w:t>
      </w:r>
      <w:proofErr w:type="gramEnd"/>
      <w:r w:rsidR="0097125D" w:rsidRPr="00484E64">
        <w:rPr>
          <w:rFonts w:ascii="標楷體" w:eastAsia="標楷體" w:hAnsi="標楷體" w:hint="eastAsia"/>
          <w:szCs w:val="24"/>
        </w:rPr>
        <w:t>徵收對象加速</w:t>
      </w:r>
      <w:proofErr w:type="gramStart"/>
      <w:r w:rsidR="0097125D" w:rsidRPr="00484E64">
        <w:rPr>
          <w:rFonts w:ascii="標楷體" w:eastAsia="標楷體" w:hAnsi="標楷體" w:hint="eastAsia"/>
          <w:szCs w:val="24"/>
        </w:rPr>
        <w:t>採</w:t>
      </w:r>
      <w:proofErr w:type="gramEnd"/>
      <w:r w:rsidR="0097125D" w:rsidRPr="00484E64">
        <w:rPr>
          <w:rFonts w:ascii="標楷體" w:eastAsia="標楷體" w:hAnsi="標楷體" w:hint="eastAsia"/>
          <w:szCs w:val="24"/>
        </w:rPr>
        <w:t>行溫室氣體減量措施，於113年8月發布自主減量計畫管理辦法，其中第4條規定，事業</w:t>
      </w:r>
      <w:proofErr w:type="gramStart"/>
      <w:r w:rsidR="0097125D" w:rsidRPr="00484E64">
        <w:rPr>
          <w:rFonts w:ascii="標楷體" w:eastAsia="標楷體" w:hAnsi="標楷體" w:hint="eastAsia"/>
          <w:szCs w:val="24"/>
        </w:rPr>
        <w:t>取得電證合一</w:t>
      </w:r>
      <w:proofErr w:type="gramEnd"/>
      <w:r w:rsidR="0097125D" w:rsidRPr="00484E64">
        <w:rPr>
          <w:rFonts w:ascii="標楷體" w:eastAsia="標楷體" w:hAnsi="標楷體" w:hint="eastAsia"/>
          <w:szCs w:val="24"/>
        </w:rPr>
        <w:t>之再生能源憑證，作為自主減量計畫之減量措施，得據以扣抵溫室氣體排放量及</w:t>
      </w:r>
      <w:proofErr w:type="gramStart"/>
      <w:r w:rsidR="0097125D" w:rsidRPr="00484E64">
        <w:rPr>
          <w:rFonts w:ascii="標楷體" w:eastAsia="標楷體" w:hAnsi="標楷體" w:hint="eastAsia"/>
          <w:szCs w:val="24"/>
        </w:rPr>
        <w:t>申請碳費優惠</w:t>
      </w:r>
      <w:proofErr w:type="gramEnd"/>
      <w:r w:rsidR="0097125D" w:rsidRPr="00484E64">
        <w:rPr>
          <w:rFonts w:ascii="標楷體" w:eastAsia="標楷體" w:hAnsi="標楷體" w:hint="eastAsia"/>
          <w:szCs w:val="24"/>
        </w:rPr>
        <w:t>費率，更將增加國內</w:t>
      </w:r>
      <w:proofErr w:type="gramStart"/>
      <w:r w:rsidR="0097125D" w:rsidRPr="00484E64">
        <w:rPr>
          <w:rFonts w:ascii="標楷體" w:eastAsia="標楷體" w:hAnsi="標楷體" w:hint="eastAsia"/>
          <w:szCs w:val="24"/>
        </w:rPr>
        <w:t>事業綠電需求</w:t>
      </w:r>
      <w:proofErr w:type="gramEnd"/>
      <w:r w:rsidR="0097125D" w:rsidRPr="00484E64">
        <w:rPr>
          <w:rFonts w:ascii="標楷體" w:eastAsia="標楷體" w:hAnsi="標楷體" w:hint="eastAsia"/>
          <w:szCs w:val="24"/>
        </w:rPr>
        <w:t>，恐將大幅減少公用售電業所能</w:t>
      </w:r>
      <w:proofErr w:type="gramStart"/>
      <w:r w:rsidR="0097125D" w:rsidRPr="00484E64">
        <w:rPr>
          <w:rFonts w:ascii="標楷體" w:eastAsia="標楷體" w:hAnsi="標楷體" w:hint="eastAsia"/>
          <w:szCs w:val="24"/>
        </w:rPr>
        <w:t>躉購之綠電</w:t>
      </w:r>
      <w:proofErr w:type="gramEnd"/>
      <w:r w:rsidR="0097125D" w:rsidRPr="00484E64">
        <w:rPr>
          <w:rFonts w:ascii="標楷體" w:eastAsia="標楷體" w:hAnsi="標楷體" w:hint="eastAsia"/>
          <w:szCs w:val="24"/>
        </w:rPr>
        <w:t>數量，致電</w:t>
      </w:r>
      <w:proofErr w:type="gramStart"/>
      <w:r w:rsidR="0097125D" w:rsidRPr="00484E64">
        <w:rPr>
          <w:rFonts w:ascii="標楷體" w:eastAsia="標楷體" w:hAnsi="標楷體" w:hint="eastAsia"/>
          <w:szCs w:val="24"/>
        </w:rPr>
        <w:t>力排碳係數</w:t>
      </w:r>
      <w:proofErr w:type="gramEnd"/>
      <w:r w:rsidR="0097125D" w:rsidRPr="00484E64">
        <w:rPr>
          <w:rFonts w:ascii="標楷體" w:eastAsia="標楷體" w:hAnsi="標楷體" w:hint="eastAsia"/>
          <w:szCs w:val="24"/>
        </w:rPr>
        <w:t>降幅趨緩，不利達成114年</w:t>
      </w:r>
      <w:proofErr w:type="gramStart"/>
      <w:r w:rsidR="0097125D" w:rsidRPr="00484E64">
        <w:rPr>
          <w:rFonts w:ascii="標楷體" w:eastAsia="標楷體" w:hAnsi="標楷體" w:hint="eastAsia"/>
          <w:szCs w:val="24"/>
        </w:rPr>
        <w:t>電力排碳係數</w:t>
      </w:r>
      <w:proofErr w:type="gramEnd"/>
      <w:r w:rsidR="0097125D" w:rsidRPr="00484E64">
        <w:rPr>
          <w:rFonts w:ascii="標楷體" w:eastAsia="標楷體" w:hAnsi="標楷體" w:hint="eastAsia"/>
          <w:szCs w:val="24"/>
        </w:rPr>
        <w:t>之目標，影響全國各部門外購電力能源間接排放之減量成效。</w:t>
      </w:r>
    </w:p>
    <w:p w14:paraId="6A92D7BD" w14:textId="6720F65C" w:rsidR="00B1481B" w:rsidRDefault="0097125D" w:rsidP="00CA55FD">
      <w:pPr>
        <w:overflowPunct w:val="0"/>
        <w:spacing w:line="428" w:lineRule="exact"/>
        <w:ind w:firstLineChars="450" w:firstLine="1081"/>
        <w:jc w:val="both"/>
        <w:rPr>
          <w:rFonts w:ascii="標楷體" w:eastAsia="標楷體" w:hAnsi="標楷體"/>
          <w:szCs w:val="24"/>
        </w:rPr>
      </w:pPr>
      <w:r w:rsidRPr="003D5393">
        <w:rPr>
          <w:rFonts w:ascii="標楷體" w:eastAsia="標楷體" w:hAnsi="標楷體" w:hint="eastAsia"/>
          <w:b/>
          <w:bCs/>
          <w:szCs w:val="24"/>
        </w:rPr>
        <w:t>3.</w:t>
      </w:r>
      <w:r w:rsidR="003D5393" w:rsidRPr="003D5393">
        <w:rPr>
          <w:rFonts w:ascii="標楷體" w:eastAsia="標楷體" w:hAnsi="標楷體" w:hint="eastAsia"/>
          <w:b/>
          <w:bCs/>
          <w:szCs w:val="24"/>
        </w:rPr>
        <w:t xml:space="preserve">　環</w:t>
      </w:r>
      <w:r w:rsidR="003D5393" w:rsidRPr="00484E64">
        <w:rPr>
          <w:rFonts w:ascii="標楷體" w:eastAsia="標楷體" w:hAnsi="標楷體" w:hint="eastAsia"/>
          <w:b/>
          <w:szCs w:val="24"/>
        </w:rPr>
        <w:t>境</w:t>
      </w:r>
      <w:proofErr w:type="gramStart"/>
      <w:r w:rsidR="003D5393" w:rsidRPr="00484E64">
        <w:rPr>
          <w:rFonts w:ascii="標楷體" w:eastAsia="標楷體" w:hAnsi="標楷體" w:hint="eastAsia"/>
          <w:b/>
          <w:szCs w:val="24"/>
        </w:rPr>
        <w:t>部已發布碳費</w:t>
      </w:r>
      <w:proofErr w:type="gramEnd"/>
      <w:r w:rsidR="003D5393" w:rsidRPr="00484E64">
        <w:rPr>
          <w:rFonts w:ascii="標楷體" w:eastAsia="標楷體" w:hAnsi="標楷體" w:hint="eastAsia"/>
          <w:b/>
          <w:szCs w:val="24"/>
        </w:rPr>
        <w:t>制度之3項配套子法及</w:t>
      </w:r>
      <w:proofErr w:type="gramStart"/>
      <w:r w:rsidR="003D5393" w:rsidRPr="00484E64">
        <w:rPr>
          <w:rFonts w:ascii="標楷體" w:eastAsia="標楷體" w:hAnsi="標楷體" w:hint="eastAsia"/>
          <w:b/>
          <w:szCs w:val="24"/>
        </w:rPr>
        <w:t>公告碳費費率</w:t>
      </w:r>
      <w:proofErr w:type="gramEnd"/>
      <w:r w:rsidR="003D5393" w:rsidRPr="00484E64">
        <w:rPr>
          <w:rFonts w:ascii="標楷體" w:eastAsia="標楷體" w:hAnsi="標楷體" w:hint="eastAsia"/>
          <w:b/>
          <w:szCs w:val="24"/>
        </w:rPr>
        <w:t>，據以</w:t>
      </w:r>
      <w:proofErr w:type="gramStart"/>
      <w:r w:rsidR="003D5393" w:rsidRPr="00484E64">
        <w:rPr>
          <w:rFonts w:ascii="標楷體" w:eastAsia="標楷體" w:hAnsi="標楷體" w:hint="eastAsia"/>
          <w:b/>
          <w:szCs w:val="24"/>
        </w:rPr>
        <w:t>徵收碳費</w:t>
      </w:r>
      <w:proofErr w:type="gramEnd"/>
      <w:r w:rsidR="003D5393" w:rsidRPr="00484E64">
        <w:rPr>
          <w:rFonts w:ascii="標楷體" w:eastAsia="標楷體" w:hAnsi="標楷體" w:hint="eastAsia"/>
          <w:b/>
          <w:szCs w:val="24"/>
        </w:rPr>
        <w:t>，惟國內事業得以</w:t>
      </w:r>
      <w:proofErr w:type="gramStart"/>
      <w:r w:rsidR="003D5393" w:rsidRPr="00484E64">
        <w:rPr>
          <w:rFonts w:ascii="標楷體" w:eastAsia="標楷體" w:hAnsi="標楷體" w:hint="eastAsia"/>
          <w:b/>
          <w:szCs w:val="24"/>
        </w:rPr>
        <w:t>國內外減</w:t>
      </w:r>
      <w:proofErr w:type="gramEnd"/>
      <w:r w:rsidR="003D5393" w:rsidRPr="00484E64">
        <w:rPr>
          <w:rFonts w:ascii="標楷體" w:eastAsia="標楷體" w:hAnsi="標楷體" w:hint="eastAsia"/>
          <w:b/>
          <w:szCs w:val="24"/>
        </w:rPr>
        <w:t>量額度抵扣應</w:t>
      </w:r>
      <w:proofErr w:type="gramStart"/>
      <w:r w:rsidR="003D5393" w:rsidRPr="00484E64">
        <w:rPr>
          <w:rFonts w:ascii="標楷體" w:eastAsia="標楷體" w:hAnsi="標楷體" w:hint="eastAsia"/>
          <w:b/>
          <w:szCs w:val="24"/>
        </w:rPr>
        <w:t>繳碳費</w:t>
      </w:r>
      <w:proofErr w:type="gramEnd"/>
      <w:r w:rsidR="003D5393" w:rsidRPr="00484E64">
        <w:rPr>
          <w:rFonts w:ascii="標楷體" w:eastAsia="標楷體" w:hAnsi="標楷體" w:hint="eastAsia"/>
          <w:b/>
          <w:szCs w:val="24"/>
        </w:rPr>
        <w:t>，恐無法全額申請CBAM憑證減免，且國內事業購買</w:t>
      </w:r>
      <w:proofErr w:type="gramStart"/>
      <w:r w:rsidR="003D5393" w:rsidRPr="00484E64">
        <w:rPr>
          <w:rFonts w:ascii="標楷體" w:eastAsia="標楷體" w:hAnsi="標楷體" w:hint="eastAsia"/>
          <w:b/>
          <w:szCs w:val="24"/>
        </w:rPr>
        <w:t>國外減</w:t>
      </w:r>
      <w:proofErr w:type="gramEnd"/>
      <w:r w:rsidR="003D5393" w:rsidRPr="00484E64">
        <w:rPr>
          <w:rFonts w:ascii="標楷體" w:eastAsia="標楷體" w:hAnsi="標楷體" w:hint="eastAsia"/>
          <w:b/>
          <w:szCs w:val="24"/>
        </w:rPr>
        <w:t>量額度抵扣應</w:t>
      </w:r>
      <w:proofErr w:type="gramStart"/>
      <w:r w:rsidR="003D5393" w:rsidRPr="00484E64">
        <w:rPr>
          <w:rFonts w:ascii="標楷體" w:eastAsia="標楷體" w:hAnsi="標楷體" w:hint="eastAsia"/>
          <w:b/>
          <w:szCs w:val="24"/>
        </w:rPr>
        <w:t>繳碳費</w:t>
      </w:r>
      <w:proofErr w:type="gramEnd"/>
      <w:r w:rsidR="003D5393" w:rsidRPr="00484E64">
        <w:rPr>
          <w:rFonts w:ascii="標楷體" w:eastAsia="標楷體" w:hAnsi="標楷體" w:hint="eastAsia"/>
          <w:b/>
          <w:szCs w:val="24"/>
        </w:rPr>
        <w:t>，尚無助於國內實質減量，</w:t>
      </w:r>
      <w:proofErr w:type="gramStart"/>
      <w:r w:rsidR="003D5393" w:rsidRPr="00484E64">
        <w:rPr>
          <w:rFonts w:ascii="標楷體" w:eastAsia="標楷體" w:hAnsi="標楷體" w:hint="eastAsia"/>
          <w:b/>
          <w:szCs w:val="24"/>
        </w:rPr>
        <w:t>恐減損減碳</w:t>
      </w:r>
      <w:proofErr w:type="gramEnd"/>
      <w:r w:rsidR="003D5393" w:rsidRPr="00484E64">
        <w:rPr>
          <w:rFonts w:ascii="標楷體" w:eastAsia="標楷體" w:hAnsi="標楷體" w:hint="eastAsia"/>
          <w:b/>
          <w:szCs w:val="24"/>
        </w:rPr>
        <w:t>效益：</w:t>
      </w:r>
      <w:r w:rsidR="003D5393" w:rsidRPr="00484E64">
        <w:rPr>
          <w:rFonts w:ascii="標楷體" w:eastAsia="標楷體" w:hAnsi="標楷體" w:hint="eastAsia"/>
          <w:szCs w:val="24"/>
        </w:rPr>
        <w:t>歐盟為避免「碳洩漏</w:t>
      </w:r>
      <w:r w:rsidR="0032029C" w:rsidRPr="00484E64">
        <w:rPr>
          <w:rFonts w:ascii="標楷體" w:eastAsia="標楷體" w:hAnsi="標楷體" w:hint="eastAsia"/>
          <w:szCs w:val="24"/>
        </w:rPr>
        <w:t>」</w:t>
      </w:r>
      <w:r w:rsidR="003D5393" w:rsidRPr="00484E64">
        <w:rPr>
          <w:rFonts w:ascii="標楷體" w:eastAsia="標楷體" w:hAnsi="標楷體" w:hint="eastAsia"/>
          <w:szCs w:val="24"/>
        </w:rPr>
        <w:t xml:space="preserve">（Carbon </w:t>
      </w:r>
      <w:r w:rsidR="00EA6C43">
        <w:rPr>
          <w:rFonts w:ascii="標楷體" w:eastAsia="標楷體" w:hAnsi="標楷體"/>
          <w:szCs w:val="24"/>
        </w:rPr>
        <w:t>L</w:t>
      </w:r>
      <w:r w:rsidR="003D5393" w:rsidRPr="00484E64">
        <w:rPr>
          <w:rFonts w:ascii="標楷體" w:eastAsia="標楷體" w:hAnsi="標楷體" w:hint="eastAsia"/>
          <w:szCs w:val="24"/>
        </w:rPr>
        <w:t>eakage）風險，已於2023年10月起開始試辦碳邊境調整機制（Carbon Border Adjustment Mechanism, CBAM），針對碳洩漏高風險產品項目，要求歐盟授權進口商自歐盟境外進口上述產品時須繳納「CBAM憑證」，使其價格得以反映歐盟</w:t>
      </w:r>
      <w:proofErr w:type="gramStart"/>
      <w:r w:rsidR="003D5393" w:rsidRPr="00484E64">
        <w:rPr>
          <w:rFonts w:ascii="標楷體" w:eastAsia="標楷體" w:hAnsi="標楷體" w:hint="eastAsia"/>
          <w:szCs w:val="24"/>
        </w:rPr>
        <w:t>境內碳</w:t>
      </w:r>
      <w:proofErr w:type="gramEnd"/>
      <w:r w:rsidR="003D5393" w:rsidRPr="00484E64">
        <w:rPr>
          <w:rFonts w:ascii="標楷體" w:eastAsia="標楷體" w:hAnsi="標楷體" w:hint="eastAsia"/>
          <w:szCs w:val="24"/>
        </w:rPr>
        <w:t>定價，若進口商可提出已於出口國支付相對</w:t>
      </w:r>
      <w:proofErr w:type="gramStart"/>
      <w:r w:rsidR="003D5393" w:rsidRPr="00484E64">
        <w:rPr>
          <w:rFonts w:ascii="標楷體" w:eastAsia="標楷體" w:hAnsi="標楷體" w:hint="eastAsia"/>
          <w:szCs w:val="24"/>
        </w:rPr>
        <w:t>應碳價</w:t>
      </w:r>
      <w:proofErr w:type="gramEnd"/>
      <w:r w:rsidR="003D5393" w:rsidRPr="00484E64">
        <w:rPr>
          <w:rFonts w:ascii="標楷體" w:eastAsia="標楷體" w:hAnsi="標楷體" w:hint="eastAsia"/>
          <w:szCs w:val="24"/>
        </w:rPr>
        <w:t>證明，則得減免應繳納之「CBAM憑證」，並將於2026年起正式施行。政府為加速推動溫室氣體減量，並避免受CBAM影響業者須向歐盟繳納全額「CBAM憑證」，於112年2月修正公布氣候變遷因應法，增訂徵收</w:t>
      </w:r>
      <w:proofErr w:type="gramStart"/>
      <w:r w:rsidR="003D5393" w:rsidRPr="00484E64">
        <w:rPr>
          <w:rFonts w:ascii="標楷體" w:eastAsia="標楷體" w:hAnsi="標楷體" w:hint="eastAsia"/>
          <w:szCs w:val="24"/>
        </w:rPr>
        <w:t>碳費法</w:t>
      </w:r>
      <w:proofErr w:type="gramEnd"/>
      <w:r w:rsidR="003D5393" w:rsidRPr="00484E64">
        <w:rPr>
          <w:rFonts w:ascii="標楷體" w:eastAsia="標楷體" w:hAnsi="標楷體" w:hint="eastAsia"/>
          <w:szCs w:val="24"/>
        </w:rPr>
        <w:t>源依據，環境部</w:t>
      </w:r>
      <w:proofErr w:type="gramStart"/>
      <w:r w:rsidR="003D5393" w:rsidRPr="00484E64">
        <w:rPr>
          <w:rFonts w:ascii="標楷體" w:eastAsia="標楷體" w:hAnsi="標楷體" w:hint="eastAsia"/>
          <w:szCs w:val="24"/>
        </w:rPr>
        <w:t>嗣</w:t>
      </w:r>
      <w:proofErr w:type="gramEnd"/>
      <w:r w:rsidR="003D5393" w:rsidRPr="00484E64">
        <w:rPr>
          <w:rFonts w:ascii="標楷體" w:eastAsia="標楷體" w:hAnsi="標楷體" w:hint="eastAsia"/>
          <w:szCs w:val="24"/>
        </w:rPr>
        <w:t>於113年8月</w:t>
      </w:r>
      <w:proofErr w:type="gramStart"/>
      <w:r w:rsidR="003D5393" w:rsidRPr="00484E64">
        <w:rPr>
          <w:rFonts w:ascii="標楷體" w:eastAsia="標楷體" w:hAnsi="標楷體" w:hint="eastAsia"/>
          <w:szCs w:val="24"/>
        </w:rPr>
        <w:t>發布碳費收費</w:t>
      </w:r>
      <w:proofErr w:type="gramEnd"/>
      <w:r w:rsidR="003D5393" w:rsidRPr="00484E64">
        <w:rPr>
          <w:rFonts w:ascii="標楷體" w:eastAsia="標楷體" w:hAnsi="標楷體" w:hint="eastAsia"/>
          <w:szCs w:val="24"/>
        </w:rPr>
        <w:t>辦法、自主減量計畫管理辦法</w:t>
      </w:r>
      <w:r w:rsidR="00D64341">
        <w:rPr>
          <w:rFonts w:ascii="標楷體" w:eastAsia="標楷體" w:hAnsi="標楷體" w:hint="eastAsia"/>
          <w:szCs w:val="24"/>
        </w:rPr>
        <w:t>、</w:t>
      </w:r>
      <w:proofErr w:type="gramStart"/>
      <w:r w:rsidR="003D5393" w:rsidRPr="00484E64">
        <w:rPr>
          <w:rFonts w:ascii="標楷體" w:eastAsia="標楷體" w:hAnsi="標楷體" w:hint="eastAsia"/>
          <w:szCs w:val="24"/>
        </w:rPr>
        <w:t>碳費徵收</w:t>
      </w:r>
      <w:proofErr w:type="gramEnd"/>
      <w:r w:rsidR="003D5393" w:rsidRPr="00484E64">
        <w:rPr>
          <w:rFonts w:ascii="標楷體" w:eastAsia="標楷體" w:hAnsi="標楷體" w:hint="eastAsia"/>
          <w:szCs w:val="24"/>
        </w:rPr>
        <w:t>對象溫室氣體減量指定目標等3項配套子法，並於113年10月</w:t>
      </w:r>
      <w:proofErr w:type="gramStart"/>
      <w:r w:rsidR="003D5393" w:rsidRPr="00484E64">
        <w:rPr>
          <w:rFonts w:ascii="標楷體" w:eastAsia="標楷體" w:hAnsi="標楷體" w:hint="eastAsia"/>
          <w:szCs w:val="24"/>
        </w:rPr>
        <w:t>公告碳費費率</w:t>
      </w:r>
      <w:proofErr w:type="gramEnd"/>
      <w:r w:rsidR="003D5393" w:rsidRPr="00484E64">
        <w:rPr>
          <w:rFonts w:ascii="標楷體" w:eastAsia="標楷體" w:hAnsi="標楷體" w:hint="eastAsia"/>
          <w:szCs w:val="24"/>
        </w:rPr>
        <w:t>，預計於</w:t>
      </w:r>
      <w:proofErr w:type="gramStart"/>
      <w:r w:rsidR="003D5393" w:rsidRPr="00484E64">
        <w:rPr>
          <w:rFonts w:ascii="標楷體" w:eastAsia="標楷體" w:hAnsi="標楷體" w:hint="eastAsia"/>
          <w:szCs w:val="24"/>
        </w:rPr>
        <w:t>114</w:t>
      </w:r>
      <w:proofErr w:type="gramEnd"/>
      <w:r w:rsidR="003D5393" w:rsidRPr="00484E64">
        <w:rPr>
          <w:rFonts w:ascii="標楷體" w:eastAsia="標楷體" w:hAnsi="標楷體" w:hint="eastAsia"/>
          <w:szCs w:val="24"/>
        </w:rPr>
        <w:t>年度開始</w:t>
      </w:r>
      <w:proofErr w:type="gramStart"/>
      <w:r w:rsidR="003D5393" w:rsidRPr="00484E64">
        <w:rPr>
          <w:rFonts w:ascii="標楷體" w:eastAsia="標楷體" w:hAnsi="標楷體" w:hint="eastAsia"/>
          <w:szCs w:val="24"/>
        </w:rPr>
        <w:t>試行碳費申報</w:t>
      </w:r>
      <w:proofErr w:type="gramEnd"/>
      <w:r w:rsidR="003D5393" w:rsidRPr="00484E64">
        <w:rPr>
          <w:rFonts w:ascii="標楷體" w:eastAsia="標楷體" w:hAnsi="標楷體" w:hint="eastAsia"/>
          <w:szCs w:val="24"/>
        </w:rPr>
        <w:t>作業，並自</w:t>
      </w:r>
      <w:proofErr w:type="gramStart"/>
      <w:r w:rsidR="003D5393" w:rsidRPr="00484E64">
        <w:rPr>
          <w:rFonts w:ascii="標楷體" w:eastAsia="標楷體" w:hAnsi="標楷體" w:hint="eastAsia"/>
          <w:szCs w:val="24"/>
        </w:rPr>
        <w:t>115</w:t>
      </w:r>
      <w:proofErr w:type="gramEnd"/>
      <w:r w:rsidR="003D5393" w:rsidRPr="00484E64">
        <w:rPr>
          <w:rFonts w:ascii="標楷體" w:eastAsia="標楷體" w:hAnsi="標楷體" w:hint="eastAsia"/>
          <w:szCs w:val="24"/>
        </w:rPr>
        <w:t>年度起正式</w:t>
      </w:r>
      <w:proofErr w:type="gramStart"/>
      <w:r w:rsidR="003D5393" w:rsidRPr="00484E64">
        <w:rPr>
          <w:rFonts w:ascii="標楷體" w:eastAsia="標楷體" w:hAnsi="標楷體" w:hint="eastAsia"/>
          <w:szCs w:val="24"/>
        </w:rPr>
        <w:t>徵收碳費</w:t>
      </w:r>
      <w:proofErr w:type="gramEnd"/>
      <w:r w:rsidR="003D5393" w:rsidRPr="00484E64">
        <w:rPr>
          <w:rFonts w:ascii="標楷體" w:eastAsia="標楷體" w:hAnsi="標楷體" w:hint="eastAsia"/>
          <w:szCs w:val="24"/>
        </w:rPr>
        <w:t>。</w:t>
      </w:r>
      <w:proofErr w:type="gramStart"/>
      <w:r w:rsidR="003D5393" w:rsidRPr="00484E64">
        <w:rPr>
          <w:rFonts w:ascii="標楷體" w:eastAsia="標楷體" w:hAnsi="標楷體" w:hint="eastAsia"/>
          <w:szCs w:val="24"/>
        </w:rPr>
        <w:t>環境部為鼓勵</w:t>
      </w:r>
      <w:proofErr w:type="gramEnd"/>
      <w:r w:rsidR="003D5393" w:rsidRPr="00484E64">
        <w:rPr>
          <w:rFonts w:ascii="標楷體" w:eastAsia="標楷體" w:hAnsi="標楷體" w:hint="eastAsia"/>
          <w:szCs w:val="24"/>
        </w:rPr>
        <w:t>國內事業</w:t>
      </w:r>
      <w:proofErr w:type="gramStart"/>
      <w:r w:rsidR="003D5393" w:rsidRPr="00484E64">
        <w:rPr>
          <w:rFonts w:ascii="標楷體" w:eastAsia="標楷體" w:hAnsi="標楷體" w:hint="eastAsia"/>
          <w:szCs w:val="24"/>
        </w:rPr>
        <w:t>採</w:t>
      </w:r>
      <w:proofErr w:type="gramEnd"/>
      <w:r w:rsidR="003D5393" w:rsidRPr="00484E64">
        <w:rPr>
          <w:rFonts w:ascii="標楷體" w:eastAsia="標楷體" w:hAnsi="標楷體" w:hint="eastAsia"/>
          <w:szCs w:val="24"/>
        </w:rPr>
        <w:t>行自願減量及抵換專案，依氣候變遷因應法第30條第1項</w:t>
      </w:r>
      <w:proofErr w:type="gramStart"/>
      <w:r w:rsidR="003D5393" w:rsidRPr="00484E64">
        <w:rPr>
          <w:rFonts w:ascii="標楷體" w:eastAsia="標楷體" w:hAnsi="標楷體" w:hint="eastAsia"/>
          <w:szCs w:val="24"/>
        </w:rPr>
        <w:t>及碳費收費</w:t>
      </w:r>
      <w:proofErr w:type="gramEnd"/>
      <w:r w:rsidR="003D5393" w:rsidRPr="00484E64">
        <w:rPr>
          <w:rFonts w:ascii="標楷體" w:eastAsia="標楷體" w:hAnsi="標楷體" w:hint="eastAsia"/>
          <w:spacing w:val="-4"/>
          <w:szCs w:val="24"/>
        </w:rPr>
        <w:t>辦法第9條第1項、第10條第1項等規定，規範事業得以中央主管機關（環境部）核准之</w:t>
      </w:r>
      <w:r w:rsidR="003D5393" w:rsidRPr="00484E64">
        <w:rPr>
          <w:rFonts w:ascii="標楷體" w:eastAsia="標楷體" w:hAnsi="標楷體" w:hint="eastAsia"/>
          <w:spacing w:val="-8"/>
          <w:szCs w:val="24"/>
        </w:rPr>
        <w:t>減量額度，自收費排放量扣除並據以計算應</w:t>
      </w:r>
      <w:proofErr w:type="gramStart"/>
      <w:r w:rsidR="003D5393" w:rsidRPr="00484E64">
        <w:rPr>
          <w:rFonts w:ascii="標楷體" w:eastAsia="標楷體" w:hAnsi="標楷體" w:hint="eastAsia"/>
          <w:spacing w:val="-8"/>
          <w:szCs w:val="24"/>
        </w:rPr>
        <w:t>繳納碳費</w:t>
      </w:r>
      <w:proofErr w:type="gramEnd"/>
      <w:r w:rsidR="003D5393" w:rsidRPr="00484E64">
        <w:rPr>
          <w:rFonts w:ascii="標楷體" w:eastAsia="標楷體" w:hAnsi="標楷體" w:hint="eastAsia"/>
          <w:spacing w:val="-8"/>
          <w:szCs w:val="24"/>
        </w:rPr>
        <w:t>，且國內及</w:t>
      </w:r>
      <w:proofErr w:type="gramStart"/>
      <w:r w:rsidR="003D5393" w:rsidRPr="00484E64">
        <w:rPr>
          <w:rFonts w:ascii="標楷體" w:eastAsia="標楷體" w:hAnsi="標楷體" w:hint="eastAsia"/>
          <w:spacing w:val="-8"/>
          <w:szCs w:val="24"/>
        </w:rPr>
        <w:t>國外減</w:t>
      </w:r>
      <w:proofErr w:type="gramEnd"/>
      <w:r w:rsidR="003D5393" w:rsidRPr="00484E64">
        <w:rPr>
          <w:rFonts w:ascii="標楷體" w:eastAsia="標楷體" w:hAnsi="標楷體" w:hint="eastAsia"/>
          <w:spacing w:val="-8"/>
          <w:szCs w:val="24"/>
        </w:rPr>
        <w:t>量額度之扣除上限分別為10％</w:t>
      </w:r>
      <w:r w:rsidR="003D5393" w:rsidRPr="00484E64">
        <w:rPr>
          <w:rFonts w:ascii="標楷體" w:eastAsia="標楷體" w:hAnsi="標楷體" w:hint="eastAsia"/>
          <w:szCs w:val="24"/>
        </w:rPr>
        <w:t>及5％。惟據歐盟2023年5月發布CBAM法案第9條及第31條規定，歐盟僅接受進口商於出口國已支付相</w:t>
      </w:r>
      <w:r w:rsidR="003D5393" w:rsidRPr="00484E64">
        <w:rPr>
          <w:rFonts w:ascii="標楷體" w:eastAsia="標楷體" w:hAnsi="標楷體" w:hint="eastAsia"/>
          <w:szCs w:val="24"/>
        </w:rPr>
        <w:lastRenderedPageBreak/>
        <w:t>對</w:t>
      </w:r>
      <w:proofErr w:type="gramStart"/>
      <w:r w:rsidR="003D5393" w:rsidRPr="00484E64">
        <w:rPr>
          <w:rFonts w:ascii="標楷體" w:eastAsia="標楷體" w:hAnsi="標楷體" w:hint="eastAsia"/>
          <w:szCs w:val="24"/>
        </w:rPr>
        <w:t>應碳價且</w:t>
      </w:r>
      <w:proofErr w:type="gramEnd"/>
      <w:r w:rsidR="003D5393" w:rsidRPr="00484E64">
        <w:rPr>
          <w:rFonts w:ascii="標楷體" w:eastAsia="標楷體" w:hAnsi="標楷體" w:hint="eastAsia"/>
          <w:szCs w:val="24"/>
        </w:rPr>
        <w:t>未享有出口退費或其他出口補貼，或進口產品於歐盟碳排放交易市場享有免費核配額者，始得申請減免應繳納之「CBAM憑證」，並未開放取得自願減</w:t>
      </w:r>
      <w:proofErr w:type="gramStart"/>
      <w:r w:rsidR="003D5393" w:rsidRPr="00484E64">
        <w:rPr>
          <w:rFonts w:ascii="標楷體" w:eastAsia="標楷體" w:hAnsi="標楷體" w:hint="eastAsia"/>
          <w:szCs w:val="24"/>
        </w:rPr>
        <w:t>量或抵換</w:t>
      </w:r>
      <w:proofErr w:type="gramEnd"/>
      <w:r w:rsidR="003D5393" w:rsidRPr="00484E64">
        <w:rPr>
          <w:rFonts w:ascii="標楷體" w:eastAsia="標楷體" w:hAnsi="標楷體" w:hint="eastAsia"/>
          <w:szCs w:val="24"/>
        </w:rPr>
        <w:t>專案之減量額度進行減免，倘國內</w:t>
      </w:r>
      <w:proofErr w:type="gramStart"/>
      <w:r w:rsidR="003D5393" w:rsidRPr="00484E64">
        <w:rPr>
          <w:rFonts w:ascii="標楷體" w:eastAsia="標楷體" w:hAnsi="標楷體" w:hint="eastAsia"/>
          <w:szCs w:val="24"/>
        </w:rPr>
        <w:t>事業均依上述</w:t>
      </w:r>
      <w:proofErr w:type="gramEnd"/>
      <w:r w:rsidR="003D5393" w:rsidRPr="00484E64">
        <w:rPr>
          <w:rFonts w:ascii="標楷體" w:eastAsia="標楷體" w:hAnsi="標楷體" w:hint="eastAsia"/>
          <w:szCs w:val="24"/>
        </w:rPr>
        <w:t>規定取得最高上限15％之</w:t>
      </w:r>
      <w:proofErr w:type="gramStart"/>
      <w:r w:rsidR="003D5393" w:rsidRPr="00484E64">
        <w:rPr>
          <w:rFonts w:ascii="標楷體" w:eastAsia="標楷體" w:hAnsi="標楷體" w:hint="eastAsia"/>
          <w:szCs w:val="24"/>
        </w:rPr>
        <w:t>國內外減</w:t>
      </w:r>
      <w:proofErr w:type="gramEnd"/>
      <w:r w:rsidR="003D5393" w:rsidRPr="00484E64">
        <w:rPr>
          <w:rFonts w:ascii="標楷體" w:eastAsia="標楷體" w:hAnsi="標楷體" w:hint="eastAsia"/>
          <w:szCs w:val="24"/>
        </w:rPr>
        <w:t>量額度，據以抵扣應</w:t>
      </w:r>
      <w:proofErr w:type="gramStart"/>
      <w:r w:rsidR="003D5393" w:rsidRPr="00484E64">
        <w:rPr>
          <w:rFonts w:ascii="標楷體" w:eastAsia="標楷體" w:hAnsi="標楷體" w:hint="eastAsia"/>
          <w:szCs w:val="24"/>
        </w:rPr>
        <w:t>繳碳費</w:t>
      </w:r>
      <w:proofErr w:type="gramEnd"/>
      <w:r w:rsidR="003D5393" w:rsidRPr="00484E64">
        <w:rPr>
          <w:rFonts w:ascii="標楷體" w:eastAsia="標楷體" w:hAnsi="標楷體" w:hint="eastAsia"/>
          <w:szCs w:val="24"/>
        </w:rPr>
        <w:t>，屆時</w:t>
      </w:r>
      <w:proofErr w:type="gramStart"/>
      <w:r w:rsidR="003D5393" w:rsidRPr="00484E64">
        <w:rPr>
          <w:rFonts w:ascii="標楷體" w:eastAsia="標楷體" w:hAnsi="標楷體" w:hint="eastAsia"/>
          <w:szCs w:val="24"/>
        </w:rPr>
        <w:t>恐</w:t>
      </w:r>
      <w:proofErr w:type="gramEnd"/>
      <w:r w:rsidR="003D5393" w:rsidRPr="00484E64">
        <w:rPr>
          <w:rFonts w:ascii="標楷體" w:eastAsia="標楷體" w:hAnsi="標楷體" w:hint="eastAsia"/>
          <w:szCs w:val="24"/>
        </w:rPr>
        <w:t>無法全額申請「CBAM憑證」減免，致產品輸往歐盟後仍須再繳納「CBAM憑證」，且國內事業購買</w:t>
      </w:r>
      <w:proofErr w:type="gramStart"/>
      <w:r w:rsidR="003D5393" w:rsidRPr="00484E64">
        <w:rPr>
          <w:rFonts w:ascii="標楷體" w:eastAsia="標楷體" w:hAnsi="標楷體" w:hint="eastAsia"/>
          <w:szCs w:val="24"/>
        </w:rPr>
        <w:t>國外減</w:t>
      </w:r>
      <w:proofErr w:type="gramEnd"/>
      <w:r w:rsidR="003D5393" w:rsidRPr="00484E64">
        <w:rPr>
          <w:rFonts w:ascii="標楷體" w:eastAsia="標楷體" w:hAnsi="標楷體" w:hint="eastAsia"/>
          <w:szCs w:val="24"/>
        </w:rPr>
        <w:t>量額度抵扣應</w:t>
      </w:r>
      <w:proofErr w:type="gramStart"/>
      <w:r w:rsidR="003D5393" w:rsidRPr="00484E64">
        <w:rPr>
          <w:rFonts w:ascii="標楷體" w:eastAsia="標楷體" w:hAnsi="標楷體" w:hint="eastAsia"/>
          <w:szCs w:val="24"/>
        </w:rPr>
        <w:t>繳碳費</w:t>
      </w:r>
      <w:proofErr w:type="gramEnd"/>
      <w:r w:rsidR="003D5393" w:rsidRPr="00484E64">
        <w:rPr>
          <w:rFonts w:ascii="標楷體" w:eastAsia="標楷體" w:hAnsi="標楷體" w:hint="eastAsia"/>
          <w:szCs w:val="24"/>
        </w:rPr>
        <w:t>，無助於國內實質減量，</w:t>
      </w:r>
      <w:proofErr w:type="gramStart"/>
      <w:r w:rsidR="003D5393" w:rsidRPr="00484E64">
        <w:rPr>
          <w:rFonts w:ascii="標楷體" w:eastAsia="標楷體" w:hAnsi="標楷體" w:hint="eastAsia"/>
          <w:szCs w:val="24"/>
        </w:rPr>
        <w:t>恐減損減碳</w:t>
      </w:r>
      <w:proofErr w:type="gramEnd"/>
      <w:r w:rsidR="003D5393" w:rsidRPr="00484E64">
        <w:rPr>
          <w:rFonts w:ascii="標楷體" w:eastAsia="標楷體" w:hAnsi="標楷體" w:hint="eastAsia"/>
          <w:szCs w:val="24"/>
        </w:rPr>
        <w:t>效益。</w:t>
      </w:r>
    </w:p>
    <w:p w14:paraId="537DFCC3" w14:textId="0E082C29" w:rsidR="0097125D" w:rsidRPr="00B1481B" w:rsidRDefault="003D5393" w:rsidP="00CA55FD">
      <w:pPr>
        <w:overflowPunct w:val="0"/>
        <w:spacing w:line="440" w:lineRule="exact"/>
        <w:ind w:firstLineChars="200" w:firstLine="480"/>
        <w:jc w:val="both"/>
        <w:rPr>
          <w:rFonts w:ascii="標楷體" w:eastAsia="標楷體" w:hAnsi="標楷體"/>
          <w:szCs w:val="24"/>
        </w:rPr>
      </w:pPr>
      <w:r w:rsidRPr="00484E64">
        <w:rPr>
          <w:rFonts w:ascii="標楷體" w:eastAsia="標楷體" w:hAnsi="標楷體" w:hint="eastAsia"/>
          <w:szCs w:val="24"/>
        </w:rPr>
        <w:t>綜上，政府因應氣候變遷加劇，投入鉅額預算推動相關氣候變遷工作，為期</w:t>
      </w:r>
      <w:proofErr w:type="gramStart"/>
      <w:r w:rsidRPr="00484E64">
        <w:rPr>
          <w:rFonts w:ascii="標楷體" w:eastAsia="標楷體" w:hAnsi="標楷體" w:hint="eastAsia"/>
          <w:szCs w:val="24"/>
        </w:rPr>
        <w:t>提升淨零預算</w:t>
      </w:r>
      <w:proofErr w:type="gramEnd"/>
      <w:r w:rsidRPr="00484E64">
        <w:rPr>
          <w:rFonts w:ascii="標楷體" w:eastAsia="標楷體" w:hAnsi="標楷體" w:hint="eastAsia"/>
          <w:szCs w:val="24"/>
        </w:rPr>
        <w:t>之財務效能，允宜督促環境部協調相關權責機關積極落實12項關鍵戰略及相關減量措施，持續輔導國內事業進行自主減量計畫，並就國內事業排擠公用售電業</w:t>
      </w:r>
      <w:proofErr w:type="gramStart"/>
      <w:r w:rsidRPr="00484E64">
        <w:rPr>
          <w:rFonts w:ascii="標楷體" w:eastAsia="標楷體" w:hAnsi="標楷體" w:hint="eastAsia"/>
          <w:szCs w:val="24"/>
        </w:rPr>
        <w:t>躉購綠電</w:t>
      </w:r>
      <w:proofErr w:type="gramEnd"/>
      <w:r w:rsidRPr="00484E64">
        <w:rPr>
          <w:rFonts w:ascii="標楷體" w:eastAsia="標楷體" w:hAnsi="標楷體" w:hint="eastAsia"/>
          <w:szCs w:val="24"/>
        </w:rPr>
        <w:t>數量及</w:t>
      </w:r>
      <w:proofErr w:type="gramStart"/>
      <w:r w:rsidRPr="00484E64">
        <w:rPr>
          <w:rFonts w:ascii="標楷體" w:eastAsia="標楷體" w:hAnsi="標楷體" w:hint="eastAsia"/>
          <w:szCs w:val="24"/>
        </w:rPr>
        <w:t>我國碳費對接</w:t>
      </w:r>
      <w:proofErr w:type="gramEnd"/>
      <w:r w:rsidRPr="00484E64">
        <w:rPr>
          <w:rFonts w:ascii="標楷體" w:eastAsia="標楷體" w:hAnsi="標楷體" w:hint="eastAsia"/>
          <w:szCs w:val="24"/>
        </w:rPr>
        <w:t>CBAM等情，預為</w:t>
      </w:r>
      <w:proofErr w:type="gramStart"/>
      <w:r w:rsidRPr="00484E64">
        <w:rPr>
          <w:rFonts w:ascii="標楷體" w:eastAsia="標楷體" w:hAnsi="標楷體" w:hint="eastAsia"/>
          <w:szCs w:val="24"/>
        </w:rPr>
        <w:t>研</w:t>
      </w:r>
      <w:proofErr w:type="gramEnd"/>
      <w:r w:rsidRPr="00484E64">
        <w:rPr>
          <w:rFonts w:ascii="標楷體" w:eastAsia="標楷體" w:hAnsi="標楷體" w:hint="eastAsia"/>
          <w:szCs w:val="24"/>
        </w:rPr>
        <w:t>謀因應，另注意</w:t>
      </w:r>
      <w:proofErr w:type="gramStart"/>
      <w:r w:rsidRPr="00484E64">
        <w:rPr>
          <w:rFonts w:ascii="標楷體" w:eastAsia="標楷體" w:hAnsi="標楷體" w:hint="eastAsia"/>
          <w:szCs w:val="24"/>
        </w:rPr>
        <w:t>114年1月1日起碳費徵收</w:t>
      </w:r>
      <w:proofErr w:type="gramEnd"/>
      <w:r w:rsidRPr="00484E64">
        <w:rPr>
          <w:rFonts w:ascii="標楷體" w:eastAsia="標楷體" w:hAnsi="標楷體" w:hint="eastAsia"/>
          <w:szCs w:val="24"/>
        </w:rPr>
        <w:t>及相關配套子法生效後落實情形，以期</w:t>
      </w:r>
      <w:proofErr w:type="gramStart"/>
      <w:r w:rsidRPr="00484E64">
        <w:rPr>
          <w:rFonts w:ascii="標楷體" w:eastAsia="標楷體" w:hAnsi="標楷體" w:hint="eastAsia"/>
          <w:szCs w:val="24"/>
        </w:rPr>
        <w:t>加速淨零轉型</w:t>
      </w:r>
      <w:proofErr w:type="gramEnd"/>
      <w:r w:rsidRPr="00484E64">
        <w:rPr>
          <w:rFonts w:ascii="標楷體" w:eastAsia="標楷體" w:hAnsi="標楷體" w:hint="eastAsia"/>
          <w:szCs w:val="24"/>
        </w:rPr>
        <w:t>，有效提升氣候變遷因應量能，創造國家永續競爭力。</w:t>
      </w:r>
    </w:p>
    <w:p w14:paraId="0E3192F3" w14:textId="3DF0E7F7" w:rsidR="00E8604E" w:rsidRPr="002764DD" w:rsidRDefault="00E8604E" w:rsidP="00CA55FD">
      <w:pPr>
        <w:pStyle w:val="2"/>
        <w:overflowPunct w:val="0"/>
        <w:spacing w:beforeLines="50" w:before="180" w:afterLines="30" w:after="108" w:line="45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（二）　</w:t>
      </w:r>
      <w:r w:rsidR="005E701E" w:rsidRPr="005E701E">
        <w:rPr>
          <w:rFonts w:hAnsi="標楷體" w:hint="eastAsia"/>
          <w:b/>
          <w:color w:val="000000" w:themeColor="text1"/>
          <w:sz w:val="28"/>
          <w:szCs w:val="28"/>
        </w:rPr>
        <w:t>多數國營事業已自主</w:t>
      </w:r>
      <w:proofErr w:type="gramStart"/>
      <w:r w:rsidR="005E701E" w:rsidRPr="005E701E">
        <w:rPr>
          <w:rFonts w:hAnsi="標楷體" w:hint="eastAsia"/>
          <w:b/>
          <w:color w:val="000000" w:themeColor="text1"/>
          <w:sz w:val="28"/>
          <w:szCs w:val="28"/>
        </w:rPr>
        <w:t>性編製永</w:t>
      </w:r>
      <w:proofErr w:type="gramEnd"/>
      <w:r w:rsidR="005E701E" w:rsidRPr="005E701E">
        <w:rPr>
          <w:rFonts w:hAnsi="標楷體" w:hint="eastAsia"/>
          <w:b/>
          <w:color w:val="000000" w:themeColor="text1"/>
          <w:sz w:val="28"/>
          <w:szCs w:val="28"/>
        </w:rPr>
        <w:t>續報告書，且環境</w:t>
      </w:r>
      <w:proofErr w:type="gramStart"/>
      <w:r w:rsidR="005E701E" w:rsidRPr="005E701E">
        <w:rPr>
          <w:rFonts w:hAnsi="標楷體" w:hint="eastAsia"/>
          <w:b/>
          <w:color w:val="000000" w:themeColor="text1"/>
          <w:sz w:val="28"/>
          <w:szCs w:val="28"/>
        </w:rPr>
        <w:t>部已公告碳費</w:t>
      </w:r>
      <w:proofErr w:type="gramEnd"/>
      <w:r w:rsidR="005E701E" w:rsidRPr="005E701E">
        <w:rPr>
          <w:rFonts w:hAnsi="標楷體" w:hint="eastAsia"/>
          <w:b/>
          <w:color w:val="000000" w:themeColor="text1"/>
          <w:sz w:val="28"/>
          <w:szCs w:val="28"/>
        </w:rPr>
        <w:t>徵收費率，允宜</w:t>
      </w:r>
      <w:proofErr w:type="gramStart"/>
      <w:r w:rsidR="005E701E" w:rsidRPr="005E701E">
        <w:rPr>
          <w:rFonts w:hAnsi="標楷體" w:hint="eastAsia"/>
          <w:b/>
          <w:color w:val="000000" w:themeColor="text1"/>
          <w:sz w:val="28"/>
          <w:szCs w:val="28"/>
        </w:rPr>
        <w:t>研</w:t>
      </w:r>
      <w:proofErr w:type="gramEnd"/>
      <w:r w:rsidR="005E701E" w:rsidRPr="005E701E">
        <w:rPr>
          <w:rFonts w:hAnsi="標楷體" w:hint="eastAsia"/>
          <w:b/>
          <w:color w:val="000000" w:themeColor="text1"/>
          <w:sz w:val="28"/>
          <w:szCs w:val="28"/>
        </w:rPr>
        <w:t>議參考過去國營事業成功導入IFRSs經驗，通盤檢討修訂中央政府總預算附屬單位預算編製辦法等規定，以利導入IFRS S1、S2實施計畫，並輔導</w:t>
      </w:r>
      <w:proofErr w:type="gramStart"/>
      <w:r w:rsidR="005E701E" w:rsidRPr="005E701E">
        <w:rPr>
          <w:rFonts w:hAnsi="標楷體" w:hint="eastAsia"/>
          <w:b/>
          <w:color w:val="000000" w:themeColor="text1"/>
          <w:sz w:val="28"/>
          <w:szCs w:val="28"/>
        </w:rPr>
        <w:t>研</w:t>
      </w:r>
      <w:proofErr w:type="gramEnd"/>
      <w:r w:rsidR="005E701E" w:rsidRPr="005E701E">
        <w:rPr>
          <w:rFonts w:hAnsi="標楷體" w:hint="eastAsia"/>
          <w:b/>
          <w:color w:val="000000" w:themeColor="text1"/>
          <w:sz w:val="28"/>
          <w:szCs w:val="28"/>
        </w:rPr>
        <w:t>擬具體可行溫室氣體減量措施，</w:t>
      </w:r>
      <w:proofErr w:type="gramStart"/>
      <w:r w:rsidR="005E701E" w:rsidRPr="005E701E">
        <w:rPr>
          <w:rFonts w:hAnsi="標楷體" w:hint="eastAsia"/>
          <w:b/>
          <w:color w:val="000000" w:themeColor="text1"/>
          <w:sz w:val="28"/>
          <w:szCs w:val="28"/>
        </w:rPr>
        <w:t>引導淨零轉型</w:t>
      </w:r>
      <w:proofErr w:type="gramEnd"/>
      <w:r w:rsidR="005E701E" w:rsidRPr="005E701E">
        <w:rPr>
          <w:rFonts w:hAnsi="標楷體" w:hint="eastAsia"/>
          <w:b/>
          <w:color w:val="000000" w:themeColor="text1"/>
          <w:sz w:val="28"/>
          <w:szCs w:val="28"/>
        </w:rPr>
        <w:t>及</w:t>
      </w:r>
      <w:proofErr w:type="gramStart"/>
      <w:r w:rsidR="005E701E" w:rsidRPr="005E701E">
        <w:rPr>
          <w:rFonts w:hAnsi="標楷體" w:hint="eastAsia"/>
          <w:b/>
          <w:color w:val="000000" w:themeColor="text1"/>
          <w:sz w:val="28"/>
          <w:szCs w:val="28"/>
        </w:rPr>
        <w:t>降低碳費徵收</w:t>
      </w:r>
      <w:proofErr w:type="gramEnd"/>
      <w:r w:rsidR="005E701E" w:rsidRPr="005E701E">
        <w:rPr>
          <w:rFonts w:hAnsi="標楷體" w:hint="eastAsia"/>
          <w:b/>
          <w:color w:val="000000" w:themeColor="text1"/>
          <w:sz w:val="28"/>
          <w:szCs w:val="28"/>
        </w:rPr>
        <w:t>負荷，增進事業財務效能。</w:t>
      </w:r>
    </w:p>
    <w:p w14:paraId="1EDF364B" w14:textId="6D947EE2" w:rsidR="00E8604E" w:rsidRPr="002764DD" w:rsidRDefault="00D7303F" w:rsidP="00CA55FD">
      <w:pPr>
        <w:pStyle w:val="a7"/>
        <w:overflowPunct w:val="0"/>
        <w:spacing w:line="450" w:lineRule="exact"/>
        <w:ind w:firstLineChars="200" w:firstLine="480"/>
        <w:jc w:val="both"/>
        <w:rPr>
          <w:rFonts w:ascii="標楷體" w:eastAsia="標楷體" w:hAnsi="標楷體"/>
          <w:color w:val="000000" w:themeColor="text1"/>
          <w:szCs w:val="24"/>
        </w:rPr>
      </w:pPr>
      <w:proofErr w:type="gramStart"/>
      <w:r w:rsidRPr="00D7303F">
        <w:rPr>
          <w:rFonts w:ascii="標楷體" w:eastAsia="標楷體" w:hAnsi="標楷體" w:hint="eastAsia"/>
          <w:color w:val="000000" w:themeColor="text1"/>
          <w:szCs w:val="24"/>
        </w:rPr>
        <w:t>113</w:t>
      </w:r>
      <w:proofErr w:type="gramEnd"/>
      <w:r w:rsidRPr="00D7303F">
        <w:rPr>
          <w:rFonts w:ascii="標楷體" w:eastAsia="標楷體" w:hAnsi="標楷體" w:hint="eastAsia"/>
          <w:color w:val="000000" w:themeColor="text1"/>
          <w:szCs w:val="24"/>
        </w:rPr>
        <w:t>年度國營事業計有15家，其中9家屬公開發行公司，業務範圍涵蓋製造業、電力及燃氣供應業、用水供應及污染整治業、運輸及倉儲業、金融及保險業等行業別。按國家發展委員會於111年3月公布「臺灣2050</w:t>
      </w:r>
      <w:proofErr w:type="gramStart"/>
      <w:r w:rsidRPr="00D7303F">
        <w:rPr>
          <w:rFonts w:ascii="標楷體" w:eastAsia="標楷體" w:hAnsi="標楷體" w:hint="eastAsia"/>
          <w:color w:val="000000" w:themeColor="text1"/>
          <w:szCs w:val="24"/>
        </w:rPr>
        <w:t>淨零排放</w:t>
      </w:r>
      <w:proofErr w:type="gramEnd"/>
      <w:r w:rsidRPr="00D7303F">
        <w:rPr>
          <w:rFonts w:ascii="標楷體" w:eastAsia="標楷體" w:hAnsi="標楷體" w:hint="eastAsia"/>
          <w:color w:val="000000" w:themeColor="text1"/>
          <w:szCs w:val="24"/>
        </w:rPr>
        <w:t>路徑及策略總說明」，規劃國家長期溫室氣體減量路徑，制定12項關鍵戰略，經初步盤點111至119年度國營事業投入能源轉型</w:t>
      </w:r>
      <w:proofErr w:type="gramStart"/>
      <w:r w:rsidRPr="00D7303F">
        <w:rPr>
          <w:rFonts w:ascii="標楷體" w:eastAsia="標楷體" w:hAnsi="標楷體" w:hint="eastAsia"/>
          <w:color w:val="000000" w:themeColor="text1"/>
          <w:szCs w:val="24"/>
        </w:rPr>
        <w:t>及淨零轉型</w:t>
      </w:r>
      <w:proofErr w:type="gramEnd"/>
      <w:r w:rsidRPr="00D7303F">
        <w:rPr>
          <w:rFonts w:ascii="標楷體" w:eastAsia="標楷體" w:hAnsi="標楷體" w:hint="eastAsia"/>
          <w:color w:val="000000" w:themeColor="text1"/>
          <w:szCs w:val="24"/>
        </w:rPr>
        <w:t>之投資預算規模達4,400億元。有關國營事業</w:t>
      </w:r>
      <w:proofErr w:type="gramStart"/>
      <w:r w:rsidRPr="00D7303F">
        <w:rPr>
          <w:rFonts w:ascii="標楷體" w:eastAsia="標楷體" w:hAnsi="標楷體" w:hint="eastAsia"/>
          <w:color w:val="000000" w:themeColor="text1"/>
          <w:szCs w:val="24"/>
        </w:rPr>
        <w:t>推動淨零轉型</w:t>
      </w:r>
      <w:proofErr w:type="gramEnd"/>
      <w:r w:rsidRPr="00D7303F">
        <w:rPr>
          <w:rFonts w:ascii="標楷體" w:eastAsia="標楷體" w:hAnsi="標楷體" w:hint="eastAsia"/>
          <w:color w:val="000000" w:themeColor="text1"/>
          <w:szCs w:val="24"/>
        </w:rPr>
        <w:t>計畫情形，核有下列事項：</w:t>
      </w:r>
    </w:p>
    <w:p w14:paraId="74328FB1" w14:textId="6F58F6C1" w:rsidR="00E8604E" w:rsidRPr="002764DD" w:rsidRDefault="00E8604E" w:rsidP="00CA55FD">
      <w:pPr>
        <w:overflowPunct w:val="0"/>
        <w:spacing w:beforeLines="30" w:before="108" w:line="43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A465B7" w:rsidRPr="00484E64">
        <w:rPr>
          <w:rFonts w:ascii="標楷體" w:eastAsia="標楷體" w:hAnsi="標楷體" w:hint="eastAsia"/>
          <w:b/>
          <w:szCs w:val="24"/>
        </w:rPr>
        <w:t>多數國營事業已自主</w:t>
      </w:r>
      <w:proofErr w:type="gramStart"/>
      <w:r w:rsidR="00A465B7" w:rsidRPr="00484E64">
        <w:rPr>
          <w:rFonts w:ascii="標楷體" w:eastAsia="標楷體" w:hAnsi="標楷體" w:hint="eastAsia"/>
          <w:b/>
          <w:szCs w:val="24"/>
        </w:rPr>
        <w:t>性編製永</w:t>
      </w:r>
      <w:proofErr w:type="gramEnd"/>
      <w:r w:rsidR="00A465B7" w:rsidRPr="00484E64">
        <w:rPr>
          <w:rFonts w:ascii="標楷體" w:eastAsia="標楷體" w:hAnsi="標楷體" w:hint="eastAsia"/>
          <w:b/>
          <w:szCs w:val="24"/>
        </w:rPr>
        <w:t>續報告書，惟中央政府總預算附屬單位預算編製辦法及總決算附屬單位決算編製要點，尚未訂定規範各事業應揭露永續相關風險與機會資訊等規定，有待通盤</w:t>
      </w:r>
      <w:proofErr w:type="gramStart"/>
      <w:r w:rsidR="00A465B7" w:rsidRPr="00484E64">
        <w:rPr>
          <w:rFonts w:ascii="標楷體" w:eastAsia="標楷體" w:hAnsi="標楷體" w:hint="eastAsia"/>
          <w:b/>
          <w:szCs w:val="24"/>
        </w:rPr>
        <w:t>研</w:t>
      </w:r>
      <w:proofErr w:type="gramEnd"/>
      <w:r w:rsidR="00A465B7" w:rsidRPr="00484E64">
        <w:rPr>
          <w:rFonts w:ascii="標楷體" w:eastAsia="標楷體" w:hAnsi="標楷體" w:hint="eastAsia"/>
          <w:b/>
          <w:szCs w:val="24"/>
        </w:rPr>
        <w:t>議修訂，以利導入IFRS S1、S2實施計畫，</w:t>
      </w:r>
      <w:proofErr w:type="gramStart"/>
      <w:r w:rsidR="00A465B7" w:rsidRPr="00484E64">
        <w:rPr>
          <w:rFonts w:ascii="標楷體" w:eastAsia="標楷體" w:hAnsi="標楷體" w:hint="eastAsia"/>
          <w:b/>
          <w:szCs w:val="24"/>
        </w:rPr>
        <w:t>引導淨零轉型</w:t>
      </w:r>
      <w:proofErr w:type="gramEnd"/>
      <w:r w:rsidR="00A465B7" w:rsidRPr="00484E64">
        <w:rPr>
          <w:rFonts w:ascii="標楷體" w:eastAsia="標楷體" w:hAnsi="標楷體" w:hint="eastAsia"/>
          <w:b/>
          <w:szCs w:val="24"/>
        </w:rPr>
        <w:t>：</w:t>
      </w:r>
      <w:r w:rsidR="00A465B7" w:rsidRPr="00484E64">
        <w:rPr>
          <w:rFonts w:ascii="標楷體" w:eastAsia="標楷體" w:hAnsi="標楷體" w:hint="eastAsia"/>
          <w:szCs w:val="24"/>
        </w:rPr>
        <w:t>國際財務報導準則（International Financial Reporting Standards, IFRSs）基金會轄下國際永續準則委員會（International Sustainability Standards Board, ISSB）為訂定國際一致且高品質之永續揭露基準（Global Baseline），於2023年6月發布第S1號「永續相關財務資訊揭露之一般規定」（General Requirements for Disclosure of Sustainability-related Financial Information）及第S2號「氣候相關揭露」（Climate-related Disclosures）。金融監督管理委員會考量行政院已宣示</w:t>
      </w:r>
      <w:proofErr w:type="gramStart"/>
      <w:r w:rsidR="00A465B7" w:rsidRPr="00484E64">
        <w:rPr>
          <w:rFonts w:ascii="標楷體" w:eastAsia="標楷體" w:hAnsi="標楷體" w:hint="eastAsia"/>
          <w:szCs w:val="24"/>
        </w:rPr>
        <w:t>2050年淨零排放</w:t>
      </w:r>
      <w:proofErr w:type="gramEnd"/>
      <w:r w:rsidR="00A465B7" w:rsidRPr="00484E64">
        <w:rPr>
          <w:rFonts w:ascii="標楷體" w:eastAsia="標楷體" w:hAnsi="標楷體" w:hint="eastAsia"/>
          <w:szCs w:val="24"/>
        </w:rPr>
        <w:t>之目標，及IFRS S2要求加強揭露氣候轉型計畫、情境分析及溫室氣體排放資訊，有助於企業設定轉型目標及執行轉型計畫，邁向</w:t>
      </w:r>
      <w:proofErr w:type="gramStart"/>
      <w:r w:rsidR="00A465B7" w:rsidRPr="00484E64">
        <w:rPr>
          <w:rFonts w:ascii="標楷體" w:eastAsia="標楷體" w:hAnsi="標楷體" w:hint="eastAsia"/>
          <w:szCs w:val="24"/>
        </w:rPr>
        <w:t>國家淨零目標</w:t>
      </w:r>
      <w:proofErr w:type="gramEnd"/>
      <w:r w:rsidR="00A465B7" w:rsidRPr="00484E64">
        <w:rPr>
          <w:rFonts w:ascii="標楷體" w:eastAsia="標楷體" w:hAnsi="標楷體" w:hint="eastAsia"/>
          <w:szCs w:val="24"/>
        </w:rPr>
        <w:t>，已於112年8月發布我國接軌IFRS永續揭露準則藍圖，按資本額規模分三階段適用IFRS永續揭</w:t>
      </w:r>
      <w:r w:rsidR="00A465B7" w:rsidRPr="00484E64">
        <w:rPr>
          <w:rFonts w:ascii="標楷體" w:eastAsia="標楷體" w:hAnsi="標楷體" w:hint="eastAsia"/>
          <w:szCs w:val="24"/>
        </w:rPr>
        <w:lastRenderedPageBreak/>
        <w:t>露準則，其中資本額達100億元以上之上市櫃公司，自116年起須依IFRS S1及S2規定於股東會年報新增永續資訊專章，揭露永續相關風險與機會資訊，包括低碳轉型計畫、溫室氣體排放二氧化碳約當量等資訊。國營事業預算依據主管機關核定年度業務計畫、營運目標編列，決算依據預算執行情形編造，多係營業活動歷史資訊，又中央政府總預算附屬單位預算編製辦法及總決算附屬單位決算編製要點，尚未訂定規範各事業應補充揭露未來短、中、長期之永續相關風險與機會資訊等規定。</w:t>
      </w:r>
      <w:proofErr w:type="gramStart"/>
      <w:r w:rsidR="00A465B7" w:rsidRPr="00484E64">
        <w:rPr>
          <w:rFonts w:ascii="標楷體" w:eastAsia="標楷體" w:hAnsi="標楷體" w:hint="eastAsia"/>
          <w:szCs w:val="24"/>
        </w:rPr>
        <w:t>鑑</w:t>
      </w:r>
      <w:proofErr w:type="gramEnd"/>
      <w:r w:rsidR="00A465B7" w:rsidRPr="00484E64">
        <w:rPr>
          <w:rFonts w:ascii="標楷體" w:eastAsia="標楷體" w:hAnsi="標楷體" w:hint="eastAsia"/>
          <w:szCs w:val="24"/>
        </w:rPr>
        <w:t>於經濟部、財政部及交通部所屬12家國營事業</w:t>
      </w:r>
      <w:proofErr w:type="gramStart"/>
      <w:r w:rsidR="00A465B7" w:rsidRPr="00484E64">
        <w:rPr>
          <w:rFonts w:ascii="標楷體" w:eastAsia="標楷體" w:hAnsi="標楷體" w:hint="eastAsia"/>
          <w:szCs w:val="24"/>
        </w:rPr>
        <w:t>113</w:t>
      </w:r>
      <w:proofErr w:type="gramEnd"/>
      <w:r w:rsidR="00A465B7" w:rsidRPr="00484E64">
        <w:rPr>
          <w:rFonts w:ascii="標楷體" w:eastAsia="標楷體" w:hAnsi="標楷體" w:hint="eastAsia"/>
          <w:szCs w:val="24"/>
        </w:rPr>
        <w:t>年度已</w:t>
      </w:r>
      <w:proofErr w:type="gramStart"/>
      <w:r w:rsidR="00A465B7" w:rsidRPr="00484E64">
        <w:rPr>
          <w:rFonts w:ascii="標楷體" w:eastAsia="標楷體" w:hAnsi="標楷體" w:hint="eastAsia"/>
          <w:szCs w:val="24"/>
        </w:rPr>
        <w:t>編製永續</w:t>
      </w:r>
      <w:proofErr w:type="gramEnd"/>
      <w:r w:rsidR="00A465B7" w:rsidRPr="00484E64">
        <w:rPr>
          <w:rFonts w:ascii="標楷體" w:eastAsia="標楷體" w:hAnsi="標楷體" w:hint="eastAsia"/>
          <w:szCs w:val="24"/>
        </w:rPr>
        <w:t>報告書，具備導入IFRS S1及S2基礎，且氣候相關風險及機會與各事業主要營運項目、產銷計畫未來展望緊密扣合，有待通盤規劃或</w:t>
      </w:r>
      <w:proofErr w:type="gramStart"/>
      <w:r w:rsidR="00A465B7" w:rsidRPr="00484E64">
        <w:rPr>
          <w:rFonts w:ascii="標楷體" w:eastAsia="標楷體" w:hAnsi="標楷體" w:hint="eastAsia"/>
          <w:szCs w:val="24"/>
        </w:rPr>
        <w:t>研</w:t>
      </w:r>
      <w:proofErr w:type="gramEnd"/>
      <w:r w:rsidR="00A465B7" w:rsidRPr="00484E64">
        <w:rPr>
          <w:rFonts w:ascii="標楷體" w:eastAsia="標楷體" w:hAnsi="標楷體" w:hint="eastAsia"/>
          <w:szCs w:val="24"/>
        </w:rPr>
        <w:t>議修訂中央政府總預算附屬單位預算編製辦法及總決算附屬單位決算編製要點等規定，以利國營事業導入IFRS S1、S2實施計畫，</w:t>
      </w:r>
      <w:proofErr w:type="gramStart"/>
      <w:r w:rsidR="00A465B7" w:rsidRPr="00484E64">
        <w:rPr>
          <w:rFonts w:ascii="標楷體" w:eastAsia="標楷體" w:hAnsi="標楷體" w:hint="eastAsia"/>
          <w:szCs w:val="24"/>
        </w:rPr>
        <w:t>於預</w:t>
      </w:r>
      <w:proofErr w:type="gramEnd"/>
      <w:r w:rsidR="00A465B7" w:rsidRPr="00484E64">
        <w:rPr>
          <w:rFonts w:ascii="標楷體" w:eastAsia="標楷體" w:hAnsi="標楷體" w:hint="eastAsia"/>
          <w:szCs w:val="24"/>
        </w:rPr>
        <w:t>（決）書專章揭露永續資訊，</w:t>
      </w:r>
      <w:proofErr w:type="gramStart"/>
      <w:r w:rsidR="00A465B7" w:rsidRPr="00484E64">
        <w:rPr>
          <w:rFonts w:ascii="標楷體" w:eastAsia="標楷體" w:hAnsi="標楷體" w:hint="eastAsia"/>
          <w:szCs w:val="24"/>
        </w:rPr>
        <w:t>引導淨零轉型</w:t>
      </w:r>
      <w:proofErr w:type="gramEnd"/>
      <w:r w:rsidR="00A465B7" w:rsidRPr="00484E64">
        <w:rPr>
          <w:rFonts w:ascii="標楷體" w:eastAsia="標楷體" w:hAnsi="標楷體" w:hint="eastAsia"/>
          <w:szCs w:val="24"/>
        </w:rPr>
        <w:t>，並可與民間企業</w:t>
      </w:r>
      <w:proofErr w:type="gramStart"/>
      <w:r w:rsidR="00A465B7" w:rsidRPr="00484E64">
        <w:rPr>
          <w:rFonts w:ascii="標楷體" w:eastAsia="標楷體" w:hAnsi="標楷體" w:hint="eastAsia"/>
          <w:szCs w:val="24"/>
        </w:rPr>
        <w:t>比較淨零計畫</w:t>
      </w:r>
      <w:proofErr w:type="gramEnd"/>
      <w:r w:rsidR="00A465B7" w:rsidRPr="00484E64">
        <w:rPr>
          <w:rFonts w:ascii="標楷體" w:eastAsia="標楷體" w:hAnsi="標楷體" w:hint="eastAsia"/>
          <w:szCs w:val="24"/>
        </w:rPr>
        <w:t>推動成效優劣，作為改善策略之參考。</w:t>
      </w:r>
    </w:p>
    <w:p w14:paraId="078C6E33" w14:textId="77777777" w:rsidR="00AA592F" w:rsidRDefault="00E8604E" w:rsidP="00CA55FD">
      <w:pPr>
        <w:overflowPunct w:val="0"/>
        <w:spacing w:line="42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2.</w:t>
      </w:r>
      <w:r w:rsidR="006F0B73">
        <w:rPr>
          <w:rFonts w:ascii="標楷體" w:eastAsia="標楷體" w:hAnsi="標楷體" w:hint="eastAsia"/>
          <w:b/>
          <w:szCs w:val="24"/>
        </w:rPr>
        <w:t xml:space="preserve">　</w:t>
      </w:r>
      <w:r w:rsidR="006F0B73" w:rsidRPr="00484E64">
        <w:rPr>
          <w:rFonts w:ascii="標楷體" w:eastAsia="標楷體" w:hAnsi="標楷體" w:hint="eastAsia"/>
          <w:b/>
          <w:szCs w:val="24"/>
        </w:rPr>
        <w:t>環境</w:t>
      </w:r>
      <w:proofErr w:type="gramStart"/>
      <w:r w:rsidR="006F0B73" w:rsidRPr="00484E64">
        <w:rPr>
          <w:rFonts w:ascii="標楷體" w:eastAsia="標楷體" w:hAnsi="標楷體" w:hint="eastAsia"/>
          <w:b/>
          <w:szCs w:val="24"/>
        </w:rPr>
        <w:t>部已公告碳費</w:t>
      </w:r>
      <w:proofErr w:type="gramEnd"/>
      <w:r w:rsidR="006F0B73" w:rsidRPr="00484E64">
        <w:rPr>
          <w:rFonts w:ascii="標楷體" w:eastAsia="標楷體" w:hAnsi="標楷體" w:hint="eastAsia"/>
          <w:b/>
          <w:szCs w:val="24"/>
        </w:rPr>
        <w:t>徵收費率，並提供優惠費率予提出自主減量計畫</w:t>
      </w:r>
      <w:proofErr w:type="gramStart"/>
      <w:r w:rsidR="006F0B73" w:rsidRPr="00484E64">
        <w:rPr>
          <w:rFonts w:ascii="標楷體" w:eastAsia="標楷體" w:hAnsi="標楷體" w:hint="eastAsia"/>
          <w:b/>
          <w:szCs w:val="24"/>
        </w:rPr>
        <w:t>之碳費</w:t>
      </w:r>
      <w:proofErr w:type="gramEnd"/>
      <w:r w:rsidR="006F0B73" w:rsidRPr="00484E64">
        <w:rPr>
          <w:rFonts w:ascii="標楷體" w:eastAsia="標楷體" w:hAnsi="標楷體" w:hint="eastAsia"/>
          <w:b/>
          <w:szCs w:val="24"/>
        </w:rPr>
        <w:t>徵收對象，允宜積極輔導國營事業</w:t>
      </w:r>
      <w:proofErr w:type="gramStart"/>
      <w:r w:rsidR="006F0B73" w:rsidRPr="00484E64">
        <w:rPr>
          <w:rFonts w:ascii="標楷體" w:eastAsia="標楷體" w:hAnsi="標楷體" w:hint="eastAsia"/>
          <w:b/>
          <w:szCs w:val="24"/>
        </w:rPr>
        <w:t>研</w:t>
      </w:r>
      <w:proofErr w:type="gramEnd"/>
      <w:r w:rsidR="006F0B73" w:rsidRPr="00484E64">
        <w:rPr>
          <w:rFonts w:ascii="標楷體" w:eastAsia="標楷體" w:hAnsi="標楷體" w:hint="eastAsia"/>
          <w:b/>
          <w:szCs w:val="24"/>
        </w:rPr>
        <w:t>擬具體可行溫室氣體減量措施，</w:t>
      </w:r>
      <w:proofErr w:type="gramStart"/>
      <w:r w:rsidR="006F0B73" w:rsidRPr="00484E64">
        <w:rPr>
          <w:rFonts w:ascii="標楷體" w:eastAsia="標楷體" w:hAnsi="標楷體" w:hint="eastAsia"/>
          <w:b/>
          <w:szCs w:val="24"/>
        </w:rPr>
        <w:t>降低碳費徵收</w:t>
      </w:r>
      <w:proofErr w:type="gramEnd"/>
      <w:r w:rsidR="006F0B73" w:rsidRPr="00484E64">
        <w:rPr>
          <w:rFonts w:ascii="標楷體" w:eastAsia="標楷體" w:hAnsi="標楷體" w:hint="eastAsia"/>
          <w:b/>
          <w:szCs w:val="24"/>
        </w:rPr>
        <w:t>負荷，增進事業財務效能：</w:t>
      </w:r>
      <w:proofErr w:type="gramStart"/>
      <w:r w:rsidR="006F0B73" w:rsidRPr="00484E64">
        <w:rPr>
          <w:rFonts w:ascii="標楷體" w:eastAsia="標楷體" w:hAnsi="標楷體" w:hint="eastAsia"/>
          <w:szCs w:val="24"/>
        </w:rPr>
        <w:t>環境部依氣候</w:t>
      </w:r>
      <w:proofErr w:type="gramEnd"/>
      <w:r w:rsidR="006F0B73" w:rsidRPr="00484E64">
        <w:rPr>
          <w:rFonts w:ascii="標楷體" w:eastAsia="標楷體" w:hAnsi="標楷體" w:hint="eastAsia"/>
          <w:szCs w:val="24"/>
        </w:rPr>
        <w:t>變遷因應法第28條規定訂定</w:t>
      </w:r>
      <w:proofErr w:type="gramStart"/>
      <w:r w:rsidR="006F0B73" w:rsidRPr="00484E64">
        <w:rPr>
          <w:rFonts w:ascii="標楷體" w:eastAsia="標楷體" w:hAnsi="標楷體" w:hint="eastAsia"/>
          <w:szCs w:val="24"/>
        </w:rPr>
        <w:t>發布碳費收費</w:t>
      </w:r>
      <w:proofErr w:type="gramEnd"/>
      <w:r w:rsidR="006F0B73" w:rsidRPr="00484E64">
        <w:rPr>
          <w:rFonts w:ascii="標楷體" w:eastAsia="標楷體" w:hAnsi="標楷體" w:hint="eastAsia"/>
          <w:szCs w:val="24"/>
        </w:rPr>
        <w:t>辦法，並</w:t>
      </w:r>
      <w:proofErr w:type="gramStart"/>
      <w:r w:rsidR="006F0B73" w:rsidRPr="00484E64">
        <w:rPr>
          <w:rFonts w:ascii="標楷體" w:eastAsia="標楷體" w:hAnsi="標楷體" w:hint="eastAsia"/>
          <w:szCs w:val="24"/>
        </w:rPr>
        <w:t>公告碳費徵收</w:t>
      </w:r>
      <w:proofErr w:type="gramEnd"/>
      <w:r w:rsidR="006F0B73" w:rsidRPr="00484E64">
        <w:rPr>
          <w:rFonts w:ascii="標楷體" w:eastAsia="標楷體" w:hAnsi="標楷體" w:hint="eastAsia"/>
          <w:szCs w:val="24"/>
        </w:rPr>
        <w:t>費率，其中每</w:t>
      </w:r>
      <w:proofErr w:type="gramStart"/>
      <w:r w:rsidR="006F0B73" w:rsidRPr="00484E64">
        <w:rPr>
          <w:rFonts w:ascii="標楷體" w:eastAsia="標楷體" w:hAnsi="標楷體" w:hint="eastAsia"/>
          <w:szCs w:val="24"/>
        </w:rPr>
        <w:t>噸碳一般</w:t>
      </w:r>
      <w:proofErr w:type="gramEnd"/>
      <w:r w:rsidR="006F0B73" w:rsidRPr="00484E64">
        <w:rPr>
          <w:rFonts w:ascii="標楷體" w:eastAsia="標楷體" w:hAnsi="標楷體" w:hint="eastAsia"/>
          <w:szCs w:val="24"/>
        </w:rPr>
        <w:t>費率300元，</w:t>
      </w:r>
      <w:proofErr w:type="gramStart"/>
      <w:r w:rsidR="006F0B73" w:rsidRPr="00484E64">
        <w:rPr>
          <w:rFonts w:ascii="標楷體" w:eastAsia="標楷體" w:hAnsi="標楷體" w:hint="eastAsia"/>
          <w:szCs w:val="24"/>
        </w:rPr>
        <w:t>碳費徵收</w:t>
      </w:r>
      <w:proofErr w:type="gramEnd"/>
      <w:r w:rsidR="006F0B73" w:rsidRPr="00484E64">
        <w:rPr>
          <w:rFonts w:ascii="標楷體" w:eastAsia="標楷體" w:hAnsi="標楷體" w:hint="eastAsia"/>
          <w:szCs w:val="24"/>
        </w:rPr>
        <w:t>對象應於115年5月，依114年全年度之溫室氣體排放量計算並</w:t>
      </w:r>
      <w:proofErr w:type="gramStart"/>
      <w:r w:rsidR="006F0B73" w:rsidRPr="00484E64">
        <w:rPr>
          <w:rFonts w:ascii="標楷體" w:eastAsia="標楷體" w:hAnsi="標楷體" w:hint="eastAsia"/>
          <w:szCs w:val="24"/>
        </w:rPr>
        <w:t>繳交碳費</w:t>
      </w:r>
      <w:proofErr w:type="gramEnd"/>
      <w:r w:rsidR="006F0B73" w:rsidRPr="00484E64">
        <w:rPr>
          <w:rFonts w:ascii="標楷體" w:eastAsia="標楷體" w:hAnsi="標楷體" w:hint="eastAsia"/>
          <w:szCs w:val="24"/>
        </w:rPr>
        <w:t>，據環境部估計，</w:t>
      </w:r>
      <w:proofErr w:type="gramStart"/>
      <w:r w:rsidR="006F0B73" w:rsidRPr="00484E64">
        <w:rPr>
          <w:rFonts w:ascii="標楷體" w:eastAsia="標楷體" w:hAnsi="標楷體" w:hint="eastAsia"/>
          <w:szCs w:val="24"/>
        </w:rPr>
        <w:t>11</w:t>
      </w:r>
      <w:r w:rsidR="006F0B73" w:rsidRPr="00484E64">
        <w:rPr>
          <w:rFonts w:ascii="標楷體" w:eastAsia="標楷體" w:hAnsi="標楷體" w:hint="eastAsia"/>
          <w:spacing w:val="-2"/>
          <w:szCs w:val="24"/>
        </w:rPr>
        <w:t>5</w:t>
      </w:r>
      <w:proofErr w:type="gramEnd"/>
      <w:r w:rsidR="006F0B73" w:rsidRPr="00484E64">
        <w:rPr>
          <w:rFonts w:ascii="標楷體" w:eastAsia="標楷體" w:hAnsi="標楷體" w:hint="eastAsia"/>
          <w:spacing w:val="-2"/>
          <w:szCs w:val="24"/>
        </w:rPr>
        <w:t>年度</w:t>
      </w:r>
      <w:proofErr w:type="gramStart"/>
      <w:r w:rsidR="006F0B73" w:rsidRPr="00484E64">
        <w:rPr>
          <w:rFonts w:ascii="標楷體" w:eastAsia="標楷體" w:hAnsi="標楷體" w:hint="eastAsia"/>
          <w:spacing w:val="-2"/>
          <w:szCs w:val="24"/>
        </w:rPr>
        <w:t>總碳費</w:t>
      </w:r>
      <w:proofErr w:type="gramEnd"/>
      <w:r w:rsidR="006F0B73" w:rsidRPr="00484E64">
        <w:rPr>
          <w:rFonts w:ascii="標楷體" w:eastAsia="標楷體" w:hAnsi="標楷體" w:hint="eastAsia"/>
          <w:spacing w:val="-2"/>
          <w:szCs w:val="24"/>
        </w:rPr>
        <w:t>徵收金額將達60億元。</w:t>
      </w:r>
      <w:proofErr w:type="gramStart"/>
      <w:r w:rsidR="006F0B73" w:rsidRPr="00484E64">
        <w:rPr>
          <w:rFonts w:ascii="標楷體" w:eastAsia="標楷體" w:hAnsi="標楷體" w:hint="eastAsia"/>
          <w:spacing w:val="-2"/>
          <w:szCs w:val="24"/>
        </w:rPr>
        <w:t>次依環境</w:t>
      </w:r>
      <w:proofErr w:type="gramEnd"/>
      <w:r w:rsidR="006F0B73" w:rsidRPr="00484E64">
        <w:rPr>
          <w:rFonts w:ascii="標楷體" w:eastAsia="標楷體" w:hAnsi="標楷體" w:hint="eastAsia"/>
          <w:spacing w:val="-2"/>
          <w:szCs w:val="24"/>
        </w:rPr>
        <w:t>部氣候變遷署溫室氣體排放量資訊平</w:t>
      </w:r>
      <w:proofErr w:type="gramStart"/>
      <w:r w:rsidR="006F0B73" w:rsidRPr="00484E64">
        <w:rPr>
          <w:rFonts w:ascii="標楷體" w:eastAsia="標楷體" w:hAnsi="標楷體" w:hint="eastAsia"/>
          <w:spacing w:val="-2"/>
          <w:szCs w:val="24"/>
        </w:rPr>
        <w:t>臺</w:t>
      </w:r>
      <w:proofErr w:type="gramEnd"/>
      <w:r w:rsidR="006F0B73" w:rsidRPr="00484E64">
        <w:rPr>
          <w:rFonts w:ascii="標楷體" w:eastAsia="標楷體" w:hAnsi="標楷體" w:hint="eastAsia"/>
          <w:spacing w:val="-2"/>
          <w:szCs w:val="24"/>
        </w:rPr>
        <w:t>公告資訊，</w:t>
      </w:r>
      <w:proofErr w:type="gramStart"/>
      <w:r w:rsidR="006F0B73" w:rsidRPr="00484E64">
        <w:rPr>
          <w:rFonts w:ascii="標楷體" w:eastAsia="標楷體" w:hAnsi="標楷體" w:hint="eastAsia"/>
          <w:spacing w:val="-2"/>
          <w:szCs w:val="24"/>
        </w:rPr>
        <w:t>1</w:t>
      </w:r>
      <w:r w:rsidR="006F0B73" w:rsidRPr="00484E64">
        <w:rPr>
          <w:rFonts w:ascii="標楷體" w:eastAsia="標楷體" w:hAnsi="標楷體" w:hint="eastAsia"/>
          <w:szCs w:val="24"/>
        </w:rPr>
        <w:t>12</w:t>
      </w:r>
      <w:proofErr w:type="gramEnd"/>
      <w:r w:rsidR="006F0B73" w:rsidRPr="00484E64">
        <w:rPr>
          <w:rFonts w:ascii="標楷體" w:eastAsia="標楷體" w:hAnsi="標楷體" w:hint="eastAsia"/>
          <w:szCs w:val="24"/>
        </w:rPr>
        <w:t>年度應於前揭資訊平</w:t>
      </w:r>
      <w:proofErr w:type="gramStart"/>
      <w:r w:rsidR="006F0B73" w:rsidRPr="00484E64">
        <w:rPr>
          <w:rFonts w:ascii="標楷體" w:eastAsia="標楷體" w:hAnsi="標楷體" w:hint="eastAsia"/>
          <w:szCs w:val="24"/>
        </w:rPr>
        <w:t>臺</w:t>
      </w:r>
      <w:proofErr w:type="gramEnd"/>
      <w:r w:rsidR="006F0B73" w:rsidRPr="00484E64">
        <w:rPr>
          <w:rFonts w:ascii="標楷體" w:eastAsia="標楷體" w:hAnsi="標楷體" w:hint="eastAsia"/>
          <w:szCs w:val="24"/>
        </w:rPr>
        <w:t>完成盤查登錄及查驗作業之事業共計302家（553廠），排放量合計2億6,902萬餘公噸CO</w:t>
      </w:r>
      <w:r w:rsidR="006F0B73" w:rsidRPr="00484E64">
        <w:rPr>
          <w:rFonts w:ascii="標楷體" w:eastAsia="標楷體" w:hAnsi="標楷體" w:hint="eastAsia"/>
          <w:szCs w:val="24"/>
          <w:vertAlign w:val="subscript"/>
        </w:rPr>
        <w:t>2</w:t>
      </w:r>
      <w:r w:rsidR="006F0B73" w:rsidRPr="00484E64">
        <w:rPr>
          <w:rFonts w:ascii="標楷體" w:eastAsia="標楷體" w:hAnsi="標楷體" w:hint="eastAsia"/>
          <w:szCs w:val="24"/>
        </w:rPr>
        <w:t>e，內含國營事業台灣電力公司、台灣中油公司及</w:t>
      </w:r>
      <w:r w:rsidR="006F0B73" w:rsidRPr="00484E64">
        <w:rPr>
          <w:rFonts w:ascii="標楷體" w:eastAsia="標楷體" w:hAnsi="標楷體" w:hint="eastAsia"/>
          <w:spacing w:val="-4"/>
          <w:szCs w:val="24"/>
        </w:rPr>
        <w:t>台灣糖業公司等3家</w:t>
      </w:r>
      <w:r w:rsidR="006F0B73" w:rsidRPr="00484E64">
        <w:rPr>
          <w:rFonts w:ascii="標楷體" w:eastAsia="標楷體" w:hAnsi="標楷體" w:hint="eastAsia"/>
          <w:szCs w:val="24"/>
        </w:rPr>
        <w:t>（18廠）排放量9,993萬餘公噸CO</w:t>
      </w:r>
      <w:r w:rsidR="006F0B73" w:rsidRPr="00484E64">
        <w:rPr>
          <w:rFonts w:ascii="標楷體" w:eastAsia="標楷體" w:hAnsi="標楷體" w:hint="eastAsia"/>
          <w:szCs w:val="24"/>
          <w:vertAlign w:val="subscript"/>
        </w:rPr>
        <w:t>2</w:t>
      </w:r>
      <w:r w:rsidR="006F0B73" w:rsidRPr="00484E64">
        <w:rPr>
          <w:rFonts w:ascii="標楷體" w:eastAsia="標楷體" w:hAnsi="標楷體" w:hint="eastAsia"/>
          <w:szCs w:val="24"/>
        </w:rPr>
        <w:t>e</w:t>
      </w:r>
      <w:r w:rsidR="006F0B73" w:rsidRPr="00484E64">
        <w:rPr>
          <w:rFonts w:ascii="標楷體" w:eastAsia="標楷體" w:hAnsi="標楷體" w:hint="eastAsia"/>
          <w:spacing w:val="-4"/>
          <w:szCs w:val="24"/>
        </w:rPr>
        <w:t>，共占前揭合計排放量之37.15％，</w:t>
      </w:r>
      <w:proofErr w:type="gramStart"/>
      <w:r w:rsidR="006F0B73" w:rsidRPr="00484E64">
        <w:rPr>
          <w:rFonts w:ascii="標楷體" w:eastAsia="標楷體" w:hAnsi="標楷體" w:hint="eastAsia"/>
          <w:szCs w:val="24"/>
        </w:rPr>
        <w:t>倘依一般</w:t>
      </w:r>
      <w:proofErr w:type="gramEnd"/>
      <w:r w:rsidR="006F0B73" w:rsidRPr="00484E64">
        <w:rPr>
          <w:rFonts w:ascii="標楷體" w:eastAsia="標楷體" w:hAnsi="標楷體" w:hint="eastAsia"/>
          <w:szCs w:val="24"/>
        </w:rPr>
        <w:t>費率估算，並扣除環境部規劃起徵門檻2.5萬公噸CO</w:t>
      </w:r>
      <w:r w:rsidR="006F0B73" w:rsidRPr="00484E64">
        <w:rPr>
          <w:rFonts w:ascii="標楷體" w:eastAsia="標楷體" w:hAnsi="標楷體" w:hint="eastAsia"/>
          <w:szCs w:val="24"/>
          <w:vertAlign w:val="subscript"/>
        </w:rPr>
        <w:t>2</w:t>
      </w:r>
      <w:r w:rsidR="006F0B73" w:rsidRPr="00484E64">
        <w:rPr>
          <w:rFonts w:ascii="標楷體" w:eastAsia="標楷體" w:hAnsi="標楷體" w:hint="eastAsia"/>
          <w:szCs w:val="24"/>
        </w:rPr>
        <w:t>e</w:t>
      </w:r>
      <w:proofErr w:type="gramStart"/>
      <w:r w:rsidR="006F0B73" w:rsidRPr="00484E64">
        <w:rPr>
          <w:rFonts w:ascii="標楷體" w:eastAsia="標楷體" w:hAnsi="標楷體" w:hint="eastAsia"/>
          <w:szCs w:val="24"/>
        </w:rPr>
        <w:t>碳費金額</w:t>
      </w:r>
      <w:proofErr w:type="gramEnd"/>
      <w:r w:rsidR="006F0B73" w:rsidRPr="00484E64">
        <w:rPr>
          <w:rFonts w:ascii="標楷體" w:eastAsia="標楷體" w:hAnsi="標楷體" w:hint="eastAsia"/>
          <w:szCs w:val="24"/>
        </w:rPr>
        <w:t>後，須</w:t>
      </w:r>
      <w:proofErr w:type="gramStart"/>
      <w:r w:rsidR="006F0B73" w:rsidRPr="00484E64">
        <w:rPr>
          <w:rFonts w:ascii="標楷體" w:eastAsia="標楷體" w:hAnsi="標楷體" w:hint="eastAsia"/>
          <w:szCs w:val="24"/>
        </w:rPr>
        <w:t>繳納碳費金額</w:t>
      </w:r>
      <w:proofErr w:type="gramEnd"/>
      <w:r w:rsidR="006F0B73" w:rsidRPr="00484E64">
        <w:rPr>
          <w:rFonts w:ascii="標楷體" w:eastAsia="標楷體" w:hAnsi="標楷體" w:hint="eastAsia"/>
          <w:szCs w:val="24"/>
        </w:rPr>
        <w:t>33億元，合計占</w:t>
      </w:r>
      <w:proofErr w:type="gramStart"/>
      <w:r w:rsidR="006F0B73" w:rsidRPr="00484E64">
        <w:rPr>
          <w:rFonts w:ascii="標楷體" w:eastAsia="標楷體" w:hAnsi="標楷體" w:hint="eastAsia"/>
          <w:szCs w:val="24"/>
        </w:rPr>
        <w:t>115</w:t>
      </w:r>
      <w:proofErr w:type="gramEnd"/>
      <w:r w:rsidR="006F0B73" w:rsidRPr="00484E64">
        <w:rPr>
          <w:rFonts w:ascii="標楷體" w:eastAsia="標楷體" w:hAnsi="標楷體" w:hint="eastAsia"/>
          <w:szCs w:val="24"/>
        </w:rPr>
        <w:t>年度預計</w:t>
      </w:r>
      <w:proofErr w:type="gramStart"/>
      <w:r w:rsidR="006F0B73" w:rsidRPr="00484E64">
        <w:rPr>
          <w:rFonts w:ascii="標楷體" w:eastAsia="標楷體" w:hAnsi="標楷體" w:hint="eastAsia"/>
          <w:szCs w:val="24"/>
        </w:rPr>
        <w:t>總碳費</w:t>
      </w:r>
      <w:proofErr w:type="gramEnd"/>
      <w:r w:rsidR="006F0B73" w:rsidRPr="00484E64">
        <w:rPr>
          <w:rFonts w:ascii="標楷體" w:eastAsia="標楷體" w:hAnsi="標楷體" w:hint="eastAsia"/>
          <w:szCs w:val="24"/>
        </w:rPr>
        <w:t>徵收金額60億元近</w:t>
      </w:r>
      <w:proofErr w:type="gramStart"/>
      <w:r w:rsidR="006F0B73" w:rsidRPr="00484E64">
        <w:rPr>
          <w:rFonts w:ascii="標楷體" w:eastAsia="標楷體" w:hAnsi="標楷體" w:hint="eastAsia"/>
          <w:szCs w:val="24"/>
        </w:rPr>
        <w:t>6成</w:t>
      </w:r>
      <w:proofErr w:type="gramEnd"/>
      <w:r w:rsidR="006F0B73" w:rsidRPr="00484E64">
        <w:rPr>
          <w:rFonts w:ascii="標楷體" w:eastAsia="標楷體" w:hAnsi="標楷體" w:hint="eastAsia"/>
          <w:szCs w:val="24"/>
        </w:rPr>
        <w:t>。又截至113年8月底止，</w:t>
      </w:r>
      <w:r w:rsidR="006F0B73" w:rsidRPr="006830E4">
        <w:rPr>
          <w:rFonts w:ascii="標楷體" w:eastAsia="標楷體" w:hAnsi="標楷體" w:hint="eastAsia"/>
          <w:szCs w:val="24"/>
        </w:rPr>
        <w:t>台灣電力公司</w:t>
      </w:r>
      <w:r w:rsidR="006F0B73" w:rsidRPr="00484E64">
        <w:rPr>
          <w:rFonts w:ascii="標楷體" w:eastAsia="標楷體" w:hAnsi="標楷體" w:hint="eastAsia"/>
          <w:szCs w:val="24"/>
        </w:rPr>
        <w:t>、</w:t>
      </w:r>
      <w:r w:rsidR="006F0B73" w:rsidRPr="006830E4">
        <w:rPr>
          <w:rFonts w:ascii="標楷體" w:eastAsia="標楷體" w:hAnsi="標楷體" w:hint="eastAsia"/>
          <w:szCs w:val="24"/>
        </w:rPr>
        <w:t>台灣中油公司</w:t>
      </w:r>
      <w:r w:rsidR="006F0B73" w:rsidRPr="00484E64">
        <w:rPr>
          <w:rFonts w:ascii="標楷體" w:eastAsia="標楷體" w:hAnsi="標楷體" w:hint="eastAsia"/>
          <w:szCs w:val="24"/>
        </w:rPr>
        <w:t>已分別發生鉅額累積虧損4,219億元、521億元，加計未來所須繳納</w:t>
      </w:r>
      <w:proofErr w:type="gramStart"/>
      <w:r w:rsidR="006F0B73" w:rsidRPr="00484E64">
        <w:rPr>
          <w:rFonts w:ascii="標楷體" w:eastAsia="標楷體" w:hAnsi="標楷體" w:hint="eastAsia"/>
          <w:szCs w:val="24"/>
        </w:rPr>
        <w:t>之碳費</w:t>
      </w:r>
      <w:proofErr w:type="gramEnd"/>
      <w:r w:rsidR="006F0B73" w:rsidRPr="00484E64">
        <w:rPr>
          <w:rFonts w:ascii="標楷體" w:eastAsia="標楷體" w:hAnsi="標楷體" w:hint="eastAsia"/>
          <w:szCs w:val="24"/>
        </w:rPr>
        <w:t>，恐增加營運負荷。另依氣候變遷因應法第29條第1項規定，</w:t>
      </w:r>
      <w:proofErr w:type="gramStart"/>
      <w:r w:rsidR="006F0B73" w:rsidRPr="00484E64">
        <w:rPr>
          <w:rFonts w:ascii="標楷體" w:eastAsia="標楷體" w:hAnsi="標楷體" w:hint="eastAsia"/>
          <w:szCs w:val="24"/>
        </w:rPr>
        <w:t>碳費徵收</w:t>
      </w:r>
      <w:proofErr w:type="gramEnd"/>
      <w:r w:rsidR="006F0B73" w:rsidRPr="00484E64">
        <w:rPr>
          <w:rFonts w:ascii="標楷體" w:eastAsia="標楷體" w:hAnsi="標楷體" w:hint="eastAsia"/>
          <w:szCs w:val="24"/>
        </w:rPr>
        <w:t>對象得提出自主減量計畫向中央主管機關申請核定優惠費率，又自主減量計畫管理辦法第4條已明訂申請自主減量計畫可</w:t>
      </w:r>
      <w:proofErr w:type="gramStart"/>
      <w:r w:rsidR="006F0B73" w:rsidRPr="00484E64">
        <w:rPr>
          <w:rFonts w:ascii="標楷體" w:eastAsia="標楷體" w:hAnsi="標楷體" w:hint="eastAsia"/>
          <w:szCs w:val="24"/>
        </w:rPr>
        <w:t>採</w:t>
      </w:r>
      <w:proofErr w:type="gramEnd"/>
      <w:r w:rsidR="006F0B73" w:rsidRPr="00484E64">
        <w:rPr>
          <w:rFonts w:ascii="標楷體" w:eastAsia="標楷體" w:hAnsi="標楷體" w:hint="eastAsia"/>
          <w:szCs w:val="24"/>
        </w:rPr>
        <w:t>行之減量措施，有待積極輔導國營事業</w:t>
      </w:r>
      <w:proofErr w:type="gramStart"/>
      <w:r w:rsidR="006F0B73" w:rsidRPr="00484E64">
        <w:rPr>
          <w:rFonts w:ascii="標楷體" w:eastAsia="標楷體" w:hAnsi="標楷體" w:hint="eastAsia"/>
          <w:szCs w:val="24"/>
        </w:rPr>
        <w:t>研</w:t>
      </w:r>
      <w:proofErr w:type="gramEnd"/>
      <w:r w:rsidR="006F0B73" w:rsidRPr="00484E64">
        <w:rPr>
          <w:rFonts w:ascii="標楷體" w:eastAsia="標楷體" w:hAnsi="標楷體" w:hint="eastAsia"/>
          <w:szCs w:val="24"/>
        </w:rPr>
        <w:t>擬具體可行溫室氣體自主減量計畫降低碳排放，以申請取得核定優惠費率，</w:t>
      </w:r>
      <w:proofErr w:type="gramStart"/>
      <w:r w:rsidR="006F0B73" w:rsidRPr="00484E64">
        <w:rPr>
          <w:rFonts w:ascii="標楷體" w:eastAsia="標楷體" w:hAnsi="標楷體" w:hint="eastAsia"/>
          <w:szCs w:val="24"/>
        </w:rPr>
        <w:t>降低碳費徵收</w:t>
      </w:r>
      <w:proofErr w:type="gramEnd"/>
      <w:r w:rsidR="006F0B73" w:rsidRPr="00484E64">
        <w:rPr>
          <w:rFonts w:ascii="標楷體" w:eastAsia="標楷體" w:hAnsi="標楷體" w:hint="eastAsia"/>
          <w:szCs w:val="24"/>
        </w:rPr>
        <w:t>負荷，增進事業財務效能。</w:t>
      </w:r>
    </w:p>
    <w:p w14:paraId="177F91C9" w14:textId="5951C2E6" w:rsidR="00E8604E" w:rsidRPr="00982AAB" w:rsidRDefault="00AA592F" w:rsidP="00CA55FD">
      <w:pPr>
        <w:overflowPunct w:val="0"/>
        <w:spacing w:line="420" w:lineRule="exact"/>
        <w:ind w:firstLineChars="200" w:firstLine="488"/>
        <w:jc w:val="both"/>
        <w:rPr>
          <w:rFonts w:ascii="標楷體" w:eastAsia="標楷體" w:hAnsi="標楷體"/>
          <w:color w:val="000000" w:themeColor="text1"/>
          <w:spacing w:val="2"/>
          <w:szCs w:val="24"/>
        </w:rPr>
      </w:pPr>
      <w:r w:rsidRPr="00982AAB">
        <w:rPr>
          <w:rFonts w:ascii="標楷體" w:eastAsia="標楷體" w:hAnsi="標楷體" w:hint="eastAsia"/>
          <w:spacing w:val="2"/>
          <w:szCs w:val="24"/>
        </w:rPr>
        <w:t>綜上，國營事業已導入IFRSs編列預、決算書，復金融監督管理委員會規劃上市櫃公司自116年起</w:t>
      </w:r>
      <w:r w:rsidR="001B242A">
        <w:rPr>
          <w:rFonts w:ascii="標楷體" w:eastAsia="標楷體" w:hAnsi="標楷體" w:hint="eastAsia"/>
          <w:spacing w:val="2"/>
          <w:szCs w:val="24"/>
        </w:rPr>
        <w:t>，</w:t>
      </w:r>
      <w:r w:rsidRPr="00982AAB">
        <w:rPr>
          <w:rFonts w:ascii="標楷體" w:eastAsia="標楷體" w:hAnsi="標楷體" w:hint="eastAsia"/>
          <w:spacing w:val="2"/>
          <w:szCs w:val="24"/>
        </w:rPr>
        <w:t>須逐步依IFRS S1及S2規定於股東會年報新增永續資訊專章，揭露永續相關風險與機會資訊，與國營事業現行年度決算書等財務報告側重歷史財務資訊之表達有所不同。允宜參考國營事業導入IFRSs經驗，</w:t>
      </w:r>
      <w:proofErr w:type="gramStart"/>
      <w:r w:rsidRPr="00982AAB">
        <w:rPr>
          <w:rFonts w:ascii="標楷體" w:eastAsia="標楷體" w:hAnsi="標楷體" w:hint="eastAsia"/>
          <w:spacing w:val="2"/>
          <w:szCs w:val="24"/>
        </w:rPr>
        <w:t>研</w:t>
      </w:r>
      <w:proofErr w:type="gramEnd"/>
      <w:r w:rsidRPr="00982AAB">
        <w:rPr>
          <w:rFonts w:ascii="標楷體" w:eastAsia="標楷體" w:hAnsi="標楷體" w:hint="eastAsia"/>
          <w:spacing w:val="2"/>
          <w:szCs w:val="24"/>
        </w:rPr>
        <w:t>修中央政府總預算附屬單位預算編製辦法及總決算附屬單位決算編製要點等規定，專</w:t>
      </w:r>
      <w:proofErr w:type="gramStart"/>
      <w:r w:rsidRPr="00982AAB">
        <w:rPr>
          <w:rFonts w:ascii="標楷體" w:eastAsia="標楷體" w:hAnsi="標楷體" w:hint="eastAsia"/>
          <w:spacing w:val="2"/>
          <w:szCs w:val="24"/>
        </w:rPr>
        <w:t>章列述淨零</w:t>
      </w:r>
      <w:proofErr w:type="gramEnd"/>
      <w:r w:rsidRPr="00982AAB">
        <w:rPr>
          <w:rFonts w:ascii="標楷體" w:eastAsia="標楷體" w:hAnsi="標楷體" w:hint="eastAsia"/>
          <w:spacing w:val="2"/>
          <w:szCs w:val="24"/>
        </w:rPr>
        <w:t>轉型永續資訊，並積極輔導國營事業提出自主減量計畫降低碳排放，引導事業</w:t>
      </w:r>
      <w:proofErr w:type="gramStart"/>
      <w:r w:rsidRPr="00982AAB">
        <w:rPr>
          <w:rFonts w:ascii="標楷體" w:eastAsia="標楷體" w:hAnsi="標楷體" w:hint="eastAsia"/>
          <w:spacing w:val="2"/>
          <w:szCs w:val="24"/>
        </w:rPr>
        <w:t>達成淨零轉型</w:t>
      </w:r>
      <w:proofErr w:type="gramEnd"/>
      <w:r w:rsidRPr="00982AAB">
        <w:rPr>
          <w:rFonts w:ascii="標楷體" w:eastAsia="標楷體" w:hAnsi="標楷體" w:hint="eastAsia"/>
          <w:spacing w:val="2"/>
          <w:szCs w:val="24"/>
        </w:rPr>
        <w:t>目標及執行計畫之成效，暨</w:t>
      </w:r>
      <w:proofErr w:type="gramStart"/>
      <w:r w:rsidRPr="00982AAB">
        <w:rPr>
          <w:rFonts w:ascii="標楷體" w:eastAsia="標楷體" w:hAnsi="標楷體" w:hint="eastAsia"/>
          <w:spacing w:val="2"/>
          <w:szCs w:val="24"/>
        </w:rPr>
        <w:t>降低碳費徵收</w:t>
      </w:r>
      <w:proofErr w:type="gramEnd"/>
      <w:r w:rsidRPr="00982AAB">
        <w:rPr>
          <w:rFonts w:ascii="標楷體" w:eastAsia="標楷體" w:hAnsi="標楷體" w:hint="eastAsia"/>
          <w:spacing w:val="2"/>
          <w:szCs w:val="24"/>
        </w:rPr>
        <w:t>負荷，增進事業財務效能。</w:t>
      </w:r>
    </w:p>
    <w:p w14:paraId="14087FB9" w14:textId="0A913224" w:rsidR="00E8604E" w:rsidRPr="002764DD" w:rsidRDefault="00E8604E" w:rsidP="00CA55FD">
      <w:pPr>
        <w:pStyle w:val="2"/>
        <w:overflowPunct w:val="0"/>
        <w:spacing w:beforeLines="30" w:before="108" w:afterLines="30" w:after="108" w:line="42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lastRenderedPageBreak/>
        <w:t xml:space="preserve">（三）　</w:t>
      </w:r>
      <w:r w:rsidR="00C7456F" w:rsidRPr="00C7456F">
        <w:rPr>
          <w:rFonts w:hAnsi="標楷體" w:hint="eastAsia"/>
          <w:b/>
          <w:color w:val="000000" w:themeColor="text1"/>
          <w:sz w:val="28"/>
          <w:szCs w:val="28"/>
        </w:rPr>
        <w:t>政府為強化食品安全管理，</w:t>
      </w:r>
      <w:proofErr w:type="gramStart"/>
      <w:r w:rsidR="00C7456F" w:rsidRPr="00C7456F">
        <w:rPr>
          <w:rFonts w:hAnsi="標楷體" w:hint="eastAsia"/>
          <w:b/>
          <w:color w:val="000000" w:themeColor="text1"/>
          <w:sz w:val="28"/>
          <w:szCs w:val="28"/>
        </w:rPr>
        <w:t>113</w:t>
      </w:r>
      <w:proofErr w:type="gramEnd"/>
      <w:r w:rsidR="00C7456F" w:rsidRPr="00C7456F">
        <w:rPr>
          <w:rFonts w:hAnsi="標楷體" w:hint="eastAsia"/>
          <w:b/>
          <w:color w:val="000000" w:themeColor="text1"/>
          <w:sz w:val="28"/>
          <w:szCs w:val="28"/>
        </w:rPr>
        <w:t>年度編列預算78億餘元，持續推動食安五環政策相關管理措施，惟各管理環節執行過程</w:t>
      </w:r>
      <w:proofErr w:type="gramStart"/>
      <w:r w:rsidR="00C7456F" w:rsidRPr="00C7456F">
        <w:rPr>
          <w:rFonts w:hAnsi="標楷體" w:hint="eastAsia"/>
          <w:b/>
          <w:color w:val="000000" w:themeColor="text1"/>
          <w:sz w:val="28"/>
          <w:szCs w:val="28"/>
        </w:rPr>
        <w:t>間有未臻</w:t>
      </w:r>
      <w:proofErr w:type="gramEnd"/>
      <w:r w:rsidR="00C7456F" w:rsidRPr="00C7456F">
        <w:rPr>
          <w:rFonts w:hAnsi="標楷體" w:hint="eastAsia"/>
          <w:b/>
          <w:color w:val="000000" w:themeColor="text1"/>
          <w:sz w:val="28"/>
          <w:szCs w:val="28"/>
        </w:rPr>
        <w:t>周妥之處，違法業者關係企業邊境管制作業未盡及時，影響食安治理成效</w:t>
      </w:r>
      <w:r w:rsidR="00203977">
        <w:rPr>
          <w:rFonts w:hAnsi="標楷體" w:hint="eastAsia"/>
          <w:b/>
          <w:color w:val="000000" w:themeColor="text1"/>
          <w:sz w:val="28"/>
          <w:szCs w:val="28"/>
        </w:rPr>
        <w:t>，</w:t>
      </w:r>
      <w:r w:rsidR="00C7456F" w:rsidRPr="00C7456F">
        <w:rPr>
          <w:rFonts w:hAnsi="標楷體" w:hint="eastAsia"/>
          <w:b/>
          <w:color w:val="000000" w:themeColor="text1"/>
          <w:sz w:val="28"/>
          <w:szCs w:val="28"/>
        </w:rPr>
        <w:t>允宜借</w:t>
      </w:r>
      <w:proofErr w:type="gramStart"/>
      <w:r w:rsidR="00C7456F" w:rsidRPr="00C7456F">
        <w:rPr>
          <w:rFonts w:hAnsi="標楷體" w:hint="eastAsia"/>
          <w:b/>
          <w:color w:val="000000" w:themeColor="text1"/>
          <w:sz w:val="28"/>
          <w:szCs w:val="28"/>
        </w:rPr>
        <w:t>鑑</w:t>
      </w:r>
      <w:proofErr w:type="gramEnd"/>
      <w:r w:rsidR="00C7456F" w:rsidRPr="00C7456F">
        <w:rPr>
          <w:rFonts w:hAnsi="標楷體" w:hint="eastAsia"/>
          <w:b/>
          <w:color w:val="000000" w:themeColor="text1"/>
          <w:sz w:val="28"/>
          <w:szCs w:val="28"/>
        </w:rPr>
        <w:t>近期發生之食安事件，全面審視檢討各面向管理缺口，據以完備食安防護體系，提升管理及財務效能，維護國人健康。</w:t>
      </w:r>
    </w:p>
    <w:p w14:paraId="25189C6C" w14:textId="1FD2F91F" w:rsidR="00E8604E" w:rsidRPr="002764DD" w:rsidRDefault="00C7456F" w:rsidP="00CA55FD">
      <w:pPr>
        <w:pStyle w:val="a7"/>
        <w:overflowPunct w:val="0"/>
        <w:spacing w:line="42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政府為提升食安管理效能，於105年間提出「食安五環」政策，由行政院食品安全辦公室督導協調衛生福利部、農業部、環境部、教育部及經濟部等中央權責機關編列預算，就源頭控管、重建生產管理、加強查驗、加重黑心廠商責任、全民監督食安等5大面向共同提出推動方案，結合地方政府執行各項措施，把關食品安全，</w:t>
      </w:r>
      <w:proofErr w:type="gramStart"/>
      <w:r w:rsidRPr="00484E64">
        <w:rPr>
          <w:rFonts w:ascii="標楷體" w:eastAsia="標楷體" w:hAnsi="標楷體" w:hint="eastAsia"/>
          <w:szCs w:val="24"/>
        </w:rPr>
        <w:t>113</w:t>
      </w:r>
      <w:proofErr w:type="gramEnd"/>
      <w:r w:rsidRPr="00484E64">
        <w:rPr>
          <w:rFonts w:ascii="標楷體" w:eastAsia="標楷體" w:hAnsi="標楷體" w:hint="eastAsia"/>
          <w:szCs w:val="24"/>
        </w:rPr>
        <w:t>年度計編列預算數78億餘元。有關食品安全管理機制運作情形，核有下列事項：</w:t>
      </w:r>
    </w:p>
    <w:p w14:paraId="3C35A843" w14:textId="78D5DB39" w:rsidR="00E8604E" w:rsidRPr="002764DD" w:rsidRDefault="00E8604E" w:rsidP="00CA55FD">
      <w:pPr>
        <w:overflowPunct w:val="0"/>
        <w:spacing w:line="42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2D5BFB" w:rsidRPr="00484E64">
        <w:rPr>
          <w:rFonts w:ascii="標楷體" w:eastAsia="標楷體" w:hAnsi="標楷體" w:hint="eastAsia"/>
          <w:b/>
          <w:szCs w:val="24"/>
        </w:rPr>
        <w:t>政府推動食安五環相關管理措施，有助提供國人安心飲食環境，惟各管理環節執行過程</w:t>
      </w:r>
      <w:proofErr w:type="gramStart"/>
      <w:r w:rsidR="002D5BFB" w:rsidRPr="00484E64">
        <w:rPr>
          <w:rFonts w:ascii="標楷體" w:eastAsia="標楷體" w:hAnsi="標楷體" w:hint="eastAsia"/>
          <w:b/>
          <w:szCs w:val="24"/>
        </w:rPr>
        <w:t>間有未臻</w:t>
      </w:r>
      <w:proofErr w:type="gramEnd"/>
      <w:r w:rsidR="002D5BFB" w:rsidRPr="00484E64">
        <w:rPr>
          <w:rFonts w:ascii="標楷體" w:eastAsia="標楷體" w:hAnsi="標楷體" w:hint="eastAsia"/>
          <w:b/>
          <w:szCs w:val="24"/>
        </w:rPr>
        <w:t>周妥之處，影響食安治理效能：</w:t>
      </w:r>
      <w:r w:rsidR="002D5BFB" w:rsidRPr="00484E64">
        <w:rPr>
          <w:rFonts w:ascii="標楷體" w:eastAsia="標楷體" w:hAnsi="標楷體" w:hint="eastAsia"/>
          <w:szCs w:val="24"/>
        </w:rPr>
        <w:t>政府推動之「食安五環」政策，</w:t>
      </w:r>
      <w:proofErr w:type="gramStart"/>
      <w:r w:rsidR="002D5BFB" w:rsidRPr="00484E64">
        <w:rPr>
          <w:rFonts w:ascii="標楷體" w:eastAsia="標楷體" w:hAnsi="標楷體" w:hint="eastAsia"/>
          <w:szCs w:val="24"/>
        </w:rPr>
        <w:t>將食安</w:t>
      </w:r>
      <w:proofErr w:type="gramEnd"/>
      <w:r w:rsidR="002D5BFB" w:rsidRPr="00484E64">
        <w:rPr>
          <w:rFonts w:ascii="標楷體" w:eastAsia="標楷體" w:hAnsi="標楷體" w:hint="eastAsia"/>
          <w:szCs w:val="24"/>
        </w:rPr>
        <w:t>管理面向，擴大至化學物質管理、上游之農業安全生產、下游之製造銷售及餐飲衛生安全等層面。惟113年間國內陸續發生多起重大食安事件，各管理環節執行過程</w:t>
      </w:r>
      <w:proofErr w:type="gramStart"/>
      <w:r w:rsidR="002D5BFB" w:rsidRPr="00484E64">
        <w:rPr>
          <w:rFonts w:ascii="標楷體" w:eastAsia="標楷體" w:hAnsi="標楷體" w:hint="eastAsia"/>
          <w:szCs w:val="24"/>
        </w:rPr>
        <w:t>間有未臻</w:t>
      </w:r>
      <w:proofErr w:type="gramEnd"/>
      <w:r w:rsidR="002D5BFB" w:rsidRPr="00484E64">
        <w:rPr>
          <w:rFonts w:ascii="標楷體" w:eastAsia="標楷體" w:hAnsi="標楷體" w:hint="eastAsia"/>
          <w:szCs w:val="24"/>
        </w:rPr>
        <w:t>周妥之處，</w:t>
      </w:r>
      <w:proofErr w:type="gramStart"/>
      <w:r w:rsidR="002D5BFB" w:rsidRPr="00484E64">
        <w:rPr>
          <w:rFonts w:ascii="標楷體" w:eastAsia="標楷體" w:hAnsi="標楷體" w:hint="eastAsia"/>
          <w:szCs w:val="24"/>
        </w:rPr>
        <w:t>舉如在</w:t>
      </w:r>
      <w:proofErr w:type="gramEnd"/>
      <w:r w:rsidR="002D5BFB" w:rsidRPr="00484E64">
        <w:rPr>
          <w:rFonts w:ascii="標楷體" w:eastAsia="標楷體" w:hAnsi="標楷體" w:hint="eastAsia"/>
          <w:szCs w:val="24"/>
        </w:rPr>
        <w:t>源頭管理方面，政府為管控可能流入食品製程之化學物質流向，自105年建置化學雲，迄113年8月底止，仍未克服</w:t>
      </w:r>
      <w:proofErr w:type="gramStart"/>
      <w:r w:rsidR="002D5BFB" w:rsidRPr="00484E64">
        <w:rPr>
          <w:rFonts w:ascii="標楷體" w:eastAsia="標楷體" w:hAnsi="標楷體" w:hint="eastAsia"/>
          <w:szCs w:val="24"/>
        </w:rPr>
        <w:t>介</w:t>
      </w:r>
      <w:proofErr w:type="gramEnd"/>
      <w:r w:rsidR="002D5BFB" w:rsidRPr="00484E64">
        <w:rPr>
          <w:rFonts w:ascii="標楷體" w:eastAsia="標楷體" w:hAnsi="標楷體" w:hint="eastAsia"/>
          <w:szCs w:val="24"/>
        </w:rPr>
        <w:t>接勞動部「化學品報備與許可平台」等資訊系統之原始資料欄位闕漏問題，無法進行跨部門化學物質流向勾</w:t>
      </w:r>
      <w:proofErr w:type="gramStart"/>
      <w:r w:rsidR="002D5BFB" w:rsidRPr="00484E64">
        <w:rPr>
          <w:rFonts w:ascii="標楷體" w:eastAsia="標楷體" w:hAnsi="標楷體" w:hint="eastAsia"/>
          <w:szCs w:val="24"/>
        </w:rPr>
        <w:t>稽</w:t>
      </w:r>
      <w:proofErr w:type="gramEnd"/>
      <w:r w:rsidR="002D5BFB" w:rsidRPr="00484E64">
        <w:rPr>
          <w:rFonts w:ascii="標楷體" w:eastAsia="標楷體" w:hAnsi="標楷體" w:hint="eastAsia"/>
          <w:szCs w:val="24"/>
        </w:rPr>
        <w:t>比對，不利達成加強溯源追蹤及落實源頭管控流向之建置目的；另輸入食品邊境管理係針對產品風險及違規情形提高查驗比率，惟相關抽驗調控措施未盡及時，未能有效</w:t>
      </w:r>
      <w:proofErr w:type="gramStart"/>
      <w:r w:rsidR="002D5BFB" w:rsidRPr="00484E64">
        <w:rPr>
          <w:rFonts w:ascii="標楷體" w:eastAsia="標楷體" w:hAnsi="標楷體" w:hint="eastAsia"/>
          <w:szCs w:val="24"/>
        </w:rPr>
        <w:t>阻</w:t>
      </w:r>
      <w:proofErr w:type="gramEnd"/>
      <w:r w:rsidR="002D5BFB" w:rsidRPr="00484E64">
        <w:rPr>
          <w:rFonts w:ascii="標楷體" w:eastAsia="標楷體" w:hAnsi="標楷體" w:hint="eastAsia"/>
          <w:szCs w:val="24"/>
        </w:rPr>
        <w:t>絕不法產品流入國內，又輸入食品數量逐年擴增，邊境報</w:t>
      </w:r>
      <w:proofErr w:type="gramStart"/>
      <w:r w:rsidR="002D5BFB" w:rsidRPr="00484E64">
        <w:rPr>
          <w:rFonts w:ascii="標楷體" w:eastAsia="標楷體" w:hAnsi="標楷體" w:hint="eastAsia"/>
          <w:szCs w:val="24"/>
        </w:rPr>
        <w:t>驗批數</w:t>
      </w:r>
      <w:proofErr w:type="gramEnd"/>
      <w:r w:rsidR="002D5BFB" w:rsidRPr="00484E64">
        <w:rPr>
          <w:rFonts w:ascii="標楷體" w:eastAsia="標楷體" w:hAnsi="標楷體" w:hint="eastAsia"/>
          <w:szCs w:val="24"/>
        </w:rPr>
        <w:t>已自</w:t>
      </w:r>
      <w:proofErr w:type="gramStart"/>
      <w:r w:rsidR="002D5BFB" w:rsidRPr="00484E64">
        <w:rPr>
          <w:rFonts w:ascii="標楷體" w:eastAsia="標楷體" w:hAnsi="標楷體" w:hint="eastAsia"/>
          <w:szCs w:val="24"/>
        </w:rPr>
        <w:t>100</w:t>
      </w:r>
      <w:proofErr w:type="gramEnd"/>
      <w:r w:rsidR="002D5BFB" w:rsidRPr="00484E64">
        <w:rPr>
          <w:rFonts w:ascii="標楷體" w:eastAsia="標楷體" w:hAnsi="標楷體" w:hint="eastAsia"/>
          <w:szCs w:val="24"/>
        </w:rPr>
        <w:t>年度之42萬餘批，增加至</w:t>
      </w:r>
      <w:proofErr w:type="gramStart"/>
      <w:r w:rsidR="002D5BFB" w:rsidRPr="00484E64">
        <w:rPr>
          <w:rFonts w:ascii="標楷體" w:eastAsia="標楷體" w:hAnsi="標楷體" w:hint="eastAsia"/>
          <w:szCs w:val="24"/>
        </w:rPr>
        <w:t>112</w:t>
      </w:r>
      <w:proofErr w:type="gramEnd"/>
      <w:r w:rsidR="002D5BFB" w:rsidRPr="00484E64">
        <w:rPr>
          <w:rFonts w:ascii="標楷體" w:eastAsia="標楷體" w:hAnsi="標楷體" w:hint="eastAsia"/>
          <w:szCs w:val="24"/>
        </w:rPr>
        <w:t>年度之73萬餘批，以</w:t>
      </w:r>
      <w:proofErr w:type="gramStart"/>
      <w:r w:rsidR="002D5BFB" w:rsidRPr="00484E64">
        <w:rPr>
          <w:rFonts w:ascii="標楷體" w:eastAsia="標楷體" w:hAnsi="標楷體" w:hint="eastAsia"/>
          <w:szCs w:val="24"/>
        </w:rPr>
        <w:t>112</w:t>
      </w:r>
      <w:proofErr w:type="gramEnd"/>
      <w:r w:rsidR="002D5BFB" w:rsidRPr="00484E64">
        <w:rPr>
          <w:rFonts w:ascii="標楷體" w:eastAsia="標楷體" w:hAnsi="標楷體" w:hint="eastAsia"/>
          <w:szCs w:val="24"/>
        </w:rPr>
        <w:t>年度報</w:t>
      </w:r>
      <w:proofErr w:type="gramStart"/>
      <w:r w:rsidR="002D5BFB" w:rsidRPr="00484E64">
        <w:rPr>
          <w:rFonts w:ascii="標楷體" w:eastAsia="標楷體" w:hAnsi="標楷體" w:hint="eastAsia"/>
          <w:szCs w:val="24"/>
        </w:rPr>
        <w:t>驗批數</w:t>
      </w:r>
      <w:proofErr w:type="gramEnd"/>
      <w:r w:rsidR="002D5BFB" w:rsidRPr="00484E64">
        <w:rPr>
          <w:rFonts w:ascii="標楷體" w:eastAsia="標楷體" w:hAnsi="標楷體" w:hint="eastAsia"/>
          <w:szCs w:val="24"/>
        </w:rPr>
        <w:t>估算，當年度查驗案件所需辦理時間，約為正職查驗人員（72人）年度工時之1.46倍，政府雖以專案聘用或勞務承攬人員支援，然該等人員流動率高，無法穩定分攤及紓解邊境正職人力負荷。在業者生產管理方面，政府推動食品業者登錄及產品追溯追蹤等制度，</w:t>
      </w:r>
      <w:proofErr w:type="gramStart"/>
      <w:r w:rsidR="002D5BFB" w:rsidRPr="00484E64">
        <w:rPr>
          <w:rFonts w:ascii="標楷體" w:eastAsia="標楷體" w:hAnsi="標楷體" w:hint="eastAsia"/>
          <w:szCs w:val="24"/>
        </w:rPr>
        <w:t>惟間有業者</w:t>
      </w:r>
      <w:proofErr w:type="gramEnd"/>
      <w:r w:rsidR="002D5BFB" w:rsidRPr="00484E64">
        <w:rPr>
          <w:rFonts w:ascii="標楷體" w:eastAsia="標楷體" w:hAnsi="標楷體" w:hint="eastAsia"/>
          <w:szCs w:val="24"/>
        </w:rPr>
        <w:t>未落實登錄，且追溯追蹤納管業者覆蓋率仍低，截至112年底止，應申報追溯追蹤資料之業者1萬餘家次，僅為已登錄食品業者65萬餘家次之2％，造成問題產品流向</w:t>
      </w:r>
      <w:proofErr w:type="gramStart"/>
      <w:r w:rsidR="002D5BFB" w:rsidRPr="00484E64">
        <w:rPr>
          <w:rFonts w:ascii="標楷體" w:eastAsia="標楷體" w:hAnsi="標楷體" w:hint="eastAsia"/>
          <w:szCs w:val="24"/>
        </w:rPr>
        <w:t>資訊斷鏈</w:t>
      </w:r>
      <w:proofErr w:type="gramEnd"/>
      <w:r w:rsidR="002D5BFB" w:rsidRPr="00484E64">
        <w:rPr>
          <w:rFonts w:ascii="標楷體" w:eastAsia="標楷體" w:hAnsi="標楷體" w:hint="eastAsia"/>
          <w:szCs w:val="24"/>
        </w:rPr>
        <w:t>，影響追查時效；又食品安全衛生管理法（下稱食安法）強制食品業者通報有危害衛生安全疑慮之產品，未獲食品業者重視，以</w:t>
      </w:r>
      <w:proofErr w:type="gramStart"/>
      <w:r w:rsidR="002D5BFB" w:rsidRPr="00484E64">
        <w:rPr>
          <w:rFonts w:ascii="標楷體" w:eastAsia="標楷體" w:hAnsi="標楷體" w:hint="eastAsia"/>
          <w:szCs w:val="24"/>
        </w:rPr>
        <w:t>113</w:t>
      </w:r>
      <w:proofErr w:type="gramEnd"/>
      <w:r w:rsidR="002D5BFB" w:rsidRPr="00484E64">
        <w:rPr>
          <w:rFonts w:ascii="標楷體" w:eastAsia="標楷體" w:hAnsi="標楷體" w:hint="eastAsia"/>
          <w:szCs w:val="24"/>
        </w:rPr>
        <w:t>年度蘇丹色素食安事件為例，部分業者已知上游供應商販售產品含有不法添加物，惟未依法主動通報，致政府無從快速掌握訊息即時因應。在市場流通稽查方面，政府實施市售食品衛生安全之監管機制，109至112年度衛</w:t>
      </w:r>
      <w:r w:rsidR="002D5BFB">
        <w:rPr>
          <w:rFonts w:ascii="標楷體" w:eastAsia="標楷體" w:hAnsi="標楷體" w:hint="eastAsia"/>
          <w:szCs w:val="24"/>
        </w:rPr>
        <w:t>生</w:t>
      </w:r>
      <w:r w:rsidR="002D5BFB" w:rsidRPr="00484E64">
        <w:rPr>
          <w:rFonts w:ascii="標楷體" w:eastAsia="標楷體" w:hAnsi="標楷體" w:hint="eastAsia"/>
          <w:szCs w:val="24"/>
        </w:rPr>
        <w:t>福</w:t>
      </w:r>
      <w:r w:rsidR="002D5BFB">
        <w:rPr>
          <w:rFonts w:ascii="標楷體" w:eastAsia="標楷體" w:hAnsi="標楷體" w:hint="eastAsia"/>
          <w:szCs w:val="24"/>
        </w:rPr>
        <w:t>利</w:t>
      </w:r>
      <w:r w:rsidR="002D5BFB" w:rsidRPr="00484E64">
        <w:rPr>
          <w:rFonts w:ascii="標楷體" w:eastAsia="標楷體" w:hAnsi="標楷體" w:hint="eastAsia"/>
          <w:szCs w:val="24"/>
        </w:rPr>
        <w:t>部食品藥物管理署（下稱食藥署）稽查專案計畫中，計有18項計畫連續4年辦理食品良好衛生規範準則（GHP）查核，初查不合格業者，多於限期內改正，惟仍有肉類加工食品、餐盒</w:t>
      </w:r>
      <w:proofErr w:type="gramStart"/>
      <w:r w:rsidR="002D5BFB" w:rsidRPr="00484E64">
        <w:rPr>
          <w:rFonts w:ascii="標楷體" w:eastAsia="標楷體" w:hAnsi="標楷體" w:hint="eastAsia"/>
          <w:szCs w:val="24"/>
        </w:rPr>
        <w:t>食品及豆製品</w:t>
      </w:r>
      <w:proofErr w:type="gramEnd"/>
      <w:r w:rsidR="002D5BFB" w:rsidRPr="00484E64">
        <w:rPr>
          <w:rFonts w:ascii="標楷體" w:eastAsia="標楷體" w:hAnsi="標楷體" w:hint="eastAsia"/>
          <w:szCs w:val="24"/>
        </w:rPr>
        <w:t>等3項業者類別，連續4年初查不合格率高於</w:t>
      </w:r>
      <w:proofErr w:type="gramStart"/>
      <w:r w:rsidR="002D5BFB" w:rsidRPr="00484E64">
        <w:rPr>
          <w:rFonts w:ascii="標楷體" w:eastAsia="標楷體" w:hAnsi="標楷體" w:hint="eastAsia"/>
          <w:szCs w:val="24"/>
        </w:rPr>
        <w:t>5成</w:t>
      </w:r>
      <w:proofErr w:type="gramEnd"/>
      <w:r w:rsidR="002D5BFB" w:rsidRPr="00484E64">
        <w:rPr>
          <w:rFonts w:ascii="標楷體" w:eastAsia="標楷體" w:hAnsi="標楷體" w:hint="eastAsia"/>
          <w:szCs w:val="24"/>
        </w:rPr>
        <w:t>，顯示相關從業人員對於GHP之認知不足；又政府陸續公告應設置衛生管理人員、專門職業人員及</w:t>
      </w:r>
      <w:r w:rsidR="002D5BFB" w:rsidRPr="00484E64">
        <w:rPr>
          <w:rFonts w:ascii="標楷體" w:eastAsia="標楷體" w:hAnsi="標楷體" w:hint="eastAsia"/>
          <w:spacing w:val="-6"/>
          <w:szCs w:val="24"/>
        </w:rPr>
        <w:t>技術證照人員等之食品業別，截至112年底止，前2類專業人員已設置比率各為83.37％、92.93％，</w:t>
      </w:r>
      <w:r w:rsidR="002D5BFB" w:rsidRPr="00484E64">
        <w:rPr>
          <w:rFonts w:ascii="標楷體" w:eastAsia="標楷體" w:hAnsi="標楷體" w:hint="eastAsia"/>
          <w:szCs w:val="24"/>
        </w:rPr>
        <w:lastRenderedPageBreak/>
        <w:t>惟已設置技術證照人員之比率僅為30.05％，不利提升食品從業人員之專業素質；另農藥殘留容許量標準久未重行檢視評估，</w:t>
      </w:r>
      <w:proofErr w:type="gramStart"/>
      <w:r w:rsidR="002D5BFB" w:rsidRPr="00484E64">
        <w:rPr>
          <w:rFonts w:ascii="標楷體" w:eastAsia="標楷體" w:hAnsi="標楷體" w:hint="eastAsia"/>
          <w:szCs w:val="24"/>
        </w:rPr>
        <w:t>間有不符</w:t>
      </w:r>
      <w:proofErr w:type="gramEnd"/>
      <w:r w:rsidR="002D5BFB" w:rsidRPr="00484E64">
        <w:rPr>
          <w:rFonts w:ascii="標楷體" w:eastAsia="標楷體" w:hAnsi="標楷體" w:hint="eastAsia"/>
          <w:szCs w:val="24"/>
        </w:rPr>
        <w:t>現行農藥使用規定或國際標準情事，且蔬果殘留農藥含量超標之違規案件逐年攀升，</w:t>
      </w:r>
      <w:proofErr w:type="gramStart"/>
      <w:r w:rsidR="002D5BFB" w:rsidRPr="00484E64">
        <w:rPr>
          <w:rFonts w:ascii="標楷體" w:eastAsia="標楷體" w:hAnsi="標楷體" w:hint="eastAsia"/>
          <w:szCs w:val="24"/>
        </w:rPr>
        <w:t>112</w:t>
      </w:r>
      <w:proofErr w:type="gramEnd"/>
      <w:r w:rsidR="002D5BFB" w:rsidRPr="00484E64">
        <w:rPr>
          <w:rFonts w:ascii="標楷體" w:eastAsia="標楷體" w:hAnsi="標楷體" w:hint="eastAsia"/>
          <w:szCs w:val="24"/>
        </w:rPr>
        <w:t>年度抽驗不合格件數較</w:t>
      </w:r>
      <w:proofErr w:type="gramStart"/>
      <w:r w:rsidR="002D5BFB" w:rsidRPr="00484E64">
        <w:rPr>
          <w:rFonts w:ascii="標楷體" w:eastAsia="標楷體" w:hAnsi="標楷體" w:hint="eastAsia"/>
          <w:szCs w:val="24"/>
        </w:rPr>
        <w:t>110</w:t>
      </w:r>
      <w:proofErr w:type="gramEnd"/>
      <w:r w:rsidR="002D5BFB" w:rsidRPr="00484E64">
        <w:rPr>
          <w:rFonts w:ascii="標楷體" w:eastAsia="標楷體" w:hAnsi="標楷體" w:hint="eastAsia"/>
          <w:szCs w:val="24"/>
        </w:rPr>
        <w:t>年度增加28.04％，危害民眾健康。以上均顯示食安五環政策推動多年，相關食品安全管理措施仍有</w:t>
      </w:r>
      <w:proofErr w:type="gramStart"/>
      <w:r w:rsidR="002D5BFB" w:rsidRPr="00484E64">
        <w:rPr>
          <w:rFonts w:ascii="標楷體" w:eastAsia="標楷體" w:hAnsi="標楷體" w:hint="eastAsia"/>
          <w:szCs w:val="24"/>
        </w:rPr>
        <w:t>未盡周妥</w:t>
      </w:r>
      <w:proofErr w:type="gramEnd"/>
      <w:r w:rsidR="002D5BFB" w:rsidRPr="00484E64">
        <w:rPr>
          <w:rFonts w:ascii="標楷體" w:eastAsia="標楷體" w:hAnsi="標楷體" w:hint="eastAsia"/>
          <w:szCs w:val="24"/>
        </w:rPr>
        <w:t>情事，影響食安治理效能。</w:t>
      </w:r>
    </w:p>
    <w:p w14:paraId="7184E1B0" w14:textId="2EE0C649" w:rsidR="00E8604E" w:rsidRDefault="00E8604E" w:rsidP="00CA55FD">
      <w:pPr>
        <w:overflowPunct w:val="0"/>
        <w:spacing w:line="424"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D14B62" w:rsidRPr="00484E64">
        <w:rPr>
          <w:rFonts w:ascii="標楷體" w:eastAsia="標楷體" w:hAnsi="標楷體" w:hint="eastAsia"/>
          <w:b/>
          <w:szCs w:val="24"/>
        </w:rPr>
        <w:t>政府已建立違法業者關係企業邊境預警管制機制，惟管制作業未盡及時，且執行範圍有限，恐未能阻絕不肖業者運用關係企業等交易型態輸入違法食品，不利保障民眾食之安全：</w:t>
      </w:r>
      <w:r w:rsidR="00D14B62" w:rsidRPr="00484E64">
        <w:rPr>
          <w:rFonts w:ascii="標楷體" w:eastAsia="標楷體" w:hAnsi="標楷體" w:hint="eastAsia"/>
          <w:szCs w:val="24"/>
        </w:rPr>
        <w:t>行政院為強化輸入食品管理，於113年3月召開「因應蘇丹紅事件</w:t>
      </w:r>
      <w:proofErr w:type="gramStart"/>
      <w:r w:rsidR="00D14B62" w:rsidRPr="00484E64">
        <w:rPr>
          <w:rFonts w:ascii="標楷體" w:eastAsia="標楷體" w:hAnsi="標楷體" w:hint="eastAsia"/>
          <w:szCs w:val="24"/>
        </w:rPr>
        <w:t>研</w:t>
      </w:r>
      <w:proofErr w:type="gramEnd"/>
      <w:r w:rsidR="00D14B62" w:rsidRPr="00484E64">
        <w:rPr>
          <w:rFonts w:ascii="標楷體" w:eastAsia="標楷體" w:hAnsi="標楷體" w:hint="eastAsia"/>
          <w:szCs w:val="24"/>
        </w:rPr>
        <w:t>商會議」，決議輸入食品經查獲違反食安法第15條第1項第3款「有毒或含有害人體健康之物質或異物」、第7款「</w:t>
      </w:r>
      <w:proofErr w:type="gramStart"/>
      <w:r w:rsidR="00D14B62" w:rsidRPr="00484E64">
        <w:rPr>
          <w:rFonts w:ascii="標楷體" w:eastAsia="標楷體" w:hAnsi="標楷體" w:hint="eastAsia"/>
          <w:szCs w:val="24"/>
        </w:rPr>
        <w:t>攙偽或</w:t>
      </w:r>
      <w:proofErr w:type="gramEnd"/>
      <w:r w:rsidR="00D14B62" w:rsidRPr="00484E64">
        <w:rPr>
          <w:rFonts w:ascii="標楷體" w:eastAsia="標楷體" w:hAnsi="標楷體" w:hint="eastAsia"/>
          <w:szCs w:val="24"/>
        </w:rPr>
        <w:t>假冒」及第10款「添加未經中央主管機關許可之添加物」者，除由</w:t>
      </w:r>
      <w:proofErr w:type="gramStart"/>
      <w:r w:rsidR="00D14B62" w:rsidRPr="00484E64">
        <w:rPr>
          <w:rFonts w:ascii="標楷體" w:eastAsia="標楷體" w:hAnsi="標楷體" w:hint="eastAsia"/>
          <w:szCs w:val="24"/>
        </w:rPr>
        <w:t>食藥署</w:t>
      </w:r>
      <w:proofErr w:type="gramEnd"/>
      <w:r w:rsidR="00D14B62" w:rsidRPr="00484E64">
        <w:rPr>
          <w:rFonts w:ascii="標楷體" w:eastAsia="標楷體" w:hAnsi="標楷體" w:hint="eastAsia"/>
          <w:szCs w:val="24"/>
        </w:rPr>
        <w:t>立即停止製造廠查驗申請外，另由經濟部、財政部協助查調違法業者之關係企業名單，就其進口</w:t>
      </w:r>
      <w:proofErr w:type="gramStart"/>
      <w:r w:rsidR="00D14B62" w:rsidRPr="00484E64">
        <w:rPr>
          <w:rFonts w:ascii="標楷體" w:eastAsia="標楷體" w:hAnsi="標楷體" w:hint="eastAsia"/>
          <w:szCs w:val="24"/>
        </w:rPr>
        <w:t>之同品項</w:t>
      </w:r>
      <w:proofErr w:type="gramEnd"/>
      <w:r w:rsidR="00D14B62" w:rsidRPr="00484E64">
        <w:rPr>
          <w:rFonts w:ascii="標楷體" w:eastAsia="標楷體" w:hAnsi="標楷體" w:hint="eastAsia"/>
          <w:szCs w:val="24"/>
        </w:rPr>
        <w:t>產品執行逐批監視查驗。上開管制措施執行至113年8月底止，計有6家進口業者因報驗產品檢出不法添加物蘇丹色素，並經衛</w:t>
      </w:r>
      <w:r w:rsidR="00D14B62">
        <w:rPr>
          <w:rFonts w:ascii="標楷體" w:eastAsia="標楷體" w:hAnsi="標楷體" w:hint="eastAsia"/>
          <w:szCs w:val="24"/>
        </w:rPr>
        <w:t>生</w:t>
      </w:r>
      <w:proofErr w:type="gramStart"/>
      <w:r w:rsidR="00D14B62" w:rsidRPr="00484E64">
        <w:rPr>
          <w:rFonts w:ascii="標楷體" w:eastAsia="標楷體" w:hAnsi="標楷體" w:hint="eastAsia"/>
          <w:szCs w:val="24"/>
        </w:rPr>
        <w:t>福</w:t>
      </w:r>
      <w:r w:rsidR="00D14B62">
        <w:rPr>
          <w:rFonts w:ascii="標楷體" w:eastAsia="標楷體" w:hAnsi="標楷體" w:hint="eastAsia"/>
          <w:szCs w:val="24"/>
        </w:rPr>
        <w:t>利</w:t>
      </w:r>
      <w:r w:rsidR="00D14B62" w:rsidRPr="00484E64">
        <w:rPr>
          <w:rFonts w:ascii="標楷體" w:eastAsia="標楷體" w:hAnsi="標楷體" w:hint="eastAsia"/>
          <w:szCs w:val="24"/>
        </w:rPr>
        <w:t>部查調</w:t>
      </w:r>
      <w:proofErr w:type="gramEnd"/>
      <w:r w:rsidR="00D14B62" w:rsidRPr="00484E64">
        <w:rPr>
          <w:rFonts w:ascii="標楷體" w:eastAsia="標楷體" w:hAnsi="標楷體" w:hint="eastAsia"/>
          <w:szCs w:val="24"/>
        </w:rPr>
        <w:t>關係企業資料進行邊境預警管制，然現行實務作業方式，</w:t>
      </w:r>
      <w:proofErr w:type="gramStart"/>
      <w:r w:rsidR="00D14B62" w:rsidRPr="00484E64">
        <w:rPr>
          <w:rFonts w:ascii="標楷體" w:eastAsia="標楷體" w:hAnsi="標楷體" w:hint="eastAsia"/>
          <w:szCs w:val="24"/>
        </w:rPr>
        <w:t>該部係以</w:t>
      </w:r>
      <w:proofErr w:type="gramEnd"/>
      <w:r w:rsidR="00D14B62" w:rsidRPr="00484E64">
        <w:rPr>
          <w:rFonts w:ascii="標楷體" w:eastAsia="標楷體" w:hAnsi="標楷體" w:hint="eastAsia"/>
          <w:szCs w:val="24"/>
        </w:rPr>
        <w:t>公文函</w:t>
      </w:r>
      <w:proofErr w:type="gramStart"/>
      <w:r w:rsidR="00D14B62" w:rsidRPr="00484E64">
        <w:rPr>
          <w:rFonts w:ascii="標楷體" w:eastAsia="標楷體" w:hAnsi="標楷體" w:hint="eastAsia"/>
          <w:szCs w:val="24"/>
        </w:rPr>
        <w:t>詢</w:t>
      </w:r>
      <w:proofErr w:type="gramEnd"/>
      <w:r w:rsidR="00D14B62" w:rsidRPr="00484E64">
        <w:rPr>
          <w:rFonts w:ascii="標楷體" w:eastAsia="標楷體" w:hAnsi="標楷體" w:hint="eastAsia"/>
          <w:szCs w:val="24"/>
        </w:rPr>
        <w:t>經濟部及財政部查復關係企業名單，</w:t>
      </w:r>
      <w:proofErr w:type="gramStart"/>
      <w:r w:rsidR="00D14B62" w:rsidRPr="00484E64">
        <w:rPr>
          <w:rFonts w:ascii="標楷體" w:eastAsia="標楷體" w:hAnsi="標楷體" w:hint="eastAsia"/>
          <w:szCs w:val="24"/>
        </w:rPr>
        <w:t>據食藥署</w:t>
      </w:r>
      <w:proofErr w:type="gramEnd"/>
      <w:r w:rsidR="00D14B62" w:rsidRPr="00484E64">
        <w:rPr>
          <w:rFonts w:ascii="標楷體" w:eastAsia="標楷體" w:hAnsi="標楷體" w:hint="eastAsia"/>
          <w:szCs w:val="24"/>
        </w:rPr>
        <w:t>提供上開6件查調關係企業案件，除1件經查無關係企業者外，其餘自進口產品檢出不法添加物之日，至完成關係企業邊境管制日，需時10日至51日不等，管制作業未盡及時，甚有1案於查調期間已有2家關係企業進口</w:t>
      </w:r>
      <w:proofErr w:type="gramStart"/>
      <w:r w:rsidR="00D14B62" w:rsidRPr="00484E64">
        <w:rPr>
          <w:rFonts w:ascii="標楷體" w:eastAsia="標楷體" w:hAnsi="標楷體" w:hint="eastAsia"/>
          <w:szCs w:val="24"/>
        </w:rPr>
        <w:t>8批同品項</w:t>
      </w:r>
      <w:proofErr w:type="gramEnd"/>
      <w:r w:rsidR="00D14B62" w:rsidRPr="00484E64">
        <w:rPr>
          <w:rFonts w:ascii="標楷體" w:eastAsia="標楷體" w:hAnsi="標楷體" w:hint="eastAsia"/>
          <w:szCs w:val="24"/>
        </w:rPr>
        <w:t>產品，其中5批未經檢驗即輸入國內，有礙達成政府強化邊境管控，防堵違法食品輸入國內之政策目標。</w:t>
      </w:r>
      <w:proofErr w:type="gramStart"/>
      <w:r w:rsidR="00D14B62" w:rsidRPr="00484E64">
        <w:rPr>
          <w:rFonts w:ascii="標楷體" w:eastAsia="標楷體" w:hAnsi="標楷體" w:hint="eastAsia"/>
          <w:szCs w:val="24"/>
        </w:rPr>
        <w:t>另上開行</w:t>
      </w:r>
      <w:proofErr w:type="gramEnd"/>
      <w:r w:rsidR="00D14B62" w:rsidRPr="00484E64">
        <w:rPr>
          <w:rFonts w:ascii="標楷體" w:eastAsia="標楷體" w:hAnsi="標楷體" w:hint="eastAsia"/>
          <w:szCs w:val="24"/>
        </w:rPr>
        <w:t>政院113年3月</w:t>
      </w:r>
      <w:proofErr w:type="gramStart"/>
      <w:r w:rsidR="00D14B62" w:rsidRPr="00484E64">
        <w:rPr>
          <w:rFonts w:ascii="標楷體" w:eastAsia="標楷體" w:hAnsi="標楷體" w:hint="eastAsia"/>
          <w:szCs w:val="24"/>
        </w:rPr>
        <w:t>研</w:t>
      </w:r>
      <w:proofErr w:type="gramEnd"/>
      <w:r w:rsidR="00D14B62" w:rsidRPr="00484E64">
        <w:rPr>
          <w:rFonts w:ascii="標楷體" w:eastAsia="標楷體" w:hAnsi="標楷體" w:hint="eastAsia"/>
          <w:szCs w:val="24"/>
        </w:rPr>
        <w:t>商會議決議，進口業者因輸入產品未符規定，而須查調其關係企業資料進行邊境管制者，僅限於違反食安法第15條第1項第3款、第7款及第10款等規定者，</w:t>
      </w:r>
      <w:proofErr w:type="gramStart"/>
      <w:r w:rsidR="00D14B62" w:rsidRPr="00484E64">
        <w:rPr>
          <w:rFonts w:ascii="標楷體" w:eastAsia="標楷體" w:hAnsi="標楷體" w:hint="eastAsia"/>
          <w:szCs w:val="24"/>
        </w:rPr>
        <w:t>惟食藥署</w:t>
      </w:r>
      <w:proofErr w:type="gramEnd"/>
      <w:r w:rsidR="00D14B62" w:rsidRPr="00484E64">
        <w:rPr>
          <w:rFonts w:ascii="標楷體" w:eastAsia="標楷體" w:hAnsi="標楷體" w:hint="eastAsia"/>
          <w:szCs w:val="24"/>
        </w:rPr>
        <w:t>公布之113年3至8月邊境檢驗不合格案件385件中，不合格原因屬違反上開規定者僅7件，</w:t>
      </w:r>
      <w:proofErr w:type="gramStart"/>
      <w:r w:rsidR="00D14B62" w:rsidRPr="00484E64">
        <w:rPr>
          <w:rFonts w:ascii="標楷體" w:eastAsia="標楷體" w:hAnsi="標楷體" w:hint="eastAsia"/>
          <w:szCs w:val="24"/>
        </w:rPr>
        <w:t>經綜整</w:t>
      </w:r>
      <w:proofErr w:type="gramEnd"/>
      <w:r w:rsidR="00D14B62" w:rsidRPr="00484E64">
        <w:rPr>
          <w:rFonts w:ascii="標楷體" w:eastAsia="標楷體" w:hAnsi="標楷體" w:hint="eastAsia"/>
          <w:szCs w:val="24"/>
        </w:rPr>
        <w:t>歸納其餘案件之不合格原因，</w:t>
      </w:r>
      <w:proofErr w:type="gramStart"/>
      <w:r w:rsidR="00D14B62" w:rsidRPr="00484E64">
        <w:rPr>
          <w:rFonts w:ascii="標楷體" w:eastAsia="標楷體" w:hAnsi="標楷體" w:hint="eastAsia"/>
          <w:szCs w:val="24"/>
        </w:rPr>
        <w:t>間有使用</w:t>
      </w:r>
      <w:proofErr w:type="gramEnd"/>
      <w:r w:rsidR="00D14B62" w:rsidRPr="00484E64">
        <w:rPr>
          <w:rFonts w:ascii="標楷體" w:eastAsia="標楷體" w:hAnsi="標楷體" w:hint="eastAsia"/>
          <w:szCs w:val="24"/>
        </w:rPr>
        <w:t>非法著色劑，或重金屬、真菌毒素等含量不符規定情事，</w:t>
      </w:r>
      <w:proofErr w:type="gramStart"/>
      <w:r w:rsidR="00D14B62" w:rsidRPr="00484E64">
        <w:rPr>
          <w:rFonts w:ascii="標楷體" w:eastAsia="標楷體" w:hAnsi="標楷體" w:hint="eastAsia"/>
          <w:szCs w:val="24"/>
        </w:rPr>
        <w:t>舉如食藥署</w:t>
      </w:r>
      <w:proofErr w:type="gramEnd"/>
      <w:r w:rsidR="00D14B62" w:rsidRPr="00484E64">
        <w:rPr>
          <w:rFonts w:ascii="標楷體" w:eastAsia="標楷體" w:hAnsi="標楷體" w:hint="eastAsia"/>
          <w:szCs w:val="24"/>
        </w:rPr>
        <w:t>食品藥物研究年報指出，攝取過量重金屬將對人體器官及功能造成損害、攝入真菌毒素可能有致癌性、免疫</w:t>
      </w:r>
      <w:proofErr w:type="gramStart"/>
      <w:r w:rsidR="00D14B62" w:rsidRPr="00484E64">
        <w:rPr>
          <w:rFonts w:ascii="標楷體" w:eastAsia="標楷體" w:hAnsi="標楷體" w:hint="eastAsia"/>
          <w:szCs w:val="24"/>
        </w:rPr>
        <w:t>不</w:t>
      </w:r>
      <w:proofErr w:type="gramEnd"/>
      <w:r w:rsidR="00D14B62" w:rsidRPr="00484E64">
        <w:rPr>
          <w:rFonts w:ascii="標楷體" w:eastAsia="標楷體" w:hAnsi="標楷體" w:hint="eastAsia"/>
          <w:szCs w:val="24"/>
        </w:rPr>
        <w:t>全等健康危害，該等案件雖因違反食安法第15條第1項第6款或第17條、第18條等規定，未獲核准輸入國內，然</w:t>
      </w:r>
      <w:proofErr w:type="gramStart"/>
      <w:r w:rsidR="00D14B62" w:rsidRPr="00484E64">
        <w:rPr>
          <w:rFonts w:ascii="標楷體" w:eastAsia="標楷體" w:hAnsi="標楷體" w:hint="eastAsia"/>
          <w:szCs w:val="24"/>
        </w:rPr>
        <w:t>囿</w:t>
      </w:r>
      <w:proofErr w:type="gramEnd"/>
      <w:r w:rsidR="00D14B62" w:rsidRPr="00484E64">
        <w:rPr>
          <w:rFonts w:ascii="標楷體" w:eastAsia="標楷體" w:hAnsi="標楷體" w:hint="eastAsia"/>
          <w:szCs w:val="24"/>
        </w:rPr>
        <w:t>於適用之食安法條文非屬前開會議決議範圍，未予執行關係企業邊境管制作為，恐未能及時阻絕不肖業者運用關係企業等交易型態輸入違法食品，影響邊境</w:t>
      </w:r>
      <w:proofErr w:type="gramStart"/>
      <w:r w:rsidR="00D14B62" w:rsidRPr="00484E64">
        <w:rPr>
          <w:rFonts w:ascii="標楷體" w:eastAsia="標楷體" w:hAnsi="標楷體" w:hint="eastAsia"/>
          <w:szCs w:val="24"/>
        </w:rPr>
        <w:t>管控食安</w:t>
      </w:r>
      <w:proofErr w:type="gramEnd"/>
      <w:r w:rsidR="00D14B62" w:rsidRPr="00484E64">
        <w:rPr>
          <w:rFonts w:ascii="標楷體" w:eastAsia="標楷體" w:hAnsi="標楷體" w:hint="eastAsia"/>
          <w:szCs w:val="24"/>
        </w:rPr>
        <w:t>風險成效，不利保障民眾食之安全。</w:t>
      </w:r>
    </w:p>
    <w:p w14:paraId="67600A72" w14:textId="05A8929C" w:rsidR="00E8604E" w:rsidRPr="002764DD" w:rsidRDefault="00D14B62" w:rsidP="00CA55FD">
      <w:pPr>
        <w:overflowPunct w:val="0"/>
        <w:spacing w:line="428" w:lineRule="exact"/>
        <w:ind w:firstLineChars="200" w:firstLine="480"/>
        <w:jc w:val="both"/>
        <w:rPr>
          <w:rFonts w:ascii="標楷體" w:eastAsia="標楷體" w:hAnsi="標楷體"/>
          <w:color w:val="000000" w:themeColor="text1"/>
          <w:szCs w:val="24"/>
        </w:rPr>
      </w:pPr>
      <w:r w:rsidRPr="00D14B62">
        <w:rPr>
          <w:rFonts w:ascii="標楷體" w:eastAsia="標楷體" w:hAnsi="標楷體" w:hint="eastAsia"/>
          <w:color w:val="000000" w:themeColor="text1"/>
          <w:szCs w:val="24"/>
        </w:rPr>
        <w:t>綜上，政府為強化食品安全管理推動食安五環政策，惟相關管理措施未</w:t>
      </w:r>
      <w:proofErr w:type="gramStart"/>
      <w:r w:rsidRPr="00D14B62">
        <w:rPr>
          <w:rFonts w:ascii="標楷體" w:eastAsia="標楷體" w:hAnsi="標楷體" w:hint="eastAsia"/>
          <w:color w:val="000000" w:themeColor="text1"/>
          <w:szCs w:val="24"/>
        </w:rPr>
        <w:t>臻</w:t>
      </w:r>
      <w:proofErr w:type="gramEnd"/>
      <w:r w:rsidRPr="00D14B62">
        <w:rPr>
          <w:rFonts w:ascii="標楷體" w:eastAsia="標楷體" w:hAnsi="標楷體" w:hint="eastAsia"/>
          <w:color w:val="000000" w:themeColor="text1"/>
          <w:szCs w:val="24"/>
        </w:rPr>
        <w:t>周妥，仍陸續發生蘇丹色素等食安事件，</w:t>
      </w:r>
      <w:proofErr w:type="gramStart"/>
      <w:r w:rsidRPr="00D14B62">
        <w:rPr>
          <w:rFonts w:ascii="標楷體" w:eastAsia="標楷體" w:hAnsi="標楷體" w:hint="eastAsia"/>
          <w:color w:val="000000" w:themeColor="text1"/>
          <w:szCs w:val="24"/>
        </w:rPr>
        <w:t>又雖已</w:t>
      </w:r>
      <w:proofErr w:type="gramEnd"/>
      <w:r w:rsidRPr="00D14B62">
        <w:rPr>
          <w:rFonts w:ascii="標楷體" w:eastAsia="標楷體" w:hAnsi="標楷體" w:hint="eastAsia"/>
          <w:color w:val="000000" w:themeColor="text1"/>
          <w:szCs w:val="24"/>
        </w:rPr>
        <w:t>建立關係企業邊境預警管制機制，惟管制作業未盡及時，且執行範圍有限，不利</w:t>
      </w:r>
      <w:proofErr w:type="gramStart"/>
      <w:r w:rsidRPr="00D14B62">
        <w:rPr>
          <w:rFonts w:ascii="標楷體" w:eastAsia="標楷體" w:hAnsi="標楷體" w:hint="eastAsia"/>
          <w:color w:val="000000" w:themeColor="text1"/>
          <w:szCs w:val="24"/>
        </w:rPr>
        <w:t>管控食安</w:t>
      </w:r>
      <w:proofErr w:type="gramEnd"/>
      <w:r w:rsidRPr="00D14B62">
        <w:rPr>
          <w:rFonts w:ascii="標楷體" w:eastAsia="標楷體" w:hAnsi="標楷體" w:hint="eastAsia"/>
          <w:color w:val="000000" w:themeColor="text1"/>
          <w:szCs w:val="24"/>
        </w:rPr>
        <w:t>風險。考量行政院已於113年8月宣示推動五環2.0食安政策，預計</w:t>
      </w:r>
      <w:proofErr w:type="gramStart"/>
      <w:r w:rsidRPr="00D14B62">
        <w:rPr>
          <w:rFonts w:ascii="標楷體" w:eastAsia="標楷體" w:hAnsi="標楷體" w:hint="eastAsia"/>
          <w:color w:val="000000" w:themeColor="text1"/>
          <w:szCs w:val="24"/>
        </w:rPr>
        <w:t>114</w:t>
      </w:r>
      <w:proofErr w:type="gramEnd"/>
      <w:r w:rsidRPr="00D14B62">
        <w:rPr>
          <w:rFonts w:ascii="標楷體" w:eastAsia="標楷體" w:hAnsi="標楷體" w:hint="eastAsia"/>
          <w:color w:val="000000" w:themeColor="text1"/>
          <w:szCs w:val="24"/>
        </w:rPr>
        <w:t>年度編列整體食安預算達109億餘元，且執行成效</w:t>
      </w:r>
      <w:proofErr w:type="gramStart"/>
      <w:r w:rsidRPr="00D14B62">
        <w:rPr>
          <w:rFonts w:ascii="標楷體" w:eastAsia="標楷體" w:hAnsi="標楷體" w:hint="eastAsia"/>
          <w:color w:val="000000" w:themeColor="text1"/>
          <w:szCs w:val="24"/>
        </w:rPr>
        <w:t>攸</w:t>
      </w:r>
      <w:proofErr w:type="gramEnd"/>
      <w:r w:rsidRPr="00D14B62">
        <w:rPr>
          <w:rFonts w:ascii="標楷體" w:eastAsia="標楷體" w:hAnsi="標楷體" w:hint="eastAsia"/>
          <w:color w:val="000000" w:themeColor="text1"/>
          <w:szCs w:val="24"/>
        </w:rPr>
        <w:t>關國人健康。允宜督促權責機關全面審視檢討各面向管理缺口，並因應新興食品業態與產銷模式，持續滾動精進各項管理作為，以健全食安防護體系，提升政府食安管理及財務效能，維護國人健康。</w:t>
      </w:r>
    </w:p>
    <w:p w14:paraId="6A7DABDA" w14:textId="72A19092" w:rsidR="00E8604E" w:rsidRPr="002764DD" w:rsidRDefault="00E8604E" w:rsidP="00CA55FD">
      <w:pPr>
        <w:pStyle w:val="2"/>
        <w:overflowPunct w:val="0"/>
        <w:spacing w:beforeLines="30" w:before="108" w:afterLines="30" w:after="108" w:line="45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lastRenderedPageBreak/>
        <w:t xml:space="preserve">（四）　</w:t>
      </w:r>
      <w:r w:rsidR="00E4704B" w:rsidRPr="00484E64">
        <w:rPr>
          <w:rFonts w:hAnsi="標楷體" w:hint="eastAsia"/>
          <w:b/>
          <w:sz w:val="28"/>
          <w:szCs w:val="28"/>
        </w:rPr>
        <w:t>政府為應中央各機關辦公需求，持續統籌調配</w:t>
      </w:r>
      <w:proofErr w:type="gramStart"/>
      <w:r w:rsidR="00E4704B" w:rsidRPr="00484E64">
        <w:rPr>
          <w:rFonts w:hAnsi="標楷體" w:hint="eastAsia"/>
          <w:b/>
          <w:sz w:val="28"/>
          <w:szCs w:val="28"/>
        </w:rPr>
        <w:t>及協覓國內</w:t>
      </w:r>
      <w:proofErr w:type="gramEnd"/>
      <w:r w:rsidR="00E4704B" w:rsidRPr="00484E64">
        <w:rPr>
          <w:rFonts w:hAnsi="標楷體" w:hint="eastAsia"/>
          <w:b/>
          <w:sz w:val="28"/>
          <w:szCs w:val="28"/>
        </w:rPr>
        <w:t>適用房舍，並推動駐外館舍購建計畫，惟國有房舍</w:t>
      </w:r>
      <w:proofErr w:type="gramStart"/>
      <w:r w:rsidR="00E4704B" w:rsidRPr="00484E64">
        <w:rPr>
          <w:rFonts w:hAnsi="標楷體" w:hint="eastAsia"/>
          <w:b/>
          <w:sz w:val="28"/>
          <w:szCs w:val="28"/>
        </w:rPr>
        <w:t>實際媒</w:t>
      </w:r>
      <w:proofErr w:type="gramEnd"/>
      <w:r w:rsidR="00E4704B" w:rsidRPr="00484E64">
        <w:rPr>
          <w:rFonts w:hAnsi="標楷體" w:hint="eastAsia"/>
          <w:b/>
          <w:sz w:val="28"/>
          <w:szCs w:val="28"/>
        </w:rPr>
        <w:t>合成效欠佳，外館自有率未及</w:t>
      </w:r>
      <w:proofErr w:type="gramStart"/>
      <w:r w:rsidR="00E4704B" w:rsidRPr="00484E64">
        <w:rPr>
          <w:rFonts w:hAnsi="標楷體" w:hint="eastAsia"/>
          <w:b/>
          <w:sz w:val="28"/>
          <w:szCs w:val="28"/>
        </w:rPr>
        <w:t>2成</w:t>
      </w:r>
      <w:proofErr w:type="gramEnd"/>
      <w:r w:rsidR="00E4704B" w:rsidRPr="00484E64">
        <w:rPr>
          <w:rFonts w:hAnsi="標楷體" w:hint="eastAsia"/>
          <w:b/>
          <w:sz w:val="28"/>
          <w:szCs w:val="28"/>
        </w:rPr>
        <w:t>，租金負擔仍重</w:t>
      </w:r>
      <w:r w:rsidR="00557378">
        <w:rPr>
          <w:rFonts w:hAnsi="標楷體" w:hint="eastAsia"/>
          <w:b/>
          <w:sz w:val="28"/>
          <w:szCs w:val="28"/>
        </w:rPr>
        <w:t>，</w:t>
      </w:r>
      <w:r w:rsidR="00E4704B" w:rsidRPr="00484E64">
        <w:rPr>
          <w:rFonts w:hAnsi="標楷體" w:hint="eastAsia"/>
          <w:b/>
          <w:sz w:val="28"/>
          <w:szCs w:val="28"/>
        </w:rPr>
        <w:t>允宜</w:t>
      </w:r>
      <w:proofErr w:type="gramStart"/>
      <w:r w:rsidR="00E4704B" w:rsidRPr="00484E64">
        <w:rPr>
          <w:rFonts w:hAnsi="標楷體" w:hint="eastAsia"/>
          <w:b/>
          <w:sz w:val="28"/>
          <w:szCs w:val="28"/>
        </w:rPr>
        <w:t>研</w:t>
      </w:r>
      <w:proofErr w:type="gramEnd"/>
      <w:r w:rsidR="00E4704B" w:rsidRPr="00484E64">
        <w:rPr>
          <w:rFonts w:hAnsi="標楷體" w:hint="eastAsia"/>
          <w:b/>
          <w:sz w:val="28"/>
          <w:szCs w:val="28"/>
        </w:rPr>
        <w:t>謀優化調配機制，透過整體政府思維前瞻規劃合署辦公場域，落實政策執行力，</w:t>
      </w:r>
      <w:proofErr w:type="gramStart"/>
      <w:r w:rsidR="00E4704B" w:rsidRPr="00484E64">
        <w:rPr>
          <w:rFonts w:hAnsi="標楷體" w:hint="eastAsia"/>
          <w:b/>
          <w:sz w:val="28"/>
          <w:szCs w:val="28"/>
        </w:rPr>
        <w:t>俾</w:t>
      </w:r>
      <w:proofErr w:type="gramEnd"/>
      <w:r w:rsidR="00E4704B" w:rsidRPr="00484E64">
        <w:rPr>
          <w:rFonts w:hAnsi="標楷體" w:hint="eastAsia"/>
          <w:b/>
          <w:sz w:val="28"/>
          <w:szCs w:val="28"/>
        </w:rPr>
        <w:t>有效活化國有閒置及低度利用房地，</w:t>
      </w:r>
      <w:proofErr w:type="gramStart"/>
      <w:r w:rsidR="00E4704B" w:rsidRPr="00484E64">
        <w:rPr>
          <w:rFonts w:hAnsi="標楷體" w:hint="eastAsia"/>
          <w:b/>
          <w:sz w:val="28"/>
          <w:szCs w:val="28"/>
        </w:rPr>
        <w:t>撙</w:t>
      </w:r>
      <w:proofErr w:type="gramEnd"/>
      <w:r w:rsidR="00E4704B" w:rsidRPr="00484E64">
        <w:rPr>
          <w:rFonts w:hAnsi="標楷體" w:hint="eastAsia"/>
          <w:b/>
          <w:sz w:val="28"/>
          <w:szCs w:val="28"/>
        </w:rPr>
        <w:t>節租金支出，增進國家整體資源運用效能。</w:t>
      </w:r>
    </w:p>
    <w:p w14:paraId="7236AE5F" w14:textId="41489A1F" w:rsidR="00E8604E" w:rsidRPr="002764DD" w:rsidRDefault="004416CA" w:rsidP="00CA55FD">
      <w:pPr>
        <w:pStyle w:val="a7"/>
        <w:overflowPunct w:val="0"/>
        <w:spacing w:line="446" w:lineRule="exact"/>
        <w:ind w:firstLineChars="200" w:firstLine="480"/>
        <w:jc w:val="both"/>
        <w:rPr>
          <w:rFonts w:ascii="標楷體" w:eastAsia="標楷體" w:hAnsi="標楷體"/>
          <w:color w:val="000000" w:themeColor="text1"/>
          <w:szCs w:val="24"/>
        </w:rPr>
      </w:pPr>
      <w:r w:rsidRPr="004416CA">
        <w:rPr>
          <w:rFonts w:ascii="標楷體" w:eastAsia="標楷體" w:hAnsi="標楷體" w:hint="eastAsia"/>
          <w:color w:val="000000" w:themeColor="text1"/>
          <w:szCs w:val="24"/>
        </w:rPr>
        <w:t>政府為應中央各部會署辦公需求，並引導機關善用廳舍空間、確實評估之責，國家發展委員會於104年3月4日訂定中央政府機關辦公廳舍建置審核原則（113年5月7日修正）。</w:t>
      </w:r>
      <w:proofErr w:type="gramStart"/>
      <w:r w:rsidRPr="004416CA">
        <w:rPr>
          <w:rFonts w:ascii="標楷體" w:eastAsia="標楷體" w:hAnsi="標楷體" w:hint="eastAsia"/>
          <w:color w:val="000000" w:themeColor="text1"/>
          <w:szCs w:val="24"/>
        </w:rPr>
        <w:t>另審酌</w:t>
      </w:r>
      <w:proofErr w:type="gramEnd"/>
      <w:r w:rsidRPr="004416CA">
        <w:rPr>
          <w:rFonts w:ascii="標楷體" w:eastAsia="標楷體" w:hAnsi="標楷體" w:hint="eastAsia"/>
          <w:color w:val="000000" w:themeColor="text1"/>
          <w:szCs w:val="24"/>
        </w:rPr>
        <w:t>我國外交業務及服務僑民需要，自92年度起推動駐外館舍購置計畫，期透過以</w:t>
      </w:r>
      <w:proofErr w:type="gramStart"/>
      <w:r w:rsidRPr="004416CA">
        <w:rPr>
          <w:rFonts w:ascii="標楷體" w:eastAsia="標楷體" w:hAnsi="標楷體" w:hint="eastAsia"/>
          <w:color w:val="000000" w:themeColor="text1"/>
          <w:szCs w:val="24"/>
        </w:rPr>
        <w:t>買代租</w:t>
      </w:r>
      <w:proofErr w:type="gramEnd"/>
      <w:r w:rsidRPr="004416CA">
        <w:rPr>
          <w:rFonts w:ascii="標楷體" w:eastAsia="標楷體" w:hAnsi="標楷體" w:hint="eastAsia"/>
          <w:color w:val="000000" w:themeColor="text1"/>
          <w:szCs w:val="24"/>
        </w:rPr>
        <w:t>，節省鉅額租金及鞏固邦交友誼。據財政部國有財產署（下稱國產署）及外交部統計，110至112年度中央政府各機關國內辦公廳舍（含庫房及備勤據點等）與駐外館舍（含辦公廳舍及館長職務宿舍）租金費用決算數，分別為30.48億元、30.05億元及29.52億元，仍居高不下。有關中央政府各機關單位辦公廳舍調配及租賃購置情形，核有下列事項：</w:t>
      </w:r>
    </w:p>
    <w:p w14:paraId="36CC6D18" w14:textId="5D8ECC90" w:rsidR="00E8604E" w:rsidRPr="002764DD" w:rsidRDefault="00E8604E" w:rsidP="00CA55FD">
      <w:pPr>
        <w:overflowPunct w:val="0"/>
        <w:spacing w:line="446"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w:t>
      </w:r>
      <w:r w:rsidR="004416CA">
        <w:rPr>
          <w:rFonts w:ascii="標楷體" w:eastAsia="標楷體" w:hAnsi="標楷體" w:hint="eastAsia"/>
          <w:b/>
          <w:szCs w:val="24"/>
        </w:rPr>
        <w:t xml:space="preserve">　</w:t>
      </w:r>
      <w:r w:rsidR="004416CA" w:rsidRPr="00484E64">
        <w:rPr>
          <w:rFonts w:ascii="標楷體" w:eastAsia="標楷體" w:hAnsi="標楷體" w:hint="eastAsia"/>
          <w:b/>
          <w:szCs w:val="24"/>
        </w:rPr>
        <w:t>國產署辦理國有房舍調配多年，惟國有房地閒置數量龐大，</w:t>
      </w:r>
      <w:proofErr w:type="gramStart"/>
      <w:r w:rsidR="004416CA" w:rsidRPr="00484E64">
        <w:rPr>
          <w:rFonts w:ascii="標楷體" w:eastAsia="標楷體" w:hAnsi="標楷體" w:hint="eastAsia"/>
          <w:b/>
          <w:szCs w:val="24"/>
        </w:rPr>
        <w:t>實際媒</w:t>
      </w:r>
      <w:proofErr w:type="gramEnd"/>
      <w:r w:rsidR="004416CA" w:rsidRPr="00484E64">
        <w:rPr>
          <w:rFonts w:ascii="標楷體" w:eastAsia="標楷體" w:hAnsi="標楷體" w:hint="eastAsia"/>
          <w:b/>
          <w:szCs w:val="24"/>
        </w:rPr>
        <w:t>合成效欠佳，未能</w:t>
      </w:r>
      <w:proofErr w:type="gramStart"/>
      <w:r w:rsidR="004416CA" w:rsidRPr="00484E64">
        <w:rPr>
          <w:rFonts w:ascii="標楷體" w:eastAsia="標楷體" w:hAnsi="標楷體" w:hint="eastAsia"/>
          <w:b/>
          <w:szCs w:val="24"/>
        </w:rPr>
        <w:t>有效抑減</w:t>
      </w:r>
      <w:proofErr w:type="gramEnd"/>
      <w:r w:rsidR="004416CA" w:rsidRPr="00484E64">
        <w:rPr>
          <w:rFonts w:ascii="標楷體" w:eastAsia="標楷體" w:hAnsi="標楷體" w:hint="eastAsia"/>
          <w:b/>
          <w:szCs w:val="24"/>
        </w:rPr>
        <w:t>高額租金費用，國家資源未能有效運用：</w:t>
      </w:r>
      <w:r w:rsidR="004416CA" w:rsidRPr="00484E64">
        <w:rPr>
          <w:rFonts w:ascii="標楷體" w:eastAsia="標楷體" w:hAnsi="標楷體" w:hint="eastAsia"/>
          <w:szCs w:val="24"/>
        </w:rPr>
        <w:t>110至112年度中央政府各機關為建置辦公廳舍等所需，洽國產署函</w:t>
      </w:r>
      <w:proofErr w:type="gramStart"/>
      <w:r w:rsidR="004416CA" w:rsidRPr="00484E64">
        <w:rPr>
          <w:rFonts w:ascii="標楷體" w:eastAsia="標楷體" w:hAnsi="標楷體" w:hint="eastAsia"/>
          <w:szCs w:val="24"/>
        </w:rPr>
        <w:t>詢</w:t>
      </w:r>
      <w:proofErr w:type="gramEnd"/>
      <w:r w:rsidR="004416CA" w:rsidRPr="00484E64">
        <w:rPr>
          <w:rFonts w:ascii="標楷體" w:eastAsia="標楷體" w:hAnsi="標楷體" w:hint="eastAsia"/>
          <w:szCs w:val="24"/>
        </w:rPr>
        <w:t>有無適宜國有非公用房地空間之案件分別為193件、204件、164件，惟多數機關指定之條件，經國產署篩選後尚無適合標的，</w:t>
      </w:r>
      <w:proofErr w:type="gramStart"/>
      <w:r w:rsidR="004416CA" w:rsidRPr="00484E64">
        <w:rPr>
          <w:rFonts w:ascii="標楷體" w:eastAsia="標楷體" w:hAnsi="標楷體" w:hint="eastAsia"/>
          <w:szCs w:val="24"/>
        </w:rPr>
        <w:t>又雖有</w:t>
      </w:r>
      <w:proofErr w:type="gramEnd"/>
      <w:r w:rsidR="004416CA" w:rsidRPr="00484E64">
        <w:rPr>
          <w:rFonts w:ascii="標楷體" w:eastAsia="標楷體" w:hAnsi="標楷體" w:hint="eastAsia"/>
          <w:szCs w:val="24"/>
        </w:rPr>
        <w:t>符合條件之標的，經機關實地勘查後，多以房舍老舊無法直接進駐為由，無意願使用，並繼續租用辦公廳舍，</w:t>
      </w:r>
      <w:proofErr w:type="gramStart"/>
      <w:r w:rsidR="004416CA" w:rsidRPr="00484E64">
        <w:rPr>
          <w:rFonts w:ascii="標楷體" w:eastAsia="標楷體" w:hAnsi="標楷體" w:hint="eastAsia"/>
          <w:szCs w:val="24"/>
        </w:rPr>
        <w:t>爰</w:t>
      </w:r>
      <w:proofErr w:type="gramEnd"/>
      <w:r w:rsidR="004416CA" w:rsidRPr="00484E64">
        <w:rPr>
          <w:rFonts w:ascii="標楷體" w:eastAsia="標楷體" w:hAnsi="標楷體" w:hint="eastAsia"/>
          <w:szCs w:val="24"/>
        </w:rPr>
        <w:t>國產署於3年間媒合成功並核定撥用者僅3案，且3案</w:t>
      </w:r>
      <w:proofErr w:type="gramStart"/>
      <w:r w:rsidR="004416CA" w:rsidRPr="00484E64">
        <w:rPr>
          <w:rFonts w:ascii="標楷體" w:eastAsia="標楷體" w:hAnsi="標楷體" w:hint="eastAsia"/>
          <w:szCs w:val="24"/>
        </w:rPr>
        <w:t>用途均為庫房</w:t>
      </w:r>
      <w:proofErr w:type="gramEnd"/>
      <w:r w:rsidR="004416CA" w:rsidRPr="00484E64">
        <w:rPr>
          <w:rFonts w:ascii="標楷體" w:eastAsia="標楷體" w:hAnsi="標楷體" w:hint="eastAsia"/>
          <w:szCs w:val="24"/>
        </w:rPr>
        <w:t>，尚無辦公廳舍成案案件。另國產署為統籌調配中央政府機關辦公廳舍，於機關現有辦公廳舍空置、興建中廳舍預計有剩餘空間或國有非公用土地參與都市更新預計分回房地時，亦主動函</w:t>
      </w:r>
      <w:proofErr w:type="gramStart"/>
      <w:r w:rsidR="004416CA" w:rsidRPr="00484E64">
        <w:rPr>
          <w:rFonts w:ascii="標楷體" w:eastAsia="標楷體" w:hAnsi="標楷體" w:hint="eastAsia"/>
          <w:szCs w:val="24"/>
        </w:rPr>
        <w:t>詢</w:t>
      </w:r>
      <w:proofErr w:type="gramEnd"/>
      <w:r w:rsidR="004416CA" w:rsidRPr="00484E64">
        <w:rPr>
          <w:rFonts w:ascii="標楷體" w:eastAsia="標楷體" w:hAnsi="標楷體" w:hint="eastAsia"/>
          <w:szCs w:val="24"/>
        </w:rPr>
        <w:t>鄰近區域租用辦公廳舍之中央政府機關有無進駐意願，惟</w:t>
      </w:r>
      <w:proofErr w:type="gramStart"/>
      <w:r w:rsidR="004416CA" w:rsidRPr="00484E64">
        <w:rPr>
          <w:rFonts w:ascii="標楷體" w:eastAsia="標楷體" w:hAnsi="標楷體" w:hint="eastAsia"/>
          <w:szCs w:val="24"/>
        </w:rPr>
        <w:t>囿</w:t>
      </w:r>
      <w:proofErr w:type="gramEnd"/>
      <w:r w:rsidR="004416CA" w:rsidRPr="00484E64">
        <w:rPr>
          <w:rFonts w:ascii="標楷體" w:eastAsia="標楷體" w:hAnsi="標楷體" w:hint="eastAsia"/>
          <w:szCs w:val="24"/>
        </w:rPr>
        <w:t>於都更時程冗長等因素，101年至113年8月底止，該署核定辦公廳舍調配26案，實際已撥用並由機關進駐使用者僅10案。又110至112年度中央政府各機關於國內租用辦公廳舍、庫房、備勤據點等之租金費用分別為19億7,553萬餘元、19億5,869萬餘元、18億2,193萬餘元，雖略有下降，惟仍未能</w:t>
      </w:r>
      <w:proofErr w:type="gramStart"/>
      <w:r w:rsidR="004416CA" w:rsidRPr="00484E64">
        <w:rPr>
          <w:rFonts w:ascii="標楷體" w:eastAsia="標楷體" w:hAnsi="標楷體" w:hint="eastAsia"/>
          <w:szCs w:val="24"/>
        </w:rPr>
        <w:t>有效抑減</w:t>
      </w:r>
      <w:proofErr w:type="gramEnd"/>
      <w:r w:rsidR="004416CA" w:rsidRPr="00484E64">
        <w:rPr>
          <w:rFonts w:ascii="標楷體" w:eastAsia="標楷體" w:hAnsi="標楷體" w:hint="eastAsia"/>
          <w:szCs w:val="24"/>
        </w:rPr>
        <w:t>高額租金費用；如以110至112年度各機關租金費用合計數分析，以勞動部13億餘元居冠、其次依序為文化部10億餘元、內政部6億餘元，部分機關歷年累計租金費用已與新建或購置辦公廳舍之經費相當。按國產署經管之閒置房地數量龐大，截至113年6月底止，國有非公用閒置</w:t>
      </w:r>
      <w:proofErr w:type="gramStart"/>
      <w:r w:rsidR="004416CA" w:rsidRPr="00484E64">
        <w:rPr>
          <w:rFonts w:ascii="標楷體" w:eastAsia="標楷體" w:hAnsi="標楷體" w:hint="eastAsia"/>
          <w:szCs w:val="24"/>
        </w:rPr>
        <w:t>房舍計</w:t>
      </w:r>
      <w:proofErr w:type="gramEnd"/>
      <w:r w:rsidR="004416CA" w:rsidRPr="00484E64">
        <w:rPr>
          <w:rFonts w:ascii="標楷體" w:eastAsia="標楷體" w:hAnsi="標楷體" w:hint="eastAsia"/>
          <w:szCs w:val="24"/>
        </w:rPr>
        <w:t>2,876棟（錄）、面積36萬餘平方公尺；國有非公用閒置土地計有23萬4,086筆（錄）、面積2萬餘公頃，其中不乏位於都市精華地區、交通便利之處或屬地形方整之大面積可建築用地，卻長年閒置，媒合成效欠佳，又現行規定並未就長期租用與整（新）建辦公廳舍之成本效益建立評估機制，未能引導機關擇選適當方式覓得自有辦公廳舍，並提高閒置國有房地利用效率。</w:t>
      </w:r>
    </w:p>
    <w:p w14:paraId="5B8211DA" w14:textId="7DB8B1AD" w:rsidR="00E8604E" w:rsidRDefault="00E8604E" w:rsidP="00CA55FD">
      <w:pPr>
        <w:overflowPunct w:val="0"/>
        <w:spacing w:line="430" w:lineRule="exact"/>
        <w:ind w:firstLineChars="450" w:firstLine="1081"/>
        <w:jc w:val="both"/>
        <w:rPr>
          <w:rFonts w:ascii="標楷體" w:eastAsia="標楷體" w:hAnsi="標楷體"/>
          <w:spacing w:val="-2"/>
          <w:szCs w:val="24"/>
        </w:rPr>
      </w:pPr>
      <w:r w:rsidRPr="002764DD">
        <w:rPr>
          <w:rFonts w:ascii="標楷體" w:eastAsia="標楷體" w:hAnsi="標楷體" w:hint="eastAsia"/>
          <w:b/>
          <w:color w:val="000000" w:themeColor="text1"/>
          <w:szCs w:val="24"/>
        </w:rPr>
        <w:lastRenderedPageBreak/>
        <w:t xml:space="preserve">2.　</w:t>
      </w:r>
      <w:r w:rsidR="00992A4A" w:rsidRPr="00484E64">
        <w:rPr>
          <w:rFonts w:ascii="標楷體" w:eastAsia="標楷體" w:hAnsi="標楷體" w:hint="eastAsia"/>
          <w:b/>
          <w:szCs w:val="24"/>
        </w:rPr>
        <w:t>駐外館舍購建計畫已</w:t>
      </w:r>
      <w:proofErr w:type="gramStart"/>
      <w:r w:rsidR="00992A4A" w:rsidRPr="00484E64">
        <w:rPr>
          <w:rFonts w:ascii="標楷體" w:eastAsia="標楷體" w:hAnsi="標楷體" w:hint="eastAsia"/>
          <w:b/>
          <w:szCs w:val="24"/>
        </w:rPr>
        <w:t>推動歷逾20年</w:t>
      </w:r>
      <w:proofErr w:type="gramEnd"/>
      <w:r w:rsidR="00992A4A" w:rsidRPr="00484E64">
        <w:rPr>
          <w:rFonts w:ascii="標楷體" w:eastAsia="標楷體" w:hAnsi="標楷體" w:hint="eastAsia"/>
          <w:b/>
          <w:szCs w:val="24"/>
        </w:rPr>
        <w:t>，惟自有率仍不及</w:t>
      </w:r>
      <w:proofErr w:type="gramStart"/>
      <w:r w:rsidR="00992A4A" w:rsidRPr="00484E64">
        <w:rPr>
          <w:rFonts w:ascii="標楷體" w:eastAsia="標楷體" w:hAnsi="標楷體" w:hint="eastAsia"/>
          <w:b/>
          <w:szCs w:val="24"/>
        </w:rPr>
        <w:t>2成</w:t>
      </w:r>
      <w:proofErr w:type="gramEnd"/>
      <w:r w:rsidR="00992A4A" w:rsidRPr="00484E64">
        <w:rPr>
          <w:rFonts w:ascii="標楷體" w:eastAsia="標楷體" w:hAnsi="標楷體" w:hint="eastAsia"/>
          <w:b/>
          <w:szCs w:val="24"/>
        </w:rPr>
        <w:t>，租金負擔仍重：</w:t>
      </w:r>
      <w:r w:rsidR="00992A4A" w:rsidRPr="00484E64">
        <w:rPr>
          <w:rFonts w:ascii="標楷體" w:eastAsia="標楷體" w:hAnsi="標楷體" w:hint="eastAsia"/>
          <w:szCs w:val="24"/>
        </w:rPr>
        <w:t>外交部為節省駐外館處鉅額租金支出，並配合政府推動駐外單位合署辦公及統一指揮政策，91年12月間擬訂「外交部購建駐外單位館、宿舍分級表」，經行政院於92年2月核定，自92年度起推動駐外館</w:t>
      </w:r>
      <w:proofErr w:type="gramStart"/>
      <w:r w:rsidR="00992A4A" w:rsidRPr="00484E64">
        <w:rPr>
          <w:rFonts w:ascii="標楷體" w:eastAsia="標楷體" w:hAnsi="標楷體" w:hint="eastAsia"/>
          <w:szCs w:val="24"/>
        </w:rPr>
        <w:t>舍以買代租</w:t>
      </w:r>
      <w:proofErr w:type="gramEnd"/>
      <w:r w:rsidR="00992A4A" w:rsidRPr="00484E64">
        <w:rPr>
          <w:rFonts w:ascii="標楷體" w:eastAsia="標楷體" w:hAnsi="標楷體" w:hint="eastAsia"/>
          <w:szCs w:val="24"/>
        </w:rPr>
        <w:t>，規劃15年內購建完成16處駐外館舍。復為增加駐館彈性，能</w:t>
      </w:r>
      <w:r w:rsidR="0066472B">
        <w:rPr>
          <w:rFonts w:ascii="標楷體" w:eastAsia="標楷體" w:hAnsi="標楷體" w:hint="eastAsia"/>
          <w:szCs w:val="24"/>
        </w:rPr>
        <w:t>及</w:t>
      </w:r>
      <w:r w:rsidR="00992A4A" w:rsidRPr="00484E64">
        <w:rPr>
          <w:rFonts w:ascii="標楷體" w:eastAsia="標楷體" w:hAnsi="標楷體" w:hint="eastAsia"/>
          <w:szCs w:val="24"/>
        </w:rPr>
        <w:t>時配合市場狀況調整，經通盤檢討於107年將上開分級表簡化為「外交部駐外館處購建館舍清單」，取消分級順序，嗣後每2年滾動檢討，並於109及</w:t>
      </w:r>
      <w:proofErr w:type="gramStart"/>
      <w:r w:rsidR="00992A4A" w:rsidRPr="00484E64">
        <w:rPr>
          <w:rFonts w:ascii="標楷體" w:eastAsia="標楷體" w:hAnsi="標楷體" w:hint="eastAsia"/>
          <w:szCs w:val="24"/>
        </w:rPr>
        <w:t>111</w:t>
      </w:r>
      <w:proofErr w:type="gramEnd"/>
      <w:r w:rsidR="00992A4A" w:rsidRPr="00484E64">
        <w:rPr>
          <w:rFonts w:ascii="標楷體" w:eastAsia="標楷體" w:hAnsi="標楷體" w:hint="eastAsia"/>
          <w:szCs w:val="24"/>
        </w:rPr>
        <w:t>年度修正，業陸續購建紐約、約旦、常駐世界貿易組織代表團等10處駐外館舍（已啟用及裝修中各有8處及2處）。有關我國駐外館舍購建計畫推動多年，執行進度未如預期等情，本部於109至112年辦理外交部財務收支及決算抽查，已多次函請外交部檢討改善，據復仍須視中央政府財政狀況，每年可納編預算額度、外</w:t>
      </w:r>
      <w:r w:rsidR="00992A4A" w:rsidRPr="00484E64">
        <w:rPr>
          <w:rFonts w:ascii="標楷體" w:eastAsia="標楷體" w:hAnsi="標楷體" w:hint="eastAsia"/>
          <w:spacing w:val="-4"/>
          <w:szCs w:val="24"/>
        </w:rPr>
        <w:t>交部暨外館人力、經濟效益等，逐年審慎推動等。案經追蹤覆核結果，截至113年10月底止，我國駐外館處共計111個，館舍為我國自有者計19處（含92年前購置9處），自有比率僅17.11％，</w:t>
      </w:r>
      <w:r w:rsidR="00992A4A" w:rsidRPr="00484E64">
        <w:rPr>
          <w:rFonts w:ascii="標楷體" w:eastAsia="標楷體" w:hAnsi="標楷體" w:hint="eastAsia"/>
          <w:szCs w:val="24"/>
        </w:rPr>
        <w:t>尚不及</w:t>
      </w:r>
      <w:proofErr w:type="gramStart"/>
      <w:r w:rsidR="00992A4A" w:rsidRPr="00484E64">
        <w:rPr>
          <w:rFonts w:ascii="標楷體" w:eastAsia="標楷體" w:hAnsi="標楷體" w:hint="eastAsia"/>
          <w:szCs w:val="24"/>
        </w:rPr>
        <w:t>2成</w:t>
      </w:r>
      <w:proofErr w:type="gramEnd"/>
      <w:r w:rsidR="00992A4A" w:rsidRPr="00484E64">
        <w:rPr>
          <w:rFonts w:ascii="標楷體" w:eastAsia="標楷體" w:hAnsi="標楷體" w:hint="eastAsia"/>
          <w:szCs w:val="24"/>
        </w:rPr>
        <w:t>，外交部於92至112年間每年編列駐外館舍租金預算介於8.09億元至10.67億元間，</w:t>
      </w:r>
      <w:proofErr w:type="gramStart"/>
      <w:r w:rsidR="00992A4A" w:rsidRPr="00484E64">
        <w:rPr>
          <w:rFonts w:ascii="標楷體" w:eastAsia="標楷體" w:hAnsi="標楷體" w:hint="eastAsia"/>
          <w:szCs w:val="24"/>
        </w:rPr>
        <w:t>倘加計館長</w:t>
      </w:r>
      <w:proofErr w:type="gramEnd"/>
      <w:r w:rsidR="00992A4A" w:rsidRPr="00484E64">
        <w:rPr>
          <w:rFonts w:ascii="標楷體" w:eastAsia="標楷體" w:hAnsi="標楷體" w:hint="eastAsia"/>
          <w:szCs w:val="24"/>
        </w:rPr>
        <w:t>職務宿舍，則介於9.67億</w:t>
      </w:r>
      <w:r w:rsidR="00992A4A" w:rsidRPr="00484E64">
        <w:rPr>
          <w:rFonts w:ascii="標楷體" w:eastAsia="標楷體" w:hAnsi="標楷體" w:hint="eastAsia"/>
          <w:spacing w:val="-2"/>
          <w:szCs w:val="24"/>
        </w:rPr>
        <w:t>元至12.82億元間，每年編列駐外館（宿）舍租金費用自</w:t>
      </w:r>
      <w:proofErr w:type="gramStart"/>
      <w:r w:rsidR="00992A4A" w:rsidRPr="00484E64">
        <w:rPr>
          <w:rFonts w:ascii="標楷體" w:eastAsia="標楷體" w:hAnsi="標楷體" w:hint="eastAsia"/>
          <w:spacing w:val="-2"/>
          <w:szCs w:val="24"/>
        </w:rPr>
        <w:t>93年起均逾10億元</w:t>
      </w:r>
      <w:proofErr w:type="gramEnd"/>
      <w:r w:rsidR="00992A4A" w:rsidRPr="00484E64">
        <w:rPr>
          <w:rFonts w:ascii="標楷體" w:eastAsia="標楷體" w:hAnsi="標楷體" w:hint="eastAsia"/>
          <w:spacing w:val="-2"/>
          <w:szCs w:val="24"/>
        </w:rPr>
        <w:t>，</w:t>
      </w:r>
      <w:proofErr w:type="gramStart"/>
      <w:r w:rsidR="00992A4A" w:rsidRPr="00484E64">
        <w:rPr>
          <w:rFonts w:ascii="標楷體" w:eastAsia="標楷體" w:hAnsi="標楷體" w:hint="eastAsia"/>
          <w:spacing w:val="-2"/>
          <w:szCs w:val="24"/>
        </w:rPr>
        <w:t>114年度尚達12.30億元</w:t>
      </w:r>
      <w:proofErr w:type="gramEnd"/>
      <w:r w:rsidR="00992A4A" w:rsidRPr="00484E64">
        <w:rPr>
          <w:rFonts w:ascii="標楷體" w:eastAsia="標楷體" w:hAnsi="標楷體" w:hint="eastAsia"/>
          <w:spacing w:val="-2"/>
          <w:szCs w:val="24"/>
        </w:rPr>
        <w:t>，租金負擔仍重，有待</w:t>
      </w:r>
      <w:proofErr w:type="gramStart"/>
      <w:r w:rsidR="00992A4A" w:rsidRPr="00484E64">
        <w:rPr>
          <w:rFonts w:ascii="標楷體" w:eastAsia="標楷體" w:hAnsi="標楷體" w:hint="eastAsia"/>
          <w:spacing w:val="-2"/>
          <w:szCs w:val="24"/>
        </w:rPr>
        <w:t>研</w:t>
      </w:r>
      <w:proofErr w:type="gramEnd"/>
      <w:r w:rsidR="00992A4A" w:rsidRPr="00484E64">
        <w:rPr>
          <w:rFonts w:ascii="標楷體" w:eastAsia="標楷體" w:hAnsi="標楷體" w:hint="eastAsia"/>
          <w:spacing w:val="-2"/>
          <w:szCs w:val="24"/>
        </w:rPr>
        <w:t>謀有效對策，積極推動館舍購建計畫。</w:t>
      </w:r>
    </w:p>
    <w:p w14:paraId="4B43F1F7" w14:textId="2FF33C30" w:rsidR="00E8604E" w:rsidRPr="002764DD" w:rsidRDefault="00EF1717" w:rsidP="00CA55FD">
      <w:pPr>
        <w:overflowPunct w:val="0"/>
        <w:spacing w:line="43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綜上，近來通貨膨脹加大租金攀升力道，允宜針對現行國有房舍調配機制運作實務，</w:t>
      </w:r>
      <w:proofErr w:type="gramStart"/>
      <w:r w:rsidRPr="00484E64">
        <w:rPr>
          <w:rFonts w:ascii="標楷體" w:eastAsia="標楷體" w:hAnsi="標楷體" w:hint="eastAsia"/>
          <w:szCs w:val="24"/>
        </w:rPr>
        <w:t>間有需</w:t>
      </w:r>
      <w:proofErr w:type="gramEnd"/>
      <w:r w:rsidRPr="00484E64">
        <w:rPr>
          <w:rFonts w:ascii="標楷體" w:eastAsia="標楷體" w:hAnsi="標楷體" w:hint="eastAsia"/>
          <w:szCs w:val="24"/>
        </w:rPr>
        <w:t>用機關指定篩選條件較為</w:t>
      </w:r>
      <w:proofErr w:type="gramStart"/>
      <w:r w:rsidRPr="00484E64">
        <w:rPr>
          <w:rFonts w:ascii="標楷體" w:eastAsia="標楷體" w:hAnsi="標楷體" w:hint="eastAsia"/>
          <w:szCs w:val="24"/>
        </w:rPr>
        <w:t>嚴格，</w:t>
      </w:r>
      <w:proofErr w:type="gramEnd"/>
      <w:r w:rsidRPr="00484E64">
        <w:rPr>
          <w:rFonts w:ascii="標楷體" w:eastAsia="標楷體" w:hAnsi="標楷體" w:hint="eastAsia"/>
          <w:szCs w:val="24"/>
        </w:rPr>
        <w:t>或以符合條件房舍</w:t>
      </w:r>
      <w:proofErr w:type="gramStart"/>
      <w:r w:rsidRPr="00484E64">
        <w:rPr>
          <w:rFonts w:ascii="標楷體" w:eastAsia="標楷體" w:hAnsi="標楷體" w:hint="eastAsia"/>
          <w:szCs w:val="24"/>
        </w:rPr>
        <w:t>老舊為由</w:t>
      </w:r>
      <w:proofErr w:type="gramEnd"/>
      <w:r w:rsidRPr="00484E64">
        <w:rPr>
          <w:rFonts w:ascii="標楷體" w:eastAsia="標楷體" w:hAnsi="標楷體" w:hint="eastAsia"/>
          <w:szCs w:val="24"/>
        </w:rPr>
        <w:t>無意願使用等情，</w:t>
      </w:r>
      <w:proofErr w:type="gramStart"/>
      <w:r w:rsidRPr="00484E64">
        <w:rPr>
          <w:rFonts w:ascii="標楷體" w:eastAsia="標楷體" w:hAnsi="標楷體" w:hint="eastAsia"/>
          <w:szCs w:val="24"/>
        </w:rPr>
        <w:t>研</w:t>
      </w:r>
      <w:proofErr w:type="gramEnd"/>
      <w:r w:rsidRPr="00484E64">
        <w:rPr>
          <w:rFonts w:ascii="標楷體" w:eastAsia="標楷體" w:hAnsi="標楷體" w:hint="eastAsia"/>
          <w:szCs w:val="24"/>
        </w:rPr>
        <w:t>謀相關優化機制措施，以利有效去化閒置國有房地；又為應未來智慧化政府發展及辦公服務需要，亦待透過整體政府思維前瞻規劃合署辦公場域，整合零散租用或自有辦公廳舍，提供更快捷、多元化及優質的數位服務，發揮機關合署辦公資源共享之綜效；另針對國外駐外館舍自有率不及</w:t>
      </w:r>
      <w:proofErr w:type="gramStart"/>
      <w:r w:rsidRPr="00484E64">
        <w:rPr>
          <w:rFonts w:ascii="標楷體" w:eastAsia="標楷體" w:hAnsi="標楷體" w:hint="eastAsia"/>
          <w:szCs w:val="24"/>
        </w:rPr>
        <w:t>2成</w:t>
      </w:r>
      <w:proofErr w:type="gramEnd"/>
      <w:r w:rsidRPr="00484E64">
        <w:rPr>
          <w:rFonts w:ascii="標楷體" w:eastAsia="標楷體" w:hAnsi="標楷體" w:hint="eastAsia"/>
          <w:szCs w:val="24"/>
        </w:rPr>
        <w:t>等情，督促權責機關</w:t>
      </w:r>
      <w:proofErr w:type="gramStart"/>
      <w:r w:rsidRPr="00484E64">
        <w:rPr>
          <w:rFonts w:ascii="標楷體" w:eastAsia="標楷體" w:hAnsi="標楷體" w:hint="eastAsia"/>
          <w:szCs w:val="24"/>
        </w:rPr>
        <w:t>研</w:t>
      </w:r>
      <w:proofErr w:type="gramEnd"/>
      <w:r w:rsidRPr="00484E64">
        <w:rPr>
          <w:rFonts w:ascii="標楷體" w:eastAsia="標楷體" w:hAnsi="標楷體" w:hint="eastAsia"/>
          <w:szCs w:val="24"/>
        </w:rPr>
        <w:t>謀有效措施，活化國有閒置及低度利用房地，並加速</w:t>
      </w:r>
      <w:proofErr w:type="gramStart"/>
      <w:r w:rsidRPr="00484E64">
        <w:rPr>
          <w:rFonts w:ascii="標楷體" w:eastAsia="標楷體" w:hAnsi="標楷體" w:hint="eastAsia"/>
          <w:szCs w:val="24"/>
        </w:rPr>
        <w:t>推展駐外</w:t>
      </w:r>
      <w:proofErr w:type="gramEnd"/>
      <w:r w:rsidRPr="00484E64">
        <w:rPr>
          <w:rFonts w:ascii="標楷體" w:eastAsia="標楷體" w:hAnsi="標楷體" w:hint="eastAsia"/>
          <w:szCs w:val="24"/>
        </w:rPr>
        <w:t>館舍購建計畫執行進度，</w:t>
      </w:r>
      <w:proofErr w:type="gramStart"/>
      <w:r w:rsidRPr="00484E64">
        <w:rPr>
          <w:rFonts w:ascii="標楷體" w:eastAsia="標楷體" w:hAnsi="標楷體" w:hint="eastAsia"/>
          <w:szCs w:val="24"/>
        </w:rPr>
        <w:t>俾</w:t>
      </w:r>
      <w:proofErr w:type="gramEnd"/>
      <w:r w:rsidRPr="00484E64">
        <w:rPr>
          <w:rFonts w:ascii="標楷體" w:eastAsia="標楷體" w:hAnsi="標楷體" w:hint="eastAsia"/>
          <w:szCs w:val="24"/>
        </w:rPr>
        <w:t>貫徹外館以</w:t>
      </w:r>
      <w:proofErr w:type="gramStart"/>
      <w:r w:rsidRPr="00484E64">
        <w:rPr>
          <w:rFonts w:ascii="標楷體" w:eastAsia="標楷體" w:hAnsi="標楷體" w:hint="eastAsia"/>
          <w:szCs w:val="24"/>
        </w:rPr>
        <w:t>買代租</w:t>
      </w:r>
      <w:proofErr w:type="gramEnd"/>
      <w:r w:rsidRPr="00484E64">
        <w:rPr>
          <w:rFonts w:ascii="標楷體" w:eastAsia="標楷體" w:hAnsi="標楷體" w:hint="eastAsia"/>
          <w:szCs w:val="24"/>
        </w:rPr>
        <w:t>政策，</w:t>
      </w:r>
      <w:proofErr w:type="gramStart"/>
      <w:r w:rsidRPr="00484E64">
        <w:rPr>
          <w:rFonts w:ascii="標楷體" w:eastAsia="標楷體" w:hAnsi="標楷體" w:hint="eastAsia"/>
          <w:szCs w:val="24"/>
        </w:rPr>
        <w:t>撙</w:t>
      </w:r>
      <w:proofErr w:type="gramEnd"/>
      <w:r w:rsidRPr="00484E64">
        <w:rPr>
          <w:rFonts w:ascii="標楷體" w:eastAsia="標楷體" w:hAnsi="標楷體" w:hint="eastAsia"/>
          <w:szCs w:val="24"/>
        </w:rPr>
        <w:t>節租金支出，增進國家整體資源運用效能。</w:t>
      </w:r>
    </w:p>
    <w:p w14:paraId="08A67E6E" w14:textId="18AC2F0C" w:rsidR="00E8604E" w:rsidRPr="002764DD" w:rsidRDefault="00E8604E" w:rsidP="00CA55FD">
      <w:pPr>
        <w:pStyle w:val="2"/>
        <w:overflowPunct w:val="0"/>
        <w:spacing w:beforeLines="30" w:before="108" w:afterLines="30" w:after="108" w:line="43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（五）　</w:t>
      </w:r>
      <w:r w:rsidR="0044560D" w:rsidRPr="00484E64">
        <w:rPr>
          <w:rFonts w:hAnsi="標楷體" w:hint="eastAsia"/>
          <w:b/>
          <w:sz w:val="28"/>
          <w:szCs w:val="28"/>
        </w:rPr>
        <w:t>政府為提升國有土地利用價值，辦理國有非公用土地處分作業，惟部分案件未考量國有土地之整體開發利用效益，致將一宗國有土地遭占用或出租之土地部分辦理分割，並就分割後之其餘國有土地辦理標售，影響剩餘遭占用或出租國有土地可利用價值</w:t>
      </w:r>
      <w:r w:rsidR="006A4080">
        <w:rPr>
          <w:rFonts w:hAnsi="標楷體" w:hint="eastAsia"/>
          <w:b/>
          <w:sz w:val="28"/>
          <w:szCs w:val="28"/>
        </w:rPr>
        <w:t>，</w:t>
      </w:r>
      <w:r w:rsidR="0044560D" w:rsidRPr="00484E64">
        <w:rPr>
          <w:rFonts w:hAnsi="標楷體" w:hint="eastAsia"/>
          <w:b/>
          <w:sz w:val="28"/>
          <w:szCs w:val="28"/>
        </w:rPr>
        <w:t>允宜督促</w:t>
      </w:r>
      <w:proofErr w:type="gramStart"/>
      <w:r w:rsidR="0044560D" w:rsidRPr="00484E64">
        <w:rPr>
          <w:rFonts w:hAnsi="標楷體" w:hint="eastAsia"/>
          <w:b/>
          <w:sz w:val="28"/>
          <w:szCs w:val="28"/>
        </w:rPr>
        <w:t>研</w:t>
      </w:r>
      <w:proofErr w:type="gramEnd"/>
      <w:r w:rsidR="0044560D" w:rsidRPr="00484E64">
        <w:rPr>
          <w:rFonts w:hAnsi="標楷體" w:hint="eastAsia"/>
          <w:b/>
          <w:sz w:val="28"/>
          <w:szCs w:val="28"/>
        </w:rPr>
        <w:t>謀改善，以確保國有土地權益。</w:t>
      </w:r>
    </w:p>
    <w:p w14:paraId="764CF270" w14:textId="475E25AF" w:rsidR="00E8604E" w:rsidRPr="002764DD" w:rsidRDefault="00045265" w:rsidP="00CA55FD">
      <w:pPr>
        <w:pStyle w:val="a7"/>
        <w:overflowPunct w:val="0"/>
        <w:spacing w:line="43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民間透過都市更新、產業創新園區等開發方式，侵蝕國有建地之情形時有所聞，導致國有建地持續流失，嚴重影響國土儲備與永續經營，甚至造成外界產生政府配合財團建商炒作不動產之質疑。據行政院101年11月2日院</w:t>
      </w:r>
      <w:proofErr w:type="gramStart"/>
      <w:r w:rsidRPr="00484E64">
        <w:rPr>
          <w:rFonts w:ascii="標楷體" w:eastAsia="標楷體" w:hAnsi="標楷體" w:hint="eastAsia"/>
          <w:szCs w:val="24"/>
        </w:rPr>
        <w:t>臺</w:t>
      </w:r>
      <w:proofErr w:type="gramEnd"/>
      <w:r w:rsidRPr="00484E64">
        <w:rPr>
          <w:rFonts w:ascii="標楷體" w:eastAsia="標楷體" w:hAnsi="標楷體" w:hint="eastAsia"/>
          <w:szCs w:val="24"/>
        </w:rPr>
        <w:t>財</w:t>
      </w:r>
      <w:proofErr w:type="gramStart"/>
      <w:r w:rsidRPr="00484E64">
        <w:rPr>
          <w:rFonts w:ascii="標楷體" w:eastAsia="標楷體" w:hAnsi="標楷體" w:hint="eastAsia"/>
          <w:szCs w:val="24"/>
        </w:rPr>
        <w:t>揆</w:t>
      </w:r>
      <w:proofErr w:type="gramEnd"/>
      <w:r w:rsidRPr="00484E64">
        <w:rPr>
          <w:rFonts w:ascii="標楷體" w:eastAsia="標楷體" w:hAnsi="標楷體" w:hint="eastAsia"/>
          <w:szCs w:val="24"/>
        </w:rPr>
        <w:t>字第1010062047號函示，臺北市地區面積在1,650平方公尺以下之國有土地繼續停止辦理標售；特殊性質國有房地仍應妥為活化利用，提升國家資產運用效益。有關</w:t>
      </w:r>
      <w:r w:rsidR="00F23069" w:rsidRPr="00F23069">
        <w:rPr>
          <w:rFonts w:ascii="標楷體" w:eastAsia="標楷體" w:hAnsi="標楷體" w:hint="eastAsia"/>
          <w:szCs w:val="24"/>
        </w:rPr>
        <w:t>財政部國有財產署（下稱國產署）</w:t>
      </w:r>
      <w:r w:rsidRPr="00484E64">
        <w:rPr>
          <w:rFonts w:ascii="標楷體" w:eastAsia="標楷體" w:hAnsi="標楷體" w:hint="eastAsia"/>
          <w:szCs w:val="24"/>
        </w:rPr>
        <w:t>辦理國有非公用土地標（讓）售作業情形，核有下列事項：</w:t>
      </w:r>
    </w:p>
    <w:p w14:paraId="00FDA089" w14:textId="1D0A53AC" w:rsidR="00E8604E" w:rsidRPr="002764DD" w:rsidRDefault="00E8604E" w:rsidP="00CA55FD">
      <w:pPr>
        <w:overflowPunct w:val="0"/>
        <w:spacing w:line="424"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lastRenderedPageBreak/>
        <w:t xml:space="preserve">1.　</w:t>
      </w:r>
      <w:r w:rsidR="00045265" w:rsidRPr="00484E64">
        <w:rPr>
          <w:rFonts w:ascii="標楷體" w:eastAsia="標楷體" w:hAnsi="標楷體" w:hint="eastAsia"/>
          <w:b/>
          <w:szCs w:val="24"/>
        </w:rPr>
        <w:t>原一宗國有土地經以申租、申購方式形成</w:t>
      </w:r>
      <w:proofErr w:type="gramStart"/>
      <w:r w:rsidR="00045265" w:rsidRPr="00484E64">
        <w:rPr>
          <w:rFonts w:ascii="標楷體" w:eastAsia="標楷體" w:hAnsi="標楷體" w:hint="eastAsia"/>
          <w:b/>
          <w:szCs w:val="24"/>
        </w:rPr>
        <w:t>畸</w:t>
      </w:r>
      <w:proofErr w:type="gramEnd"/>
      <w:r w:rsidR="00045265" w:rsidRPr="00484E64">
        <w:rPr>
          <w:rFonts w:ascii="標楷體" w:eastAsia="標楷體" w:hAnsi="標楷體" w:hint="eastAsia"/>
          <w:b/>
          <w:szCs w:val="24"/>
        </w:rPr>
        <w:t>零地，</w:t>
      </w:r>
      <w:proofErr w:type="gramStart"/>
      <w:r w:rsidR="00045265" w:rsidRPr="00484E64">
        <w:rPr>
          <w:rFonts w:ascii="標楷體" w:eastAsia="標楷體" w:hAnsi="標楷體" w:hint="eastAsia"/>
          <w:b/>
          <w:szCs w:val="24"/>
        </w:rPr>
        <w:t>嗣</w:t>
      </w:r>
      <w:proofErr w:type="gramEnd"/>
      <w:r w:rsidR="00045265" w:rsidRPr="00484E64">
        <w:rPr>
          <w:rFonts w:ascii="標楷體" w:eastAsia="標楷體" w:hAnsi="標楷體" w:hint="eastAsia"/>
          <w:b/>
          <w:szCs w:val="24"/>
        </w:rPr>
        <w:t>申購人再以該</w:t>
      </w:r>
      <w:proofErr w:type="gramStart"/>
      <w:r w:rsidR="00045265" w:rsidRPr="00484E64">
        <w:rPr>
          <w:rFonts w:ascii="標楷體" w:eastAsia="標楷體" w:hAnsi="標楷體" w:hint="eastAsia"/>
          <w:b/>
          <w:szCs w:val="24"/>
        </w:rPr>
        <w:t>畸</w:t>
      </w:r>
      <w:proofErr w:type="gramEnd"/>
      <w:r w:rsidR="00045265" w:rsidRPr="00484E64">
        <w:rPr>
          <w:rFonts w:ascii="標楷體" w:eastAsia="標楷體" w:hAnsi="標楷體" w:hint="eastAsia"/>
          <w:b/>
          <w:szCs w:val="24"/>
        </w:rPr>
        <w:t>零地申請合併剩餘且遭占用之大部分國有</w:t>
      </w:r>
      <w:proofErr w:type="gramStart"/>
      <w:r w:rsidR="00045265" w:rsidRPr="00484E64">
        <w:rPr>
          <w:rFonts w:ascii="標楷體" w:eastAsia="標楷體" w:hAnsi="標楷體" w:hint="eastAsia"/>
          <w:b/>
          <w:szCs w:val="24"/>
        </w:rPr>
        <w:t>畸</w:t>
      </w:r>
      <w:proofErr w:type="gramEnd"/>
      <w:r w:rsidR="00045265" w:rsidRPr="00484E64">
        <w:rPr>
          <w:rFonts w:ascii="標楷體" w:eastAsia="標楷體" w:hAnsi="標楷體" w:hint="eastAsia"/>
          <w:b/>
          <w:szCs w:val="24"/>
        </w:rPr>
        <w:t>零地，仍經審查符合</w:t>
      </w:r>
      <w:proofErr w:type="gramStart"/>
      <w:r w:rsidR="00045265" w:rsidRPr="00484E64">
        <w:rPr>
          <w:rFonts w:ascii="標楷體" w:eastAsia="標楷體" w:hAnsi="標楷體" w:hint="eastAsia"/>
          <w:b/>
          <w:szCs w:val="24"/>
        </w:rPr>
        <w:t>得予讓售</w:t>
      </w:r>
      <w:proofErr w:type="gramEnd"/>
      <w:r w:rsidR="00045265" w:rsidRPr="00484E64">
        <w:rPr>
          <w:rFonts w:ascii="標楷體" w:eastAsia="標楷體" w:hAnsi="標楷體" w:hint="eastAsia"/>
          <w:b/>
          <w:szCs w:val="24"/>
        </w:rPr>
        <w:t>規定，形同外界質疑不予競標取得國有土地情事之延續，並損及國有土地可運用效益：</w:t>
      </w:r>
      <w:r w:rsidR="00045265" w:rsidRPr="00484E64">
        <w:rPr>
          <w:rFonts w:ascii="標楷體" w:eastAsia="標楷體" w:hAnsi="標楷體" w:hint="eastAsia"/>
          <w:szCs w:val="24"/>
        </w:rPr>
        <w:t>國產署辦理國有非公用土地讓售業務，統計該署110至112年度</w:t>
      </w:r>
      <w:r w:rsidR="00045265">
        <w:rPr>
          <w:rFonts w:ascii="標楷體" w:eastAsia="標楷體" w:hAnsi="標楷體" w:hint="eastAsia"/>
          <w:szCs w:val="24"/>
        </w:rPr>
        <w:t>依國有財產法</w:t>
      </w:r>
      <w:r w:rsidR="00045265" w:rsidRPr="00484E64">
        <w:rPr>
          <w:rFonts w:ascii="標楷體" w:eastAsia="標楷體" w:hAnsi="標楷體" w:hint="eastAsia"/>
          <w:szCs w:val="24"/>
        </w:rPr>
        <w:t>第49條第1項（非公用財產類之不動產，其已有租賃關係者，得讓售與直接使用人）及第3項（非公用財產類之不動產，其經地方政府認定應與鄰接土地合併建築使用者，得讓售與有合併使用必要之鄰地所有權人）規定辦理國有土地處分案件情形，已出售案件計有2,195件、逾期未繳款註銷案件計有180件、審核中案件計有756件，其中部分申購案件，如臺北市信義區及大安區等2件申請</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零地合併讓售案件，合併國有土地面積合計約207平方公尺，其原為國產署經管且臨接道路之一宗可單獨建築使用國有土地，面積合計約841平方公尺，前於財政部100年9月修正發布出租之國有非公用不動產</w:t>
      </w:r>
      <w:proofErr w:type="gramStart"/>
      <w:r w:rsidR="00045265" w:rsidRPr="00484E64">
        <w:rPr>
          <w:rFonts w:ascii="標楷體" w:eastAsia="標楷體" w:hAnsi="標楷體" w:hint="eastAsia"/>
          <w:szCs w:val="24"/>
        </w:rPr>
        <w:t>得予讓售</w:t>
      </w:r>
      <w:proofErr w:type="gramEnd"/>
      <w:r w:rsidR="00045265" w:rsidRPr="00484E64">
        <w:rPr>
          <w:rFonts w:ascii="標楷體" w:eastAsia="標楷體" w:hAnsi="標楷體" w:hint="eastAsia"/>
          <w:szCs w:val="24"/>
        </w:rPr>
        <w:t>範圍準則（財政部</w:t>
      </w:r>
      <w:proofErr w:type="gramStart"/>
      <w:r w:rsidR="00045265" w:rsidRPr="00484E64">
        <w:rPr>
          <w:rFonts w:ascii="標楷體" w:eastAsia="標楷體" w:hAnsi="標楷體" w:hint="eastAsia"/>
          <w:szCs w:val="24"/>
        </w:rPr>
        <w:t>鑑</w:t>
      </w:r>
      <w:proofErr w:type="gramEnd"/>
      <w:r w:rsidR="00045265" w:rsidRPr="00484E64">
        <w:rPr>
          <w:rFonts w:ascii="標楷體" w:eastAsia="標楷體" w:hAnsi="標楷體" w:hint="eastAsia"/>
          <w:szCs w:val="24"/>
        </w:rPr>
        <w:t>於外界對於國有非公用不動產之占用人於占用後得承租該不動產，並基於此租賃關係依直接讓售規定購得國有土地而無須競標，仍有所質疑等因素，</w:t>
      </w:r>
      <w:proofErr w:type="gramStart"/>
      <w:r w:rsidR="00045265" w:rsidRPr="00484E64">
        <w:rPr>
          <w:rFonts w:ascii="標楷體" w:eastAsia="標楷體" w:hAnsi="標楷體" w:hint="eastAsia"/>
          <w:szCs w:val="24"/>
        </w:rPr>
        <w:t>爰</w:t>
      </w:r>
      <w:proofErr w:type="gramEnd"/>
      <w:r w:rsidR="00045265" w:rsidRPr="00484E64">
        <w:rPr>
          <w:rFonts w:ascii="標楷體" w:eastAsia="標楷體" w:hAnsi="標楷體" w:hint="eastAsia"/>
          <w:szCs w:val="24"/>
        </w:rPr>
        <w:t>修正發布出租之國有非公用不動產得予讓售範圍準則第2條第1項第2</w:t>
      </w:r>
      <w:r w:rsidR="00045265">
        <w:rPr>
          <w:rFonts w:ascii="標楷體" w:eastAsia="標楷體" w:hAnsi="標楷體" w:hint="eastAsia"/>
          <w:szCs w:val="24"/>
        </w:rPr>
        <w:t>款，限縮對於依國有財產法</w:t>
      </w:r>
      <w:r w:rsidR="00045265" w:rsidRPr="00484E64">
        <w:rPr>
          <w:rFonts w:ascii="標楷體" w:eastAsia="標楷體" w:hAnsi="標楷體" w:hint="eastAsia"/>
          <w:szCs w:val="24"/>
        </w:rPr>
        <w:t>第49條第1項有關出租之建築基地得予讓售範圍，僅有位於直轄市以外區域，且</w:t>
      </w:r>
      <w:proofErr w:type="gramStart"/>
      <w:r w:rsidR="00045265" w:rsidRPr="00484E64">
        <w:rPr>
          <w:rFonts w:ascii="標楷體" w:eastAsia="標楷體" w:hAnsi="標楷體" w:hint="eastAsia"/>
          <w:szCs w:val="24"/>
        </w:rPr>
        <w:t>併</w:t>
      </w:r>
      <w:proofErr w:type="gramEnd"/>
      <w:r w:rsidR="00045265" w:rsidRPr="00484E64">
        <w:rPr>
          <w:rFonts w:ascii="標楷體" w:eastAsia="標楷體" w:hAnsi="標楷體" w:hint="eastAsia"/>
          <w:szCs w:val="24"/>
        </w:rPr>
        <w:t>計鄰接之國有土地面積在330平方公尺以下之建築基地得予讓售）前，</w:t>
      </w:r>
      <w:proofErr w:type="gramStart"/>
      <w:r w:rsidR="00045265" w:rsidRPr="00484E64">
        <w:rPr>
          <w:rFonts w:ascii="標楷體" w:eastAsia="標楷體" w:hAnsi="標楷體" w:hint="eastAsia"/>
          <w:szCs w:val="24"/>
        </w:rPr>
        <w:t>以租轉售</w:t>
      </w:r>
      <w:proofErr w:type="gramEnd"/>
      <w:r w:rsidR="00045265" w:rsidRPr="00484E64">
        <w:rPr>
          <w:rFonts w:ascii="標楷體" w:eastAsia="標楷體" w:hAnsi="標楷體" w:hint="eastAsia"/>
          <w:szCs w:val="24"/>
        </w:rPr>
        <w:t>方式予申購人，致剩餘國有土地形成</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零地，並</w:t>
      </w:r>
      <w:proofErr w:type="gramStart"/>
      <w:r w:rsidR="00045265" w:rsidRPr="00484E64">
        <w:rPr>
          <w:rFonts w:ascii="標楷體" w:eastAsia="標楷體" w:hAnsi="標楷體" w:hint="eastAsia"/>
          <w:szCs w:val="24"/>
        </w:rPr>
        <w:t>占原整宗</w:t>
      </w:r>
      <w:proofErr w:type="gramEnd"/>
      <w:r w:rsidR="00045265" w:rsidRPr="00484E64">
        <w:rPr>
          <w:rFonts w:ascii="標楷體" w:eastAsia="標楷體" w:hAnsi="標楷體" w:hint="eastAsia"/>
          <w:szCs w:val="24"/>
        </w:rPr>
        <w:t>國有土地之大部分，除持續遭申購人占用，且使用補償</w:t>
      </w:r>
      <w:proofErr w:type="gramStart"/>
      <w:r w:rsidR="00045265" w:rsidRPr="00484E64">
        <w:rPr>
          <w:rFonts w:ascii="標楷體" w:eastAsia="標楷體" w:hAnsi="標楷體" w:hint="eastAsia"/>
          <w:szCs w:val="24"/>
        </w:rPr>
        <w:t>金均未繳交</w:t>
      </w:r>
      <w:proofErr w:type="gramEnd"/>
      <w:r w:rsidR="00045265" w:rsidRPr="00484E64">
        <w:rPr>
          <w:rFonts w:ascii="標楷體" w:eastAsia="標楷體" w:hAnsi="標楷體" w:hint="eastAsia"/>
          <w:szCs w:val="24"/>
        </w:rPr>
        <w:t>，</w:t>
      </w:r>
      <w:proofErr w:type="gramStart"/>
      <w:r w:rsidR="00045265" w:rsidRPr="00484E64">
        <w:rPr>
          <w:rFonts w:ascii="標楷體" w:eastAsia="標楷體" w:hAnsi="標楷體" w:hint="eastAsia"/>
          <w:szCs w:val="24"/>
        </w:rPr>
        <w:t>嗣</w:t>
      </w:r>
      <w:proofErr w:type="gramEnd"/>
      <w:r w:rsidR="00045265" w:rsidRPr="00484E64">
        <w:rPr>
          <w:rFonts w:ascii="標楷體" w:eastAsia="標楷體" w:hAnsi="標楷體" w:hint="eastAsia"/>
          <w:szCs w:val="24"/>
        </w:rPr>
        <w:t>又經國產署所屬擬同意申購人以</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零地合併讓售，即有利於特定人士取得國有土地，並損及剩餘國有土地可運用效益，衍生外界質疑占用人不予競標取得國有土地等情事。</w:t>
      </w:r>
    </w:p>
    <w:p w14:paraId="1D046656" w14:textId="0F4E46AA" w:rsidR="00E8604E" w:rsidRPr="002764DD" w:rsidRDefault="00E8604E" w:rsidP="00CA55FD">
      <w:pPr>
        <w:overflowPunct w:val="0"/>
        <w:spacing w:line="424"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2.　</w:t>
      </w:r>
      <w:r w:rsidR="00045265" w:rsidRPr="00484E64">
        <w:rPr>
          <w:rFonts w:ascii="標楷體" w:eastAsia="標楷體" w:hAnsi="標楷體" w:hint="eastAsia"/>
          <w:b/>
          <w:szCs w:val="24"/>
        </w:rPr>
        <w:t>國</w:t>
      </w:r>
      <w:r w:rsidR="00045265">
        <w:rPr>
          <w:rFonts w:ascii="標楷體" w:eastAsia="標楷體" w:hAnsi="標楷體" w:hint="eastAsia"/>
          <w:b/>
          <w:szCs w:val="24"/>
        </w:rPr>
        <w:t>產署</w:t>
      </w:r>
      <w:r w:rsidR="00045265" w:rsidRPr="00484E64">
        <w:rPr>
          <w:rFonts w:ascii="標楷體" w:eastAsia="標楷體" w:hAnsi="標楷體" w:hint="eastAsia"/>
          <w:b/>
          <w:szCs w:val="24"/>
        </w:rPr>
        <w:t>97年間停止適用國有土地出租（售）須考量整體開發利用規定，致所屬將一宗國有土地遭占用或出租之土地部分辦理分割，並就分割後之其餘國有土地辦理標售，影響剩餘遭占用或出租國有土地可利用價值：</w:t>
      </w:r>
      <w:r w:rsidR="00045265" w:rsidRPr="00484E64">
        <w:rPr>
          <w:rFonts w:ascii="標楷體" w:eastAsia="標楷體" w:hAnsi="標楷體" w:hint="eastAsia"/>
          <w:szCs w:val="24"/>
        </w:rPr>
        <w:t>前財政部國有財產局（102年1月1日改制為國產署）於95年間考量大面積高價值土地部分出租，恐影響剩餘國有土地之整體開發利用效益，及遭多次分割處分等情，</w:t>
      </w:r>
      <w:proofErr w:type="gramStart"/>
      <w:r w:rsidR="00045265" w:rsidRPr="00484E64">
        <w:rPr>
          <w:rFonts w:ascii="標楷體" w:eastAsia="標楷體" w:hAnsi="標楷體" w:hint="eastAsia"/>
          <w:szCs w:val="24"/>
        </w:rPr>
        <w:t>爰</w:t>
      </w:r>
      <w:proofErr w:type="gramEnd"/>
      <w:r w:rsidR="00045265" w:rsidRPr="00484E64">
        <w:rPr>
          <w:rFonts w:ascii="標楷體" w:eastAsia="標楷體" w:hAnsi="標楷體" w:hint="eastAsia"/>
          <w:szCs w:val="24"/>
        </w:rPr>
        <w:t>於95年2月23日以台財產局管字第0950005146號函示：國有土地之出租、出售，宜顧及</w:t>
      </w:r>
      <w:r w:rsidR="00045265">
        <w:rPr>
          <w:rFonts w:ascii="標楷體" w:eastAsia="標楷體" w:hAnsi="標楷體" w:hint="eastAsia"/>
          <w:szCs w:val="24"/>
        </w:rPr>
        <w:t>國庫權益，視個案土地之條件，考量土地之整體開發利用效益，依國有財產法</w:t>
      </w:r>
      <w:r w:rsidR="00045265" w:rsidRPr="00484E64">
        <w:rPr>
          <w:rFonts w:ascii="標楷體" w:eastAsia="標楷體" w:hAnsi="標楷體" w:hint="eastAsia"/>
          <w:szCs w:val="24"/>
        </w:rPr>
        <w:t>相關規定辦理。該署嗣後考量上開95年2月23日函有關「整體利用」係屬抽象性之宣示及規範，於97年7月22日函所屬，停止適用上開該署95年2月23日函規定。據國產署全球資訊網招標資訊系統資料，該署辦理國有非公用土地標售業務之110至112年度處分案件情形，</w:t>
      </w:r>
      <w:proofErr w:type="gramStart"/>
      <w:r w:rsidR="00045265" w:rsidRPr="00484E64">
        <w:rPr>
          <w:rFonts w:ascii="標楷體" w:eastAsia="標楷體" w:hAnsi="標楷體" w:hint="eastAsia"/>
          <w:szCs w:val="24"/>
        </w:rPr>
        <w:t>列標案件</w:t>
      </w:r>
      <w:proofErr w:type="gramEnd"/>
      <w:r w:rsidR="00045265" w:rsidRPr="00484E64">
        <w:rPr>
          <w:rFonts w:ascii="標楷體" w:eastAsia="標楷體" w:hAnsi="標楷體" w:hint="eastAsia"/>
          <w:szCs w:val="24"/>
        </w:rPr>
        <w:t>計有9,254筆，已標脫案件計有1,656筆，經抽查發現</w:t>
      </w:r>
      <w:proofErr w:type="gramStart"/>
      <w:r w:rsidR="00045265" w:rsidRPr="00484E64">
        <w:rPr>
          <w:rFonts w:ascii="標楷體" w:eastAsia="標楷體" w:hAnsi="標楷體" w:hint="eastAsia"/>
          <w:szCs w:val="24"/>
        </w:rPr>
        <w:t>臺</w:t>
      </w:r>
      <w:proofErr w:type="gramEnd"/>
      <w:r w:rsidR="00045265" w:rsidRPr="00484E64">
        <w:rPr>
          <w:rFonts w:ascii="標楷體" w:eastAsia="標楷體" w:hAnsi="標楷體" w:hint="eastAsia"/>
          <w:szCs w:val="24"/>
        </w:rPr>
        <w:t>中市西區及沙鹿區、高雄市仁武區及苓雅區、南投縣南投市等5件標售案件，標售國有土地合計約4,967平方公尺，其原為國產署經管且臨接道路之一宗可單獨建築使用國有土地，面積合計約6,814平方公尺，肇因上開國產署</w:t>
      </w:r>
      <w:proofErr w:type="gramStart"/>
      <w:r w:rsidR="00045265" w:rsidRPr="00484E64">
        <w:rPr>
          <w:rFonts w:ascii="標楷體" w:eastAsia="標楷體" w:hAnsi="標楷體" w:hint="eastAsia"/>
          <w:szCs w:val="24"/>
        </w:rPr>
        <w:t>95年2月23日函已停止</w:t>
      </w:r>
      <w:proofErr w:type="gramEnd"/>
      <w:r w:rsidR="00045265" w:rsidRPr="00484E64">
        <w:rPr>
          <w:rFonts w:ascii="標楷體" w:eastAsia="標楷體" w:hAnsi="標楷體" w:hint="eastAsia"/>
          <w:szCs w:val="24"/>
        </w:rPr>
        <w:t>適用，該署所屬</w:t>
      </w:r>
      <w:proofErr w:type="gramStart"/>
      <w:r w:rsidR="00045265" w:rsidRPr="00484E64">
        <w:rPr>
          <w:rFonts w:ascii="標楷體" w:eastAsia="標楷體" w:hAnsi="標楷體" w:hint="eastAsia"/>
          <w:szCs w:val="24"/>
        </w:rPr>
        <w:t>爰</w:t>
      </w:r>
      <w:proofErr w:type="gramEnd"/>
      <w:r w:rsidR="00045265" w:rsidRPr="00484E64">
        <w:rPr>
          <w:rFonts w:ascii="標楷體" w:eastAsia="標楷體" w:hAnsi="標楷體" w:hint="eastAsia"/>
          <w:szCs w:val="24"/>
        </w:rPr>
        <w:t>將部分遭占用或出租土地辦理分割，並就其餘國有土地辦理標售，</w:t>
      </w:r>
      <w:proofErr w:type="gramStart"/>
      <w:r w:rsidR="00045265" w:rsidRPr="00484E64">
        <w:rPr>
          <w:rFonts w:ascii="標楷體" w:eastAsia="標楷體" w:hAnsi="標楷體" w:hint="eastAsia"/>
          <w:szCs w:val="24"/>
        </w:rPr>
        <w:t>致標售</w:t>
      </w:r>
      <w:proofErr w:type="gramEnd"/>
      <w:r w:rsidR="00045265" w:rsidRPr="00484E64">
        <w:rPr>
          <w:rFonts w:ascii="標楷體" w:eastAsia="標楷體" w:hAnsi="標楷體" w:hint="eastAsia"/>
          <w:szCs w:val="24"/>
        </w:rPr>
        <w:t>後將使分割出之剩餘國有土地形成</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零地或</w:t>
      </w:r>
      <w:proofErr w:type="gramStart"/>
      <w:r w:rsidR="00045265" w:rsidRPr="00484E64">
        <w:rPr>
          <w:rFonts w:ascii="標楷體" w:eastAsia="標楷體" w:hAnsi="標楷體" w:hint="eastAsia"/>
          <w:szCs w:val="24"/>
        </w:rPr>
        <w:t>未臨路之</w:t>
      </w:r>
      <w:proofErr w:type="gramEnd"/>
      <w:r w:rsidR="00045265" w:rsidRPr="00484E64">
        <w:rPr>
          <w:rFonts w:ascii="標楷體" w:eastAsia="標楷體" w:hAnsi="標楷體" w:hint="eastAsia"/>
          <w:szCs w:val="24"/>
        </w:rPr>
        <w:t>裡地，已減損土地利用價值，損及國產權益。財政部為妥適處理國有非公用土地現行管理及活化利用精進措</w:t>
      </w:r>
      <w:r w:rsidR="00045265" w:rsidRPr="00484E64">
        <w:rPr>
          <w:rFonts w:ascii="標楷體" w:eastAsia="標楷體" w:hAnsi="標楷體" w:hint="eastAsia"/>
          <w:szCs w:val="24"/>
        </w:rPr>
        <w:lastRenderedPageBreak/>
        <w:t>施，業於113年6月13日召開會議討論，獲致結論，擬標售國有土地時，將優先對於直轄市面積未達1,650平方公尺國有土地，屬都市計畫住宅區、商業區且面積達660平方公尺以上者；及周邊國有土地之土地使用管制及使用情形（如標售後鄰接剩餘國有土地是否形成</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零地或裡地情形）等事項</w:t>
      </w:r>
      <w:proofErr w:type="gramStart"/>
      <w:r w:rsidR="00045265" w:rsidRPr="00484E64">
        <w:rPr>
          <w:rFonts w:ascii="標楷體" w:eastAsia="標楷體" w:hAnsi="標楷體" w:hint="eastAsia"/>
          <w:szCs w:val="24"/>
        </w:rPr>
        <w:t>併</w:t>
      </w:r>
      <w:proofErr w:type="gramEnd"/>
      <w:r w:rsidR="00045265" w:rsidRPr="00484E64">
        <w:rPr>
          <w:rFonts w:ascii="標楷體" w:eastAsia="標楷體" w:hAnsi="標楷體" w:hint="eastAsia"/>
          <w:szCs w:val="24"/>
        </w:rPr>
        <w:t>同評估，如因標售導致剩餘國有土地利用價值減損，原則</w:t>
      </w:r>
      <w:proofErr w:type="gramStart"/>
      <w:r w:rsidR="00045265" w:rsidRPr="00484E64">
        <w:rPr>
          <w:rFonts w:ascii="標楷體" w:eastAsia="標楷體" w:hAnsi="標楷體" w:hint="eastAsia"/>
          <w:szCs w:val="24"/>
        </w:rPr>
        <w:t>採</w:t>
      </w:r>
      <w:proofErr w:type="gramEnd"/>
      <w:r w:rsidR="00045265" w:rsidRPr="00484E64">
        <w:rPr>
          <w:rFonts w:ascii="標楷體" w:eastAsia="標楷體" w:hAnsi="標楷體" w:hint="eastAsia"/>
          <w:szCs w:val="24"/>
        </w:rPr>
        <w:t>標售以外方式活化等改善措施。</w:t>
      </w:r>
      <w:proofErr w:type="gramStart"/>
      <w:r w:rsidR="00045265" w:rsidRPr="00484E64">
        <w:rPr>
          <w:rFonts w:ascii="標楷體" w:eastAsia="標楷體" w:hAnsi="標楷體" w:hint="eastAsia"/>
          <w:szCs w:val="24"/>
        </w:rPr>
        <w:t>惟</w:t>
      </w:r>
      <w:proofErr w:type="gramEnd"/>
      <w:r w:rsidR="00045265" w:rsidRPr="00484E64">
        <w:rPr>
          <w:rFonts w:ascii="標楷體" w:eastAsia="標楷體" w:hAnsi="標楷體" w:hint="eastAsia"/>
          <w:szCs w:val="24"/>
        </w:rPr>
        <w:t>國產署對於原一宗可單獨建築使用國有土地經</w:t>
      </w:r>
      <w:proofErr w:type="gramStart"/>
      <w:r w:rsidR="00045265" w:rsidRPr="00484E64">
        <w:rPr>
          <w:rFonts w:ascii="標楷體" w:eastAsia="標楷體" w:hAnsi="標楷體" w:hint="eastAsia"/>
          <w:szCs w:val="24"/>
        </w:rPr>
        <w:t>以租轉售</w:t>
      </w:r>
      <w:proofErr w:type="gramEnd"/>
      <w:r w:rsidR="00045265" w:rsidRPr="00484E64">
        <w:rPr>
          <w:rFonts w:ascii="標楷體" w:eastAsia="標楷體" w:hAnsi="標楷體" w:hint="eastAsia"/>
          <w:szCs w:val="24"/>
        </w:rPr>
        <w:t>方式，致剩餘國有土地形成</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零地1</w:t>
      </w:r>
      <w:r w:rsidR="00045265">
        <w:rPr>
          <w:rFonts w:ascii="標楷體" w:eastAsia="標楷體" w:hAnsi="標楷體" w:hint="eastAsia"/>
          <w:szCs w:val="24"/>
        </w:rPr>
        <w:t>節，僅說明直轄市國有土地已無法依國有財產法</w:t>
      </w:r>
      <w:r w:rsidR="00045265" w:rsidRPr="00484E64">
        <w:rPr>
          <w:rFonts w:ascii="標楷體" w:eastAsia="標楷體" w:hAnsi="標楷體" w:hint="eastAsia"/>
          <w:szCs w:val="24"/>
        </w:rPr>
        <w:t>第49條第1項規定辦理讓售，即</w:t>
      </w:r>
      <w:proofErr w:type="gramStart"/>
      <w:r w:rsidR="00045265" w:rsidRPr="00484E64">
        <w:rPr>
          <w:rFonts w:ascii="標楷體" w:eastAsia="標楷體" w:hAnsi="標楷體" w:hint="eastAsia"/>
          <w:szCs w:val="24"/>
        </w:rPr>
        <w:t>以租轉售</w:t>
      </w:r>
      <w:proofErr w:type="gramEnd"/>
      <w:r w:rsidR="00045265" w:rsidRPr="00484E64">
        <w:rPr>
          <w:rFonts w:ascii="標楷體" w:eastAsia="標楷體" w:hAnsi="標楷體" w:hint="eastAsia"/>
          <w:szCs w:val="24"/>
        </w:rPr>
        <w:t>方式取得國有土地限縮於直轄市以外地區及面積須小於330平方公尺以下等，</w:t>
      </w:r>
      <w:proofErr w:type="gramStart"/>
      <w:r w:rsidR="00045265" w:rsidRPr="00484E64">
        <w:rPr>
          <w:rFonts w:ascii="標楷體" w:eastAsia="標楷體" w:hAnsi="標楷體" w:hint="eastAsia"/>
          <w:szCs w:val="24"/>
        </w:rPr>
        <w:t>爰</w:t>
      </w:r>
      <w:proofErr w:type="gramEnd"/>
      <w:r w:rsidR="00045265" w:rsidRPr="00484E64">
        <w:rPr>
          <w:rFonts w:ascii="標楷體" w:eastAsia="標楷體" w:hAnsi="標楷體" w:hint="eastAsia"/>
          <w:szCs w:val="24"/>
        </w:rPr>
        <w:t>仍無法避免直轄市以外地區於原一宗國有土地經</w:t>
      </w:r>
      <w:proofErr w:type="gramStart"/>
      <w:r w:rsidR="00045265" w:rsidRPr="00484E64">
        <w:rPr>
          <w:rFonts w:ascii="標楷體" w:eastAsia="標楷體" w:hAnsi="標楷體" w:hint="eastAsia"/>
          <w:szCs w:val="24"/>
        </w:rPr>
        <w:t>以租轉售</w:t>
      </w:r>
      <w:proofErr w:type="gramEnd"/>
      <w:r w:rsidR="00045265" w:rsidRPr="00484E64">
        <w:rPr>
          <w:rFonts w:ascii="標楷體" w:eastAsia="標楷體" w:hAnsi="標楷體" w:hint="eastAsia"/>
          <w:szCs w:val="24"/>
        </w:rPr>
        <w:t>取得並形成</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零地之可能性；另該署對於原一宗可單獨建築使用國有土地經</w:t>
      </w:r>
      <w:proofErr w:type="gramStart"/>
      <w:r w:rsidR="00045265" w:rsidRPr="00484E64">
        <w:rPr>
          <w:rFonts w:ascii="標楷體" w:eastAsia="標楷體" w:hAnsi="標楷體" w:hint="eastAsia"/>
          <w:szCs w:val="24"/>
        </w:rPr>
        <w:t>以租轉售</w:t>
      </w:r>
      <w:proofErr w:type="gramEnd"/>
      <w:r w:rsidR="00045265" w:rsidRPr="00484E64">
        <w:rPr>
          <w:rFonts w:ascii="標楷體" w:eastAsia="標楷體" w:hAnsi="標楷體" w:hint="eastAsia"/>
          <w:szCs w:val="24"/>
        </w:rPr>
        <w:t>方式，致剩餘國有土地形成</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零地，並</w:t>
      </w:r>
      <w:proofErr w:type="gramStart"/>
      <w:r w:rsidR="00045265" w:rsidRPr="00484E64">
        <w:rPr>
          <w:rFonts w:ascii="標楷體" w:eastAsia="標楷體" w:hAnsi="標楷體" w:hint="eastAsia"/>
          <w:szCs w:val="24"/>
        </w:rPr>
        <w:t>占原整宗</w:t>
      </w:r>
      <w:proofErr w:type="gramEnd"/>
      <w:r w:rsidR="00045265" w:rsidRPr="00484E64">
        <w:rPr>
          <w:rFonts w:ascii="標楷體" w:eastAsia="標楷體" w:hAnsi="標楷體" w:hint="eastAsia"/>
          <w:szCs w:val="24"/>
        </w:rPr>
        <w:t>國有土地之大部分，</w:t>
      </w:r>
      <w:proofErr w:type="gramStart"/>
      <w:r w:rsidR="00045265" w:rsidRPr="00484E64">
        <w:rPr>
          <w:rFonts w:ascii="標楷體" w:eastAsia="標楷體" w:hAnsi="標楷體" w:hint="eastAsia"/>
          <w:szCs w:val="24"/>
        </w:rPr>
        <w:t>嗣</w:t>
      </w:r>
      <w:proofErr w:type="gramEnd"/>
      <w:r w:rsidR="00045265" w:rsidRPr="00484E64">
        <w:rPr>
          <w:rFonts w:ascii="標楷體" w:eastAsia="標楷體" w:hAnsi="標楷體" w:hint="eastAsia"/>
          <w:szCs w:val="24"/>
        </w:rPr>
        <w:t>又經國產署所屬擬同意申購人以</w:t>
      </w:r>
      <w:proofErr w:type="gramStart"/>
      <w:r w:rsidR="00045265" w:rsidRPr="00484E64">
        <w:rPr>
          <w:rFonts w:ascii="標楷體" w:eastAsia="標楷體" w:hAnsi="標楷體" w:hint="eastAsia"/>
          <w:szCs w:val="24"/>
        </w:rPr>
        <w:t>畸</w:t>
      </w:r>
      <w:proofErr w:type="gramEnd"/>
      <w:r w:rsidR="00045265" w:rsidRPr="00484E64">
        <w:rPr>
          <w:rFonts w:ascii="標楷體" w:eastAsia="標楷體" w:hAnsi="標楷體" w:hint="eastAsia"/>
          <w:szCs w:val="24"/>
        </w:rPr>
        <w:t>零地合併讓售1節，僅說明考量整體土地利用效益，合併範圍內原以租用地承購國有土地取得者，尚不宜納入國有土地不辦理讓售範疇等，該署仍未對該等申購案件之處理過程對國產權益所致生影響情形，</w:t>
      </w:r>
      <w:proofErr w:type="gramStart"/>
      <w:r w:rsidR="00045265" w:rsidRPr="00484E64">
        <w:rPr>
          <w:rFonts w:ascii="標楷體" w:eastAsia="標楷體" w:hAnsi="標楷體" w:hint="eastAsia"/>
          <w:szCs w:val="24"/>
        </w:rPr>
        <w:t>研</w:t>
      </w:r>
      <w:proofErr w:type="gramEnd"/>
      <w:r w:rsidR="00045265" w:rsidRPr="00484E64">
        <w:rPr>
          <w:rFonts w:ascii="標楷體" w:eastAsia="標楷體" w:hAnsi="標楷體" w:hint="eastAsia"/>
          <w:szCs w:val="24"/>
        </w:rPr>
        <w:t>提具體改善措施，仍無法避免特定人士取得國有土地、損及剩餘國有土地可運用效益，及衍生外界質疑占用人不予競標取得國有土地等情事發生。</w:t>
      </w:r>
    </w:p>
    <w:p w14:paraId="4CD6BE6B" w14:textId="1853139C" w:rsidR="00E8604E" w:rsidRPr="002764DD" w:rsidRDefault="00FA77EE" w:rsidP="00CA55FD">
      <w:pPr>
        <w:pStyle w:val="a7"/>
        <w:overflowPunct w:val="0"/>
        <w:spacing w:line="43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綜上，國產署為增裕國庫收入，辦理國有非公用土地標（讓）售業務，惟尚未就直轄市以外地區於原一宗國有土地，經</w:t>
      </w:r>
      <w:proofErr w:type="gramStart"/>
      <w:r w:rsidRPr="00484E64">
        <w:rPr>
          <w:rFonts w:ascii="標楷體" w:eastAsia="標楷體" w:hAnsi="標楷體" w:hint="eastAsia"/>
          <w:szCs w:val="24"/>
        </w:rPr>
        <w:t>以租轉售</w:t>
      </w:r>
      <w:proofErr w:type="gramEnd"/>
      <w:r w:rsidRPr="00484E64">
        <w:rPr>
          <w:rFonts w:ascii="標楷體" w:eastAsia="標楷體" w:hAnsi="標楷體" w:hint="eastAsia"/>
          <w:szCs w:val="24"/>
        </w:rPr>
        <w:t>取得並形成</w:t>
      </w:r>
      <w:proofErr w:type="gramStart"/>
      <w:r w:rsidRPr="00484E64">
        <w:rPr>
          <w:rFonts w:ascii="標楷體" w:eastAsia="標楷體" w:hAnsi="標楷體" w:hint="eastAsia"/>
          <w:szCs w:val="24"/>
        </w:rPr>
        <w:t>畸</w:t>
      </w:r>
      <w:proofErr w:type="gramEnd"/>
      <w:r w:rsidRPr="00484E64">
        <w:rPr>
          <w:rFonts w:ascii="標楷體" w:eastAsia="標楷體" w:hAnsi="標楷體" w:hint="eastAsia"/>
          <w:szCs w:val="24"/>
        </w:rPr>
        <w:t>零地之可能性，</w:t>
      </w:r>
      <w:proofErr w:type="gramStart"/>
      <w:r w:rsidRPr="00484E64">
        <w:rPr>
          <w:rFonts w:ascii="標楷體" w:eastAsia="標楷體" w:hAnsi="標楷體" w:hint="eastAsia"/>
          <w:szCs w:val="24"/>
        </w:rPr>
        <w:t>研</w:t>
      </w:r>
      <w:proofErr w:type="gramEnd"/>
      <w:r w:rsidRPr="00484E64">
        <w:rPr>
          <w:rFonts w:ascii="標楷體" w:eastAsia="標楷體" w:hAnsi="標楷體" w:hint="eastAsia"/>
          <w:szCs w:val="24"/>
        </w:rPr>
        <w:t>提具體改善措施；亦未就</w:t>
      </w:r>
      <w:proofErr w:type="gramStart"/>
      <w:r w:rsidRPr="00484E64">
        <w:rPr>
          <w:rFonts w:ascii="標楷體" w:eastAsia="標楷體" w:hAnsi="標楷體" w:hint="eastAsia"/>
          <w:szCs w:val="24"/>
        </w:rPr>
        <w:t>以租轉售</w:t>
      </w:r>
      <w:proofErr w:type="gramEnd"/>
      <w:r w:rsidRPr="00484E64">
        <w:rPr>
          <w:rFonts w:ascii="標楷體" w:eastAsia="標楷體" w:hAnsi="標楷體" w:hint="eastAsia"/>
          <w:szCs w:val="24"/>
        </w:rPr>
        <w:t>方式形成</w:t>
      </w:r>
      <w:proofErr w:type="gramStart"/>
      <w:r w:rsidRPr="00484E64">
        <w:rPr>
          <w:rFonts w:ascii="標楷體" w:eastAsia="標楷體" w:hAnsi="標楷體" w:hint="eastAsia"/>
          <w:szCs w:val="24"/>
        </w:rPr>
        <w:t>畸</w:t>
      </w:r>
      <w:proofErr w:type="gramEnd"/>
      <w:r w:rsidRPr="00484E64">
        <w:rPr>
          <w:rFonts w:ascii="標楷體" w:eastAsia="標楷體" w:hAnsi="標楷體" w:hint="eastAsia"/>
          <w:szCs w:val="24"/>
        </w:rPr>
        <w:t>零地後，剩餘國有</w:t>
      </w:r>
      <w:proofErr w:type="gramStart"/>
      <w:r w:rsidRPr="00484E64">
        <w:rPr>
          <w:rFonts w:ascii="標楷體" w:eastAsia="標楷體" w:hAnsi="標楷體" w:hint="eastAsia"/>
          <w:szCs w:val="24"/>
        </w:rPr>
        <w:t>畸</w:t>
      </w:r>
      <w:proofErr w:type="gramEnd"/>
      <w:r w:rsidRPr="00484E64">
        <w:rPr>
          <w:rFonts w:ascii="標楷體" w:eastAsia="標楷體" w:hAnsi="標楷體" w:hint="eastAsia"/>
          <w:szCs w:val="24"/>
        </w:rPr>
        <w:t>零地仍</w:t>
      </w:r>
      <w:proofErr w:type="gramStart"/>
      <w:r w:rsidRPr="00484E64">
        <w:rPr>
          <w:rFonts w:ascii="標楷體" w:eastAsia="標楷體" w:hAnsi="標楷體" w:hint="eastAsia"/>
          <w:szCs w:val="24"/>
        </w:rPr>
        <w:t>占原整宗</w:t>
      </w:r>
      <w:proofErr w:type="gramEnd"/>
      <w:r w:rsidRPr="00484E64">
        <w:rPr>
          <w:rFonts w:ascii="標楷體" w:eastAsia="標楷體" w:hAnsi="標楷體" w:hint="eastAsia"/>
          <w:szCs w:val="24"/>
        </w:rPr>
        <w:t>國有土地之大部分，</w:t>
      </w:r>
      <w:proofErr w:type="gramStart"/>
      <w:r w:rsidRPr="00484E64">
        <w:rPr>
          <w:rFonts w:ascii="標楷體" w:eastAsia="標楷體" w:hAnsi="標楷體" w:hint="eastAsia"/>
          <w:szCs w:val="24"/>
        </w:rPr>
        <w:t>嗣</w:t>
      </w:r>
      <w:proofErr w:type="gramEnd"/>
      <w:r w:rsidRPr="00484E64">
        <w:rPr>
          <w:rFonts w:ascii="標楷體" w:eastAsia="標楷體" w:hAnsi="標楷體" w:hint="eastAsia"/>
          <w:szCs w:val="24"/>
        </w:rPr>
        <w:t>又經國產署所屬擬同意申購人以</w:t>
      </w:r>
      <w:proofErr w:type="gramStart"/>
      <w:r w:rsidRPr="00484E64">
        <w:rPr>
          <w:rFonts w:ascii="標楷體" w:eastAsia="標楷體" w:hAnsi="標楷體" w:hint="eastAsia"/>
          <w:szCs w:val="24"/>
        </w:rPr>
        <w:t>畸</w:t>
      </w:r>
      <w:proofErr w:type="gramEnd"/>
      <w:r w:rsidRPr="00484E64">
        <w:rPr>
          <w:rFonts w:ascii="標楷體" w:eastAsia="標楷體" w:hAnsi="標楷體" w:hint="eastAsia"/>
          <w:szCs w:val="24"/>
        </w:rPr>
        <w:t>零地合併讓售等情事，</w:t>
      </w:r>
      <w:proofErr w:type="gramStart"/>
      <w:r w:rsidRPr="00484E64">
        <w:rPr>
          <w:rFonts w:ascii="標楷體" w:eastAsia="標楷體" w:hAnsi="標楷體" w:hint="eastAsia"/>
          <w:szCs w:val="24"/>
        </w:rPr>
        <w:t>研</w:t>
      </w:r>
      <w:proofErr w:type="gramEnd"/>
      <w:r w:rsidRPr="00484E64">
        <w:rPr>
          <w:rFonts w:ascii="標楷體" w:eastAsia="標楷體" w:hAnsi="標楷體" w:hint="eastAsia"/>
          <w:szCs w:val="24"/>
        </w:rPr>
        <w:t>提因應可行方案。允宜督促財政部妥為檢討</w:t>
      </w:r>
      <w:proofErr w:type="gramStart"/>
      <w:r w:rsidRPr="00484E64">
        <w:rPr>
          <w:rFonts w:ascii="標楷體" w:eastAsia="標楷體" w:hAnsi="標楷體" w:hint="eastAsia"/>
          <w:szCs w:val="24"/>
        </w:rPr>
        <w:t>其讓售妥</w:t>
      </w:r>
      <w:proofErr w:type="gramEnd"/>
      <w:r w:rsidRPr="00484E64">
        <w:rPr>
          <w:rFonts w:ascii="標楷體" w:eastAsia="標楷體" w:hAnsi="標楷體" w:hint="eastAsia"/>
          <w:szCs w:val="24"/>
        </w:rPr>
        <w:t>適性，並依行政院101年11月2日函示後段規定妥為活化利用，</w:t>
      </w:r>
      <w:proofErr w:type="gramStart"/>
      <w:r w:rsidRPr="00484E64">
        <w:rPr>
          <w:rFonts w:ascii="標楷體" w:eastAsia="標楷體" w:hAnsi="標楷體" w:hint="eastAsia"/>
          <w:szCs w:val="24"/>
        </w:rPr>
        <w:t>俾</w:t>
      </w:r>
      <w:proofErr w:type="gramEnd"/>
      <w:r w:rsidRPr="00484E64">
        <w:rPr>
          <w:rFonts w:ascii="標楷體" w:eastAsia="標楷體" w:hAnsi="標楷體" w:hint="eastAsia"/>
          <w:szCs w:val="24"/>
        </w:rPr>
        <w:t>確保國有土地權益。</w:t>
      </w:r>
    </w:p>
    <w:p w14:paraId="6553F7A8" w14:textId="0030EFB0" w:rsidR="00E8604E" w:rsidRPr="002764DD" w:rsidRDefault="00E8604E" w:rsidP="00CA55FD">
      <w:pPr>
        <w:pStyle w:val="2"/>
        <w:overflowPunct w:val="0"/>
        <w:spacing w:beforeLines="30" w:before="108" w:afterLines="30" w:after="108" w:line="44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（六）　</w:t>
      </w:r>
      <w:r w:rsidR="00B700A1" w:rsidRPr="00484E64">
        <w:rPr>
          <w:rFonts w:hAnsi="標楷體" w:hint="eastAsia"/>
          <w:b/>
          <w:sz w:val="28"/>
          <w:szCs w:val="28"/>
        </w:rPr>
        <w:t>政府為推動老舊眷村更新，設立國軍老舊眷村改建基金，興建住宅社區輔導</w:t>
      </w:r>
      <w:proofErr w:type="gramStart"/>
      <w:r w:rsidR="00B700A1" w:rsidRPr="00484E64">
        <w:rPr>
          <w:rFonts w:hAnsi="標楷體" w:hint="eastAsia"/>
          <w:b/>
          <w:sz w:val="28"/>
          <w:szCs w:val="28"/>
        </w:rPr>
        <w:t>眷戶遷購</w:t>
      </w:r>
      <w:proofErr w:type="gramEnd"/>
      <w:r w:rsidR="00B700A1" w:rsidRPr="00484E64">
        <w:rPr>
          <w:rFonts w:hAnsi="標楷體" w:hint="eastAsia"/>
          <w:b/>
          <w:sz w:val="28"/>
          <w:szCs w:val="28"/>
        </w:rPr>
        <w:t>，並持續辦理改建餘戶標售與短期標租，</w:t>
      </w:r>
      <w:proofErr w:type="gramStart"/>
      <w:r w:rsidR="00B700A1" w:rsidRPr="00484E64">
        <w:rPr>
          <w:rFonts w:hAnsi="標楷體" w:hint="eastAsia"/>
          <w:b/>
          <w:sz w:val="28"/>
          <w:szCs w:val="28"/>
        </w:rPr>
        <w:t>及價售</w:t>
      </w:r>
      <w:proofErr w:type="gramEnd"/>
      <w:r w:rsidR="00B700A1" w:rsidRPr="00484E64">
        <w:rPr>
          <w:rFonts w:hAnsi="標楷體" w:hint="eastAsia"/>
          <w:b/>
          <w:sz w:val="28"/>
          <w:szCs w:val="28"/>
        </w:rPr>
        <w:t>現役官兵等作業，惟後續餘戶處分及運用成效未</w:t>
      </w:r>
      <w:proofErr w:type="gramStart"/>
      <w:r w:rsidR="00B700A1" w:rsidRPr="00484E64">
        <w:rPr>
          <w:rFonts w:hAnsi="標楷體" w:hint="eastAsia"/>
          <w:b/>
          <w:sz w:val="28"/>
          <w:szCs w:val="28"/>
        </w:rPr>
        <w:t>臻</w:t>
      </w:r>
      <w:proofErr w:type="gramEnd"/>
      <w:r w:rsidR="00B700A1" w:rsidRPr="00484E64">
        <w:rPr>
          <w:rFonts w:hAnsi="標楷體" w:hint="eastAsia"/>
          <w:b/>
          <w:sz w:val="28"/>
          <w:szCs w:val="28"/>
        </w:rPr>
        <w:t>理想</w:t>
      </w:r>
      <w:r w:rsidR="001A566F">
        <w:rPr>
          <w:rFonts w:hAnsi="標楷體" w:hint="eastAsia"/>
          <w:b/>
          <w:sz w:val="28"/>
          <w:szCs w:val="28"/>
        </w:rPr>
        <w:t>，</w:t>
      </w:r>
      <w:r w:rsidR="00B700A1" w:rsidRPr="00484E64">
        <w:rPr>
          <w:rFonts w:hAnsi="標楷體" w:hint="eastAsia"/>
          <w:b/>
          <w:sz w:val="28"/>
          <w:szCs w:val="28"/>
        </w:rPr>
        <w:t>允宜督促積極</w:t>
      </w:r>
      <w:proofErr w:type="gramStart"/>
      <w:r w:rsidR="00B700A1" w:rsidRPr="00484E64">
        <w:rPr>
          <w:rFonts w:hAnsi="標楷體" w:hint="eastAsia"/>
          <w:b/>
          <w:sz w:val="28"/>
          <w:szCs w:val="28"/>
        </w:rPr>
        <w:t>研</w:t>
      </w:r>
      <w:proofErr w:type="gramEnd"/>
      <w:r w:rsidR="00B700A1" w:rsidRPr="00484E64">
        <w:rPr>
          <w:rFonts w:hAnsi="標楷體" w:hint="eastAsia"/>
          <w:b/>
          <w:sz w:val="28"/>
          <w:szCs w:val="28"/>
        </w:rPr>
        <w:t>謀具體對策，以加速去化</w:t>
      </w:r>
      <w:proofErr w:type="gramStart"/>
      <w:r w:rsidR="00B700A1" w:rsidRPr="00484E64">
        <w:rPr>
          <w:rFonts w:hAnsi="標楷體" w:hint="eastAsia"/>
          <w:b/>
          <w:sz w:val="28"/>
          <w:szCs w:val="28"/>
        </w:rPr>
        <w:t>眷改餘</w:t>
      </w:r>
      <w:proofErr w:type="gramEnd"/>
      <w:r w:rsidR="00B700A1" w:rsidRPr="00484E64">
        <w:rPr>
          <w:rFonts w:hAnsi="標楷體" w:hint="eastAsia"/>
          <w:b/>
          <w:sz w:val="28"/>
          <w:szCs w:val="28"/>
        </w:rPr>
        <w:t>戶，提升財務效能。</w:t>
      </w:r>
    </w:p>
    <w:p w14:paraId="6150D606" w14:textId="055FEF18" w:rsidR="00E8604E" w:rsidRPr="002764DD" w:rsidRDefault="00B700A1" w:rsidP="00CA55FD">
      <w:pPr>
        <w:pStyle w:val="a7"/>
        <w:overflowPunct w:val="0"/>
        <w:spacing w:line="44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政府為加速更新國軍老舊眷村，提高土地使用經濟效益，興建住宅照顧原</w:t>
      </w:r>
      <w:proofErr w:type="gramStart"/>
      <w:r w:rsidRPr="00484E64">
        <w:rPr>
          <w:rFonts w:ascii="標楷體" w:eastAsia="標楷體" w:hAnsi="標楷體" w:hint="eastAsia"/>
          <w:szCs w:val="24"/>
        </w:rPr>
        <w:t>眷</w:t>
      </w:r>
      <w:proofErr w:type="gramEnd"/>
      <w:r w:rsidRPr="00484E64">
        <w:rPr>
          <w:rFonts w:ascii="標楷體" w:eastAsia="標楷體" w:hAnsi="標楷體" w:hint="eastAsia"/>
          <w:szCs w:val="24"/>
        </w:rPr>
        <w:t>戶及志願役現役軍（士）官、兵（下稱現役官兵），於85年度制定國軍老舊眷村改建條例（下稱眷改條例），編列國軍老舊眷村改建特別預算及設立國軍老舊眷村改建基金（下稱</w:t>
      </w:r>
      <w:proofErr w:type="gramStart"/>
      <w:r w:rsidRPr="00484E64">
        <w:rPr>
          <w:rFonts w:ascii="標楷體" w:eastAsia="標楷體" w:hAnsi="標楷體" w:hint="eastAsia"/>
          <w:szCs w:val="24"/>
        </w:rPr>
        <w:t>眷</w:t>
      </w:r>
      <w:proofErr w:type="gramEnd"/>
      <w:r w:rsidRPr="00484E64">
        <w:rPr>
          <w:rFonts w:ascii="標楷體" w:eastAsia="標楷體" w:hAnsi="標楷體" w:hint="eastAsia"/>
          <w:szCs w:val="24"/>
        </w:rPr>
        <w:t>改基金），據以興建住宅社區，供</w:t>
      </w:r>
      <w:proofErr w:type="gramStart"/>
      <w:r w:rsidRPr="00484E64">
        <w:rPr>
          <w:rFonts w:ascii="標楷體" w:eastAsia="標楷體" w:hAnsi="標楷體" w:hint="eastAsia"/>
          <w:szCs w:val="24"/>
        </w:rPr>
        <w:t>眷戶遷購進行</w:t>
      </w:r>
      <w:proofErr w:type="gramEnd"/>
      <w:r w:rsidRPr="00484E64">
        <w:rPr>
          <w:rFonts w:ascii="標楷體" w:eastAsia="標楷體" w:hAnsi="標楷體" w:hint="eastAsia"/>
          <w:szCs w:val="24"/>
        </w:rPr>
        <w:t>安置，賸餘房舍（下稱</w:t>
      </w:r>
      <w:proofErr w:type="gramStart"/>
      <w:r w:rsidRPr="00484E64">
        <w:rPr>
          <w:rFonts w:ascii="標楷體" w:eastAsia="標楷體" w:hAnsi="標楷體" w:hint="eastAsia"/>
          <w:szCs w:val="24"/>
        </w:rPr>
        <w:t>眷改餘</w:t>
      </w:r>
      <w:proofErr w:type="gramEnd"/>
      <w:r w:rsidRPr="00484E64">
        <w:rPr>
          <w:rFonts w:ascii="標楷體" w:eastAsia="標楷體" w:hAnsi="標楷體" w:hint="eastAsia"/>
          <w:szCs w:val="24"/>
        </w:rPr>
        <w:t>戶）並得依法價售現役官兵、委託</w:t>
      </w:r>
      <w:r w:rsidR="00327867">
        <w:rPr>
          <w:rFonts w:ascii="標楷體" w:eastAsia="標楷體" w:hAnsi="標楷體" w:hint="eastAsia"/>
          <w:szCs w:val="24"/>
        </w:rPr>
        <w:t>財政部</w:t>
      </w:r>
      <w:r w:rsidRPr="00484E64">
        <w:rPr>
          <w:rFonts w:ascii="標楷體" w:eastAsia="標楷體" w:hAnsi="標楷體" w:hint="eastAsia"/>
          <w:szCs w:val="24"/>
        </w:rPr>
        <w:t>國</w:t>
      </w:r>
      <w:r w:rsidR="00327867">
        <w:rPr>
          <w:rFonts w:ascii="標楷體" w:eastAsia="標楷體" w:hAnsi="標楷體" w:hint="eastAsia"/>
          <w:szCs w:val="24"/>
        </w:rPr>
        <w:t>有財</w:t>
      </w:r>
      <w:r w:rsidRPr="00484E64">
        <w:rPr>
          <w:rFonts w:ascii="標楷體" w:eastAsia="標楷體" w:hAnsi="標楷體" w:hint="eastAsia"/>
          <w:szCs w:val="24"/>
        </w:rPr>
        <w:t>產署</w:t>
      </w:r>
      <w:r w:rsidR="00327867">
        <w:rPr>
          <w:rFonts w:ascii="標楷體" w:eastAsia="標楷體" w:hAnsi="標楷體" w:hint="eastAsia"/>
          <w:szCs w:val="24"/>
        </w:rPr>
        <w:t>（下稱國產署）</w:t>
      </w:r>
      <w:r w:rsidRPr="00484E64">
        <w:rPr>
          <w:rFonts w:ascii="標楷體" w:eastAsia="標楷體" w:hAnsi="標楷體" w:hint="eastAsia"/>
          <w:szCs w:val="24"/>
        </w:rPr>
        <w:t>辦理公開標售或讓售。有關</w:t>
      </w:r>
      <w:proofErr w:type="gramStart"/>
      <w:r w:rsidRPr="00484E64">
        <w:rPr>
          <w:rFonts w:ascii="標楷體" w:eastAsia="標楷體" w:hAnsi="標楷體" w:hint="eastAsia"/>
          <w:szCs w:val="24"/>
        </w:rPr>
        <w:t>眷改餘</w:t>
      </w:r>
      <w:proofErr w:type="gramEnd"/>
      <w:r w:rsidRPr="00484E64">
        <w:rPr>
          <w:rFonts w:ascii="標楷體" w:eastAsia="標楷體" w:hAnsi="標楷體" w:hint="eastAsia"/>
          <w:szCs w:val="24"/>
        </w:rPr>
        <w:t>戶處理情形，核有下列事項：</w:t>
      </w:r>
    </w:p>
    <w:p w14:paraId="752F96E4" w14:textId="52DD476B" w:rsidR="00E8604E" w:rsidRPr="002764DD" w:rsidRDefault="00E8604E" w:rsidP="00CA55FD">
      <w:pPr>
        <w:overflowPunct w:val="0"/>
        <w:spacing w:line="43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B700A1" w:rsidRPr="00484E64">
        <w:rPr>
          <w:rFonts w:ascii="標楷體" w:eastAsia="標楷體" w:hAnsi="標楷體" w:hint="eastAsia"/>
          <w:b/>
          <w:szCs w:val="24"/>
        </w:rPr>
        <w:t>國防部持續委託國</w:t>
      </w:r>
      <w:r w:rsidR="00B700A1">
        <w:rPr>
          <w:rFonts w:ascii="標楷體" w:eastAsia="標楷體" w:hAnsi="標楷體" w:hint="eastAsia"/>
          <w:b/>
          <w:szCs w:val="24"/>
        </w:rPr>
        <w:t>產</w:t>
      </w:r>
      <w:r w:rsidR="00B700A1" w:rsidRPr="00484E64">
        <w:rPr>
          <w:rFonts w:ascii="標楷體" w:eastAsia="標楷體" w:hAnsi="標楷體" w:hint="eastAsia"/>
          <w:b/>
          <w:szCs w:val="24"/>
        </w:rPr>
        <w:t>署辦理</w:t>
      </w:r>
      <w:proofErr w:type="gramStart"/>
      <w:r w:rsidR="00B700A1" w:rsidRPr="00484E64">
        <w:rPr>
          <w:rFonts w:ascii="標楷體" w:eastAsia="標楷體" w:hAnsi="標楷體" w:hint="eastAsia"/>
          <w:b/>
          <w:szCs w:val="24"/>
        </w:rPr>
        <w:t>眷改餘</w:t>
      </w:r>
      <w:proofErr w:type="gramEnd"/>
      <w:r w:rsidR="00B700A1" w:rsidRPr="00484E64">
        <w:rPr>
          <w:rFonts w:ascii="標楷體" w:eastAsia="標楷體" w:hAnsi="標楷體" w:hint="eastAsia"/>
          <w:b/>
          <w:szCs w:val="24"/>
        </w:rPr>
        <w:t>戶標售作業，惟未確實</w:t>
      </w:r>
      <w:proofErr w:type="gramStart"/>
      <w:r w:rsidR="00B700A1" w:rsidRPr="00484E64">
        <w:rPr>
          <w:rFonts w:ascii="標楷體" w:eastAsia="標楷體" w:hAnsi="標楷體" w:hint="eastAsia"/>
          <w:b/>
          <w:szCs w:val="24"/>
        </w:rPr>
        <w:t>研</w:t>
      </w:r>
      <w:proofErr w:type="gramEnd"/>
      <w:r w:rsidR="00B700A1" w:rsidRPr="00484E64">
        <w:rPr>
          <w:rFonts w:ascii="標楷體" w:eastAsia="標楷體" w:hAnsi="標楷體" w:hint="eastAsia"/>
          <w:b/>
          <w:szCs w:val="24"/>
        </w:rPr>
        <w:t>擬具體因應對策，及整合相關資源推動辦理，致銷售成果不如預期：</w:t>
      </w:r>
      <w:r w:rsidR="00B700A1" w:rsidRPr="00484E64">
        <w:rPr>
          <w:rFonts w:ascii="標楷體" w:eastAsia="標楷體" w:hAnsi="標楷體" w:hint="eastAsia"/>
          <w:szCs w:val="24"/>
        </w:rPr>
        <w:t>國防部以</w:t>
      </w:r>
      <w:proofErr w:type="gramStart"/>
      <w:r w:rsidR="00B700A1" w:rsidRPr="00484E64">
        <w:rPr>
          <w:rFonts w:ascii="標楷體" w:eastAsia="標楷體" w:hAnsi="標楷體" w:hint="eastAsia"/>
          <w:szCs w:val="24"/>
        </w:rPr>
        <w:t>眷</w:t>
      </w:r>
      <w:proofErr w:type="gramEnd"/>
      <w:r w:rsidR="00B700A1" w:rsidRPr="00484E64">
        <w:rPr>
          <w:rFonts w:ascii="標楷體" w:eastAsia="標楷體" w:hAnsi="標楷體" w:hint="eastAsia"/>
          <w:szCs w:val="24"/>
        </w:rPr>
        <w:t>改基金支應眷村改建基地新建工程，已按國軍老舊眷村改建計畫於102年完成興建52處社區、2萬9,549戶住宅，經配售原</w:t>
      </w:r>
      <w:proofErr w:type="gramStart"/>
      <w:r w:rsidR="00B700A1" w:rsidRPr="00484E64">
        <w:rPr>
          <w:rFonts w:ascii="標楷體" w:eastAsia="標楷體" w:hAnsi="標楷體" w:hint="eastAsia"/>
          <w:szCs w:val="24"/>
        </w:rPr>
        <w:t>眷</w:t>
      </w:r>
      <w:proofErr w:type="gramEnd"/>
      <w:r w:rsidR="00B700A1" w:rsidRPr="00484E64">
        <w:rPr>
          <w:rFonts w:ascii="標楷體" w:eastAsia="標楷體" w:hAnsi="標楷體" w:hint="eastAsia"/>
          <w:szCs w:val="24"/>
        </w:rPr>
        <w:t>戶、價售現役官兵及委託</w:t>
      </w:r>
      <w:proofErr w:type="gramStart"/>
      <w:r w:rsidR="00B700A1" w:rsidRPr="00484E64">
        <w:rPr>
          <w:rFonts w:ascii="標楷體" w:eastAsia="標楷體" w:hAnsi="標楷體" w:hint="eastAsia"/>
          <w:szCs w:val="24"/>
        </w:rPr>
        <w:t>國產署標售</w:t>
      </w:r>
      <w:proofErr w:type="gramEnd"/>
      <w:r w:rsidR="00B700A1" w:rsidRPr="00484E64">
        <w:rPr>
          <w:rFonts w:ascii="標楷體" w:eastAsia="標楷體" w:hAnsi="標楷體" w:hint="eastAsia"/>
          <w:szCs w:val="24"/>
        </w:rPr>
        <w:t>後，截至113年8月底止，尚有住宅</w:t>
      </w:r>
      <w:proofErr w:type="gramStart"/>
      <w:r w:rsidR="00B700A1" w:rsidRPr="00484E64">
        <w:rPr>
          <w:rFonts w:ascii="標楷體" w:eastAsia="標楷體" w:hAnsi="標楷體" w:hint="eastAsia"/>
          <w:szCs w:val="24"/>
        </w:rPr>
        <w:t>及商服設施</w:t>
      </w:r>
      <w:proofErr w:type="gramEnd"/>
      <w:r w:rsidR="00B700A1" w:rsidRPr="00484E64">
        <w:rPr>
          <w:rFonts w:ascii="標楷體" w:eastAsia="標楷體" w:hAnsi="標楷體" w:hint="eastAsia"/>
          <w:szCs w:val="24"/>
        </w:rPr>
        <w:t>等餘戶465戶</w:t>
      </w:r>
      <w:r w:rsidR="00B700A1" w:rsidRPr="00484E64">
        <w:rPr>
          <w:rFonts w:ascii="標楷體" w:eastAsia="標楷體" w:hAnsi="標楷體" w:hint="eastAsia"/>
          <w:szCs w:val="24"/>
        </w:rPr>
        <w:lastRenderedPageBreak/>
        <w:t>待處分。國防部近</w:t>
      </w:r>
      <w:proofErr w:type="gramStart"/>
      <w:r w:rsidR="00B700A1" w:rsidRPr="00484E64">
        <w:rPr>
          <w:rFonts w:ascii="標楷體" w:eastAsia="標楷體" w:hAnsi="標楷體" w:hint="eastAsia"/>
          <w:szCs w:val="24"/>
        </w:rPr>
        <w:t>5</w:t>
      </w:r>
      <w:proofErr w:type="gramEnd"/>
      <w:r w:rsidR="00B700A1" w:rsidRPr="00484E64">
        <w:rPr>
          <w:rFonts w:ascii="標楷體" w:eastAsia="標楷體" w:hAnsi="標楷體" w:hint="eastAsia"/>
          <w:szCs w:val="24"/>
        </w:rPr>
        <w:t>年度（</w:t>
      </w:r>
      <w:proofErr w:type="gramStart"/>
      <w:r w:rsidR="00B700A1" w:rsidRPr="00484E64">
        <w:rPr>
          <w:rFonts w:ascii="標楷體" w:eastAsia="標楷體" w:hAnsi="標楷體" w:hint="eastAsia"/>
          <w:szCs w:val="24"/>
        </w:rPr>
        <w:t>109</w:t>
      </w:r>
      <w:proofErr w:type="gramEnd"/>
      <w:r w:rsidR="00B700A1" w:rsidRPr="00484E64">
        <w:rPr>
          <w:rFonts w:ascii="標楷體" w:eastAsia="標楷體" w:hAnsi="標楷體" w:hint="eastAsia"/>
          <w:szCs w:val="24"/>
        </w:rPr>
        <w:t>年度起至113年8月底止，下同）委託國產</w:t>
      </w:r>
      <w:proofErr w:type="gramStart"/>
      <w:r w:rsidR="00B700A1" w:rsidRPr="00484E64">
        <w:rPr>
          <w:rFonts w:ascii="標楷體" w:eastAsia="標楷體" w:hAnsi="標楷體" w:hint="eastAsia"/>
          <w:szCs w:val="24"/>
        </w:rPr>
        <w:t>署標售眷改餘</w:t>
      </w:r>
      <w:proofErr w:type="gramEnd"/>
      <w:r w:rsidR="00B700A1" w:rsidRPr="00484E64">
        <w:rPr>
          <w:rFonts w:ascii="標楷體" w:eastAsia="標楷體" w:hAnsi="標楷體" w:hint="eastAsia"/>
          <w:szCs w:val="24"/>
        </w:rPr>
        <w:t>戶執行</w:t>
      </w:r>
      <w:r w:rsidR="00B700A1" w:rsidRPr="00484E64">
        <w:rPr>
          <w:rFonts w:ascii="標楷體" w:eastAsia="標楷體" w:hAnsi="標楷體" w:hint="eastAsia"/>
          <w:spacing w:val="-2"/>
          <w:szCs w:val="24"/>
        </w:rPr>
        <w:t>結果</w:t>
      </w:r>
      <w:r w:rsidR="00B700A1" w:rsidRPr="00484E64">
        <w:rPr>
          <w:rFonts w:ascii="標楷體" w:eastAsia="標楷體" w:hAnsi="標楷體" w:hint="eastAsia"/>
          <w:spacing w:val="-6"/>
          <w:szCs w:val="24"/>
        </w:rPr>
        <w:t>，預計銷售218戶，實際銷售97戶，銷售達成率僅44.50％，各該年度銷售達成率介於6.52％</w:t>
      </w:r>
      <w:r w:rsidR="00B700A1" w:rsidRPr="00484E64">
        <w:rPr>
          <w:rFonts w:ascii="標楷體" w:eastAsia="標楷體" w:hAnsi="標楷體" w:hint="eastAsia"/>
          <w:spacing w:val="-2"/>
          <w:szCs w:val="24"/>
        </w:rPr>
        <w:t>至80.28％間，除</w:t>
      </w:r>
      <w:proofErr w:type="gramStart"/>
      <w:r w:rsidR="00B700A1" w:rsidRPr="00484E64">
        <w:rPr>
          <w:rFonts w:ascii="標楷體" w:eastAsia="標楷體" w:hAnsi="標楷體" w:hint="eastAsia"/>
          <w:spacing w:val="-2"/>
          <w:szCs w:val="24"/>
        </w:rPr>
        <w:t>109</w:t>
      </w:r>
      <w:proofErr w:type="gramEnd"/>
      <w:r w:rsidR="00B700A1" w:rsidRPr="00484E64">
        <w:rPr>
          <w:rFonts w:ascii="標楷體" w:eastAsia="標楷體" w:hAnsi="標楷體" w:hint="eastAsia"/>
          <w:spacing w:val="-2"/>
          <w:szCs w:val="24"/>
        </w:rPr>
        <w:t>年度住宅銷售達成率為106.45％外，其餘各年度餘戶銷售目標均未能達成。又國防部經管</w:t>
      </w:r>
      <w:proofErr w:type="gramStart"/>
      <w:r w:rsidR="00B700A1" w:rsidRPr="00484E64">
        <w:rPr>
          <w:rFonts w:ascii="標楷體" w:eastAsia="標楷體" w:hAnsi="標楷體" w:hint="eastAsia"/>
          <w:spacing w:val="-2"/>
          <w:szCs w:val="24"/>
        </w:rPr>
        <w:t>眷改餘</w:t>
      </w:r>
      <w:proofErr w:type="gramEnd"/>
      <w:r w:rsidR="00B700A1" w:rsidRPr="00484E64">
        <w:rPr>
          <w:rFonts w:ascii="標楷體" w:eastAsia="標楷體" w:hAnsi="標楷體" w:hint="eastAsia"/>
          <w:spacing w:val="-2"/>
          <w:szCs w:val="24"/>
        </w:rPr>
        <w:t>戶扣除已活化出租、保留遷（價）購及提供非營利幼兒園使用，尚待處理之</w:t>
      </w:r>
      <w:proofErr w:type="gramStart"/>
      <w:r w:rsidR="00B700A1" w:rsidRPr="00484E64">
        <w:rPr>
          <w:rFonts w:ascii="標楷體" w:eastAsia="標楷體" w:hAnsi="標楷體" w:hint="eastAsia"/>
          <w:spacing w:val="-2"/>
          <w:szCs w:val="24"/>
        </w:rPr>
        <w:t>眷改餘</w:t>
      </w:r>
      <w:proofErr w:type="gramEnd"/>
      <w:r w:rsidR="00B700A1" w:rsidRPr="00484E64">
        <w:rPr>
          <w:rFonts w:ascii="標楷體" w:eastAsia="標楷體" w:hAnsi="標楷體" w:hint="eastAsia"/>
          <w:spacing w:val="-2"/>
          <w:szCs w:val="24"/>
        </w:rPr>
        <w:t>戶150戶，</w:t>
      </w:r>
      <w:proofErr w:type="gramStart"/>
      <w:r w:rsidR="00B700A1" w:rsidRPr="00484E64">
        <w:rPr>
          <w:rFonts w:ascii="標楷體" w:eastAsia="標楷體" w:hAnsi="標楷體" w:hint="eastAsia"/>
          <w:spacing w:val="-2"/>
          <w:szCs w:val="24"/>
        </w:rPr>
        <w:t>市值約估</w:t>
      </w:r>
      <w:proofErr w:type="gramEnd"/>
      <w:r w:rsidR="00B700A1" w:rsidRPr="00484E64">
        <w:rPr>
          <w:rFonts w:ascii="標楷體" w:eastAsia="標楷體" w:hAnsi="標楷體" w:hint="eastAsia"/>
          <w:spacing w:val="-2"/>
          <w:szCs w:val="24"/>
        </w:rPr>
        <w:t>35億餘元，有100戶近</w:t>
      </w:r>
      <w:proofErr w:type="gramStart"/>
      <w:r w:rsidR="00B700A1" w:rsidRPr="00484E64">
        <w:rPr>
          <w:rFonts w:ascii="標楷體" w:eastAsia="標楷體" w:hAnsi="標楷體" w:hint="eastAsia"/>
          <w:spacing w:val="-2"/>
          <w:szCs w:val="24"/>
        </w:rPr>
        <w:t>5</w:t>
      </w:r>
      <w:proofErr w:type="gramEnd"/>
      <w:r w:rsidR="00B700A1" w:rsidRPr="00484E64">
        <w:rPr>
          <w:rFonts w:ascii="標楷體" w:eastAsia="標楷體" w:hAnsi="標楷體" w:hint="eastAsia"/>
          <w:spacing w:val="-2"/>
          <w:szCs w:val="24"/>
        </w:rPr>
        <w:t>年度未曾委託</w:t>
      </w:r>
      <w:proofErr w:type="gramStart"/>
      <w:r w:rsidR="00B700A1" w:rsidRPr="00484E64">
        <w:rPr>
          <w:rFonts w:ascii="標楷體" w:eastAsia="標楷體" w:hAnsi="標楷體" w:hint="eastAsia"/>
          <w:spacing w:val="-2"/>
          <w:szCs w:val="24"/>
        </w:rPr>
        <w:t>國產署標售</w:t>
      </w:r>
      <w:proofErr w:type="gramEnd"/>
      <w:r w:rsidR="00B700A1" w:rsidRPr="00484E64">
        <w:rPr>
          <w:rFonts w:ascii="標楷體" w:eastAsia="標楷體" w:hAnsi="標楷體" w:hint="eastAsia"/>
          <w:spacing w:val="-2"/>
          <w:szCs w:val="24"/>
        </w:rPr>
        <w:t>，</w:t>
      </w:r>
      <w:proofErr w:type="gramStart"/>
      <w:r w:rsidR="00B700A1" w:rsidRPr="00484E64">
        <w:rPr>
          <w:rFonts w:ascii="標楷體" w:eastAsia="標楷體" w:hAnsi="標楷體" w:hint="eastAsia"/>
          <w:spacing w:val="-2"/>
          <w:szCs w:val="24"/>
        </w:rPr>
        <w:t>占待處理</w:t>
      </w:r>
      <w:proofErr w:type="gramEnd"/>
      <w:r w:rsidR="00B700A1" w:rsidRPr="00484E64">
        <w:rPr>
          <w:rFonts w:ascii="標楷體" w:eastAsia="標楷體" w:hAnsi="標楷體" w:hint="eastAsia"/>
          <w:spacing w:val="-2"/>
          <w:szCs w:val="24"/>
        </w:rPr>
        <w:t>餘戶之66.67％，其中</w:t>
      </w:r>
      <w:proofErr w:type="gramStart"/>
      <w:r w:rsidR="00B700A1" w:rsidRPr="00484E64">
        <w:rPr>
          <w:rFonts w:ascii="標楷體" w:eastAsia="標楷體" w:hAnsi="標楷體" w:hint="eastAsia"/>
          <w:spacing w:val="-2"/>
          <w:szCs w:val="24"/>
        </w:rPr>
        <w:t>88戶甚位處</w:t>
      </w:r>
      <w:proofErr w:type="gramEnd"/>
      <w:r w:rsidR="00B700A1" w:rsidRPr="00484E64">
        <w:rPr>
          <w:rFonts w:ascii="標楷體" w:eastAsia="標楷體" w:hAnsi="標楷體" w:hint="eastAsia"/>
          <w:spacing w:val="-2"/>
          <w:szCs w:val="24"/>
        </w:rPr>
        <w:t>臺北市、</w:t>
      </w:r>
      <w:proofErr w:type="gramStart"/>
      <w:r w:rsidR="00B700A1" w:rsidRPr="00484E64">
        <w:rPr>
          <w:rFonts w:ascii="標楷體" w:eastAsia="標楷體" w:hAnsi="標楷體" w:hint="eastAsia"/>
          <w:spacing w:val="-2"/>
          <w:szCs w:val="24"/>
        </w:rPr>
        <w:t>臺</w:t>
      </w:r>
      <w:proofErr w:type="gramEnd"/>
      <w:r w:rsidR="00B700A1" w:rsidRPr="00484E64">
        <w:rPr>
          <w:rFonts w:ascii="標楷體" w:eastAsia="標楷體" w:hAnsi="標楷體" w:hint="eastAsia"/>
          <w:spacing w:val="-2"/>
          <w:szCs w:val="24"/>
        </w:rPr>
        <w:t>中市、嘉義市等都會區，惟</w:t>
      </w:r>
      <w:proofErr w:type="gramStart"/>
      <w:r w:rsidR="00B700A1" w:rsidRPr="00484E64">
        <w:rPr>
          <w:rFonts w:ascii="標楷體" w:eastAsia="標楷體" w:hAnsi="標楷體" w:hint="eastAsia"/>
          <w:spacing w:val="-2"/>
          <w:szCs w:val="24"/>
        </w:rPr>
        <w:t>該部以後續</w:t>
      </w:r>
      <w:proofErr w:type="gramEnd"/>
      <w:r w:rsidR="00B700A1" w:rsidRPr="00484E64">
        <w:rPr>
          <w:rFonts w:ascii="標楷體" w:eastAsia="標楷體" w:hAnsi="標楷體" w:hint="eastAsia"/>
          <w:spacing w:val="-2"/>
          <w:szCs w:val="24"/>
        </w:rPr>
        <w:t>將規劃價售現役官兵，或部分社區車位不足，未能</w:t>
      </w:r>
      <w:proofErr w:type="gramStart"/>
      <w:r w:rsidR="00B700A1" w:rsidRPr="00484E64">
        <w:rPr>
          <w:rFonts w:ascii="標楷體" w:eastAsia="標楷體" w:hAnsi="標楷體" w:hint="eastAsia"/>
          <w:spacing w:val="-2"/>
          <w:szCs w:val="24"/>
        </w:rPr>
        <w:t>併</w:t>
      </w:r>
      <w:proofErr w:type="gramEnd"/>
      <w:r w:rsidR="00B700A1" w:rsidRPr="00484E64">
        <w:rPr>
          <w:rFonts w:ascii="標楷體" w:eastAsia="標楷體" w:hAnsi="標楷體" w:hint="eastAsia"/>
          <w:spacing w:val="-2"/>
          <w:szCs w:val="24"/>
        </w:rPr>
        <w:t>同房屋標售，影響參標意願等由，未將該等餘戶釋出供</w:t>
      </w:r>
      <w:proofErr w:type="gramStart"/>
      <w:r w:rsidR="00B700A1" w:rsidRPr="00484E64">
        <w:rPr>
          <w:rFonts w:ascii="標楷體" w:eastAsia="標楷體" w:hAnsi="標楷體" w:hint="eastAsia"/>
          <w:spacing w:val="-2"/>
          <w:szCs w:val="24"/>
        </w:rPr>
        <w:t>國產署標售</w:t>
      </w:r>
      <w:proofErr w:type="gramEnd"/>
      <w:r w:rsidR="00B700A1" w:rsidRPr="00484E64">
        <w:rPr>
          <w:rFonts w:ascii="標楷體" w:eastAsia="標楷體" w:hAnsi="標楷體" w:hint="eastAsia"/>
          <w:spacing w:val="-2"/>
          <w:szCs w:val="24"/>
        </w:rPr>
        <w:t>，影響整體</w:t>
      </w:r>
      <w:proofErr w:type="gramStart"/>
      <w:r w:rsidR="00B700A1" w:rsidRPr="00484E64">
        <w:rPr>
          <w:rFonts w:ascii="標楷體" w:eastAsia="標楷體" w:hAnsi="標楷體" w:hint="eastAsia"/>
          <w:spacing w:val="-2"/>
          <w:szCs w:val="24"/>
        </w:rPr>
        <w:t>餘戶去化</w:t>
      </w:r>
      <w:proofErr w:type="gramEnd"/>
      <w:r w:rsidR="00B700A1" w:rsidRPr="00484E64">
        <w:rPr>
          <w:rFonts w:ascii="標楷體" w:eastAsia="標楷體" w:hAnsi="標楷體" w:hint="eastAsia"/>
          <w:spacing w:val="-2"/>
          <w:szCs w:val="24"/>
        </w:rPr>
        <w:t>成效。</w:t>
      </w:r>
      <w:proofErr w:type="gramStart"/>
      <w:r w:rsidR="00B700A1" w:rsidRPr="00484E64">
        <w:rPr>
          <w:rFonts w:ascii="標楷體" w:eastAsia="標楷體" w:hAnsi="標楷體" w:hint="eastAsia"/>
          <w:spacing w:val="-2"/>
          <w:szCs w:val="24"/>
        </w:rPr>
        <w:t>再者，</w:t>
      </w:r>
      <w:proofErr w:type="gramEnd"/>
      <w:r w:rsidR="00B700A1" w:rsidRPr="00484E64">
        <w:rPr>
          <w:rFonts w:ascii="標楷體" w:eastAsia="標楷體" w:hAnsi="標楷體" w:hint="eastAsia"/>
          <w:spacing w:val="-2"/>
          <w:szCs w:val="24"/>
        </w:rPr>
        <w:t>國產署建置之便民服務業務網，將國有非公用財產招標資訊公告於該網站，並設立國有非公用不動產媒合平台及看屋專區，</w:t>
      </w:r>
      <w:proofErr w:type="gramStart"/>
      <w:r w:rsidR="00B700A1" w:rsidRPr="00484E64">
        <w:rPr>
          <w:rFonts w:ascii="標楷體" w:eastAsia="標楷體" w:hAnsi="標楷體" w:hint="eastAsia"/>
          <w:spacing w:val="-2"/>
          <w:szCs w:val="24"/>
        </w:rPr>
        <w:t>揭露待標售</w:t>
      </w:r>
      <w:proofErr w:type="gramEnd"/>
      <w:r w:rsidR="00B700A1" w:rsidRPr="00484E64">
        <w:rPr>
          <w:rFonts w:ascii="標楷體" w:eastAsia="標楷體" w:hAnsi="標楷體" w:hint="eastAsia"/>
          <w:spacing w:val="-2"/>
          <w:szCs w:val="24"/>
        </w:rPr>
        <w:t>不動產坐落社區基本資料、周邊生活設施等內容，另設有720度環景看屋功能，以利大眾</w:t>
      </w:r>
      <w:proofErr w:type="gramStart"/>
      <w:r w:rsidR="00B700A1" w:rsidRPr="00484E64">
        <w:rPr>
          <w:rFonts w:ascii="標楷體" w:eastAsia="標楷體" w:hAnsi="標楷體" w:hint="eastAsia"/>
          <w:spacing w:val="-2"/>
          <w:szCs w:val="24"/>
        </w:rPr>
        <w:t>瀏覽待標售</w:t>
      </w:r>
      <w:proofErr w:type="gramEnd"/>
      <w:r w:rsidR="00B700A1" w:rsidRPr="00484E64">
        <w:rPr>
          <w:rFonts w:ascii="標楷體" w:eastAsia="標楷體" w:hAnsi="標楷體" w:hint="eastAsia"/>
          <w:spacing w:val="-2"/>
          <w:szCs w:val="24"/>
        </w:rPr>
        <w:t>不動產之實況。</w:t>
      </w:r>
      <w:proofErr w:type="gramStart"/>
      <w:r w:rsidR="00B700A1" w:rsidRPr="00484E64">
        <w:rPr>
          <w:rFonts w:ascii="標楷體" w:eastAsia="標楷體" w:hAnsi="標楷體" w:hint="eastAsia"/>
          <w:spacing w:val="-2"/>
          <w:szCs w:val="24"/>
        </w:rPr>
        <w:t>惟</w:t>
      </w:r>
      <w:proofErr w:type="gramEnd"/>
      <w:r w:rsidR="00B700A1" w:rsidRPr="00484E64">
        <w:rPr>
          <w:rFonts w:ascii="標楷體" w:eastAsia="標楷體" w:hAnsi="標楷體" w:hint="eastAsia"/>
          <w:spacing w:val="-2"/>
          <w:szCs w:val="24"/>
        </w:rPr>
        <w:t>國防部僅</w:t>
      </w:r>
      <w:proofErr w:type="gramStart"/>
      <w:r w:rsidR="00B700A1" w:rsidRPr="00484E64">
        <w:rPr>
          <w:rFonts w:ascii="標楷體" w:eastAsia="標楷體" w:hAnsi="標楷體" w:hint="eastAsia"/>
          <w:spacing w:val="-2"/>
          <w:szCs w:val="24"/>
        </w:rPr>
        <w:t>將待標售餘戶造冊</w:t>
      </w:r>
      <w:proofErr w:type="gramEnd"/>
      <w:r w:rsidR="00B700A1" w:rsidRPr="00484E64">
        <w:rPr>
          <w:rFonts w:ascii="標楷體" w:eastAsia="標楷體" w:hAnsi="標楷體" w:hint="eastAsia"/>
          <w:spacing w:val="-2"/>
          <w:szCs w:val="24"/>
        </w:rPr>
        <w:t>登載門牌、地段號、面積等資訊後，分批委託</w:t>
      </w:r>
      <w:proofErr w:type="gramStart"/>
      <w:r w:rsidR="00B700A1" w:rsidRPr="00484E64">
        <w:rPr>
          <w:rFonts w:ascii="標楷體" w:eastAsia="標楷體" w:hAnsi="標楷體" w:hint="eastAsia"/>
          <w:spacing w:val="-2"/>
          <w:szCs w:val="24"/>
        </w:rPr>
        <w:t>國產署標售</w:t>
      </w:r>
      <w:proofErr w:type="gramEnd"/>
      <w:r w:rsidR="00B700A1" w:rsidRPr="00484E64">
        <w:rPr>
          <w:rFonts w:ascii="標楷體" w:eastAsia="標楷體" w:hAnsi="標楷體" w:hint="eastAsia"/>
          <w:spacing w:val="-2"/>
          <w:szCs w:val="24"/>
        </w:rPr>
        <w:t>，而未運用</w:t>
      </w:r>
      <w:proofErr w:type="gramStart"/>
      <w:r w:rsidR="00B700A1" w:rsidRPr="00484E64">
        <w:rPr>
          <w:rFonts w:ascii="標楷體" w:eastAsia="標楷體" w:hAnsi="標楷體" w:hint="eastAsia"/>
          <w:spacing w:val="-2"/>
          <w:szCs w:val="24"/>
        </w:rPr>
        <w:t>該署標售</w:t>
      </w:r>
      <w:proofErr w:type="gramEnd"/>
      <w:r w:rsidR="00B700A1" w:rsidRPr="00484E64">
        <w:rPr>
          <w:rFonts w:ascii="標楷體" w:eastAsia="標楷體" w:hAnsi="標楷體" w:hint="eastAsia"/>
          <w:spacing w:val="-2"/>
          <w:szCs w:val="24"/>
        </w:rPr>
        <w:t>國有不動產專區平台之各項功能，提供各餘戶照片或周遭生活機能、</w:t>
      </w:r>
      <w:r w:rsidR="00B700A1" w:rsidRPr="00484E64">
        <w:rPr>
          <w:rFonts w:ascii="標楷體" w:eastAsia="標楷體" w:hAnsi="標楷體" w:hint="eastAsia"/>
          <w:szCs w:val="24"/>
        </w:rPr>
        <w:t>人口組成等資訊簡介，不利投標者直觀</w:t>
      </w:r>
      <w:proofErr w:type="gramStart"/>
      <w:r w:rsidR="00B700A1" w:rsidRPr="00484E64">
        <w:rPr>
          <w:rFonts w:ascii="標楷體" w:eastAsia="標楷體" w:hAnsi="標楷體" w:hint="eastAsia"/>
          <w:szCs w:val="24"/>
        </w:rPr>
        <w:t>瞭解待標售</w:t>
      </w:r>
      <w:proofErr w:type="gramEnd"/>
      <w:r w:rsidR="00B700A1" w:rsidRPr="00484E64">
        <w:rPr>
          <w:rFonts w:ascii="標楷體" w:eastAsia="標楷體" w:hAnsi="標楷體" w:hint="eastAsia"/>
          <w:szCs w:val="24"/>
        </w:rPr>
        <w:t>餘戶實況與周邊訊息，不免影響</w:t>
      </w:r>
      <w:proofErr w:type="gramStart"/>
      <w:r w:rsidR="00B700A1" w:rsidRPr="00484E64">
        <w:rPr>
          <w:rFonts w:ascii="標楷體" w:eastAsia="標楷體" w:hAnsi="標楷體" w:hint="eastAsia"/>
          <w:szCs w:val="24"/>
        </w:rPr>
        <w:t>購屋者參標</w:t>
      </w:r>
      <w:proofErr w:type="gramEnd"/>
      <w:r w:rsidR="00B700A1" w:rsidRPr="00484E64">
        <w:rPr>
          <w:rFonts w:ascii="標楷體" w:eastAsia="標楷體" w:hAnsi="標楷體" w:hint="eastAsia"/>
          <w:szCs w:val="24"/>
        </w:rPr>
        <w:t>意願。</w:t>
      </w:r>
    </w:p>
    <w:p w14:paraId="3DBCAC8D" w14:textId="45A24A6C" w:rsidR="00E8604E" w:rsidRDefault="00E8604E" w:rsidP="00CA55FD">
      <w:pPr>
        <w:overflowPunct w:val="0"/>
        <w:spacing w:line="42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9539FA" w:rsidRPr="00484E64">
        <w:rPr>
          <w:rFonts w:ascii="標楷體" w:eastAsia="標楷體" w:hAnsi="標楷體" w:hint="eastAsia"/>
          <w:b/>
          <w:szCs w:val="24"/>
        </w:rPr>
        <w:t>國防部僅以網路公告標租方式辦理</w:t>
      </w:r>
      <w:proofErr w:type="gramStart"/>
      <w:r w:rsidR="009539FA" w:rsidRPr="00484E64">
        <w:rPr>
          <w:rFonts w:ascii="標楷體" w:eastAsia="標楷體" w:hAnsi="標楷體" w:hint="eastAsia"/>
          <w:b/>
          <w:szCs w:val="24"/>
        </w:rPr>
        <w:t>眷改餘</w:t>
      </w:r>
      <w:proofErr w:type="gramEnd"/>
      <w:r w:rsidR="009539FA" w:rsidRPr="00484E64">
        <w:rPr>
          <w:rFonts w:ascii="標楷體" w:eastAsia="標楷體" w:hAnsi="標楷體" w:hint="eastAsia"/>
          <w:b/>
          <w:szCs w:val="24"/>
        </w:rPr>
        <w:t>戶短期活化，惟未詳盡揭露</w:t>
      </w:r>
      <w:proofErr w:type="gramStart"/>
      <w:r w:rsidR="009539FA" w:rsidRPr="00484E64">
        <w:rPr>
          <w:rFonts w:ascii="標楷體" w:eastAsia="標楷體" w:hAnsi="標楷體" w:hint="eastAsia"/>
          <w:b/>
          <w:szCs w:val="24"/>
        </w:rPr>
        <w:t>標租餘戶</w:t>
      </w:r>
      <w:proofErr w:type="gramEnd"/>
      <w:r w:rsidR="009539FA" w:rsidRPr="00484E64">
        <w:rPr>
          <w:rFonts w:ascii="標楷體" w:eastAsia="標楷體" w:hAnsi="標楷體" w:hint="eastAsia"/>
          <w:b/>
          <w:szCs w:val="24"/>
        </w:rPr>
        <w:t>資訊，有待擴展延伸標租資訊，並評估委託包租代管之可行性：</w:t>
      </w:r>
      <w:r w:rsidR="009539FA" w:rsidRPr="00484E64">
        <w:rPr>
          <w:rFonts w:ascii="標楷體" w:eastAsia="標楷體" w:hAnsi="標楷體" w:hint="eastAsia"/>
          <w:szCs w:val="24"/>
        </w:rPr>
        <w:t>依國軍老舊眷村改建新建</w:t>
      </w:r>
      <w:proofErr w:type="gramStart"/>
      <w:r w:rsidR="009539FA" w:rsidRPr="00484E64">
        <w:rPr>
          <w:rFonts w:ascii="標楷體" w:eastAsia="標楷體" w:hAnsi="標楷體" w:hint="eastAsia"/>
          <w:szCs w:val="24"/>
        </w:rPr>
        <w:t>住宅商服設施</w:t>
      </w:r>
      <w:proofErr w:type="gramEnd"/>
      <w:r w:rsidR="009539FA" w:rsidRPr="00484E64">
        <w:rPr>
          <w:rFonts w:ascii="標楷體" w:eastAsia="標楷體" w:hAnsi="標楷體" w:hint="eastAsia"/>
          <w:szCs w:val="24"/>
        </w:rPr>
        <w:t>標租及出租處理作業要點第2點規定，</w:t>
      </w:r>
      <w:proofErr w:type="gramStart"/>
      <w:r w:rsidR="009539FA" w:rsidRPr="00484E64">
        <w:rPr>
          <w:rFonts w:ascii="標楷體" w:eastAsia="標楷體" w:hAnsi="標楷體" w:hint="eastAsia"/>
          <w:szCs w:val="24"/>
        </w:rPr>
        <w:t>商服設施</w:t>
      </w:r>
      <w:proofErr w:type="gramEnd"/>
      <w:r w:rsidR="009539FA" w:rsidRPr="00484E64">
        <w:rPr>
          <w:rFonts w:ascii="標楷體" w:eastAsia="標楷體" w:hAnsi="標楷體" w:hint="eastAsia"/>
          <w:szCs w:val="24"/>
        </w:rPr>
        <w:t>、住宅經依法標售而無法決標、無人應買時或</w:t>
      </w:r>
      <w:proofErr w:type="gramStart"/>
      <w:r w:rsidR="009539FA" w:rsidRPr="00484E64">
        <w:rPr>
          <w:rFonts w:ascii="標楷體" w:eastAsia="標楷體" w:hAnsi="標楷體" w:hint="eastAsia"/>
          <w:szCs w:val="24"/>
        </w:rPr>
        <w:t>暫無標售</w:t>
      </w:r>
      <w:proofErr w:type="gramEnd"/>
      <w:r w:rsidR="009539FA" w:rsidRPr="00484E64">
        <w:rPr>
          <w:rFonts w:ascii="標楷體" w:eastAsia="標楷體" w:hAnsi="標楷體" w:hint="eastAsia"/>
          <w:szCs w:val="24"/>
        </w:rPr>
        <w:t>計畫時，得辦理標租或</w:t>
      </w:r>
      <w:proofErr w:type="gramStart"/>
      <w:r w:rsidR="009539FA" w:rsidRPr="00484E64">
        <w:rPr>
          <w:rFonts w:ascii="標楷體" w:eastAsia="標楷體" w:hAnsi="標楷體" w:hint="eastAsia"/>
          <w:szCs w:val="24"/>
        </w:rPr>
        <w:t>逕</w:t>
      </w:r>
      <w:proofErr w:type="gramEnd"/>
      <w:r w:rsidR="009539FA" w:rsidRPr="00484E64">
        <w:rPr>
          <w:rFonts w:ascii="標楷體" w:eastAsia="標楷體" w:hAnsi="標楷體" w:hint="eastAsia"/>
          <w:szCs w:val="24"/>
        </w:rPr>
        <w:t>予出租，並得委託各直轄市、縣（市）政府或專業機關（單位）協助辦理。國防部為辦理</w:t>
      </w:r>
      <w:proofErr w:type="gramStart"/>
      <w:r w:rsidR="009539FA" w:rsidRPr="00484E64">
        <w:rPr>
          <w:rFonts w:ascii="標楷體" w:eastAsia="標楷體" w:hAnsi="標楷體" w:hint="eastAsia"/>
          <w:szCs w:val="24"/>
        </w:rPr>
        <w:t>眷改餘</w:t>
      </w:r>
      <w:proofErr w:type="gramEnd"/>
      <w:r w:rsidR="009539FA" w:rsidRPr="00484E64">
        <w:rPr>
          <w:rFonts w:ascii="標楷體" w:eastAsia="標楷體" w:hAnsi="標楷體" w:hint="eastAsia"/>
          <w:szCs w:val="24"/>
        </w:rPr>
        <w:t>戶標租作業，於該部政戰資訊服務網建置「軍眷服務工作－國軍老舊眷村資產標租專區」（下稱標租專區），將可供短期活化之</w:t>
      </w:r>
      <w:proofErr w:type="gramStart"/>
      <w:r w:rsidR="009539FA" w:rsidRPr="00484E64">
        <w:rPr>
          <w:rFonts w:ascii="標楷體" w:eastAsia="標楷體" w:hAnsi="標楷體" w:hint="eastAsia"/>
          <w:szCs w:val="24"/>
        </w:rPr>
        <w:t>眷改餘</w:t>
      </w:r>
      <w:proofErr w:type="gramEnd"/>
      <w:r w:rsidR="009539FA" w:rsidRPr="00484E64">
        <w:rPr>
          <w:rFonts w:ascii="標楷體" w:eastAsia="標楷體" w:hAnsi="標楷體" w:hint="eastAsia"/>
          <w:szCs w:val="24"/>
        </w:rPr>
        <w:t>戶資料公告於標租專區供大眾查詢。國防部近</w:t>
      </w:r>
      <w:proofErr w:type="gramStart"/>
      <w:r w:rsidR="009539FA" w:rsidRPr="00484E64">
        <w:rPr>
          <w:rFonts w:ascii="標楷體" w:eastAsia="標楷體" w:hAnsi="標楷體" w:hint="eastAsia"/>
          <w:szCs w:val="24"/>
        </w:rPr>
        <w:t>5</w:t>
      </w:r>
      <w:proofErr w:type="gramEnd"/>
      <w:r w:rsidR="009539FA" w:rsidRPr="00484E64">
        <w:rPr>
          <w:rFonts w:ascii="標楷體" w:eastAsia="標楷體" w:hAnsi="標楷體" w:hint="eastAsia"/>
          <w:szCs w:val="24"/>
        </w:rPr>
        <w:t>年度合計公告標租113戶，其中已出租21戶，未出租92戶，出租率僅18.58％，</w:t>
      </w:r>
      <w:proofErr w:type="gramStart"/>
      <w:r w:rsidR="009539FA" w:rsidRPr="00484E64">
        <w:rPr>
          <w:rFonts w:ascii="標楷體" w:eastAsia="標楷體" w:hAnsi="標楷體" w:hint="eastAsia"/>
          <w:szCs w:val="24"/>
        </w:rPr>
        <w:t>該部雖依</w:t>
      </w:r>
      <w:proofErr w:type="gramEnd"/>
      <w:r w:rsidR="009539FA" w:rsidRPr="00484E64">
        <w:rPr>
          <w:rFonts w:ascii="標楷體" w:eastAsia="標楷體" w:hAnsi="標楷體" w:hint="eastAsia"/>
          <w:szCs w:val="24"/>
        </w:rPr>
        <w:t>上述作業要點規定，於標租專區公告各</w:t>
      </w:r>
      <w:proofErr w:type="gramStart"/>
      <w:r w:rsidR="009539FA" w:rsidRPr="00484E64">
        <w:rPr>
          <w:rFonts w:ascii="標楷體" w:eastAsia="標楷體" w:hAnsi="標楷體" w:hint="eastAsia"/>
          <w:szCs w:val="24"/>
        </w:rPr>
        <w:t>標租標的</w:t>
      </w:r>
      <w:proofErr w:type="gramEnd"/>
      <w:r w:rsidR="009539FA" w:rsidRPr="00484E64">
        <w:rPr>
          <w:rFonts w:ascii="標楷體" w:eastAsia="標楷體" w:hAnsi="標楷體" w:hint="eastAsia"/>
          <w:szCs w:val="24"/>
        </w:rPr>
        <w:t>之坐落地點、類型、樓層、面積等事項，惟未妥</w:t>
      </w:r>
      <w:proofErr w:type="gramStart"/>
      <w:r w:rsidR="009539FA" w:rsidRPr="00484E64">
        <w:rPr>
          <w:rFonts w:ascii="標楷體" w:eastAsia="標楷體" w:hAnsi="標楷體" w:hint="eastAsia"/>
          <w:szCs w:val="24"/>
        </w:rPr>
        <w:t>適</w:t>
      </w:r>
      <w:proofErr w:type="gramEnd"/>
      <w:r w:rsidR="009539FA" w:rsidRPr="00484E64">
        <w:rPr>
          <w:rFonts w:ascii="標楷體" w:eastAsia="標楷體" w:hAnsi="標楷體" w:hint="eastAsia"/>
          <w:szCs w:val="24"/>
        </w:rPr>
        <w:t>揭露各標的室內現況、周邊環境與生活機能等資訊，致潛在承租者未能瞭解</w:t>
      </w:r>
      <w:proofErr w:type="gramStart"/>
      <w:r w:rsidR="009539FA" w:rsidRPr="00484E64">
        <w:rPr>
          <w:rFonts w:ascii="標楷體" w:eastAsia="標楷體" w:hAnsi="標楷體" w:hint="eastAsia"/>
          <w:szCs w:val="24"/>
        </w:rPr>
        <w:t>待租標的</w:t>
      </w:r>
      <w:proofErr w:type="gramEnd"/>
      <w:r w:rsidR="009539FA" w:rsidRPr="00484E64">
        <w:rPr>
          <w:rFonts w:ascii="標楷體" w:eastAsia="標楷體" w:hAnsi="標楷體" w:hint="eastAsia"/>
          <w:szCs w:val="24"/>
        </w:rPr>
        <w:t>居住之合宜性。國防部以</w:t>
      </w:r>
      <w:proofErr w:type="gramStart"/>
      <w:r w:rsidR="009539FA" w:rsidRPr="00484E64">
        <w:rPr>
          <w:rFonts w:ascii="標楷體" w:eastAsia="標楷體" w:hAnsi="標楷體" w:hint="eastAsia"/>
          <w:szCs w:val="24"/>
        </w:rPr>
        <w:t>自辦標租</w:t>
      </w:r>
      <w:proofErr w:type="gramEnd"/>
      <w:r w:rsidR="009539FA" w:rsidRPr="00484E64">
        <w:rPr>
          <w:rFonts w:ascii="標楷體" w:eastAsia="標楷體" w:hAnsi="標楷體" w:hint="eastAsia"/>
          <w:szCs w:val="24"/>
        </w:rPr>
        <w:t>方式推動</w:t>
      </w:r>
      <w:proofErr w:type="gramStart"/>
      <w:r w:rsidR="009539FA" w:rsidRPr="00484E64">
        <w:rPr>
          <w:rFonts w:ascii="標楷體" w:eastAsia="標楷體" w:hAnsi="標楷體" w:hint="eastAsia"/>
          <w:szCs w:val="24"/>
        </w:rPr>
        <w:t>眷改餘</w:t>
      </w:r>
      <w:proofErr w:type="gramEnd"/>
      <w:r w:rsidR="009539FA" w:rsidRPr="00484E64">
        <w:rPr>
          <w:rFonts w:ascii="標楷體" w:eastAsia="標楷體" w:hAnsi="標楷體" w:hint="eastAsia"/>
          <w:szCs w:val="24"/>
        </w:rPr>
        <w:t>戶短期運用，惟未考量參標者居住需求，有待借</w:t>
      </w:r>
      <w:proofErr w:type="gramStart"/>
      <w:r w:rsidR="009539FA" w:rsidRPr="00484E64">
        <w:rPr>
          <w:rFonts w:ascii="標楷體" w:eastAsia="標楷體" w:hAnsi="標楷體" w:hint="eastAsia"/>
          <w:szCs w:val="24"/>
        </w:rPr>
        <w:t>鑑</w:t>
      </w:r>
      <w:proofErr w:type="gramEnd"/>
      <w:r w:rsidR="009539FA" w:rsidRPr="00484E64">
        <w:rPr>
          <w:rFonts w:ascii="標楷體" w:eastAsia="標楷體" w:hAnsi="標楷體" w:hint="eastAsia"/>
          <w:szCs w:val="24"/>
        </w:rPr>
        <w:t>民間租屋平台刊載內容，揭露屋</w:t>
      </w:r>
      <w:proofErr w:type="gramStart"/>
      <w:r w:rsidR="009539FA" w:rsidRPr="00484E64">
        <w:rPr>
          <w:rFonts w:ascii="標楷體" w:eastAsia="標楷體" w:hAnsi="標楷體" w:hint="eastAsia"/>
          <w:szCs w:val="24"/>
        </w:rPr>
        <w:t>況</w:t>
      </w:r>
      <w:proofErr w:type="gramEnd"/>
      <w:r w:rsidR="009539FA" w:rsidRPr="00484E64">
        <w:rPr>
          <w:rFonts w:ascii="標楷體" w:eastAsia="標楷體" w:hAnsi="標楷體" w:hint="eastAsia"/>
          <w:szCs w:val="24"/>
        </w:rPr>
        <w:t>、室內設施等資訊，參酌國產署以標租方式供民間包租業者競標，由得標廠商進行房屋修繕後，</w:t>
      </w:r>
      <w:proofErr w:type="gramStart"/>
      <w:r w:rsidR="009539FA" w:rsidRPr="00484E64">
        <w:rPr>
          <w:rFonts w:ascii="標楷體" w:eastAsia="標楷體" w:hAnsi="標楷體" w:hint="eastAsia"/>
          <w:szCs w:val="24"/>
        </w:rPr>
        <w:t>轉租予次承租人</w:t>
      </w:r>
      <w:proofErr w:type="gramEnd"/>
      <w:r w:rsidR="009539FA" w:rsidRPr="00484E64">
        <w:rPr>
          <w:rFonts w:ascii="標楷體" w:eastAsia="標楷體" w:hAnsi="標楷體" w:hint="eastAsia"/>
          <w:szCs w:val="24"/>
        </w:rPr>
        <w:t>居住使用之作法，評估委託包租業者辦理國有不動產活化，導入專業機構協助執行租賃作業之可行性，妥適規劃運用經多次</w:t>
      </w:r>
      <w:proofErr w:type="gramStart"/>
      <w:r w:rsidR="009539FA" w:rsidRPr="00484E64">
        <w:rPr>
          <w:rFonts w:ascii="標楷體" w:eastAsia="標楷體" w:hAnsi="標楷體" w:hint="eastAsia"/>
          <w:szCs w:val="24"/>
        </w:rPr>
        <w:t>標租仍未</w:t>
      </w:r>
      <w:proofErr w:type="gramEnd"/>
      <w:r w:rsidR="009539FA" w:rsidRPr="00484E64">
        <w:rPr>
          <w:rFonts w:ascii="標楷體" w:eastAsia="標楷體" w:hAnsi="標楷體" w:hint="eastAsia"/>
          <w:szCs w:val="24"/>
        </w:rPr>
        <w:t>獲出租或長期處分不易之餘戶。</w:t>
      </w:r>
    </w:p>
    <w:p w14:paraId="61E73467" w14:textId="3B8FE142" w:rsidR="009539FA" w:rsidRPr="002764DD" w:rsidRDefault="009539FA" w:rsidP="00CA55FD">
      <w:pPr>
        <w:overflowPunct w:val="0"/>
        <w:spacing w:line="420" w:lineRule="exact"/>
        <w:ind w:firstLineChars="450" w:firstLine="1081"/>
        <w:jc w:val="both"/>
        <w:rPr>
          <w:rFonts w:ascii="標楷體" w:eastAsia="標楷體" w:hAnsi="標楷體"/>
          <w:color w:val="000000" w:themeColor="text1"/>
          <w:szCs w:val="24"/>
        </w:rPr>
      </w:pPr>
      <w:r w:rsidRPr="00EA4594">
        <w:rPr>
          <w:rFonts w:ascii="標楷體" w:eastAsia="標楷體" w:hAnsi="標楷體" w:hint="eastAsia"/>
          <w:b/>
          <w:bCs/>
          <w:szCs w:val="24"/>
        </w:rPr>
        <w:t xml:space="preserve">3.　</w:t>
      </w:r>
      <w:r w:rsidR="00EA4594" w:rsidRPr="00EA4594">
        <w:rPr>
          <w:rFonts w:ascii="標楷體" w:eastAsia="標楷體" w:hAnsi="標楷體" w:hint="eastAsia"/>
          <w:b/>
          <w:bCs/>
          <w:szCs w:val="24"/>
        </w:rPr>
        <w:t>國防部</w:t>
      </w:r>
      <w:r w:rsidR="00EA4594" w:rsidRPr="00484E64">
        <w:rPr>
          <w:rFonts w:ascii="標楷體" w:eastAsia="標楷體" w:hAnsi="標楷體" w:hint="eastAsia"/>
          <w:b/>
          <w:szCs w:val="24"/>
        </w:rPr>
        <w:t>保留部分</w:t>
      </w:r>
      <w:proofErr w:type="gramStart"/>
      <w:r w:rsidR="00EA4594" w:rsidRPr="00484E64">
        <w:rPr>
          <w:rFonts w:ascii="標楷體" w:eastAsia="標楷體" w:hAnsi="標楷體" w:hint="eastAsia"/>
          <w:b/>
          <w:szCs w:val="24"/>
        </w:rPr>
        <w:t>眷改餘</w:t>
      </w:r>
      <w:proofErr w:type="gramEnd"/>
      <w:r w:rsidR="00EA4594" w:rsidRPr="00484E64">
        <w:rPr>
          <w:rFonts w:ascii="標楷體" w:eastAsia="標楷體" w:hAnsi="標楷體" w:hint="eastAsia"/>
          <w:b/>
          <w:szCs w:val="24"/>
        </w:rPr>
        <w:t>戶供價售現役官兵及留待處理原</w:t>
      </w:r>
      <w:proofErr w:type="gramStart"/>
      <w:r w:rsidR="00EA4594" w:rsidRPr="00484E64">
        <w:rPr>
          <w:rFonts w:ascii="標楷體" w:eastAsia="標楷體" w:hAnsi="標楷體" w:hint="eastAsia"/>
          <w:b/>
          <w:szCs w:val="24"/>
        </w:rPr>
        <w:t>眷戶遷購</w:t>
      </w:r>
      <w:proofErr w:type="gramEnd"/>
      <w:r w:rsidR="00EA4594" w:rsidRPr="00484E64">
        <w:rPr>
          <w:rFonts w:ascii="標楷體" w:eastAsia="標楷體" w:hAnsi="標楷體" w:hint="eastAsia"/>
          <w:b/>
          <w:szCs w:val="24"/>
        </w:rPr>
        <w:t>，惟迄未規劃後續作業，致部分餘</w:t>
      </w:r>
      <w:proofErr w:type="gramStart"/>
      <w:r w:rsidR="00EA4594" w:rsidRPr="00484E64">
        <w:rPr>
          <w:rFonts w:ascii="標楷體" w:eastAsia="標楷體" w:hAnsi="標楷體" w:hint="eastAsia"/>
          <w:b/>
          <w:szCs w:val="24"/>
        </w:rPr>
        <w:t>戶長期空置</w:t>
      </w:r>
      <w:proofErr w:type="gramEnd"/>
      <w:r w:rsidR="00EA4594" w:rsidRPr="00484E64">
        <w:rPr>
          <w:rFonts w:ascii="標楷體" w:eastAsia="標楷體" w:hAnsi="標楷體" w:hint="eastAsia"/>
          <w:b/>
          <w:szCs w:val="24"/>
        </w:rPr>
        <w:t>，未能妥為處分或活化運用：</w:t>
      </w:r>
      <w:r w:rsidR="00EA4594" w:rsidRPr="00484E64">
        <w:rPr>
          <w:rFonts w:ascii="標楷體" w:eastAsia="標楷體" w:hAnsi="標楷體" w:hint="eastAsia"/>
          <w:szCs w:val="24"/>
        </w:rPr>
        <w:t>國防部自</w:t>
      </w:r>
      <w:proofErr w:type="gramStart"/>
      <w:r w:rsidR="00EA4594" w:rsidRPr="00484E64">
        <w:rPr>
          <w:rFonts w:ascii="標楷體" w:eastAsia="標楷體" w:hAnsi="標楷體" w:hint="eastAsia"/>
          <w:szCs w:val="24"/>
        </w:rPr>
        <w:t>103</w:t>
      </w:r>
      <w:proofErr w:type="gramEnd"/>
      <w:r w:rsidR="00EA4594" w:rsidRPr="00484E64">
        <w:rPr>
          <w:rFonts w:ascii="標楷體" w:eastAsia="標楷體" w:hAnsi="標楷體" w:hint="eastAsia"/>
          <w:szCs w:val="24"/>
        </w:rPr>
        <w:t>年度起推動</w:t>
      </w:r>
      <w:proofErr w:type="gramStart"/>
      <w:r w:rsidR="00EA4594" w:rsidRPr="00484E64">
        <w:rPr>
          <w:rFonts w:ascii="標楷體" w:eastAsia="標楷體" w:hAnsi="標楷體" w:hint="eastAsia"/>
          <w:szCs w:val="24"/>
        </w:rPr>
        <w:t>眷改餘</w:t>
      </w:r>
      <w:proofErr w:type="gramEnd"/>
      <w:r w:rsidR="00EA4594" w:rsidRPr="00484E64">
        <w:rPr>
          <w:rFonts w:ascii="標楷體" w:eastAsia="標楷體" w:hAnsi="標楷體" w:hint="eastAsia"/>
          <w:szCs w:val="24"/>
        </w:rPr>
        <w:t>戶價售現役官兵作業，截至113年8月底止，合計價售現役官兵2,134戶，</w:t>
      </w:r>
      <w:proofErr w:type="gramStart"/>
      <w:r w:rsidR="00EA4594" w:rsidRPr="00484E64">
        <w:rPr>
          <w:rFonts w:ascii="標楷體" w:eastAsia="標楷體" w:hAnsi="標楷體" w:hint="eastAsia"/>
          <w:szCs w:val="24"/>
        </w:rPr>
        <w:t>該部於</w:t>
      </w:r>
      <w:proofErr w:type="gramEnd"/>
      <w:r w:rsidR="00EA4594" w:rsidRPr="00484E64">
        <w:rPr>
          <w:rFonts w:ascii="標楷體" w:eastAsia="標楷體" w:hAnsi="標楷體" w:hint="eastAsia"/>
          <w:szCs w:val="24"/>
        </w:rPr>
        <w:t>110年底完成第6梯次現役官兵價售餘戶交屋後，即未再規劃後續梯次之價售作業，保留52戶</w:t>
      </w:r>
      <w:proofErr w:type="gramStart"/>
      <w:r w:rsidR="00EA4594" w:rsidRPr="00484E64">
        <w:rPr>
          <w:rFonts w:ascii="標楷體" w:eastAsia="標楷體" w:hAnsi="標楷體" w:hint="eastAsia"/>
          <w:szCs w:val="24"/>
        </w:rPr>
        <w:t>眷改餘</w:t>
      </w:r>
      <w:proofErr w:type="gramEnd"/>
      <w:r w:rsidR="00EA4594" w:rsidRPr="00484E64">
        <w:rPr>
          <w:rFonts w:ascii="標楷體" w:eastAsia="標楷體" w:hAnsi="標楷體" w:hint="eastAsia"/>
          <w:szCs w:val="24"/>
        </w:rPr>
        <w:t>戶供後續</w:t>
      </w:r>
      <w:proofErr w:type="gramStart"/>
      <w:r w:rsidR="00EA4594" w:rsidRPr="00484E64">
        <w:rPr>
          <w:rFonts w:ascii="標楷體" w:eastAsia="標楷體" w:hAnsi="標楷體" w:hint="eastAsia"/>
          <w:szCs w:val="24"/>
        </w:rPr>
        <w:t>重啟價售</w:t>
      </w:r>
      <w:proofErr w:type="gramEnd"/>
      <w:r w:rsidR="00EA4594" w:rsidRPr="00484E64">
        <w:rPr>
          <w:rFonts w:ascii="標楷體" w:eastAsia="標楷體" w:hAnsi="標楷體" w:hint="eastAsia"/>
          <w:szCs w:val="24"/>
        </w:rPr>
        <w:t>；另國防部前於85年度規劃將慈仁八村原</w:t>
      </w:r>
      <w:proofErr w:type="gramStart"/>
      <w:r w:rsidR="00EA4594" w:rsidRPr="00484E64">
        <w:rPr>
          <w:rFonts w:ascii="標楷體" w:eastAsia="標楷體" w:hAnsi="標楷體" w:hint="eastAsia"/>
          <w:szCs w:val="24"/>
        </w:rPr>
        <w:t>眷</w:t>
      </w:r>
      <w:proofErr w:type="gramEnd"/>
      <w:r w:rsidR="00EA4594" w:rsidRPr="00484E64">
        <w:rPr>
          <w:rFonts w:ascii="標楷體" w:eastAsia="標楷體" w:hAnsi="標楷體" w:hint="eastAsia"/>
          <w:szCs w:val="24"/>
        </w:rPr>
        <w:t>戶遷建至臺北市萬隆營區改建基地，</w:t>
      </w:r>
      <w:proofErr w:type="gramStart"/>
      <w:r w:rsidR="00EA4594" w:rsidRPr="00484E64">
        <w:rPr>
          <w:rFonts w:ascii="標楷體" w:eastAsia="標楷體" w:hAnsi="標楷體" w:hint="eastAsia"/>
          <w:szCs w:val="24"/>
        </w:rPr>
        <w:t>迨101</w:t>
      </w:r>
      <w:proofErr w:type="gramEnd"/>
      <w:r w:rsidR="00EA4594" w:rsidRPr="00484E64">
        <w:rPr>
          <w:rFonts w:ascii="標楷體" w:eastAsia="標楷體" w:hAnsi="標楷體" w:hint="eastAsia"/>
          <w:szCs w:val="24"/>
        </w:rPr>
        <w:t>年度以</w:t>
      </w:r>
      <w:proofErr w:type="gramStart"/>
      <w:r w:rsidR="00EA4594" w:rsidRPr="00484E64">
        <w:rPr>
          <w:rFonts w:ascii="標楷體" w:eastAsia="標楷體" w:hAnsi="標楷體" w:hint="eastAsia"/>
          <w:szCs w:val="24"/>
        </w:rPr>
        <w:t>該村係於</w:t>
      </w:r>
      <w:proofErr w:type="gramEnd"/>
      <w:r w:rsidR="00EA4594" w:rsidRPr="00484E64">
        <w:rPr>
          <w:rFonts w:ascii="標楷體" w:eastAsia="標楷體" w:hAnsi="標楷體" w:hint="eastAsia"/>
          <w:szCs w:val="24"/>
        </w:rPr>
        <w:t>78年度興建完成，不符合眷改條例第3條所訂69年12月31日以前興建完</w:t>
      </w:r>
      <w:r w:rsidR="00EA4594" w:rsidRPr="00484E64">
        <w:rPr>
          <w:rFonts w:ascii="標楷體" w:eastAsia="標楷體" w:hAnsi="標楷體" w:hint="eastAsia"/>
          <w:szCs w:val="24"/>
        </w:rPr>
        <w:lastRenderedPageBreak/>
        <w:t>成之軍眷住宅，停止慈仁八村原</w:t>
      </w:r>
      <w:proofErr w:type="gramStart"/>
      <w:r w:rsidR="00EA4594" w:rsidRPr="00484E64">
        <w:rPr>
          <w:rFonts w:ascii="標楷體" w:eastAsia="標楷體" w:hAnsi="標楷體" w:hint="eastAsia"/>
          <w:szCs w:val="24"/>
        </w:rPr>
        <w:t>眷戶改</w:t>
      </w:r>
      <w:proofErr w:type="gramEnd"/>
      <w:r w:rsidR="00EA4594" w:rsidRPr="00484E64">
        <w:rPr>
          <w:rFonts w:ascii="標楷體" w:eastAsia="標楷體" w:hAnsi="標楷體" w:hint="eastAsia"/>
          <w:szCs w:val="24"/>
        </w:rPr>
        <w:t>（遷）建作業，國防部為處理渠等</w:t>
      </w:r>
      <w:proofErr w:type="gramStart"/>
      <w:r w:rsidR="00EA4594" w:rsidRPr="00484E64">
        <w:rPr>
          <w:rFonts w:ascii="標楷體" w:eastAsia="標楷體" w:hAnsi="標楷體" w:hint="eastAsia"/>
          <w:szCs w:val="24"/>
        </w:rPr>
        <w:t>眷</w:t>
      </w:r>
      <w:proofErr w:type="gramEnd"/>
      <w:r w:rsidR="00EA4594" w:rsidRPr="00484E64">
        <w:rPr>
          <w:rFonts w:ascii="標楷體" w:eastAsia="標楷體" w:hAnsi="標楷體" w:hint="eastAsia"/>
          <w:szCs w:val="24"/>
        </w:rPr>
        <w:t>戶爭議，曾於105及106年間</w:t>
      </w:r>
      <w:proofErr w:type="gramStart"/>
      <w:r w:rsidR="00EA4594" w:rsidRPr="00484E64">
        <w:rPr>
          <w:rFonts w:ascii="標楷體" w:eastAsia="標楷體" w:hAnsi="標楷體" w:hint="eastAsia"/>
          <w:szCs w:val="24"/>
        </w:rPr>
        <w:t>研</w:t>
      </w:r>
      <w:proofErr w:type="gramEnd"/>
      <w:r w:rsidR="00EA4594" w:rsidRPr="00484E64">
        <w:rPr>
          <w:rFonts w:ascii="標楷體" w:eastAsia="標楷體" w:hAnsi="標楷體" w:hint="eastAsia"/>
          <w:szCs w:val="24"/>
        </w:rPr>
        <w:t>擬眷改條例修正草案，函報行政院審議，並保留臺北市萬隆營區改建餘戶計</w:t>
      </w:r>
      <w:proofErr w:type="gramStart"/>
      <w:r w:rsidR="00EA4594" w:rsidRPr="00484E64">
        <w:rPr>
          <w:rFonts w:ascii="標楷體" w:eastAsia="標楷體" w:hAnsi="標楷體" w:hint="eastAsia"/>
          <w:szCs w:val="24"/>
        </w:rPr>
        <w:t>50戶予慈仁</w:t>
      </w:r>
      <w:proofErr w:type="gramEnd"/>
      <w:r w:rsidR="00EA4594" w:rsidRPr="00484E64">
        <w:rPr>
          <w:rFonts w:ascii="標楷體" w:eastAsia="標楷體" w:hAnsi="標楷體" w:hint="eastAsia"/>
          <w:szCs w:val="24"/>
        </w:rPr>
        <w:t>八村原</w:t>
      </w:r>
      <w:proofErr w:type="gramStart"/>
      <w:r w:rsidR="00EA4594" w:rsidRPr="00484E64">
        <w:rPr>
          <w:rFonts w:ascii="標楷體" w:eastAsia="標楷體" w:hAnsi="標楷體" w:hint="eastAsia"/>
          <w:szCs w:val="24"/>
        </w:rPr>
        <w:t>眷</w:t>
      </w:r>
      <w:proofErr w:type="gramEnd"/>
      <w:r w:rsidR="00EA4594" w:rsidRPr="00484E64">
        <w:rPr>
          <w:rFonts w:ascii="標楷體" w:eastAsia="標楷體" w:hAnsi="標楷體" w:hint="eastAsia"/>
          <w:szCs w:val="24"/>
        </w:rPr>
        <w:t>戶，經行政院於106年11月16日函復無須修法，並請依事實加以認定，惟截至113年8月底止，仍</w:t>
      </w:r>
      <w:proofErr w:type="gramStart"/>
      <w:r w:rsidR="00EA4594" w:rsidRPr="00484E64">
        <w:rPr>
          <w:rFonts w:ascii="標楷體" w:eastAsia="標楷體" w:hAnsi="標楷體" w:hint="eastAsia"/>
          <w:szCs w:val="24"/>
        </w:rPr>
        <w:t>未就慈仁</w:t>
      </w:r>
      <w:proofErr w:type="gramEnd"/>
      <w:r w:rsidR="00EA4594" w:rsidRPr="00484E64">
        <w:rPr>
          <w:rFonts w:ascii="標楷體" w:eastAsia="標楷體" w:hAnsi="標楷體" w:hint="eastAsia"/>
          <w:szCs w:val="24"/>
        </w:rPr>
        <w:t>八村原</w:t>
      </w:r>
      <w:proofErr w:type="gramStart"/>
      <w:r w:rsidR="00EA4594" w:rsidRPr="00484E64">
        <w:rPr>
          <w:rFonts w:ascii="標楷體" w:eastAsia="標楷體" w:hAnsi="標楷體" w:hint="eastAsia"/>
          <w:szCs w:val="24"/>
        </w:rPr>
        <w:t>眷</w:t>
      </w:r>
      <w:proofErr w:type="gramEnd"/>
      <w:r w:rsidR="00EA4594" w:rsidRPr="00484E64">
        <w:rPr>
          <w:rFonts w:ascii="標楷體" w:eastAsia="標楷體" w:hAnsi="標楷體" w:hint="eastAsia"/>
          <w:szCs w:val="24"/>
        </w:rPr>
        <w:t>戶後續處置</w:t>
      </w:r>
      <w:proofErr w:type="gramStart"/>
      <w:r w:rsidR="00EA4594" w:rsidRPr="00484E64">
        <w:rPr>
          <w:rFonts w:ascii="標楷體" w:eastAsia="標楷體" w:hAnsi="標楷體" w:hint="eastAsia"/>
          <w:szCs w:val="24"/>
        </w:rPr>
        <w:t>妥謀適切</w:t>
      </w:r>
      <w:proofErr w:type="gramEnd"/>
      <w:r w:rsidR="00EA4594" w:rsidRPr="00484E64">
        <w:rPr>
          <w:rFonts w:ascii="標楷體" w:eastAsia="標楷體" w:hAnsi="標楷體" w:hint="eastAsia"/>
          <w:szCs w:val="24"/>
        </w:rPr>
        <w:t>作為。國防部為照顧現役官兵及處理慈仁八村原</w:t>
      </w:r>
      <w:proofErr w:type="gramStart"/>
      <w:r w:rsidR="00EA4594" w:rsidRPr="00484E64">
        <w:rPr>
          <w:rFonts w:ascii="標楷體" w:eastAsia="標楷體" w:hAnsi="標楷體" w:hint="eastAsia"/>
          <w:szCs w:val="24"/>
        </w:rPr>
        <w:t>眷</w:t>
      </w:r>
      <w:proofErr w:type="gramEnd"/>
      <w:r w:rsidR="00EA4594" w:rsidRPr="00484E64">
        <w:rPr>
          <w:rFonts w:ascii="標楷體" w:eastAsia="標楷體" w:hAnsi="標楷體" w:hint="eastAsia"/>
          <w:szCs w:val="24"/>
        </w:rPr>
        <w:t>戶權益問題，</w:t>
      </w:r>
      <w:proofErr w:type="gramStart"/>
      <w:r w:rsidR="00EA4594" w:rsidRPr="00484E64">
        <w:rPr>
          <w:rFonts w:ascii="標楷體" w:eastAsia="標楷體" w:hAnsi="標楷體" w:hint="eastAsia"/>
          <w:szCs w:val="24"/>
        </w:rPr>
        <w:t>匡列102戶眷改餘</w:t>
      </w:r>
      <w:proofErr w:type="gramEnd"/>
      <w:r w:rsidR="00EA4594" w:rsidRPr="00484E64">
        <w:rPr>
          <w:rFonts w:ascii="標楷體" w:eastAsia="標楷體" w:hAnsi="標楷體" w:hint="eastAsia"/>
          <w:szCs w:val="24"/>
        </w:rPr>
        <w:t>戶留待後續處理，惟未</w:t>
      </w:r>
      <w:proofErr w:type="gramStart"/>
      <w:r w:rsidR="00EA4594" w:rsidRPr="00484E64">
        <w:rPr>
          <w:rFonts w:ascii="標楷體" w:eastAsia="標楷體" w:hAnsi="標楷體" w:hint="eastAsia"/>
          <w:szCs w:val="24"/>
        </w:rPr>
        <w:t>賡</w:t>
      </w:r>
      <w:proofErr w:type="gramEnd"/>
      <w:r w:rsidR="00EA4594" w:rsidRPr="00484E64">
        <w:rPr>
          <w:rFonts w:ascii="標楷體" w:eastAsia="標楷體" w:hAnsi="標楷體" w:hint="eastAsia"/>
          <w:szCs w:val="24"/>
        </w:rPr>
        <w:t>續規劃辦理價售，致已列保留之餘戶未能有效去化，除須負擔水、電及管理等</w:t>
      </w:r>
      <w:proofErr w:type="gramStart"/>
      <w:r w:rsidR="00EA4594" w:rsidRPr="00484E64">
        <w:rPr>
          <w:rFonts w:ascii="標楷體" w:eastAsia="標楷體" w:hAnsi="標楷體" w:hint="eastAsia"/>
          <w:szCs w:val="24"/>
        </w:rPr>
        <w:t>各項費款外</w:t>
      </w:r>
      <w:proofErr w:type="gramEnd"/>
      <w:r w:rsidR="00EA4594" w:rsidRPr="00484E64">
        <w:rPr>
          <w:rFonts w:ascii="標楷體" w:eastAsia="標楷體" w:hAnsi="標楷體" w:hint="eastAsia"/>
          <w:szCs w:val="24"/>
        </w:rPr>
        <w:t>，各保留戶自興建完成</w:t>
      </w:r>
      <w:proofErr w:type="gramStart"/>
      <w:r w:rsidR="00EA4594" w:rsidRPr="00484E64">
        <w:rPr>
          <w:rFonts w:ascii="標楷體" w:eastAsia="標楷體" w:hAnsi="標楷體" w:hint="eastAsia"/>
          <w:szCs w:val="24"/>
        </w:rPr>
        <w:t>迄今均逾10年</w:t>
      </w:r>
      <w:proofErr w:type="gramEnd"/>
      <w:r w:rsidR="00EA4594" w:rsidRPr="00484E64">
        <w:rPr>
          <w:rFonts w:ascii="標楷體" w:eastAsia="標楷體" w:hAnsi="標楷體" w:hint="eastAsia"/>
          <w:szCs w:val="24"/>
        </w:rPr>
        <w:t>，持續空置影響</w:t>
      </w:r>
      <w:proofErr w:type="gramStart"/>
      <w:r w:rsidR="00EA4594" w:rsidRPr="00484E64">
        <w:rPr>
          <w:rFonts w:ascii="標楷體" w:eastAsia="標楷體" w:hAnsi="標楷體" w:hint="eastAsia"/>
          <w:szCs w:val="24"/>
        </w:rPr>
        <w:t>屋況且</w:t>
      </w:r>
      <w:proofErr w:type="gramEnd"/>
      <w:r w:rsidR="00EA4594" w:rsidRPr="00484E64">
        <w:rPr>
          <w:rFonts w:ascii="標楷體" w:eastAsia="標楷體" w:hAnsi="標楷體" w:hint="eastAsia"/>
          <w:szCs w:val="24"/>
        </w:rPr>
        <w:t>衍生管理負擔。</w:t>
      </w:r>
    </w:p>
    <w:p w14:paraId="0A3483A7" w14:textId="2E78F6FE" w:rsidR="00E8604E" w:rsidRPr="002764DD" w:rsidRDefault="00EA4594" w:rsidP="00CA55FD">
      <w:pPr>
        <w:pStyle w:val="a7"/>
        <w:overflowPunct w:val="0"/>
        <w:spacing w:line="420" w:lineRule="exact"/>
        <w:ind w:firstLineChars="200" w:firstLine="480"/>
        <w:jc w:val="both"/>
        <w:rPr>
          <w:rFonts w:ascii="標楷體" w:eastAsia="標楷體" w:hAnsi="標楷體"/>
          <w:color w:val="000000" w:themeColor="text1"/>
          <w:szCs w:val="24"/>
        </w:rPr>
      </w:pPr>
      <w:r w:rsidRPr="00EA4594">
        <w:rPr>
          <w:rFonts w:ascii="標楷體" w:eastAsia="標楷體" w:hAnsi="標楷體" w:hint="eastAsia"/>
          <w:color w:val="000000" w:themeColor="text1"/>
          <w:szCs w:val="24"/>
        </w:rPr>
        <w:t>綜上，政府為處理</w:t>
      </w:r>
      <w:proofErr w:type="gramStart"/>
      <w:r w:rsidRPr="00EA4594">
        <w:rPr>
          <w:rFonts w:ascii="標楷體" w:eastAsia="標楷體" w:hAnsi="標楷體" w:hint="eastAsia"/>
          <w:color w:val="000000" w:themeColor="text1"/>
          <w:szCs w:val="24"/>
        </w:rPr>
        <w:t>眷改餘</w:t>
      </w:r>
      <w:proofErr w:type="gramEnd"/>
      <w:r w:rsidRPr="00EA4594">
        <w:rPr>
          <w:rFonts w:ascii="標楷體" w:eastAsia="標楷體" w:hAnsi="標楷體" w:hint="eastAsia"/>
          <w:color w:val="000000" w:themeColor="text1"/>
          <w:szCs w:val="24"/>
        </w:rPr>
        <w:t>戶，</w:t>
      </w:r>
      <w:proofErr w:type="gramStart"/>
      <w:r w:rsidRPr="00EA4594">
        <w:rPr>
          <w:rFonts w:ascii="標楷體" w:eastAsia="標楷體" w:hAnsi="標楷體" w:hint="eastAsia"/>
          <w:color w:val="000000" w:themeColor="text1"/>
          <w:szCs w:val="24"/>
        </w:rPr>
        <w:t>採</w:t>
      </w:r>
      <w:proofErr w:type="gramEnd"/>
      <w:r w:rsidRPr="00EA4594">
        <w:rPr>
          <w:rFonts w:ascii="標楷體" w:eastAsia="標楷體" w:hAnsi="標楷體" w:hint="eastAsia"/>
          <w:color w:val="000000" w:themeColor="text1"/>
          <w:szCs w:val="24"/>
        </w:rPr>
        <w:t>標售處分及標租短期活化等方式辦理，</w:t>
      </w:r>
      <w:proofErr w:type="gramStart"/>
      <w:r w:rsidRPr="00EA4594">
        <w:rPr>
          <w:rFonts w:ascii="標楷體" w:eastAsia="標楷體" w:hAnsi="標楷體" w:hint="eastAsia"/>
          <w:color w:val="000000" w:themeColor="text1"/>
          <w:szCs w:val="24"/>
        </w:rPr>
        <w:t>惟對餘戶</w:t>
      </w:r>
      <w:proofErr w:type="gramEnd"/>
      <w:r w:rsidRPr="00EA4594">
        <w:rPr>
          <w:rFonts w:ascii="標楷體" w:eastAsia="標楷體" w:hAnsi="標楷體" w:hint="eastAsia"/>
          <w:color w:val="000000" w:themeColor="text1"/>
          <w:szCs w:val="24"/>
        </w:rPr>
        <w:t>銷售不如預期之確切原因未能</w:t>
      </w:r>
      <w:proofErr w:type="gramStart"/>
      <w:r w:rsidRPr="00EA4594">
        <w:rPr>
          <w:rFonts w:ascii="標楷體" w:eastAsia="標楷體" w:hAnsi="標楷體" w:hint="eastAsia"/>
          <w:color w:val="000000" w:themeColor="text1"/>
          <w:szCs w:val="24"/>
        </w:rPr>
        <w:t>覈</w:t>
      </w:r>
      <w:proofErr w:type="gramEnd"/>
      <w:r w:rsidRPr="00EA4594">
        <w:rPr>
          <w:rFonts w:ascii="標楷體" w:eastAsia="標楷體" w:hAnsi="標楷體" w:hint="eastAsia"/>
          <w:color w:val="000000" w:themeColor="text1"/>
          <w:szCs w:val="24"/>
        </w:rPr>
        <w:t>實檢討，據以</w:t>
      </w:r>
      <w:proofErr w:type="gramStart"/>
      <w:r w:rsidRPr="00EA4594">
        <w:rPr>
          <w:rFonts w:ascii="標楷體" w:eastAsia="標楷體" w:hAnsi="標楷體" w:hint="eastAsia"/>
          <w:color w:val="000000" w:themeColor="text1"/>
          <w:szCs w:val="24"/>
        </w:rPr>
        <w:t>研</w:t>
      </w:r>
      <w:proofErr w:type="gramEnd"/>
      <w:r w:rsidRPr="00EA4594">
        <w:rPr>
          <w:rFonts w:ascii="標楷體" w:eastAsia="標楷體" w:hAnsi="標楷體" w:hint="eastAsia"/>
          <w:color w:val="000000" w:themeColor="text1"/>
          <w:szCs w:val="24"/>
        </w:rPr>
        <w:t>擬提升銷售之具體對策，復未積極執行餘戶標租作業，及</w:t>
      </w:r>
      <w:proofErr w:type="gramStart"/>
      <w:r w:rsidRPr="00EA4594">
        <w:rPr>
          <w:rFonts w:ascii="標楷體" w:eastAsia="標楷體" w:hAnsi="標楷體" w:hint="eastAsia"/>
          <w:color w:val="000000" w:themeColor="text1"/>
          <w:szCs w:val="24"/>
        </w:rPr>
        <w:t>賡</w:t>
      </w:r>
      <w:proofErr w:type="gramEnd"/>
      <w:r w:rsidRPr="00EA4594">
        <w:rPr>
          <w:rFonts w:ascii="標楷體" w:eastAsia="標楷體" w:hAnsi="標楷體" w:hint="eastAsia"/>
          <w:color w:val="000000" w:themeColor="text1"/>
          <w:szCs w:val="24"/>
        </w:rPr>
        <w:t>續規劃餘戶價售現役官兵與</w:t>
      </w:r>
      <w:proofErr w:type="gramStart"/>
      <w:r w:rsidRPr="00EA4594">
        <w:rPr>
          <w:rFonts w:ascii="標楷體" w:eastAsia="標楷體" w:hAnsi="標楷體" w:hint="eastAsia"/>
          <w:color w:val="000000" w:themeColor="text1"/>
          <w:szCs w:val="24"/>
        </w:rPr>
        <w:t>妥謀慈仁</w:t>
      </w:r>
      <w:proofErr w:type="gramEnd"/>
      <w:r w:rsidRPr="00EA4594">
        <w:rPr>
          <w:rFonts w:ascii="標楷體" w:eastAsia="標楷體" w:hAnsi="標楷體" w:hint="eastAsia"/>
          <w:color w:val="000000" w:themeColor="text1"/>
          <w:szCs w:val="24"/>
        </w:rPr>
        <w:t>八村原</w:t>
      </w:r>
      <w:proofErr w:type="gramStart"/>
      <w:r w:rsidRPr="00EA4594">
        <w:rPr>
          <w:rFonts w:ascii="標楷體" w:eastAsia="標楷體" w:hAnsi="標楷體" w:hint="eastAsia"/>
          <w:color w:val="000000" w:themeColor="text1"/>
          <w:szCs w:val="24"/>
        </w:rPr>
        <w:t>眷</w:t>
      </w:r>
      <w:proofErr w:type="gramEnd"/>
      <w:r w:rsidRPr="00EA4594">
        <w:rPr>
          <w:rFonts w:ascii="標楷體" w:eastAsia="標楷體" w:hAnsi="標楷體" w:hint="eastAsia"/>
          <w:color w:val="000000" w:themeColor="text1"/>
          <w:szCs w:val="24"/>
        </w:rPr>
        <w:t>戶之處置方式，致</w:t>
      </w:r>
      <w:proofErr w:type="gramStart"/>
      <w:r w:rsidRPr="00EA4594">
        <w:rPr>
          <w:rFonts w:ascii="標楷體" w:eastAsia="標楷體" w:hAnsi="標楷體" w:hint="eastAsia"/>
          <w:color w:val="000000" w:themeColor="text1"/>
          <w:szCs w:val="24"/>
        </w:rPr>
        <w:t>眷</w:t>
      </w:r>
      <w:proofErr w:type="gramEnd"/>
      <w:r w:rsidRPr="00EA4594">
        <w:rPr>
          <w:rFonts w:ascii="標楷體" w:eastAsia="標楷體" w:hAnsi="標楷體" w:hint="eastAsia"/>
          <w:color w:val="000000" w:themeColor="text1"/>
          <w:szCs w:val="24"/>
        </w:rPr>
        <w:t>改保留戶及部分待處理餘</w:t>
      </w:r>
      <w:proofErr w:type="gramStart"/>
      <w:r w:rsidRPr="00EA4594">
        <w:rPr>
          <w:rFonts w:ascii="標楷體" w:eastAsia="標楷體" w:hAnsi="標楷體" w:hint="eastAsia"/>
          <w:color w:val="000000" w:themeColor="text1"/>
          <w:szCs w:val="24"/>
        </w:rPr>
        <w:t>戶長期空置</w:t>
      </w:r>
      <w:proofErr w:type="gramEnd"/>
      <w:r w:rsidRPr="00EA4594">
        <w:rPr>
          <w:rFonts w:ascii="標楷體" w:eastAsia="標楷體" w:hAnsi="標楷體" w:hint="eastAsia"/>
          <w:color w:val="000000" w:themeColor="text1"/>
          <w:szCs w:val="24"/>
        </w:rPr>
        <w:t>無法去化及運用，每年除須負擔管理</w:t>
      </w:r>
      <w:proofErr w:type="gramStart"/>
      <w:r w:rsidRPr="00EA4594">
        <w:rPr>
          <w:rFonts w:ascii="標楷體" w:eastAsia="標楷體" w:hAnsi="標楷體" w:hint="eastAsia"/>
          <w:color w:val="000000" w:themeColor="text1"/>
          <w:szCs w:val="24"/>
        </w:rPr>
        <w:t>維護費款且</w:t>
      </w:r>
      <w:proofErr w:type="gramEnd"/>
      <w:r w:rsidRPr="00EA4594">
        <w:rPr>
          <w:rFonts w:ascii="標楷體" w:eastAsia="標楷體" w:hAnsi="標楷體" w:hint="eastAsia"/>
          <w:color w:val="000000" w:themeColor="text1"/>
          <w:szCs w:val="24"/>
        </w:rPr>
        <w:t>易影響屋</w:t>
      </w:r>
      <w:proofErr w:type="gramStart"/>
      <w:r w:rsidRPr="00EA4594">
        <w:rPr>
          <w:rFonts w:ascii="標楷體" w:eastAsia="標楷體" w:hAnsi="標楷體" w:hint="eastAsia"/>
          <w:color w:val="000000" w:themeColor="text1"/>
          <w:szCs w:val="24"/>
        </w:rPr>
        <w:t>況</w:t>
      </w:r>
      <w:proofErr w:type="gramEnd"/>
      <w:r w:rsidRPr="00EA4594">
        <w:rPr>
          <w:rFonts w:ascii="標楷體" w:eastAsia="標楷體" w:hAnsi="標楷體" w:hint="eastAsia"/>
          <w:color w:val="000000" w:themeColor="text1"/>
          <w:szCs w:val="24"/>
        </w:rPr>
        <w:t>品質。允宜督促國防部</w:t>
      </w:r>
      <w:proofErr w:type="gramStart"/>
      <w:r w:rsidRPr="00EA4594">
        <w:rPr>
          <w:rFonts w:ascii="標楷體" w:eastAsia="標楷體" w:hAnsi="標楷體" w:hint="eastAsia"/>
          <w:color w:val="000000" w:themeColor="text1"/>
          <w:szCs w:val="24"/>
        </w:rPr>
        <w:t>研謀善策</w:t>
      </w:r>
      <w:proofErr w:type="gramEnd"/>
      <w:r w:rsidRPr="00EA4594">
        <w:rPr>
          <w:rFonts w:ascii="標楷體" w:eastAsia="標楷體" w:hAnsi="標楷體" w:hint="eastAsia"/>
          <w:color w:val="000000" w:themeColor="text1"/>
          <w:szCs w:val="24"/>
        </w:rPr>
        <w:t>並積極辦理，降低支出，並擴大照顧有</w:t>
      </w:r>
      <w:proofErr w:type="gramStart"/>
      <w:r w:rsidRPr="00EA4594">
        <w:rPr>
          <w:rFonts w:ascii="標楷體" w:eastAsia="標楷體" w:hAnsi="標楷體" w:hint="eastAsia"/>
          <w:color w:val="000000" w:themeColor="text1"/>
          <w:szCs w:val="24"/>
        </w:rPr>
        <w:t>眷無房</w:t>
      </w:r>
      <w:proofErr w:type="gramEnd"/>
      <w:r w:rsidRPr="00EA4594">
        <w:rPr>
          <w:rFonts w:ascii="標楷體" w:eastAsia="標楷體" w:hAnsi="標楷體" w:hint="eastAsia"/>
          <w:color w:val="000000" w:themeColor="text1"/>
          <w:szCs w:val="24"/>
        </w:rPr>
        <w:t>之現役官兵，以有效</w:t>
      </w:r>
      <w:proofErr w:type="gramStart"/>
      <w:r w:rsidRPr="00EA4594">
        <w:rPr>
          <w:rFonts w:ascii="標楷體" w:eastAsia="標楷體" w:hAnsi="標楷體" w:hint="eastAsia"/>
          <w:color w:val="000000" w:themeColor="text1"/>
          <w:szCs w:val="24"/>
        </w:rPr>
        <w:t>去化餘戶</w:t>
      </w:r>
      <w:proofErr w:type="gramEnd"/>
      <w:r w:rsidRPr="00EA4594">
        <w:rPr>
          <w:rFonts w:ascii="標楷體" w:eastAsia="標楷體" w:hAnsi="標楷體" w:hint="eastAsia"/>
          <w:color w:val="000000" w:themeColor="text1"/>
          <w:szCs w:val="24"/>
        </w:rPr>
        <w:t>。</w:t>
      </w:r>
    </w:p>
    <w:p w14:paraId="1BAB5CC3" w14:textId="0021C986" w:rsidR="00E8604E" w:rsidRPr="002764DD" w:rsidRDefault="00E8604E" w:rsidP="00CA55FD">
      <w:pPr>
        <w:pStyle w:val="2"/>
        <w:overflowPunct w:val="0"/>
        <w:spacing w:beforeLines="30" w:before="108" w:afterLines="30" w:after="108" w:line="42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（七）　</w:t>
      </w:r>
      <w:r w:rsidR="00521F5B" w:rsidRPr="00484E64">
        <w:rPr>
          <w:rFonts w:hAnsi="標楷體" w:hint="eastAsia"/>
          <w:b/>
          <w:sz w:val="28"/>
          <w:szCs w:val="28"/>
        </w:rPr>
        <w:t>政府為因應新</w:t>
      </w:r>
      <w:proofErr w:type="gramStart"/>
      <w:r w:rsidR="00521F5B" w:rsidRPr="00484E64">
        <w:rPr>
          <w:rFonts w:hAnsi="標楷體" w:hint="eastAsia"/>
          <w:b/>
          <w:sz w:val="28"/>
          <w:szCs w:val="28"/>
        </w:rPr>
        <w:t>型態資安攻擊</w:t>
      </w:r>
      <w:proofErr w:type="gramEnd"/>
      <w:r w:rsidR="00521F5B" w:rsidRPr="00484E64">
        <w:rPr>
          <w:rFonts w:hAnsi="標楷體" w:hint="eastAsia"/>
          <w:b/>
          <w:sz w:val="28"/>
          <w:szCs w:val="28"/>
        </w:rPr>
        <w:t>與威脅，推動機關導入零信任網路驗證機制，惟尚無廠商通過政府信任推斷驗證，且於試行後並無拓展導入規劃，未能實質</w:t>
      </w:r>
      <w:proofErr w:type="gramStart"/>
      <w:r w:rsidR="00521F5B" w:rsidRPr="00484E64">
        <w:rPr>
          <w:rFonts w:hAnsi="標楷體" w:hint="eastAsia"/>
          <w:b/>
          <w:sz w:val="28"/>
          <w:szCs w:val="28"/>
        </w:rPr>
        <w:t>提升資安防禦</w:t>
      </w:r>
      <w:proofErr w:type="gramEnd"/>
      <w:r w:rsidR="00521F5B" w:rsidRPr="00484E64">
        <w:rPr>
          <w:rFonts w:hAnsi="標楷體" w:hint="eastAsia"/>
          <w:b/>
          <w:sz w:val="28"/>
          <w:szCs w:val="28"/>
        </w:rPr>
        <w:t>能量</w:t>
      </w:r>
      <w:r w:rsidR="00DA70F9">
        <w:rPr>
          <w:rFonts w:hAnsi="標楷體" w:hint="eastAsia"/>
          <w:b/>
          <w:sz w:val="28"/>
          <w:szCs w:val="28"/>
        </w:rPr>
        <w:t>，</w:t>
      </w:r>
      <w:r w:rsidR="00521F5B" w:rsidRPr="00484E64">
        <w:rPr>
          <w:rFonts w:hAnsi="標楷體" w:hint="eastAsia"/>
          <w:b/>
          <w:sz w:val="28"/>
          <w:szCs w:val="28"/>
        </w:rPr>
        <w:t>允宜督促積極輔導廠商取得提供政府</w:t>
      </w:r>
      <w:proofErr w:type="gramStart"/>
      <w:r w:rsidR="00521F5B" w:rsidRPr="00484E64">
        <w:rPr>
          <w:rFonts w:hAnsi="標楷體" w:hint="eastAsia"/>
          <w:b/>
          <w:sz w:val="28"/>
          <w:szCs w:val="28"/>
        </w:rPr>
        <w:t>相關資安服務</w:t>
      </w:r>
      <w:proofErr w:type="gramEnd"/>
      <w:r w:rsidR="00521F5B" w:rsidRPr="00484E64">
        <w:rPr>
          <w:rFonts w:hAnsi="標楷體" w:hint="eastAsia"/>
          <w:b/>
          <w:sz w:val="28"/>
          <w:szCs w:val="28"/>
        </w:rPr>
        <w:t>資格，並依據各機關試行導入零信任驗證機制成效，規劃後續推動計畫及預算資源配置，以</w:t>
      </w:r>
      <w:proofErr w:type="gramStart"/>
      <w:r w:rsidR="00521F5B" w:rsidRPr="00484E64">
        <w:rPr>
          <w:rFonts w:hAnsi="標楷體" w:hint="eastAsia"/>
          <w:b/>
          <w:sz w:val="28"/>
          <w:szCs w:val="28"/>
        </w:rPr>
        <w:t>增進資安政策</w:t>
      </w:r>
      <w:proofErr w:type="gramEnd"/>
      <w:r w:rsidR="00521F5B" w:rsidRPr="00484E64">
        <w:rPr>
          <w:rFonts w:hAnsi="標楷體" w:hint="eastAsia"/>
          <w:b/>
          <w:sz w:val="28"/>
          <w:szCs w:val="28"/>
        </w:rPr>
        <w:t>推展效能，</w:t>
      </w:r>
      <w:proofErr w:type="gramStart"/>
      <w:r w:rsidR="00521F5B" w:rsidRPr="00484E64">
        <w:rPr>
          <w:rFonts w:hAnsi="標楷體" w:hint="eastAsia"/>
          <w:b/>
          <w:sz w:val="28"/>
          <w:szCs w:val="28"/>
        </w:rPr>
        <w:t>降低資安風險</w:t>
      </w:r>
      <w:proofErr w:type="gramEnd"/>
      <w:r w:rsidR="00521F5B" w:rsidRPr="00484E64">
        <w:rPr>
          <w:rFonts w:hAnsi="標楷體" w:hint="eastAsia"/>
          <w:b/>
          <w:sz w:val="28"/>
          <w:szCs w:val="28"/>
        </w:rPr>
        <w:t>及其衍生之財務損失或支出。</w:t>
      </w:r>
    </w:p>
    <w:p w14:paraId="18125612" w14:textId="12DE6744" w:rsidR="00E8604E" w:rsidRPr="002764DD" w:rsidRDefault="00521F5B" w:rsidP="00CA55FD">
      <w:pPr>
        <w:pStyle w:val="a7"/>
        <w:overflowPunct w:val="0"/>
        <w:spacing w:line="44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政府為因應新</w:t>
      </w:r>
      <w:proofErr w:type="gramStart"/>
      <w:r w:rsidRPr="00484E64">
        <w:rPr>
          <w:rFonts w:ascii="標楷體" w:eastAsia="標楷體" w:hAnsi="標楷體" w:hint="eastAsia"/>
          <w:szCs w:val="24"/>
        </w:rPr>
        <w:t>型態資安攻擊</w:t>
      </w:r>
      <w:proofErr w:type="gramEnd"/>
      <w:r w:rsidRPr="00484E64">
        <w:rPr>
          <w:rFonts w:ascii="標楷體" w:eastAsia="標楷體" w:hAnsi="標楷體" w:hint="eastAsia"/>
          <w:szCs w:val="24"/>
        </w:rPr>
        <w:t>與威脅，於第六期</w:t>
      </w:r>
      <w:proofErr w:type="gramStart"/>
      <w:r w:rsidRPr="00484E64">
        <w:rPr>
          <w:rFonts w:ascii="標楷體" w:eastAsia="標楷體" w:hAnsi="標楷體" w:hint="eastAsia"/>
          <w:szCs w:val="24"/>
        </w:rPr>
        <w:t>國家資安發展</w:t>
      </w:r>
      <w:proofErr w:type="gramEnd"/>
      <w:r w:rsidRPr="00484E64">
        <w:rPr>
          <w:rFonts w:ascii="標楷體" w:eastAsia="標楷體" w:hAnsi="標楷體" w:hint="eastAsia"/>
          <w:szCs w:val="24"/>
        </w:rPr>
        <w:t>方案（110至113年度）規劃發展政府零信任</w:t>
      </w:r>
      <w:proofErr w:type="gramStart"/>
      <w:r w:rsidRPr="00484E64">
        <w:rPr>
          <w:rFonts w:ascii="標楷體" w:eastAsia="標楷體" w:hAnsi="標楷體" w:hint="eastAsia"/>
          <w:szCs w:val="24"/>
        </w:rPr>
        <w:t>架構資安防護</w:t>
      </w:r>
      <w:proofErr w:type="gramEnd"/>
      <w:r w:rsidRPr="00484E64">
        <w:rPr>
          <w:rFonts w:ascii="標楷體" w:eastAsia="標楷體" w:hAnsi="標楷體" w:hint="eastAsia"/>
          <w:szCs w:val="24"/>
        </w:rPr>
        <w:t>環境，以完善政府網際服務網防禦深廣度。</w:t>
      </w:r>
      <w:r w:rsidRPr="00484E64">
        <w:rPr>
          <w:rFonts w:ascii="標楷體" w:eastAsia="標楷體" w:hAnsi="標楷體" w:hint="eastAsia"/>
          <w:spacing w:val="-2"/>
          <w:szCs w:val="24"/>
        </w:rPr>
        <w:t>復為</w:t>
      </w:r>
      <w:proofErr w:type="gramStart"/>
      <w:r w:rsidRPr="00484E64">
        <w:rPr>
          <w:rFonts w:ascii="標楷體" w:eastAsia="標楷體" w:hAnsi="標楷體" w:hint="eastAsia"/>
          <w:spacing w:val="-2"/>
          <w:szCs w:val="24"/>
        </w:rPr>
        <w:t>加速資安</w:t>
      </w:r>
      <w:proofErr w:type="gramEnd"/>
      <w:r w:rsidRPr="00484E64">
        <w:rPr>
          <w:rFonts w:ascii="標楷體" w:eastAsia="標楷體" w:hAnsi="標楷體" w:hint="eastAsia"/>
          <w:spacing w:val="-2"/>
          <w:szCs w:val="24"/>
        </w:rPr>
        <w:t>A級機關導入零信任身分驗證制度，由數位</w:t>
      </w:r>
      <w:proofErr w:type="gramStart"/>
      <w:r w:rsidRPr="00484E64">
        <w:rPr>
          <w:rFonts w:ascii="標楷體" w:eastAsia="標楷體" w:hAnsi="標楷體" w:hint="eastAsia"/>
          <w:spacing w:val="-2"/>
          <w:szCs w:val="24"/>
        </w:rPr>
        <w:t>發展部於</w:t>
      </w:r>
      <w:proofErr w:type="gramEnd"/>
      <w:r w:rsidRPr="00484E64">
        <w:rPr>
          <w:rFonts w:ascii="標楷體" w:eastAsia="標楷體" w:hAnsi="標楷體" w:hint="eastAsia"/>
          <w:spacing w:val="-2"/>
          <w:szCs w:val="24"/>
        </w:rPr>
        <w:t>112及</w:t>
      </w:r>
      <w:proofErr w:type="gramStart"/>
      <w:r w:rsidRPr="00484E64">
        <w:rPr>
          <w:rFonts w:ascii="標楷體" w:eastAsia="標楷體" w:hAnsi="標楷體" w:hint="eastAsia"/>
          <w:spacing w:val="-2"/>
          <w:szCs w:val="24"/>
        </w:rPr>
        <w:t>113</w:t>
      </w:r>
      <w:proofErr w:type="gramEnd"/>
      <w:r w:rsidRPr="00484E64">
        <w:rPr>
          <w:rFonts w:ascii="標楷體" w:eastAsia="標楷體" w:hAnsi="標楷體" w:hint="eastAsia"/>
          <w:spacing w:val="-2"/>
          <w:szCs w:val="24"/>
        </w:rPr>
        <w:t>年度編列預算5千餘萬元提供機關運作前開機制所需之軟體，並持續鼓勵國內廠商投入零信任產品開發，以加速機關完成相關作業。有關公務機關導入零信任網路驗證機制執行情形，核有下列事項：</w:t>
      </w:r>
    </w:p>
    <w:p w14:paraId="127CB0FB" w14:textId="39F714B7" w:rsidR="00E8604E" w:rsidRPr="002764DD" w:rsidRDefault="00E8604E" w:rsidP="00CA55FD">
      <w:pPr>
        <w:overflowPunct w:val="0"/>
        <w:spacing w:line="44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B211E6" w:rsidRPr="00484E64">
        <w:rPr>
          <w:rFonts w:ascii="標楷體" w:eastAsia="標楷體" w:hAnsi="標楷體" w:hint="eastAsia"/>
          <w:b/>
          <w:szCs w:val="24"/>
        </w:rPr>
        <w:t>部分機關已完成零信任架構導入身分及設備鑑別機制，惟尚無廠商通過信任推斷驗證，致</w:t>
      </w:r>
      <w:proofErr w:type="gramStart"/>
      <w:r w:rsidR="00B211E6" w:rsidRPr="00484E64">
        <w:rPr>
          <w:rFonts w:ascii="標楷體" w:eastAsia="標楷體" w:hAnsi="標楷體" w:hint="eastAsia"/>
          <w:b/>
          <w:szCs w:val="24"/>
        </w:rPr>
        <w:t>無商源可</w:t>
      </w:r>
      <w:proofErr w:type="gramEnd"/>
      <w:r w:rsidR="00B211E6" w:rsidRPr="00484E64">
        <w:rPr>
          <w:rFonts w:ascii="標楷體" w:eastAsia="標楷體" w:hAnsi="標楷體" w:hint="eastAsia"/>
          <w:b/>
          <w:szCs w:val="24"/>
        </w:rPr>
        <w:t>提供</w:t>
      </w:r>
      <w:proofErr w:type="gramStart"/>
      <w:r w:rsidR="00B211E6" w:rsidRPr="00484E64">
        <w:rPr>
          <w:rFonts w:ascii="標楷體" w:eastAsia="標楷體" w:hAnsi="標楷體" w:hint="eastAsia"/>
          <w:b/>
          <w:szCs w:val="24"/>
        </w:rPr>
        <w:t>相關資安服務</w:t>
      </w:r>
      <w:proofErr w:type="gramEnd"/>
      <w:r w:rsidR="00B211E6" w:rsidRPr="00484E64">
        <w:rPr>
          <w:rFonts w:ascii="標楷體" w:eastAsia="標楷體" w:hAnsi="標楷體" w:hint="eastAsia"/>
          <w:b/>
          <w:szCs w:val="24"/>
        </w:rPr>
        <w:t>，影響零</w:t>
      </w:r>
      <w:proofErr w:type="gramStart"/>
      <w:r w:rsidR="00B211E6" w:rsidRPr="00484E64">
        <w:rPr>
          <w:rFonts w:ascii="標楷體" w:eastAsia="標楷體" w:hAnsi="標楷體" w:hint="eastAsia"/>
          <w:b/>
          <w:szCs w:val="24"/>
        </w:rPr>
        <w:t>信任資安政策</w:t>
      </w:r>
      <w:proofErr w:type="gramEnd"/>
      <w:r w:rsidR="00B211E6" w:rsidRPr="00484E64">
        <w:rPr>
          <w:rFonts w:ascii="標楷體" w:eastAsia="標楷體" w:hAnsi="標楷體" w:hint="eastAsia"/>
          <w:b/>
          <w:szCs w:val="24"/>
        </w:rPr>
        <w:t>推展：</w:t>
      </w:r>
      <w:r w:rsidR="00B211E6" w:rsidRPr="00484E64">
        <w:rPr>
          <w:rFonts w:ascii="標楷體" w:eastAsia="標楷體" w:hAnsi="標楷體" w:hint="eastAsia"/>
          <w:szCs w:val="24"/>
        </w:rPr>
        <w:t>按政府推動零信任架構，包含身分鑑別、設備鑑別及信任推斷3大核心機制，自</w:t>
      </w:r>
      <w:proofErr w:type="gramStart"/>
      <w:r w:rsidR="00B211E6" w:rsidRPr="00484E64">
        <w:rPr>
          <w:rFonts w:ascii="標楷體" w:eastAsia="標楷體" w:hAnsi="標楷體" w:hint="eastAsia"/>
          <w:szCs w:val="24"/>
        </w:rPr>
        <w:t>111</w:t>
      </w:r>
      <w:proofErr w:type="gramEnd"/>
      <w:r w:rsidR="00B211E6" w:rsidRPr="00484E64">
        <w:rPr>
          <w:rFonts w:ascii="標楷體" w:eastAsia="標楷體" w:hAnsi="標楷體" w:hint="eastAsia"/>
          <w:szCs w:val="24"/>
        </w:rPr>
        <w:t>年度起擇選2個試行機關逐年導入零信任網路核心機制，後續並規劃優先</w:t>
      </w:r>
      <w:proofErr w:type="gramStart"/>
      <w:r w:rsidR="00B211E6" w:rsidRPr="00484E64">
        <w:rPr>
          <w:rFonts w:ascii="標楷體" w:eastAsia="標楷體" w:hAnsi="標楷體" w:hint="eastAsia"/>
          <w:szCs w:val="24"/>
        </w:rPr>
        <w:t>推動資安責任</w:t>
      </w:r>
      <w:proofErr w:type="gramEnd"/>
      <w:r w:rsidR="00B211E6" w:rsidRPr="00484E64">
        <w:rPr>
          <w:rFonts w:ascii="標楷體" w:eastAsia="標楷體" w:hAnsi="標楷體" w:hint="eastAsia"/>
          <w:szCs w:val="24"/>
        </w:rPr>
        <w:t>等級A級公務機關導入，截至113年10月底止，數位發展</w:t>
      </w:r>
      <w:proofErr w:type="gramStart"/>
      <w:r w:rsidR="00B211E6" w:rsidRPr="00484E64">
        <w:rPr>
          <w:rFonts w:ascii="標楷體" w:eastAsia="標楷體" w:hAnsi="標楷體" w:hint="eastAsia"/>
          <w:szCs w:val="24"/>
        </w:rPr>
        <w:t>部資通安全署</w:t>
      </w:r>
      <w:proofErr w:type="gramEnd"/>
      <w:r w:rsidR="00B211E6" w:rsidRPr="00484E64">
        <w:rPr>
          <w:rFonts w:ascii="標楷體" w:eastAsia="標楷體" w:hAnsi="標楷體" w:hint="eastAsia"/>
          <w:szCs w:val="24"/>
        </w:rPr>
        <w:t>已責由行政法人國家資通安全研究院協助</w:t>
      </w:r>
      <w:proofErr w:type="gramStart"/>
      <w:r w:rsidR="00B211E6" w:rsidRPr="00484E64">
        <w:rPr>
          <w:rFonts w:ascii="標楷體" w:eastAsia="標楷體" w:hAnsi="標楷體" w:hint="eastAsia"/>
          <w:szCs w:val="24"/>
        </w:rPr>
        <w:t>文化部及國軍</w:t>
      </w:r>
      <w:proofErr w:type="gramEnd"/>
      <w:r w:rsidR="00B211E6" w:rsidRPr="00484E64">
        <w:rPr>
          <w:rFonts w:ascii="標楷體" w:eastAsia="標楷體" w:hAnsi="標楷體" w:hint="eastAsia"/>
          <w:szCs w:val="24"/>
        </w:rPr>
        <w:t>退除役官兵輔導委員會完成導入身分鑑別及設備鑑別機制。依</w:t>
      </w:r>
      <w:r w:rsidR="00B211E6" w:rsidRPr="00B334CE">
        <w:rPr>
          <w:rFonts w:ascii="標楷體" w:eastAsia="標楷體" w:hAnsi="標楷體" w:hint="eastAsia"/>
          <w:szCs w:val="24"/>
        </w:rPr>
        <w:t>行政法人國家資通安全研究院</w:t>
      </w:r>
      <w:r w:rsidR="00B211E6" w:rsidRPr="00484E64">
        <w:rPr>
          <w:rFonts w:ascii="標楷體" w:eastAsia="標楷體" w:hAnsi="標楷體" w:hint="eastAsia"/>
          <w:szCs w:val="24"/>
        </w:rPr>
        <w:t>網站公告，截至113年10月底止，通過政府零信任架構身分鑑別功能符合性之廠商計有15家，通過身分與設備鑑別功能符合性之廠商計有2家，惟尚無廠商通過信任推斷驗證，致</w:t>
      </w:r>
      <w:proofErr w:type="gramStart"/>
      <w:r w:rsidR="00B211E6" w:rsidRPr="00484E64">
        <w:rPr>
          <w:rFonts w:ascii="標楷體" w:eastAsia="標楷體" w:hAnsi="標楷體" w:hint="eastAsia"/>
          <w:szCs w:val="24"/>
        </w:rPr>
        <w:t>無商源可</w:t>
      </w:r>
      <w:proofErr w:type="gramEnd"/>
      <w:r w:rsidR="00B211E6" w:rsidRPr="00484E64">
        <w:rPr>
          <w:rFonts w:ascii="標楷體" w:eastAsia="標楷體" w:hAnsi="標楷體" w:hint="eastAsia"/>
          <w:szCs w:val="24"/>
        </w:rPr>
        <w:t>提供</w:t>
      </w:r>
      <w:proofErr w:type="gramStart"/>
      <w:r w:rsidR="00B211E6" w:rsidRPr="00484E64">
        <w:rPr>
          <w:rFonts w:ascii="標楷體" w:eastAsia="標楷體" w:hAnsi="標楷體" w:hint="eastAsia"/>
          <w:szCs w:val="24"/>
        </w:rPr>
        <w:t>相關資安服務</w:t>
      </w:r>
      <w:proofErr w:type="gramEnd"/>
      <w:r w:rsidR="00B211E6" w:rsidRPr="00484E64">
        <w:rPr>
          <w:rFonts w:ascii="標楷體" w:eastAsia="標楷體" w:hAnsi="標楷體" w:hint="eastAsia"/>
          <w:szCs w:val="24"/>
        </w:rPr>
        <w:t>，影響零</w:t>
      </w:r>
      <w:proofErr w:type="gramStart"/>
      <w:r w:rsidR="00B211E6" w:rsidRPr="00484E64">
        <w:rPr>
          <w:rFonts w:ascii="標楷體" w:eastAsia="標楷體" w:hAnsi="標楷體" w:hint="eastAsia"/>
          <w:szCs w:val="24"/>
        </w:rPr>
        <w:t>信任資安政策</w:t>
      </w:r>
      <w:proofErr w:type="gramEnd"/>
      <w:r w:rsidR="00B211E6" w:rsidRPr="00484E64">
        <w:rPr>
          <w:rFonts w:ascii="標楷體" w:eastAsia="標楷體" w:hAnsi="標楷體" w:hint="eastAsia"/>
          <w:szCs w:val="24"/>
        </w:rPr>
        <w:t>推展，尚待積極輔導廠商通過政府相關驗證，擴展機關</w:t>
      </w:r>
      <w:proofErr w:type="gramStart"/>
      <w:r w:rsidR="00B211E6" w:rsidRPr="00484E64">
        <w:rPr>
          <w:rFonts w:ascii="標楷體" w:eastAsia="標楷體" w:hAnsi="標楷體" w:hint="eastAsia"/>
          <w:szCs w:val="24"/>
        </w:rPr>
        <w:t>資安服務商源</w:t>
      </w:r>
      <w:proofErr w:type="gramEnd"/>
      <w:r w:rsidR="00B211E6" w:rsidRPr="00484E64">
        <w:rPr>
          <w:rFonts w:ascii="標楷體" w:eastAsia="標楷體" w:hAnsi="標楷體" w:hint="eastAsia"/>
          <w:szCs w:val="24"/>
        </w:rPr>
        <w:t>，以</w:t>
      </w:r>
      <w:proofErr w:type="gramStart"/>
      <w:r w:rsidR="00B211E6" w:rsidRPr="00484E64">
        <w:rPr>
          <w:rFonts w:ascii="標楷體" w:eastAsia="標楷體" w:hAnsi="標楷體" w:hint="eastAsia"/>
          <w:szCs w:val="24"/>
        </w:rPr>
        <w:t>利資安</w:t>
      </w:r>
      <w:proofErr w:type="gramEnd"/>
      <w:r w:rsidR="00B211E6" w:rsidRPr="00484E64">
        <w:rPr>
          <w:rFonts w:ascii="標楷體" w:eastAsia="標楷體" w:hAnsi="標楷體" w:hint="eastAsia"/>
          <w:szCs w:val="24"/>
        </w:rPr>
        <w:t>政策推展。</w:t>
      </w:r>
    </w:p>
    <w:p w14:paraId="549E48C0" w14:textId="5B1E57CC" w:rsidR="00E8604E" w:rsidRDefault="00E8604E" w:rsidP="00CA55FD">
      <w:pPr>
        <w:overflowPunct w:val="0"/>
        <w:spacing w:line="446"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lastRenderedPageBreak/>
        <w:t xml:space="preserve">2.　</w:t>
      </w:r>
      <w:r w:rsidR="004772F7" w:rsidRPr="00484E64">
        <w:rPr>
          <w:rFonts w:ascii="標楷體" w:eastAsia="標楷體" w:hAnsi="標楷體" w:hint="eastAsia"/>
          <w:b/>
          <w:szCs w:val="24"/>
        </w:rPr>
        <w:t>加速</w:t>
      </w:r>
      <w:proofErr w:type="gramStart"/>
      <w:r w:rsidR="004772F7" w:rsidRPr="00484E64">
        <w:rPr>
          <w:rFonts w:ascii="標楷體" w:eastAsia="標楷體" w:hAnsi="標楷體" w:hint="eastAsia"/>
          <w:b/>
          <w:szCs w:val="24"/>
        </w:rPr>
        <w:t>推動資安</w:t>
      </w:r>
      <w:proofErr w:type="gramEnd"/>
      <w:r w:rsidR="004772F7" w:rsidRPr="00484E64">
        <w:rPr>
          <w:rFonts w:ascii="標楷體" w:eastAsia="標楷體" w:hAnsi="標楷體" w:hint="eastAsia"/>
          <w:b/>
          <w:szCs w:val="24"/>
        </w:rPr>
        <w:t>A級公務機關試行導入零信任網路驗證機制，惟部分機關於試行後並無拓展導入規劃，未能實質提升</w:t>
      </w:r>
      <w:proofErr w:type="gramStart"/>
      <w:r w:rsidR="004772F7" w:rsidRPr="00484E64">
        <w:rPr>
          <w:rFonts w:ascii="標楷體" w:eastAsia="標楷體" w:hAnsi="標楷體" w:hint="eastAsia"/>
          <w:b/>
          <w:szCs w:val="24"/>
        </w:rPr>
        <w:t>其資安防禦</w:t>
      </w:r>
      <w:proofErr w:type="gramEnd"/>
      <w:r w:rsidR="004772F7" w:rsidRPr="00484E64">
        <w:rPr>
          <w:rFonts w:ascii="標楷體" w:eastAsia="標楷體" w:hAnsi="標楷體" w:hint="eastAsia"/>
          <w:b/>
          <w:szCs w:val="24"/>
        </w:rPr>
        <w:t>能量：</w:t>
      </w:r>
      <w:r w:rsidR="004772F7" w:rsidRPr="00484E64">
        <w:rPr>
          <w:rFonts w:ascii="標楷體" w:eastAsia="標楷體" w:hAnsi="標楷體" w:hint="eastAsia"/>
          <w:szCs w:val="24"/>
        </w:rPr>
        <w:t>數位</w:t>
      </w:r>
      <w:proofErr w:type="gramStart"/>
      <w:r w:rsidR="004772F7" w:rsidRPr="00484E64">
        <w:rPr>
          <w:rFonts w:ascii="標楷體" w:eastAsia="標楷體" w:hAnsi="標楷體" w:hint="eastAsia"/>
          <w:szCs w:val="24"/>
        </w:rPr>
        <w:t>發展部為落實</w:t>
      </w:r>
      <w:proofErr w:type="gramEnd"/>
      <w:r w:rsidR="004772F7" w:rsidRPr="00484E64">
        <w:rPr>
          <w:rFonts w:ascii="標楷體" w:eastAsia="標楷體" w:hAnsi="標楷體" w:hint="eastAsia"/>
          <w:szCs w:val="24"/>
        </w:rPr>
        <w:t>政府資訊安全政策，</w:t>
      </w:r>
      <w:proofErr w:type="gramStart"/>
      <w:r w:rsidR="004772F7" w:rsidRPr="00484E64">
        <w:rPr>
          <w:rFonts w:ascii="標楷體" w:eastAsia="標楷體" w:hAnsi="標楷體" w:hint="eastAsia"/>
          <w:szCs w:val="24"/>
        </w:rPr>
        <w:t>加速資安</w:t>
      </w:r>
      <w:proofErr w:type="gramEnd"/>
      <w:r w:rsidR="004772F7" w:rsidRPr="00484E64">
        <w:rPr>
          <w:rFonts w:ascii="標楷體" w:eastAsia="標楷體" w:hAnsi="標楷體" w:hint="eastAsia"/>
          <w:szCs w:val="24"/>
        </w:rPr>
        <w:t>A級公務機關導入零信任網路驗證機制，耗資5千餘萬元採購機制運作所需軟體，供內政部等39個A級公務機關使用，並協助技術支援，</w:t>
      </w:r>
      <w:proofErr w:type="gramStart"/>
      <w:r w:rsidR="004772F7" w:rsidRPr="00484E64">
        <w:rPr>
          <w:rFonts w:ascii="標楷體" w:eastAsia="標楷體" w:hAnsi="標楷體" w:hint="eastAsia"/>
          <w:szCs w:val="24"/>
        </w:rPr>
        <w:t>俾</w:t>
      </w:r>
      <w:proofErr w:type="gramEnd"/>
      <w:r w:rsidR="004772F7" w:rsidRPr="00484E64">
        <w:rPr>
          <w:rFonts w:ascii="標楷體" w:eastAsia="標楷體" w:hAnsi="標楷體" w:hint="eastAsia"/>
          <w:szCs w:val="24"/>
        </w:rPr>
        <w:t>於113年底前完成相關作業，提升政府資訊系統資通安全防護能力。截至113年10月底止，39個A級公務</w:t>
      </w:r>
      <w:proofErr w:type="gramStart"/>
      <w:r w:rsidR="004772F7" w:rsidRPr="00484E64">
        <w:rPr>
          <w:rFonts w:ascii="標楷體" w:eastAsia="標楷體" w:hAnsi="標楷體" w:hint="eastAsia"/>
          <w:szCs w:val="24"/>
        </w:rPr>
        <w:t>機關均已完成</w:t>
      </w:r>
      <w:proofErr w:type="gramEnd"/>
      <w:r w:rsidR="004772F7" w:rsidRPr="00484E64">
        <w:rPr>
          <w:rFonts w:ascii="標楷體" w:eastAsia="標楷體" w:hAnsi="標楷體" w:hint="eastAsia"/>
          <w:szCs w:val="24"/>
        </w:rPr>
        <w:t>導入零信任架構之身分鑑別機制、內政部等20個A級公務機關完成導入設備鑑別機制。經查</w:t>
      </w:r>
      <w:r w:rsidR="00617705">
        <w:rPr>
          <w:rFonts w:ascii="標楷體" w:eastAsia="標楷體" w:hAnsi="標楷體" w:hint="eastAsia"/>
          <w:szCs w:val="24"/>
        </w:rPr>
        <w:t>，</w:t>
      </w:r>
      <w:proofErr w:type="gramStart"/>
      <w:r w:rsidR="004772F7" w:rsidRPr="00484E64">
        <w:rPr>
          <w:rFonts w:ascii="標楷體" w:eastAsia="標楷體" w:hAnsi="標楷體" w:hint="eastAsia"/>
          <w:szCs w:val="24"/>
        </w:rPr>
        <w:t>112</w:t>
      </w:r>
      <w:proofErr w:type="gramEnd"/>
      <w:r w:rsidR="004772F7" w:rsidRPr="00484E64">
        <w:rPr>
          <w:rFonts w:ascii="標楷體" w:eastAsia="標楷體" w:hAnsi="標楷體" w:hint="eastAsia"/>
          <w:szCs w:val="24"/>
        </w:rPr>
        <w:t>年度已完成試行導入零信任身分鑑別機制之22個A級公務機關，後續規劃核心資通系統拓展導入零信任身分鑑別機制情形，其中僅勞動部勞工保險局、司法院、內政部、交通部公路局、國家通訊傳播委員會、審計部、法務部調查局、數位</w:t>
      </w:r>
      <w:proofErr w:type="gramStart"/>
      <w:r w:rsidR="004772F7" w:rsidRPr="00484E64">
        <w:rPr>
          <w:rFonts w:ascii="標楷體" w:eastAsia="標楷體" w:hAnsi="標楷體" w:hint="eastAsia"/>
          <w:szCs w:val="24"/>
        </w:rPr>
        <w:t>發展部等8個</w:t>
      </w:r>
      <w:proofErr w:type="gramEnd"/>
      <w:r w:rsidR="004772F7" w:rsidRPr="00484E64">
        <w:rPr>
          <w:rFonts w:ascii="標楷體" w:eastAsia="標楷體" w:hAnsi="標楷體" w:hint="eastAsia"/>
          <w:szCs w:val="24"/>
        </w:rPr>
        <w:t>機關已盤點內部資通系統，將於後續年度編列預算持續拓展導入零信任身分鑑別機制，其餘海洋委員會海巡署等14個機關，因經費、人力不足，及系統相容性及整合問題等，於試行結束後，暫無相關拓展規劃，未能實質</w:t>
      </w:r>
      <w:proofErr w:type="gramStart"/>
      <w:r w:rsidR="004772F7" w:rsidRPr="00484E64">
        <w:rPr>
          <w:rFonts w:ascii="標楷體" w:eastAsia="標楷體" w:hAnsi="標楷體" w:hint="eastAsia"/>
          <w:szCs w:val="24"/>
        </w:rPr>
        <w:t>提升資安防護</w:t>
      </w:r>
      <w:proofErr w:type="gramEnd"/>
      <w:r w:rsidR="004772F7" w:rsidRPr="00484E64">
        <w:rPr>
          <w:rFonts w:ascii="標楷體" w:eastAsia="標楷體" w:hAnsi="標楷體" w:hint="eastAsia"/>
          <w:szCs w:val="24"/>
        </w:rPr>
        <w:t>能力。</w:t>
      </w:r>
    </w:p>
    <w:p w14:paraId="3B455CCD" w14:textId="10DF712A" w:rsidR="00E8604E" w:rsidRPr="002764DD" w:rsidRDefault="00022E4B" w:rsidP="00CA55FD">
      <w:pPr>
        <w:overflowPunct w:val="0"/>
        <w:spacing w:line="446"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綜上，政府為因應新</w:t>
      </w:r>
      <w:proofErr w:type="gramStart"/>
      <w:r w:rsidRPr="00484E64">
        <w:rPr>
          <w:rFonts w:ascii="標楷體" w:eastAsia="標楷體" w:hAnsi="標楷體" w:hint="eastAsia"/>
          <w:szCs w:val="24"/>
        </w:rPr>
        <w:t>型態資安攻擊</w:t>
      </w:r>
      <w:proofErr w:type="gramEnd"/>
      <w:r w:rsidRPr="00484E64">
        <w:rPr>
          <w:rFonts w:ascii="標楷體" w:eastAsia="標楷體" w:hAnsi="標楷體" w:hint="eastAsia"/>
          <w:szCs w:val="24"/>
        </w:rPr>
        <w:t>與威脅，推動政府機關導入零信任網路驗證機制，惟因尚無廠商通過信任推斷驗證，致</w:t>
      </w:r>
      <w:proofErr w:type="gramStart"/>
      <w:r w:rsidRPr="00484E64">
        <w:rPr>
          <w:rFonts w:ascii="標楷體" w:eastAsia="標楷體" w:hAnsi="標楷體" w:hint="eastAsia"/>
          <w:szCs w:val="24"/>
        </w:rPr>
        <w:t>無商源可</w:t>
      </w:r>
      <w:proofErr w:type="gramEnd"/>
      <w:r w:rsidRPr="00484E64">
        <w:rPr>
          <w:rFonts w:ascii="標楷體" w:eastAsia="標楷體" w:hAnsi="標楷體" w:hint="eastAsia"/>
          <w:szCs w:val="24"/>
        </w:rPr>
        <w:t>提供</w:t>
      </w:r>
      <w:proofErr w:type="gramStart"/>
      <w:r w:rsidRPr="00484E64">
        <w:rPr>
          <w:rFonts w:ascii="標楷體" w:eastAsia="標楷體" w:hAnsi="標楷體" w:hint="eastAsia"/>
          <w:szCs w:val="24"/>
        </w:rPr>
        <w:t>相關資安服務</w:t>
      </w:r>
      <w:proofErr w:type="gramEnd"/>
      <w:r w:rsidRPr="00484E64">
        <w:rPr>
          <w:rFonts w:ascii="標楷體" w:eastAsia="標楷體" w:hAnsi="標楷體" w:hint="eastAsia"/>
          <w:szCs w:val="24"/>
        </w:rPr>
        <w:t>，且部分A級公務機關因預算資源不足等因素，於試行導入零信任身分鑑別制度後，並無規劃拓展導入核心資通系統，未能實質提升</w:t>
      </w:r>
      <w:proofErr w:type="gramStart"/>
      <w:r w:rsidRPr="00484E64">
        <w:rPr>
          <w:rFonts w:ascii="標楷體" w:eastAsia="標楷體" w:hAnsi="標楷體" w:hint="eastAsia"/>
          <w:szCs w:val="24"/>
        </w:rPr>
        <w:t>其資安防禦</w:t>
      </w:r>
      <w:proofErr w:type="gramEnd"/>
      <w:r w:rsidRPr="00484E64">
        <w:rPr>
          <w:rFonts w:ascii="標楷體" w:eastAsia="標楷體" w:hAnsi="標楷體" w:hint="eastAsia"/>
          <w:szCs w:val="24"/>
        </w:rPr>
        <w:t>能量。允宜督促相關機關積極輔導廠商通過政府相關驗證，擴展機關</w:t>
      </w:r>
      <w:proofErr w:type="gramStart"/>
      <w:r w:rsidRPr="00484E64">
        <w:rPr>
          <w:rFonts w:ascii="標楷體" w:eastAsia="標楷體" w:hAnsi="標楷體" w:hint="eastAsia"/>
          <w:szCs w:val="24"/>
        </w:rPr>
        <w:t>資安服務商源</w:t>
      </w:r>
      <w:proofErr w:type="gramEnd"/>
      <w:r w:rsidRPr="00484E64">
        <w:rPr>
          <w:rFonts w:ascii="標楷體" w:eastAsia="標楷體" w:hAnsi="標楷體" w:hint="eastAsia"/>
          <w:szCs w:val="24"/>
        </w:rPr>
        <w:t>，並依據各機關試行導入零信任驗證機制成效，規劃後續推動計畫及預算資源配置，以</w:t>
      </w:r>
      <w:proofErr w:type="gramStart"/>
      <w:r w:rsidRPr="00484E64">
        <w:rPr>
          <w:rFonts w:ascii="標楷體" w:eastAsia="標楷體" w:hAnsi="標楷體" w:hint="eastAsia"/>
          <w:szCs w:val="24"/>
        </w:rPr>
        <w:t>增進資安政策</w:t>
      </w:r>
      <w:proofErr w:type="gramEnd"/>
      <w:r w:rsidRPr="00484E64">
        <w:rPr>
          <w:rFonts w:ascii="標楷體" w:eastAsia="標楷體" w:hAnsi="標楷體" w:hint="eastAsia"/>
          <w:szCs w:val="24"/>
        </w:rPr>
        <w:t>推展效能，提升</w:t>
      </w:r>
      <w:proofErr w:type="gramStart"/>
      <w:r w:rsidRPr="00484E64">
        <w:rPr>
          <w:rFonts w:ascii="標楷體" w:eastAsia="標楷體" w:hAnsi="標楷體" w:hint="eastAsia"/>
          <w:szCs w:val="24"/>
        </w:rPr>
        <w:t>政府資安防護</w:t>
      </w:r>
      <w:proofErr w:type="gramEnd"/>
      <w:r w:rsidRPr="00484E64">
        <w:rPr>
          <w:rFonts w:ascii="標楷體" w:eastAsia="標楷體" w:hAnsi="標楷體" w:hint="eastAsia"/>
          <w:szCs w:val="24"/>
        </w:rPr>
        <w:t>能力，</w:t>
      </w:r>
      <w:proofErr w:type="gramStart"/>
      <w:r w:rsidRPr="00484E64">
        <w:rPr>
          <w:rFonts w:ascii="標楷體" w:eastAsia="標楷體" w:hAnsi="標楷體" w:hint="eastAsia"/>
          <w:szCs w:val="24"/>
        </w:rPr>
        <w:t>降低資安風險</w:t>
      </w:r>
      <w:proofErr w:type="gramEnd"/>
      <w:r w:rsidRPr="00484E64">
        <w:rPr>
          <w:rFonts w:ascii="標楷體" w:eastAsia="標楷體" w:hAnsi="標楷體" w:hint="eastAsia"/>
          <w:szCs w:val="24"/>
        </w:rPr>
        <w:t>及其衍生之財務損失或支出。</w:t>
      </w:r>
    </w:p>
    <w:p w14:paraId="6F05F385" w14:textId="75DB7C44" w:rsidR="00E8604E" w:rsidRPr="002764DD" w:rsidRDefault="00E8604E" w:rsidP="00CA55FD">
      <w:pPr>
        <w:pStyle w:val="2"/>
        <w:overflowPunct w:val="0"/>
        <w:spacing w:beforeLines="30" w:before="108" w:afterLines="30" w:after="108" w:line="446"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（八）　</w:t>
      </w:r>
      <w:r w:rsidR="00882759" w:rsidRPr="00484E64">
        <w:rPr>
          <w:rFonts w:hAnsi="標楷體" w:hint="eastAsia"/>
          <w:b/>
          <w:sz w:val="28"/>
          <w:szCs w:val="28"/>
        </w:rPr>
        <w:t>政府為促進文化創意產業發展，運用</w:t>
      </w:r>
      <w:r w:rsidR="00882759">
        <w:rPr>
          <w:rFonts w:hAnsi="標楷體" w:hint="eastAsia"/>
          <w:b/>
          <w:sz w:val="28"/>
          <w:szCs w:val="28"/>
        </w:rPr>
        <w:t>行政院國家發展基金</w:t>
      </w:r>
      <w:r w:rsidR="00882759" w:rsidRPr="00484E64">
        <w:rPr>
          <w:rFonts w:hAnsi="標楷體" w:hint="eastAsia"/>
          <w:b/>
          <w:sz w:val="28"/>
          <w:szCs w:val="28"/>
        </w:rPr>
        <w:t>投資國內文化創意產業，惟資金</w:t>
      </w:r>
      <w:proofErr w:type="gramStart"/>
      <w:r w:rsidR="00882759" w:rsidRPr="00484E64">
        <w:rPr>
          <w:rFonts w:hAnsi="標楷體" w:hint="eastAsia"/>
          <w:b/>
          <w:sz w:val="28"/>
          <w:szCs w:val="28"/>
        </w:rPr>
        <w:t>動撥率</w:t>
      </w:r>
      <w:proofErr w:type="gramEnd"/>
      <w:r w:rsidR="00882759" w:rsidRPr="00484E64">
        <w:rPr>
          <w:rFonts w:hAnsi="標楷體" w:hint="eastAsia"/>
          <w:b/>
          <w:sz w:val="28"/>
          <w:szCs w:val="28"/>
        </w:rPr>
        <w:t>未及</w:t>
      </w:r>
      <w:proofErr w:type="gramStart"/>
      <w:r w:rsidR="00882759" w:rsidRPr="00484E64">
        <w:rPr>
          <w:rFonts w:hAnsi="標楷體" w:hint="eastAsia"/>
          <w:b/>
          <w:sz w:val="28"/>
          <w:szCs w:val="28"/>
        </w:rPr>
        <w:t>4成</w:t>
      </w:r>
      <w:proofErr w:type="gramEnd"/>
      <w:r w:rsidR="00882759" w:rsidRPr="00484E64">
        <w:rPr>
          <w:rFonts w:hAnsi="標楷體" w:hint="eastAsia"/>
          <w:b/>
          <w:sz w:val="28"/>
          <w:szCs w:val="28"/>
        </w:rPr>
        <w:t>，且集中</w:t>
      </w:r>
      <w:proofErr w:type="gramStart"/>
      <w:r w:rsidR="00882759" w:rsidRPr="00484E64">
        <w:rPr>
          <w:rFonts w:hAnsi="標楷體" w:hint="eastAsia"/>
          <w:b/>
          <w:sz w:val="28"/>
          <w:szCs w:val="28"/>
        </w:rPr>
        <w:t>挹</w:t>
      </w:r>
      <w:proofErr w:type="gramEnd"/>
      <w:r w:rsidR="00882759" w:rsidRPr="00484E64">
        <w:rPr>
          <w:rFonts w:hAnsi="標楷體" w:hint="eastAsia"/>
          <w:b/>
          <w:sz w:val="28"/>
          <w:szCs w:val="28"/>
        </w:rPr>
        <w:t>注於影視產業之情形未有效改善；又被投資事業近半數營運尚待觀察或績效不佳，投資後管理未</w:t>
      </w:r>
      <w:proofErr w:type="gramStart"/>
      <w:r w:rsidR="00882759" w:rsidRPr="00484E64">
        <w:rPr>
          <w:rFonts w:hAnsi="標楷體" w:hint="eastAsia"/>
          <w:b/>
          <w:sz w:val="28"/>
          <w:szCs w:val="28"/>
        </w:rPr>
        <w:t>臻</w:t>
      </w:r>
      <w:proofErr w:type="gramEnd"/>
      <w:r w:rsidR="00882759" w:rsidRPr="00484E64">
        <w:rPr>
          <w:rFonts w:hAnsi="標楷體" w:hint="eastAsia"/>
          <w:b/>
          <w:sz w:val="28"/>
          <w:szCs w:val="28"/>
        </w:rPr>
        <w:t>周延</w:t>
      </w:r>
      <w:r w:rsidR="00D24817">
        <w:rPr>
          <w:rFonts w:hAnsi="標楷體" w:hint="eastAsia"/>
          <w:b/>
          <w:sz w:val="28"/>
          <w:szCs w:val="28"/>
        </w:rPr>
        <w:t>，</w:t>
      </w:r>
      <w:r w:rsidR="00882759" w:rsidRPr="00484E64">
        <w:rPr>
          <w:rFonts w:hAnsi="標楷體" w:hint="eastAsia"/>
          <w:b/>
          <w:sz w:val="28"/>
          <w:szCs w:val="28"/>
        </w:rPr>
        <w:t>允宜督促進行整體性投資策略布局規劃，精進投資標的評估審議及諮詢輔導工作，並落實投資後管理，以提升投資資金運用效益，促進文化創意產業多元健全發展，增進財務運用效能。</w:t>
      </w:r>
    </w:p>
    <w:p w14:paraId="525C275B" w14:textId="3CB03A39" w:rsidR="00E8604E" w:rsidRPr="00AF34C7" w:rsidRDefault="00D106B5" w:rsidP="00CA55FD">
      <w:pPr>
        <w:pStyle w:val="2"/>
        <w:overflowPunct w:val="0"/>
        <w:spacing w:line="440" w:lineRule="exact"/>
        <w:ind w:left="0" w:firstLineChars="200" w:firstLine="496"/>
        <w:rPr>
          <w:rFonts w:hAnsi="標楷體"/>
          <w:color w:val="000000" w:themeColor="text1"/>
          <w:spacing w:val="4"/>
          <w:sz w:val="24"/>
          <w:szCs w:val="24"/>
        </w:rPr>
      </w:pPr>
      <w:r w:rsidRPr="00AF34C7">
        <w:rPr>
          <w:rFonts w:hAnsi="標楷體" w:hint="eastAsia"/>
          <w:color w:val="000000" w:themeColor="text1"/>
          <w:spacing w:val="4"/>
          <w:sz w:val="24"/>
          <w:szCs w:val="24"/>
        </w:rPr>
        <w:t>政府為促進文化創意產業發展，保障發展所需經費，於文化創意產業發展法第9條第1項明定，行政院國家發展基金（下稱國發基金）應</w:t>
      </w:r>
      <w:proofErr w:type="gramStart"/>
      <w:r w:rsidRPr="00AF34C7">
        <w:rPr>
          <w:rFonts w:hAnsi="標楷體" w:hint="eastAsia"/>
          <w:color w:val="000000" w:themeColor="text1"/>
          <w:spacing w:val="4"/>
          <w:sz w:val="24"/>
          <w:szCs w:val="24"/>
        </w:rPr>
        <w:t>提撥</w:t>
      </w:r>
      <w:proofErr w:type="gramEnd"/>
      <w:r w:rsidRPr="00AF34C7">
        <w:rPr>
          <w:rFonts w:hAnsi="標楷體" w:hint="eastAsia"/>
          <w:color w:val="000000" w:themeColor="text1"/>
          <w:spacing w:val="4"/>
          <w:sz w:val="24"/>
          <w:szCs w:val="24"/>
        </w:rPr>
        <w:t>一定比例投資文化創意產業，並訂定「行政院國家發展基金加強投資文化創意產業實施方案」（下稱加強投資文創產業實施方案），</w:t>
      </w:r>
      <w:proofErr w:type="gramStart"/>
      <w:r w:rsidRPr="00AF34C7">
        <w:rPr>
          <w:rFonts w:hAnsi="標楷體" w:hint="eastAsia"/>
          <w:color w:val="000000" w:themeColor="text1"/>
          <w:spacing w:val="4"/>
          <w:sz w:val="24"/>
          <w:szCs w:val="24"/>
        </w:rPr>
        <w:t>匡列100億元</w:t>
      </w:r>
      <w:proofErr w:type="gramEnd"/>
      <w:r w:rsidRPr="00AF34C7">
        <w:rPr>
          <w:rFonts w:hAnsi="標楷體" w:hint="eastAsia"/>
          <w:color w:val="000000" w:themeColor="text1"/>
          <w:spacing w:val="4"/>
          <w:sz w:val="24"/>
          <w:szCs w:val="24"/>
        </w:rPr>
        <w:t>，由文化部執行國內文化創意產業之投資，</w:t>
      </w:r>
      <w:proofErr w:type="gramStart"/>
      <w:r w:rsidRPr="00AF34C7">
        <w:rPr>
          <w:rFonts w:hAnsi="標楷體" w:hint="eastAsia"/>
          <w:color w:val="000000" w:themeColor="text1"/>
          <w:spacing w:val="4"/>
          <w:sz w:val="24"/>
          <w:szCs w:val="24"/>
        </w:rPr>
        <w:t>嗣</w:t>
      </w:r>
      <w:proofErr w:type="gramEnd"/>
      <w:r w:rsidRPr="00AF34C7">
        <w:rPr>
          <w:rFonts w:hAnsi="標楷體" w:hint="eastAsia"/>
          <w:color w:val="000000" w:themeColor="text1"/>
          <w:spacing w:val="4"/>
          <w:sz w:val="24"/>
          <w:szCs w:val="24"/>
        </w:rPr>
        <w:t>於108年5月設立行政法人文化內容策進院（下稱文策院），賦予該院提供文化內容相關產業投資及多元資金</w:t>
      </w:r>
      <w:proofErr w:type="gramStart"/>
      <w:r w:rsidRPr="00AF34C7">
        <w:rPr>
          <w:rFonts w:hAnsi="標楷體" w:hint="eastAsia"/>
          <w:color w:val="000000" w:themeColor="text1"/>
          <w:spacing w:val="4"/>
          <w:sz w:val="24"/>
          <w:szCs w:val="24"/>
        </w:rPr>
        <w:t>挹</w:t>
      </w:r>
      <w:proofErr w:type="gramEnd"/>
      <w:r w:rsidRPr="00AF34C7">
        <w:rPr>
          <w:rFonts w:hAnsi="標楷體" w:hint="eastAsia"/>
          <w:color w:val="000000" w:themeColor="text1"/>
          <w:spacing w:val="4"/>
          <w:sz w:val="24"/>
          <w:szCs w:val="24"/>
        </w:rPr>
        <w:t>注之任務，</w:t>
      </w:r>
      <w:proofErr w:type="gramStart"/>
      <w:r w:rsidRPr="00AF34C7">
        <w:rPr>
          <w:rFonts w:hAnsi="標楷體" w:hint="eastAsia"/>
          <w:color w:val="000000" w:themeColor="text1"/>
          <w:spacing w:val="4"/>
          <w:sz w:val="24"/>
          <w:szCs w:val="24"/>
        </w:rPr>
        <w:t>爰</w:t>
      </w:r>
      <w:proofErr w:type="gramEnd"/>
      <w:r w:rsidRPr="00AF34C7">
        <w:rPr>
          <w:rFonts w:hAnsi="標楷體" w:hint="eastAsia"/>
          <w:color w:val="000000" w:themeColor="text1"/>
          <w:spacing w:val="4"/>
          <w:sz w:val="24"/>
          <w:szCs w:val="24"/>
        </w:rPr>
        <w:t>於同年6月由文策院接續辦理相關業務。有關加強</w:t>
      </w:r>
      <w:proofErr w:type="gramStart"/>
      <w:r w:rsidRPr="00AF34C7">
        <w:rPr>
          <w:rFonts w:hAnsi="標楷體" w:hint="eastAsia"/>
          <w:color w:val="000000" w:themeColor="text1"/>
          <w:spacing w:val="4"/>
          <w:sz w:val="24"/>
          <w:szCs w:val="24"/>
        </w:rPr>
        <w:t>投資文創產業</w:t>
      </w:r>
      <w:proofErr w:type="gramEnd"/>
      <w:r w:rsidRPr="00AF34C7">
        <w:rPr>
          <w:rFonts w:hAnsi="標楷體" w:hint="eastAsia"/>
          <w:color w:val="000000" w:themeColor="text1"/>
          <w:spacing w:val="4"/>
          <w:sz w:val="24"/>
          <w:szCs w:val="24"/>
        </w:rPr>
        <w:t>實施方案執行情形，核有下列事項：</w:t>
      </w:r>
    </w:p>
    <w:p w14:paraId="345EB995" w14:textId="4F312B82" w:rsidR="00E8604E" w:rsidRPr="002764DD" w:rsidRDefault="00E8604E" w:rsidP="00CA55FD">
      <w:pPr>
        <w:overflowPunct w:val="0"/>
        <w:spacing w:line="426" w:lineRule="exact"/>
        <w:ind w:firstLineChars="450" w:firstLine="1081"/>
        <w:jc w:val="both"/>
        <w:rPr>
          <w:rFonts w:ascii="標楷體" w:eastAsia="標楷體" w:hAnsi="標楷體"/>
          <w:color w:val="000000" w:themeColor="text1"/>
          <w:spacing w:val="4"/>
          <w:szCs w:val="24"/>
        </w:rPr>
      </w:pPr>
      <w:r w:rsidRPr="002764DD">
        <w:rPr>
          <w:rFonts w:ascii="標楷體" w:eastAsia="標楷體" w:hAnsi="標楷體" w:hint="eastAsia"/>
          <w:b/>
          <w:color w:val="000000" w:themeColor="text1"/>
          <w:szCs w:val="24"/>
        </w:rPr>
        <w:lastRenderedPageBreak/>
        <w:t xml:space="preserve">1.　</w:t>
      </w:r>
      <w:r w:rsidR="00D106B5" w:rsidRPr="00484E64">
        <w:rPr>
          <w:rFonts w:ascii="標楷體" w:eastAsia="標楷體" w:hAnsi="標楷體" w:hint="eastAsia"/>
          <w:b/>
          <w:szCs w:val="24"/>
        </w:rPr>
        <w:t>運用</w:t>
      </w:r>
      <w:r w:rsidR="00D106B5" w:rsidRPr="005D0B57">
        <w:rPr>
          <w:rFonts w:ascii="標楷體" w:eastAsia="標楷體" w:hAnsi="標楷體" w:hint="eastAsia"/>
          <w:b/>
          <w:szCs w:val="24"/>
        </w:rPr>
        <w:t>國發基金</w:t>
      </w:r>
      <w:r w:rsidR="00D106B5" w:rsidRPr="00484E64">
        <w:rPr>
          <w:rFonts w:ascii="標楷體" w:eastAsia="標楷體" w:hAnsi="標楷體" w:hint="eastAsia"/>
          <w:b/>
          <w:szCs w:val="24"/>
        </w:rPr>
        <w:t>加強投資文化創意產業，資金</w:t>
      </w:r>
      <w:proofErr w:type="gramStart"/>
      <w:r w:rsidR="00D106B5" w:rsidRPr="00484E64">
        <w:rPr>
          <w:rFonts w:ascii="標楷體" w:eastAsia="標楷體" w:hAnsi="標楷體" w:hint="eastAsia"/>
          <w:b/>
          <w:szCs w:val="24"/>
        </w:rPr>
        <w:t>動撥率</w:t>
      </w:r>
      <w:proofErr w:type="gramEnd"/>
      <w:r w:rsidR="00D106B5" w:rsidRPr="00484E64">
        <w:rPr>
          <w:rFonts w:ascii="標楷體" w:eastAsia="標楷體" w:hAnsi="標楷體" w:hint="eastAsia"/>
          <w:b/>
          <w:szCs w:val="24"/>
        </w:rPr>
        <w:t>未及</w:t>
      </w:r>
      <w:proofErr w:type="gramStart"/>
      <w:r w:rsidR="00D106B5" w:rsidRPr="00484E64">
        <w:rPr>
          <w:rFonts w:ascii="標楷體" w:eastAsia="標楷體" w:hAnsi="標楷體" w:hint="eastAsia"/>
          <w:b/>
          <w:szCs w:val="24"/>
        </w:rPr>
        <w:t>4成</w:t>
      </w:r>
      <w:proofErr w:type="gramEnd"/>
      <w:r w:rsidR="00D106B5" w:rsidRPr="00484E64">
        <w:rPr>
          <w:rFonts w:ascii="標楷體" w:eastAsia="標楷體" w:hAnsi="標楷體" w:hint="eastAsia"/>
          <w:b/>
          <w:szCs w:val="24"/>
        </w:rPr>
        <w:t>，運用效能偏低：</w:t>
      </w:r>
      <w:proofErr w:type="gramStart"/>
      <w:r w:rsidR="00D106B5" w:rsidRPr="00484E64">
        <w:rPr>
          <w:rFonts w:ascii="標楷體" w:eastAsia="標楷體" w:hAnsi="標楷體" w:hint="eastAsia"/>
          <w:szCs w:val="24"/>
        </w:rPr>
        <w:t>文化部為執行</w:t>
      </w:r>
      <w:proofErr w:type="gramEnd"/>
      <w:r w:rsidR="00D106B5" w:rsidRPr="00484E64">
        <w:rPr>
          <w:rFonts w:ascii="標楷體" w:eastAsia="標楷體" w:hAnsi="標楷體" w:hint="eastAsia"/>
          <w:szCs w:val="24"/>
        </w:rPr>
        <w:t>加強</w:t>
      </w:r>
      <w:proofErr w:type="gramStart"/>
      <w:r w:rsidR="00D106B5" w:rsidRPr="00484E64">
        <w:rPr>
          <w:rFonts w:ascii="標楷體" w:eastAsia="標楷體" w:hAnsi="標楷體" w:hint="eastAsia"/>
          <w:szCs w:val="24"/>
        </w:rPr>
        <w:t>投資文創產業</w:t>
      </w:r>
      <w:proofErr w:type="gramEnd"/>
      <w:r w:rsidR="00D106B5" w:rsidRPr="00484E64">
        <w:rPr>
          <w:rFonts w:ascii="標楷體" w:eastAsia="標楷體" w:hAnsi="標楷體" w:hint="eastAsia"/>
          <w:szCs w:val="24"/>
        </w:rPr>
        <w:t>實施方案，依據文化部辦理加強投資文化創意產業實施方案作業要點（下稱第1</w:t>
      </w:r>
      <w:r w:rsidR="00D106B5">
        <w:rPr>
          <w:rFonts w:ascii="標楷體" w:eastAsia="標楷體" w:hAnsi="標楷體" w:hint="eastAsia"/>
          <w:szCs w:val="24"/>
        </w:rPr>
        <w:t>期、第</w:t>
      </w:r>
      <w:r w:rsidR="00D106B5" w:rsidRPr="00484E64">
        <w:rPr>
          <w:rFonts w:ascii="標楷體" w:eastAsia="標楷體" w:hAnsi="標楷體" w:hint="eastAsia"/>
          <w:szCs w:val="24"/>
        </w:rPr>
        <w:t>2期計畫作業要點）規定，分別於100年及105年開辦「加強投資文化創意產業委託投資管理計畫」第1期及第2期計畫（下稱第1期、第2期計畫），委託12家及10家專業管理公司辦理相關投資案之投資評估、</w:t>
      </w:r>
      <w:proofErr w:type="gramStart"/>
      <w:r w:rsidR="00D106B5" w:rsidRPr="00484E64">
        <w:rPr>
          <w:rFonts w:ascii="標楷體" w:eastAsia="標楷體" w:hAnsi="標楷體" w:hint="eastAsia"/>
          <w:szCs w:val="24"/>
        </w:rPr>
        <w:t>審議核決及</w:t>
      </w:r>
      <w:proofErr w:type="gramEnd"/>
      <w:r w:rsidR="00D106B5" w:rsidRPr="00484E64">
        <w:rPr>
          <w:rFonts w:ascii="標楷體" w:eastAsia="標楷體" w:hAnsi="標楷體" w:hint="eastAsia"/>
          <w:szCs w:val="24"/>
        </w:rPr>
        <w:t>投資後管理事項，並應與國發基金共同投資。執行期限10年，分別為100年6月15日至110年6月14日及105年1月7日至115年1月6日（前7年進行投資，後3年進行剩餘投資案處分）。</w:t>
      </w:r>
      <w:proofErr w:type="gramStart"/>
      <w:r w:rsidR="00D106B5" w:rsidRPr="00484E64">
        <w:rPr>
          <w:rFonts w:ascii="標楷體" w:eastAsia="標楷體" w:hAnsi="標楷體" w:hint="eastAsia"/>
          <w:szCs w:val="24"/>
        </w:rPr>
        <w:t>嗣</w:t>
      </w:r>
      <w:proofErr w:type="gramEnd"/>
      <w:r w:rsidR="00D106B5" w:rsidRPr="00484E64">
        <w:rPr>
          <w:rFonts w:ascii="標楷體" w:eastAsia="標楷體" w:hAnsi="標楷體" w:hint="eastAsia"/>
          <w:szCs w:val="24"/>
        </w:rPr>
        <w:t>因國內文化內容產業多屬微型、中小型企業或個人經營，較難獲得投資機會等因素，致自100年開辦迄106年底止，已逾6年，第1期、第2期計畫累計</w:t>
      </w:r>
      <w:proofErr w:type="gramStart"/>
      <w:r w:rsidR="00D106B5" w:rsidRPr="00484E64">
        <w:rPr>
          <w:rFonts w:ascii="標楷體" w:eastAsia="標楷體" w:hAnsi="標楷體" w:hint="eastAsia"/>
          <w:szCs w:val="24"/>
        </w:rPr>
        <w:t>投資動撥金額</w:t>
      </w:r>
      <w:proofErr w:type="gramEnd"/>
      <w:r w:rsidR="00D106B5" w:rsidRPr="00484E64">
        <w:rPr>
          <w:rFonts w:ascii="標楷體" w:eastAsia="標楷體" w:hAnsi="標楷體" w:hint="eastAsia"/>
          <w:szCs w:val="24"/>
        </w:rPr>
        <w:t>僅9億7,636萬餘元。又第1期計畫投資期限至107年6月14日，</w:t>
      </w:r>
      <w:proofErr w:type="gramStart"/>
      <w:r w:rsidR="00D106B5" w:rsidRPr="00484E64">
        <w:rPr>
          <w:rFonts w:ascii="標楷體" w:eastAsia="標楷體" w:hAnsi="標楷體" w:hint="eastAsia"/>
          <w:szCs w:val="24"/>
        </w:rPr>
        <w:t>文化部為活絡</w:t>
      </w:r>
      <w:proofErr w:type="gramEnd"/>
      <w:r w:rsidR="00D106B5" w:rsidRPr="00484E64">
        <w:rPr>
          <w:rFonts w:ascii="標楷體" w:eastAsia="標楷體" w:hAnsi="標楷體" w:hint="eastAsia"/>
          <w:szCs w:val="24"/>
        </w:rPr>
        <w:t>投資文化創意產業，</w:t>
      </w:r>
      <w:proofErr w:type="gramStart"/>
      <w:r w:rsidR="00D106B5" w:rsidRPr="00484E64">
        <w:rPr>
          <w:rFonts w:ascii="標楷體" w:eastAsia="標楷體" w:hAnsi="標楷體" w:hint="eastAsia"/>
          <w:szCs w:val="24"/>
        </w:rPr>
        <w:t>改善文創投資</w:t>
      </w:r>
      <w:proofErr w:type="gramEnd"/>
      <w:r w:rsidR="00D106B5" w:rsidRPr="00484E64">
        <w:rPr>
          <w:rFonts w:ascii="標楷體" w:eastAsia="標楷體" w:hAnsi="標楷體" w:hint="eastAsia"/>
          <w:szCs w:val="24"/>
        </w:rPr>
        <w:t>計畫創業投資者短期不易投入資金之狀況，於107年訂定文化部辦理文化內容投資計畫作業要點（下稱第3期計畫作業要點），據以辦理文化內容投資計畫（下稱第3期計畫），投資期間自107年4月30日至114年4月29日止，</w:t>
      </w:r>
      <w:proofErr w:type="gramStart"/>
      <w:r w:rsidR="00D106B5" w:rsidRPr="00484E64">
        <w:rPr>
          <w:rFonts w:ascii="標楷體" w:eastAsia="標楷體" w:hAnsi="標楷體" w:hint="eastAsia"/>
          <w:szCs w:val="24"/>
        </w:rPr>
        <w:t>嗣</w:t>
      </w:r>
      <w:proofErr w:type="gramEnd"/>
      <w:r w:rsidR="00D106B5" w:rsidRPr="00484E64">
        <w:rPr>
          <w:rFonts w:ascii="標楷體" w:eastAsia="標楷體" w:hAnsi="標楷體" w:hint="eastAsia"/>
          <w:szCs w:val="24"/>
        </w:rPr>
        <w:t>108年6月起由文策院接續辦理。監察院調查「文化部運用國發基金投資文化創意產業，第1期計畫投資期限將屆，</w:t>
      </w:r>
      <w:proofErr w:type="gramStart"/>
      <w:r w:rsidR="00D106B5" w:rsidRPr="00484E64">
        <w:rPr>
          <w:rFonts w:ascii="標楷體" w:eastAsia="標楷體" w:hAnsi="標楷體" w:hint="eastAsia"/>
          <w:szCs w:val="24"/>
        </w:rPr>
        <w:t>實際動撥資金</w:t>
      </w:r>
      <w:proofErr w:type="gramEnd"/>
      <w:r w:rsidR="00D106B5" w:rsidRPr="00484E64">
        <w:rPr>
          <w:rFonts w:ascii="標楷體" w:eastAsia="標楷體" w:hAnsi="標楷體" w:hint="eastAsia"/>
          <w:szCs w:val="24"/>
        </w:rPr>
        <w:t>投資比率尚低等情」一案，107年4月提出之調查報告指出，文化部辦理加強</w:t>
      </w:r>
      <w:proofErr w:type="gramStart"/>
      <w:r w:rsidR="00D106B5" w:rsidRPr="00484E64">
        <w:rPr>
          <w:rFonts w:ascii="標楷體" w:eastAsia="標楷體" w:hAnsi="標楷體" w:hint="eastAsia"/>
          <w:szCs w:val="24"/>
        </w:rPr>
        <w:t>投資文創產業</w:t>
      </w:r>
      <w:proofErr w:type="gramEnd"/>
      <w:r w:rsidR="00D106B5" w:rsidRPr="00484E64">
        <w:rPr>
          <w:rFonts w:ascii="標楷體" w:eastAsia="標楷體" w:hAnsi="標楷體" w:hint="eastAsia"/>
          <w:szCs w:val="24"/>
        </w:rPr>
        <w:t>實施方案之案源初</w:t>
      </w:r>
      <w:proofErr w:type="gramStart"/>
      <w:r w:rsidR="00D106B5" w:rsidRPr="00484E64">
        <w:rPr>
          <w:rFonts w:ascii="標楷體" w:eastAsia="標楷體" w:hAnsi="標楷體" w:hint="eastAsia"/>
          <w:szCs w:val="24"/>
        </w:rPr>
        <w:t>始均賴專業</w:t>
      </w:r>
      <w:proofErr w:type="gramEnd"/>
      <w:r w:rsidR="00D106B5" w:rsidRPr="00484E64">
        <w:rPr>
          <w:rFonts w:ascii="標楷體" w:eastAsia="標楷體" w:hAnsi="標楷體" w:hint="eastAsia"/>
          <w:szCs w:val="24"/>
        </w:rPr>
        <w:t>管理公司自行開發，方案資金運用率偏低，允應全盤檢視相關執行策略，以提高資金之運用效能。</w:t>
      </w:r>
      <w:proofErr w:type="gramStart"/>
      <w:r w:rsidR="00D106B5" w:rsidRPr="00484E64">
        <w:rPr>
          <w:rFonts w:ascii="標楷體" w:eastAsia="標楷體" w:hAnsi="標楷體" w:hint="eastAsia"/>
          <w:szCs w:val="24"/>
        </w:rPr>
        <w:t>嗣</w:t>
      </w:r>
      <w:proofErr w:type="gramEnd"/>
      <w:r w:rsidR="00D106B5" w:rsidRPr="00484E64">
        <w:rPr>
          <w:rFonts w:ascii="標楷體" w:eastAsia="標楷體" w:hAnsi="標楷體" w:hint="eastAsia"/>
          <w:szCs w:val="24"/>
        </w:rPr>
        <w:t>文化部成立文策院作為促進投融資之</w:t>
      </w:r>
      <w:proofErr w:type="gramStart"/>
      <w:r w:rsidR="00D106B5" w:rsidRPr="00484E64">
        <w:rPr>
          <w:rFonts w:ascii="標楷體" w:eastAsia="標楷體" w:hAnsi="標楷體" w:hint="eastAsia"/>
          <w:szCs w:val="24"/>
        </w:rPr>
        <w:t>國內外媒</w:t>
      </w:r>
      <w:proofErr w:type="gramEnd"/>
      <w:r w:rsidR="00D106B5" w:rsidRPr="00484E64">
        <w:rPr>
          <w:rFonts w:ascii="標楷體" w:eastAsia="標楷體" w:hAnsi="標楷體" w:hint="eastAsia"/>
          <w:szCs w:val="24"/>
        </w:rPr>
        <w:t>合平</w:t>
      </w:r>
      <w:proofErr w:type="gramStart"/>
      <w:r w:rsidR="00D106B5" w:rsidRPr="00484E64">
        <w:rPr>
          <w:rFonts w:ascii="標楷體" w:eastAsia="標楷體" w:hAnsi="標楷體" w:hint="eastAsia"/>
          <w:szCs w:val="24"/>
        </w:rPr>
        <w:t>臺</w:t>
      </w:r>
      <w:proofErr w:type="gramEnd"/>
      <w:r w:rsidR="00D106B5" w:rsidRPr="00484E64">
        <w:rPr>
          <w:rFonts w:ascii="標楷體" w:eastAsia="標楷體" w:hAnsi="標楷體" w:hint="eastAsia"/>
          <w:szCs w:val="24"/>
        </w:rPr>
        <w:t>，以加速國發基金投資及提高</w:t>
      </w:r>
      <w:proofErr w:type="gramStart"/>
      <w:r w:rsidR="00D106B5" w:rsidRPr="00484E64">
        <w:rPr>
          <w:rFonts w:ascii="標楷體" w:eastAsia="標楷體" w:hAnsi="標楷體" w:hint="eastAsia"/>
          <w:szCs w:val="24"/>
        </w:rPr>
        <w:t>資金動撥比率</w:t>
      </w:r>
      <w:proofErr w:type="gramEnd"/>
      <w:r w:rsidR="00D106B5" w:rsidRPr="00484E64">
        <w:rPr>
          <w:rFonts w:ascii="標楷體" w:eastAsia="標楷體" w:hAnsi="標楷體" w:hint="eastAsia"/>
          <w:szCs w:val="24"/>
        </w:rPr>
        <w:t>。</w:t>
      </w:r>
      <w:proofErr w:type="gramStart"/>
      <w:r w:rsidR="00D106B5" w:rsidRPr="00484E64">
        <w:rPr>
          <w:rFonts w:ascii="標楷體" w:eastAsia="標楷體" w:hAnsi="標楷體" w:hint="eastAsia"/>
          <w:szCs w:val="24"/>
        </w:rPr>
        <w:t>惟</w:t>
      </w:r>
      <w:proofErr w:type="gramEnd"/>
      <w:r w:rsidR="00D106B5" w:rsidRPr="00484E64">
        <w:rPr>
          <w:rFonts w:ascii="標楷體" w:eastAsia="標楷體" w:hAnsi="標楷體" w:hint="eastAsia"/>
          <w:szCs w:val="24"/>
        </w:rPr>
        <w:t>截至113年10月底止，第1</w:t>
      </w:r>
      <w:r w:rsidR="00D106B5">
        <w:rPr>
          <w:rFonts w:ascii="標楷體" w:eastAsia="標楷體" w:hAnsi="標楷體" w:hint="eastAsia"/>
          <w:szCs w:val="24"/>
        </w:rPr>
        <w:t>期、第</w:t>
      </w:r>
      <w:r w:rsidR="00D106B5" w:rsidRPr="00484E64">
        <w:rPr>
          <w:rFonts w:ascii="標楷體" w:eastAsia="標楷體" w:hAnsi="標楷體" w:hint="eastAsia"/>
          <w:szCs w:val="24"/>
        </w:rPr>
        <w:t>2期計畫投資期限已屆，其中第1期計畫投資30家、金額8億1,251萬餘元，第2期計畫投資12家、金額2億3,717萬元；第3期計畫投資114件家（案）、金額27億7,245萬餘元，3期計畫合計投資156家（案）、金額38億2,214萬餘元，整體資金</w:t>
      </w:r>
      <w:proofErr w:type="gramStart"/>
      <w:r w:rsidR="00D106B5" w:rsidRPr="00484E64">
        <w:rPr>
          <w:rFonts w:ascii="標楷體" w:eastAsia="標楷體" w:hAnsi="標楷體" w:hint="eastAsia"/>
          <w:szCs w:val="24"/>
        </w:rPr>
        <w:t>動撥率</w:t>
      </w:r>
      <w:proofErr w:type="gramEnd"/>
      <w:r w:rsidR="00D106B5" w:rsidRPr="00484E64">
        <w:rPr>
          <w:rFonts w:ascii="標楷體" w:eastAsia="標楷體" w:hAnsi="標楷體" w:hint="eastAsia"/>
          <w:szCs w:val="24"/>
        </w:rPr>
        <w:t>僅占國發</w:t>
      </w:r>
      <w:proofErr w:type="gramStart"/>
      <w:r w:rsidR="00D106B5" w:rsidRPr="00484E64">
        <w:rPr>
          <w:rFonts w:ascii="標楷體" w:eastAsia="標楷體" w:hAnsi="標楷體" w:hint="eastAsia"/>
          <w:szCs w:val="24"/>
        </w:rPr>
        <w:t>基金匡列100億元</w:t>
      </w:r>
      <w:proofErr w:type="gramEnd"/>
      <w:r w:rsidR="00D106B5" w:rsidRPr="00484E64">
        <w:rPr>
          <w:rFonts w:ascii="標楷體" w:eastAsia="標楷體" w:hAnsi="標楷體" w:hint="eastAsia"/>
          <w:szCs w:val="24"/>
        </w:rPr>
        <w:t>之38.22％，未及</w:t>
      </w:r>
      <w:proofErr w:type="gramStart"/>
      <w:r w:rsidR="00D106B5" w:rsidRPr="00484E64">
        <w:rPr>
          <w:rFonts w:ascii="標楷體" w:eastAsia="標楷體" w:hAnsi="標楷體" w:hint="eastAsia"/>
          <w:szCs w:val="24"/>
        </w:rPr>
        <w:t>4成</w:t>
      </w:r>
      <w:proofErr w:type="gramEnd"/>
      <w:r w:rsidR="00D106B5" w:rsidRPr="00484E64">
        <w:rPr>
          <w:rFonts w:ascii="標楷體" w:eastAsia="標楷體" w:hAnsi="標楷體" w:hint="eastAsia"/>
          <w:szCs w:val="24"/>
        </w:rPr>
        <w:t>，運用國發基金辦理加強</w:t>
      </w:r>
      <w:proofErr w:type="gramStart"/>
      <w:r w:rsidR="00D106B5" w:rsidRPr="00484E64">
        <w:rPr>
          <w:rFonts w:ascii="標楷體" w:eastAsia="標楷體" w:hAnsi="標楷體" w:hint="eastAsia"/>
          <w:szCs w:val="24"/>
        </w:rPr>
        <w:t>投資文創產業</w:t>
      </w:r>
      <w:proofErr w:type="gramEnd"/>
      <w:r w:rsidR="00D106B5" w:rsidRPr="00484E64">
        <w:rPr>
          <w:rFonts w:ascii="標楷體" w:eastAsia="標楷體" w:hAnsi="標楷體" w:hint="eastAsia"/>
          <w:szCs w:val="24"/>
        </w:rPr>
        <w:t>實施方案，自100年</w:t>
      </w:r>
      <w:proofErr w:type="gramStart"/>
      <w:r w:rsidR="00D106B5" w:rsidRPr="00484E64">
        <w:rPr>
          <w:rFonts w:ascii="標楷體" w:eastAsia="標楷體" w:hAnsi="標楷體" w:hint="eastAsia"/>
          <w:szCs w:val="24"/>
        </w:rPr>
        <w:t>起迄</w:t>
      </w:r>
      <w:proofErr w:type="gramEnd"/>
      <w:r w:rsidR="00D106B5" w:rsidRPr="00484E64">
        <w:rPr>
          <w:rFonts w:ascii="標楷體" w:eastAsia="標楷體" w:hAnsi="標楷體" w:hint="eastAsia"/>
          <w:szCs w:val="24"/>
        </w:rPr>
        <w:t>113年10月底止，已逾13年，投資資金</w:t>
      </w:r>
      <w:proofErr w:type="gramStart"/>
      <w:r w:rsidR="00D106B5" w:rsidRPr="00484E64">
        <w:rPr>
          <w:rFonts w:ascii="標楷體" w:eastAsia="標楷體" w:hAnsi="標楷體" w:hint="eastAsia"/>
          <w:szCs w:val="24"/>
        </w:rPr>
        <w:t>動撥率</w:t>
      </w:r>
      <w:proofErr w:type="gramEnd"/>
      <w:r w:rsidR="00D106B5" w:rsidRPr="00484E64">
        <w:rPr>
          <w:rFonts w:ascii="標楷體" w:eastAsia="標楷體" w:hAnsi="標楷體" w:hint="eastAsia"/>
          <w:szCs w:val="24"/>
        </w:rPr>
        <w:t>仍然偏低，未能充分運用政府資金投資文化創意產業，以達成促進產業發展之目標。</w:t>
      </w:r>
    </w:p>
    <w:p w14:paraId="310255B5" w14:textId="4A23E799" w:rsidR="00E8604E" w:rsidRDefault="00E8604E" w:rsidP="00CA55FD">
      <w:pPr>
        <w:overflowPunct w:val="0"/>
        <w:spacing w:line="42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326974" w:rsidRPr="00484E64">
        <w:rPr>
          <w:rFonts w:ascii="標楷體" w:eastAsia="標楷體" w:hAnsi="標楷體" w:hint="eastAsia"/>
          <w:b/>
          <w:szCs w:val="24"/>
        </w:rPr>
        <w:t>資金集中</w:t>
      </w:r>
      <w:proofErr w:type="gramStart"/>
      <w:r w:rsidR="00326974" w:rsidRPr="00484E64">
        <w:rPr>
          <w:rFonts w:ascii="標楷體" w:eastAsia="標楷體" w:hAnsi="標楷體" w:hint="eastAsia"/>
          <w:b/>
          <w:szCs w:val="24"/>
        </w:rPr>
        <w:t>挹</w:t>
      </w:r>
      <w:proofErr w:type="gramEnd"/>
      <w:r w:rsidR="00326974" w:rsidRPr="00484E64">
        <w:rPr>
          <w:rFonts w:ascii="標楷體" w:eastAsia="標楷體" w:hAnsi="標楷體" w:hint="eastAsia"/>
          <w:b/>
          <w:szCs w:val="24"/>
        </w:rPr>
        <w:t>注於影視產業之情形未有效改善，不利國內文化創意產業多元發展，又被投資事業近半數營運尚待觀察或績效不佳，投資成效有待檢討提升：</w:t>
      </w:r>
      <w:r w:rsidR="00326974" w:rsidRPr="00484E64">
        <w:rPr>
          <w:rFonts w:ascii="標楷體" w:eastAsia="標楷體" w:hAnsi="標楷體" w:hint="eastAsia"/>
          <w:szCs w:val="24"/>
        </w:rPr>
        <w:t>加強</w:t>
      </w:r>
      <w:proofErr w:type="gramStart"/>
      <w:r w:rsidR="00326974" w:rsidRPr="00484E64">
        <w:rPr>
          <w:rFonts w:ascii="標楷體" w:eastAsia="標楷體" w:hAnsi="標楷體" w:hint="eastAsia"/>
          <w:szCs w:val="24"/>
        </w:rPr>
        <w:t>投資文創產業</w:t>
      </w:r>
      <w:proofErr w:type="gramEnd"/>
      <w:r w:rsidR="00326974" w:rsidRPr="00484E64">
        <w:rPr>
          <w:rFonts w:ascii="標楷體" w:eastAsia="標楷體" w:hAnsi="標楷體" w:hint="eastAsia"/>
          <w:szCs w:val="24"/>
        </w:rPr>
        <w:t>實施方案第4點明定，國發基金投資範圍為文化創意產業發展法第3條所稱之視覺藝術產業等16類國內文化創意產業。監察院於103年調查上開方案執行情形之糾正案文指出，</w:t>
      </w:r>
      <w:proofErr w:type="gramStart"/>
      <w:r w:rsidR="00326974" w:rsidRPr="00484E64">
        <w:rPr>
          <w:rFonts w:ascii="標楷體" w:eastAsia="標楷體" w:hAnsi="標楷體" w:hint="eastAsia"/>
          <w:szCs w:val="24"/>
        </w:rPr>
        <w:t>文化部所投資</w:t>
      </w:r>
      <w:proofErr w:type="gramEnd"/>
      <w:r w:rsidR="00326974" w:rsidRPr="00484E64">
        <w:rPr>
          <w:rFonts w:ascii="標楷體" w:eastAsia="標楷體" w:hAnsi="標楷體" w:hint="eastAsia"/>
          <w:szCs w:val="24"/>
        </w:rPr>
        <w:t>之對象過於集中娛樂影音事業，實需</w:t>
      </w:r>
      <w:proofErr w:type="gramStart"/>
      <w:r w:rsidR="00326974" w:rsidRPr="00484E64">
        <w:rPr>
          <w:rFonts w:ascii="標楷體" w:eastAsia="標楷體" w:hAnsi="標楷體" w:hint="eastAsia"/>
          <w:szCs w:val="24"/>
        </w:rPr>
        <w:t>挹</w:t>
      </w:r>
      <w:proofErr w:type="gramEnd"/>
      <w:r w:rsidR="00326974" w:rsidRPr="00484E64">
        <w:rPr>
          <w:rFonts w:ascii="標楷體" w:eastAsia="標楷體" w:hAnsi="標楷體" w:hint="eastAsia"/>
          <w:szCs w:val="24"/>
        </w:rPr>
        <w:t>注資金扶植之新創、</w:t>
      </w:r>
      <w:proofErr w:type="gramStart"/>
      <w:r w:rsidR="00326974" w:rsidRPr="00484E64">
        <w:rPr>
          <w:rFonts w:ascii="標楷體" w:eastAsia="標楷體" w:hAnsi="標楷體" w:hint="eastAsia"/>
          <w:szCs w:val="24"/>
        </w:rPr>
        <w:t>微型文創企業</w:t>
      </w:r>
      <w:proofErr w:type="gramEnd"/>
      <w:r w:rsidR="00326974" w:rsidRPr="00484E64">
        <w:rPr>
          <w:rFonts w:ascii="標楷體" w:eastAsia="標楷體" w:hAnsi="標楷體" w:hint="eastAsia"/>
          <w:szCs w:val="24"/>
        </w:rPr>
        <w:t>，反無法獲得專業管理公司之投資，</w:t>
      </w:r>
      <w:proofErr w:type="gramStart"/>
      <w:r w:rsidR="00326974" w:rsidRPr="00484E64">
        <w:rPr>
          <w:rFonts w:ascii="標楷體" w:eastAsia="標楷體" w:hAnsi="標楷體" w:hint="eastAsia"/>
          <w:szCs w:val="24"/>
        </w:rPr>
        <w:t>文化部未採取</w:t>
      </w:r>
      <w:proofErr w:type="gramEnd"/>
      <w:r w:rsidR="00326974" w:rsidRPr="00484E64">
        <w:rPr>
          <w:rFonts w:ascii="標楷體" w:eastAsia="標楷體" w:hAnsi="標楷體" w:hint="eastAsia"/>
          <w:szCs w:val="24"/>
        </w:rPr>
        <w:t>改善措施，國發基金亦未確實把關，並糾正</w:t>
      </w:r>
      <w:proofErr w:type="gramStart"/>
      <w:r w:rsidR="00326974" w:rsidRPr="00484E64">
        <w:rPr>
          <w:rFonts w:ascii="標楷體" w:eastAsia="標楷體" w:hAnsi="標楷體" w:hint="eastAsia"/>
          <w:szCs w:val="24"/>
        </w:rPr>
        <w:t>文化部及國家發展</w:t>
      </w:r>
      <w:proofErr w:type="gramEnd"/>
      <w:r w:rsidR="00326974" w:rsidRPr="00484E64">
        <w:rPr>
          <w:rFonts w:ascii="標楷體" w:eastAsia="標楷體" w:hAnsi="標楷體" w:hint="eastAsia"/>
          <w:szCs w:val="24"/>
        </w:rPr>
        <w:t>委員會（國發基金之</w:t>
      </w:r>
      <w:r w:rsidR="000E3B43">
        <w:rPr>
          <w:rFonts w:ascii="標楷體" w:eastAsia="標楷體" w:hAnsi="標楷體" w:hint="eastAsia"/>
          <w:szCs w:val="24"/>
        </w:rPr>
        <w:t>管理</w:t>
      </w:r>
      <w:r w:rsidR="00326974" w:rsidRPr="00484E64">
        <w:rPr>
          <w:rFonts w:ascii="標楷體" w:eastAsia="標楷體" w:hAnsi="標楷體" w:hint="eastAsia"/>
          <w:szCs w:val="24"/>
        </w:rPr>
        <w:t>機關）。本部分別於108年6月及112年5月函請該部檢討投資集中於影視產業之情形並</w:t>
      </w:r>
      <w:proofErr w:type="gramStart"/>
      <w:r w:rsidR="00326974" w:rsidRPr="00484E64">
        <w:rPr>
          <w:rFonts w:ascii="標楷體" w:eastAsia="標楷體" w:hAnsi="標楷體" w:hint="eastAsia"/>
          <w:szCs w:val="24"/>
        </w:rPr>
        <w:t>研</w:t>
      </w:r>
      <w:proofErr w:type="gramEnd"/>
      <w:r w:rsidR="00326974" w:rsidRPr="00484E64">
        <w:rPr>
          <w:rFonts w:ascii="標楷體" w:eastAsia="標楷體" w:hAnsi="標楷體" w:hint="eastAsia"/>
          <w:szCs w:val="24"/>
        </w:rPr>
        <w:t>謀改善。</w:t>
      </w:r>
      <w:proofErr w:type="gramStart"/>
      <w:r w:rsidR="00326974" w:rsidRPr="00484E64">
        <w:rPr>
          <w:rFonts w:ascii="標楷體" w:eastAsia="標楷體" w:hAnsi="標楷體" w:hint="eastAsia"/>
          <w:szCs w:val="24"/>
        </w:rPr>
        <w:t>惟</w:t>
      </w:r>
      <w:proofErr w:type="gramEnd"/>
      <w:r w:rsidR="00326974" w:rsidRPr="00484E64">
        <w:rPr>
          <w:rFonts w:ascii="標楷體" w:eastAsia="標楷體" w:hAnsi="標楷體" w:hint="eastAsia"/>
          <w:szCs w:val="24"/>
        </w:rPr>
        <w:t>截至113年10月底止，第1</w:t>
      </w:r>
      <w:r w:rsidR="00326974">
        <w:rPr>
          <w:rFonts w:ascii="標楷體" w:eastAsia="標楷體" w:hAnsi="標楷體" w:hint="eastAsia"/>
          <w:szCs w:val="24"/>
        </w:rPr>
        <w:t>期、第</w:t>
      </w:r>
      <w:r w:rsidR="00326974" w:rsidRPr="00484E64">
        <w:rPr>
          <w:rFonts w:ascii="標楷體" w:eastAsia="標楷體" w:hAnsi="標楷體" w:hint="eastAsia"/>
          <w:szCs w:val="24"/>
        </w:rPr>
        <w:t>2期計畫投資之產業類別計有電影產業等9大類，其中投資件數及金額之前2大產業為電影及廣播電視產業，合計投資22件</w:t>
      </w:r>
      <w:r w:rsidR="00044352">
        <w:rPr>
          <w:rFonts w:ascii="標楷體" w:eastAsia="標楷體" w:hAnsi="標楷體" w:hint="eastAsia"/>
          <w:szCs w:val="24"/>
        </w:rPr>
        <w:t>、</w:t>
      </w:r>
      <w:r w:rsidR="00326974" w:rsidRPr="00484E64">
        <w:rPr>
          <w:rFonts w:ascii="標楷體" w:eastAsia="標楷體" w:hAnsi="標楷體" w:hint="eastAsia"/>
          <w:szCs w:val="24"/>
        </w:rPr>
        <w:t>金額6億1,493萬餘元，約占總件數42件與總金額10億4</w:t>
      </w:r>
      <w:r w:rsidR="00326974" w:rsidRPr="00484E64">
        <w:rPr>
          <w:rFonts w:ascii="標楷體" w:eastAsia="標楷體" w:hAnsi="標楷體"/>
          <w:szCs w:val="24"/>
        </w:rPr>
        <w:t>,968</w:t>
      </w:r>
      <w:r w:rsidR="00326974" w:rsidRPr="00484E64">
        <w:rPr>
          <w:rFonts w:ascii="標楷體" w:eastAsia="標楷體" w:hAnsi="標楷體" w:hint="eastAsia"/>
          <w:szCs w:val="24"/>
        </w:rPr>
        <w:t>萬餘元之52.38％及58.58％，</w:t>
      </w:r>
      <w:r w:rsidR="00326974" w:rsidRPr="00484E64">
        <w:rPr>
          <w:rFonts w:ascii="標楷體" w:eastAsia="標楷體" w:hAnsi="標楷體" w:hint="eastAsia"/>
          <w:szCs w:val="24"/>
        </w:rPr>
        <w:lastRenderedPageBreak/>
        <w:t>已逾半數；第3期計畫投資之產業類別亦有9</w:t>
      </w:r>
      <w:r w:rsidR="00326974" w:rsidRPr="00484E64">
        <w:rPr>
          <w:rFonts w:ascii="標楷體" w:eastAsia="標楷體" w:hAnsi="標楷體" w:hint="eastAsia"/>
          <w:spacing w:val="2"/>
          <w:szCs w:val="24"/>
        </w:rPr>
        <w:t>大類，雖新增「設計品牌時尚」、「文化資產應用及展演設施」、「視覺藝術」及「其他」等4種產業，惟投資電影及廣播電視產業86件</w:t>
      </w:r>
      <w:r w:rsidR="00107AC8">
        <w:rPr>
          <w:rFonts w:ascii="標楷體" w:eastAsia="標楷體" w:hAnsi="標楷體" w:hint="eastAsia"/>
          <w:spacing w:val="2"/>
          <w:szCs w:val="24"/>
        </w:rPr>
        <w:t>、</w:t>
      </w:r>
      <w:r w:rsidR="00326974" w:rsidRPr="00484E64">
        <w:rPr>
          <w:rFonts w:ascii="標楷體" w:eastAsia="標楷體" w:hAnsi="標楷體" w:hint="eastAsia"/>
          <w:spacing w:val="2"/>
          <w:szCs w:val="24"/>
        </w:rPr>
        <w:t>金額19億3,448萬餘元，占總件數114件與總金額27億7</w:t>
      </w:r>
      <w:r w:rsidR="00326974" w:rsidRPr="00484E64">
        <w:rPr>
          <w:rFonts w:ascii="標楷體" w:eastAsia="標楷體" w:hAnsi="標楷體"/>
          <w:spacing w:val="2"/>
          <w:szCs w:val="24"/>
        </w:rPr>
        <w:t>,245</w:t>
      </w:r>
      <w:r w:rsidR="00326974" w:rsidRPr="00484E64">
        <w:rPr>
          <w:rFonts w:ascii="標楷體" w:eastAsia="標楷體" w:hAnsi="標楷體" w:hint="eastAsia"/>
          <w:spacing w:val="2"/>
          <w:szCs w:val="24"/>
        </w:rPr>
        <w:t>萬餘元之比率達75.44％及69.78％</w:t>
      </w:r>
      <w:r w:rsidR="00326974" w:rsidRPr="00484E64">
        <w:rPr>
          <w:rFonts w:ascii="標楷體" w:eastAsia="標楷體" w:hAnsi="標楷體" w:hint="eastAsia"/>
          <w:szCs w:val="24"/>
        </w:rPr>
        <w:t>，反而更加集中投資於電影及廣播電視產業，與國發基金期扶助文化創意產業蓬勃發展之目標未盡相符。另專業管理公司及文策院依各投資事業之營運績效及經營情況，將所有投資事業分成正常戶、觀察戶、追蹤戶、</w:t>
      </w:r>
      <w:proofErr w:type="gramStart"/>
      <w:r w:rsidR="00326974" w:rsidRPr="00484E64">
        <w:rPr>
          <w:rFonts w:ascii="標楷體" w:eastAsia="標楷體" w:hAnsi="標楷體" w:hint="eastAsia"/>
          <w:szCs w:val="24"/>
        </w:rPr>
        <w:t>列管戶及</w:t>
      </w:r>
      <w:proofErr w:type="gramEnd"/>
      <w:r w:rsidR="00326974" w:rsidRPr="00484E64">
        <w:rPr>
          <w:rFonts w:ascii="標楷體" w:eastAsia="標楷體" w:hAnsi="標楷體" w:hint="eastAsia"/>
          <w:szCs w:val="24"/>
        </w:rPr>
        <w:t>沖銷戶等5大類，截至113年10月底止，</w:t>
      </w:r>
      <w:proofErr w:type="gramStart"/>
      <w:r w:rsidR="00326974" w:rsidRPr="00484E64">
        <w:rPr>
          <w:rFonts w:ascii="標楷體" w:eastAsia="標楷體" w:hAnsi="標楷體" w:hint="eastAsia"/>
          <w:szCs w:val="24"/>
        </w:rPr>
        <w:t>文創投資</w:t>
      </w:r>
      <w:proofErr w:type="gramEnd"/>
      <w:r w:rsidR="00326974" w:rsidRPr="00484E64">
        <w:rPr>
          <w:rFonts w:ascii="標楷體" w:eastAsia="標楷體" w:hAnsi="標楷體" w:hint="eastAsia"/>
          <w:szCs w:val="24"/>
        </w:rPr>
        <w:t>第1</w:t>
      </w:r>
      <w:r w:rsidR="00326974">
        <w:rPr>
          <w:rFonts w:ascii="標楷體" w:eastAsia="標楷體" w:hAnsi="標楷體" w:hint="eastAsia"/>
          <w:szCs w:val="24"/>
        </w:rPr>
        <w:t>期、第</w:t>
      </w:r>
      <w:r w:rsidR="00326974" w:rsidRPr="00484E64">
        <w:rPr>
          <w:rFonts w:ascii="標楷體" w:eastAsia="標楷體" w:hAnsi="標楷體" w:hint="eastAsia"/>
          <w:szCs w:val="24"/>
        </w:rPr>
        <w:t>2期計畫，投資期限已分別於107年6月及112年1月到期，兩期計畫尚未處分之19家被投資事業，僅6家營運為正常戶，其餘13家（68.42％）營運狀況為尚待觀察或績效不佳，整體投資損失（含管理費）分別為2億668萬餘元及1,163萬餘元；至第3期計畫仍在投資</w:t>
      </w:r>
      <w:proofErr w:type="gramStart"/>
      <w:r w:rsidR="00326974" w:rsidRPr="00484E64">
        <w:rPr>
          <w:rFonts w:ascii="標楷體" w:eastAsia="標楷體" w:hAnsi="標楷體" w:hint="eastAsia"/>
          <w:szCs w:val="24"/>
        </w:rPr>
        <w:t>期間（</w:t>
      </w:r>
      <w:proofErr w:type="gramEnd"/>
      <w:r w:rsidR="00326974" w:rsidRPr="00484E64">
        <w:rPr>
          <w:rFonts w:ascii="標楷體" w:eastAsia="標楷體" w:hAnsi="標楷體" w:hint="eastAsia"/>
          <w:szCs w:val="24"/>
        </w:rPr>
        <w:t>114年4月29日截止），尚未處分之25家被投資事業，正常戶13家，營運尚待觀察或績效不佳者，計有12家（48.00％），投資成效有待檢討提升。</w:t>
      </w:r>
    </w:p>
    <w:p w14:paraId="11213D54" w14:textId="17942747" w:rsidR="00CF100C" w:rsidRDefault="00CF100C" w:rsidP="00CA55FD">
      <w:pPr>
        <w:overflowPunct w:val="0"/>
        <w:spacing w:line="424" w:lineRule="exact"/>
        <w:ind w:firstLineChars="450" w:firstLine="1081"/>
        <w:jc w:val="both"/>
        <w:rPr>
          <w:rFonts w:ascii="標楷體" w:eastAsia="標楷體" w:hAnsi="標楷體"/>
          <w:szCs w:val="24"/>
        </w:rPr>
      </w:pPr>
      <w:r w:rsidRPr="00CF100C">
        <w:rPr>
          <w:rFonts w:ascii="標楷體" w:eastAsia="標楷體" w:hAnsi="標楷體" w:hint="eastAsia"/>
          <w:b/>
          <w:bCs/>
          <w:szCs w:val="24"/>
        </w:rPr>
        <w:t>3.　未</w:t>
      </w:r>
      <w:r w:rsidRPr="00CF100C">
        <w:rPr>
          <w:rFonts w:ascii="標楷體" w:eastAsia="標楷體" w:hAnsi="標楷體" w:hint="eastAsia"/>
          <w:b/>
          <w:szCs w:val="24"/>
        </w:rPr>
        <w:t>於規定期間</w:t>
      </w:r>
      <w:proofErr w:type="gramStart"/>
      <w:r w:rsidRPr="00CF100C">
        <w:rPr>
          <w:rFonts w:ascii="標楷體" w:eastAsia="標楷體" w:hAnsi="標楷體" w:hint="eastAsia"/>
          <w:b/>
          <w:szCs w:val="24"/>
        </w:rPr>
        <w:t>完成文創投資</w:t>
      </w:r>
      <w:proofErr w:type="gramEnd"/>
      <w:r w:rsidRPr="00CF100C">
        <w:rPr>
          <w:rFonts w:ascii="標楷體" w:eastAsia="標楷體" w:hAnsi="標楷體" w:hint="eastAsia"/>
          <w:b/>
          <w:szCs w:val="24"/>
        </w:rPr>
        <w:t>第1期計畫剩餘投資案件之處分，增加政府支出，第2期、第3期計畫投資後管理作業亦未</w:t>
      </w:r>
      <w:proofErr w:type="gramStart"/>
      <w:r w:rsidRPr="00CF100C">
        <w:rPr>
          <w:rFonts w:ascii="標楷體" w:eastAsia="標楷體" w:hAnsi="標楷體" w:hint="eastAsia"/>
          <w:b/>
          <w:szCs w:val="24"/>
        </w:rPr>
        <w:t>臻</w:t>
      </w:r>
      <w:proofErr w:type="gramEnd"/>
      <w:r w:rsidRPr="00CF100C">
        <w:rPr>
          <w:rFonts w:ascii="標楷體" w:eastAsia="標楷體" w:hAnsi="標楷體" w:hint="eastAsia"/>
          <w:b/>
          <w:szCs w:val="24"/>
        </w:rPr>
        <w:t>周延：</w:t>
      </w:r>
      <w:r w:rsidRPr="00CF100C">
        <w:rPr>
          <w:rFonts w:ascii="標楷體" w:eastAsia="標楷體" w:hAnsi="標楷體" w:hint="eastAsia"/>
          <w:szCs w:val="24"/>
        </w:rPr>
        <w:t>依加強</w:t>
      </w:r>
      <w:proofErr w:type="gramStart"/>
      <w:r w:rsidRPr="00CF100C">
        <w:rPr>
          <w:rFonts w:ascii="標楷體" w:eastAsia="標楷體" w:hAnsi="標楷體" w:hint="eastAsia"/>
          <w:szCs w:val="24"/>
        </w:rPr>
        <w:t>投資文創產業</w:t>
      </w:r>
      <w:proofErr w:type="gramEnd"/>
      <w:r w:rsidRPr="00CF100C">
        <w:rPr>
          <w:rFonts w:ascii="標楷體" w:eastAsia="標楷體" w:hAnsi="標楷體" w:hint="eastAsia"/>
          <w:szCs w:val="24"/>
        </w:rPr>
        <w:t>實施方案第</w:t>
      </w:r>
      <w:r w:rsidRPr="00CF100C">
        <w:rPr>
          <w:rFonts w:ascii="標楷體" w:eastAsia="標楷體" w:hAnsi="標楷體"/>
          <w:szCs w:val="24"/>
        </w:rPr>
        <w:t>6</w:t>
      </w:r>
      <w:r w:rsidRPr="00CF100C">
        <w:rPr>
          <w:rFonts w:ascii="標楷體" w:eastAsia="標楷體" w:hAnsi="標楷體" w:hint="eastAsia"/>
          <w:szCs w:val="24"/>
        </w:rPr>
        <w:t>點規定，執行單位應要求專業管理公司於所訂投資期限（</w:t>
      </w:r>
      <w:r w:rsidRPr="00CF100C">
        <w:rPr>
          <w:rFonts w:ascii="標楷體" w:eastAsia="標楷體" w:hAnsi="標楷體"/>
          <w:szCs w:val="24"/>
        </w:rPr>
        <w:t>7</w:t>
      </w:r>
      <w:r w:rsidRPr="00CF100C">
        <w:rPr>
          <w:rFonts w:ascii="標楷體" w:eastAsia="標楷體" w:hAnsi="標楷體" w:hint="eastAsia"/>
          <w:szCs w:val="24"/>
        </w:rPr>
        <w:t>年）屆滿後進行剩餘投資案之處分。另依第</w:t>
      </w:r>
      <w:r w:rsidRPr="00CF100C">
        <w:rPr>
          <w:rFonts w:ascii="標楷體" w:eastAsia="標楷體" w:hAnsi="標楷體"/>
          <w:szCs w:val="24"/>
        </w:rPr>
        <w:t>1期、第2</w:t>
      </w:r>
      <w:r w:rsidRPr="00CF100C">
        <w:rPr>
          <w:rFonts w:ascii="標楷體" w:eastAsia="標楷體" w:hAnsi="標楷體" w:hint="eastAsia"/>
          <w:szCs w:val="24"/>
        </w:rPr>
        <w:t>期及第</w:t>
      </w:r>
      <w:r w:rsidRPr="00CF100C">
        <w:rPr>
          <w:rFonts w:ascii="標楷體" w:eastAsia="標楷體" w:hAnsi="標楷體"/>
          <w:szCs w:val="24"/>
        </w:rPr>
        <w:t>3</w:t>
      </w:r>
      <w:r w:rsidRPr="00CF100C">
        <w:rPr>
          <w:rFonts w:ascii="標楷體" w:eastAsia="標楷體" w:hAnsi="標楷體" w:hint="eastAsia"/>
          <w:szCs w:val="24"/>
        </w:rPr>
        <w:t>期計畫作業要點之第</w:t>
      </w:r>
      <w:r w:rsidRPr="00CF100C">
        <w:rPr>
          <w:rFonts w:ascii="標楷體" w:eastAsia="標楷體" w:hAnsi="標楷體"/>
          <w:szCs w:val="24"/>
        </w:rPr>
        <w:t>2</w:t>
      </w:r>
      <w:r w:rsidRPr="00CF100C">
        <w:rPr>
          <w:rFonts w:ascii="標楷體" w:eastAsia="標楷體" w:hAnsi="標楷體" w:hint="eastAsia"/>
          <w:szCs w:val="24"/>
        </w:rPr>
        <w:t>點規定，</w:t>
      </w:r>
      <w:proofErr w:type="gramStart"/>
      <w:r w:rsidRPr="00CF100C">
        <w:rPr>
          <w:rFonts w:ascii="標楷體" w:eastAsia="標楷體" w:hAnsi="標楷體" w:hint="eastAsia"/>
          <w:szCs w:val="24"/>
        </w:rPr>
        <w:t>文化部為保管</w:t>
      </w:r>
      <w:proofErr w:type="gramEnd"/>
      <w:r w:rsidRPr="00CF100C">
        <w:rPr>
          <w:rFonts w:ascii="標楷體" w:eastAsia="標楷體" w:hAnsi="標楷體" w:hint="eastAsia"/>
          <w:szCs w:val="24"/>
        </w:rPr>
        <w:t>國發基金管理會撥付於本方案之資金，委託信託業者設立國發基金加強投資文化創意產業信託專戶，信託管理費則按受託人每年管理信託資產金額千分之二計算，以月為計算單位，毎半年撥付一次。又第</w:t>
      </w:r>
      <w:r w:rsidRPr="00CF100C">
        <w:rPr>
          <w:rFonts w:ascii="標楷體" w:eastAsia="標楷體" w:hAnsi="標楷體"/>
          <w:szCs w:val="24"/>
        </w:rPr>
        <w:t>1期、第2</w:t>
      </w:r>
      <w:r w:rsidRPr="00CF100C">
        <w:rPr>
          <w:rFonts w:ascii="標楷體" w:eastAsia="標楷體" w:hAnsi="標楷體" w:hint="eastAsia"/>
          <w:szCs w:val="24"/>
        </w:rPr>
        <w:t>期計畫作業要點第</w:t>
      </w:r>
      <w:r w:rsidRPr="00CF100C">
        <w:rPr>
          <w:rFonts w:ascii="標楷體" w:eastAsia="標楷體" w:hAnsi="標楷體"/>
          <w:szCs w:val="24"/>
        </w:rPr>
        <w:t>7</w:t>
      </w:r>
      <w:r w:rsidRPr="00CF100C">
        <w:rPr>
          <w:rFonts w:ascii="標楷體" w:eastAsia="標楷體" w:hAnsi="標楷體" w:hint="eastAsia"/>
          <w:szCs w:val="24"/>
        </w:rPr>
        <w:t>點規定，</w:t>
      </w:r>
      <w:proofErr w:type="gramStart"/>
      <w:r w:rsidRPr="00CF100C">
        <w:rPr>
          <w:rFonts w:ascii="標楷體" w:eastAsia="標楷體" w:hAnsi="標楷體" w:hint="eastAsia"/>
          <w:szCs w:val="24"/>
        </w:rPr>
        <w:t>文化部按國發</w:t>
      </w:r>
      <w:proofErr w:type="gramEnd"/>
      <w:r w:rsidRPr="00CF100C">
        <w:rPr>
          <w:rFonts w:ascii="標楷體" w:eastAsia="標楷體" w:hAnsi="標楷體" w:hint="eastAsia"/>
          <w:szCs w:val="24"/>
        </w:rPr>
        <w:t>基金核定之管理費支付標準支付專業管理公司管理費，自本方案執行之日起算，第</w:t>
      </w:r>
      <w:r w:rsidRPr="00CF100C">
        <w:rPr>
          <w:rFonts w:ascii="標楷體" w:eastAsia="標楷體" w:hAnsi="標楷體"/>
          <w:szCs w:val="24"/>
        </w:rPr>
        <w:t>8</w:t>
      </w:r>
      <w:r w:rsidRPr="00CF100C">
        <w:rPr>
          <w:rFonts w:ascii="標楷體" w:eastAsia="標楷體" w:hAnsi="標楷體" w:hint="eastAsia"/>
          <w:szCs w:val="24"/>
        </w:rPr>
        <w:t>年之始日至第</w:t>
      </w:r>
      <w:r w:rsidRPr="00CF100C">
        <w:rPr>
          <w:rFonts w:ascii="標楷體" w:eastAsia="標楷體" w:hAnsi="標楷體"/>
          <w:szCs w:val="24"/>
        </w:rPr>
        <w:t>10</w:t>
      </w:r>
      <w:r w:rsidRPr="00CF100C">
        <w:rPr>
          <w:rFonts w:ascii="標楷體" w:eastAsia="標楷體" w:hAnsi="標楷體" w:hint="eastAsia"/>
          <w:szCs w:val="24"/>
        </w:rPr>
        <w:t>年最終日</w:t>
      </w:r>
      <w:proofErr w:type="gramStart"/>
      <w:r w:rsidRPr="00CF100C">
        <w:rPr>
          <w:rFonts w:ascii="標楷體" w:eastAsia="標楷體" w:hAnsi="標楷體" w:hint="eastAsia"/>
          <w:szCs w:val="24"/>
        </w:rPr>
        <w:t>期間（</w:t>
      </w:r>
      <w:proofErr w:type="gramEnd"/>
      <w:r w:rsidRPr="00CF100C">
        <w:rPr>
          <w:rFonts w:ascii="標楷體" w:eastAsia="標楷體" w:hAnsi="標楷體" w:hint="eastAsia"/>
          <w:szCs w:val="24"/>
        </w:rPr>
        <w:t>即處分期間）之剩餘投資案，調降管理費率。</w:t>
      </w:r>
      <w:proofErr w:type="gramStart"/>
      <w:r w:rsidRPr="00CF100C">
        <w:rPr>
          <w:rFonts w:ascii="標楷體" w:eastAsia="標楷體" w:hAnsi="標楷體" w:hint="eastAsia"/>
          <w:szCs w:val="24"/>
        </w:rPr>
        <w:t>惟</w:t>
      </w:r>
      <w:proofErr w:type="gramEnd"/>
      <w:r w:rsidRPr="00CF100C">
        <w:rPr>
          <w:rFonts w:ascii="標楷體" w:eastAsia="標楷體" w:hAnsi="標楷體" w:hint="eastAsia"/>
          <w:szCs w:val="24"/>
        </w:rPr>
        <w:t>第1期計畫10年執行期限之截止日為110年6月14日，截至113年10月底止，已3年餘，文策院未積極督促專業管理公司提出退場處分計畫，致仍有13家被投資事業尚未處分完畢，已支付信託業者110年6月至113年6月信託專戶管理費用134萬4,048元，且仍持續衍生中，增加政府支出；又第2期計畫於112年1月7日進入處分</w:t>
      </w:r>
      <w:proofErr w:type="gramStart"/>
      <w:r w:rsidRPr="00CF100C">
        <w:rPr>
          <w:rFonts w:ascii="標楷體" w:eastAsia="標楷體" w:hAnsi="標楷體" w:hint="eastAsia"/>
          <w:szCs w:val="24"/>
        </w:rPr>
        <w:t>期間，</w:t>
      </w:r>
      <w:proofErr w:type="gramEnd"/>
      <w:r w:rsidRPr="00CF100C">
        <w:rPr>
          <w:rFonts w:ascii="標楷體" w:eastAsia="標楷體" w:hAnsi="標楷體" w:hint="eastAsia"/>
          <w:szCs w:val="24"/>
        </w:rPr>
        <w:t>應自該日起調降管理費率，惟</w:t>
      </w:r>
      <w:proofErr w:type="gramStart"/>
      <w:r w:rsidRPr="00CF100C">
        <w:rPr>
          <w:rFonts w:ascii="標楷體" w:eastAsia="標楷體" w:hAnsi="標楷體" w:hint="eastAsia"/>
          <w:szCs w:val="24"/>
        </w:rPr>
        <w:t>文化部與專業</w:t>
      </w:r>
      <w:proofErr w:type="gramEnd"/>
      <w:r w:rsidRPr="00CF100C">
        <w:rPr>
          <w:rFonts w:ascii="標楷體" w:eastAsia="標楷體" w:hAnsi="標楷體" w:hint="eastAsia"/>
          <w:szCs w:val="24"/>
        </w:rPr>
        <w:t>管理公司簽訂之委託契約誤植處分期間之起始日為113年1月7日，文策院亦未發現上開情事，致未調降管理費率，113年1月溢付專業管理公司</w:t>
      </w:r>
      <w:proofErr w:type="gramStart"/>
      <w:r w:rsidRPr="00CF100C">
        <w:rPr>
          <w:rFonts w:ascii="標楷體" w:eastAsia="標楷體" w:hAnsi="標楷體" w:hint="eastAsia"/>
          <w:szCs w:val="24"/>
        </w:rPr>
        <w:t>112</w:t>
      </w:r>
      <w:proofErr w:type="gramEnd"/>
      <w:r w:rsidRPr="00CF100C">
        <w:rPr>
          <w:rFonts w:ascii="標楷體" w:eastAsia="標楷體" w:hAnsi="標楷體" w:hint="eastAsia"/>
          <w:szCs w:val="24"/>
        </w:rPr>
        <w:t>年度上半年管理費34萬5,873元（112下半年度之管理費尚未支付）。另第3期計畫新增文化創意產業專案投資，</w:t>
      </w:r>
      <w:proofErr w:type="gramStart"/>
      <w:r w:rsidRPr="00CF100C">
        <w:rPr>
          <w:rFonts w:ascii="標楷體" w:eastAsia="標楷體" w:hAnsi="標楷體" w:hint="eastAsia"/>
          <w:szCs w:val="24"/>
        </w:rPr>
        <w:t>文化部為掌握</w:t>
      </w:r>
      <w:proofErr w:type="gramEnd"/>
      <w:r w:rsidRPr="00CF100C">
        <w:rPr>
          <w:rFonts w:ascii="標楷體" w:eastAsia="標楷體" w:hAnsi="標楷體" w:hint="eastAsia"/>
          <w:szCs w:val="24"/>
        </w:rPr>
        <w:t>專案執行狀況，於第3期計畫作業要點第13點規定，文化創意產業專案業者應定期提供專案管理報表予文策院；該院應擬訂訪視計畫，定期或不定期前往實地訪查追蹤被投資案之經營情形，惟上述要點未明定提供報表期限，截至113年3月底止，第3期計畫投資文化創意產業專案34案，其中12</w:t>
      </w:r>
      <w:proofErr w:type="gramStart"/>
      <w:r w:rsidRPr="00CF100C">
        <w:rPr>
          <w:rFonts w:ascii="標楷體" w:eastAsia="標楷體" w:hAnsi="標楷體" w:hint="eastAsia"/>
          <w:szCs w:val="24"/>
        </w:rPr>
        <w:t>案距撥款</w:t>
      </w:r>
      <w:proofErr w:type="gramEnd"/>
      <w:r w:rsidRPr="00CF100C">
        <w:rPr>
          <w:rFonts w:ascii="標楷體" w:eastAsia="標楷體" w:hAnsi="標楷體" w:hint="eastAsia"/>
          <w:szCs w:val="24"/>
        </w:rPr>
        <w:t>日2至9個月，仍未提供專業管理報表，難以及時瞭解專案執行狀況，據以採取必要因應措施，以減少或消除潛在之投資風險。</w:t>
      </w:r>
    </w:p>
    <w:p w14:paraId="419ECCA8" w14:textId="36937D7C" w:rsidR="00E8604E" w:rsidRPr="002764DD" w:rsidRDefault="00CF100C" w:rsidP="00CA55FD">
      <w:pPr>
        <w:overflowPunct w:val="0"/>
        <w:spacing w:line="420" w:lineRule="exact"/>
        <w:ind w:firstLineChars="200" w:firstLine="496"/>
        <w:jc w:val="both"/>
        <w:rPr>
          <w:rFonts w:hAnsi="標楷體"/>
          <w:bCs/>
          <w:color w:val="000000" w:themeColor="text1"/>
          <w:szCs w:val="24"/>
        </w:rPr>
      </w:pPr>
      <w:r w:rsidRPr="00CF100C">
        <w:rPr>
          <w:rFonts w:ascii="標楷體" w:eastAsia="標楷體" w:hAnsi="標楷體" w:hint="eastAsia"/>
          <w:color w:val="000000" w:themeColor="text1"/>
          <w:spacing w:val="4"/>
          <w:szCs w:val="24"/>
        </w:rPr>
        <w:t>綜上，</w:t>
      </w:r>
      <w:proofErr w:type="gramStart"/>
      <w:r w:rsidRPr="00CF100C">
        <w:rPr>
          <w:rFonts w:ascii="標楷體" w:eastAsia="標楷體" w:hAnsi="標楷體" w:hint="eastAsia"/>
          <w:color w:val="000000" w:themeColor="text1"/>
          <w:spacing w:val="4"/>
          <w:szCs w:val="24"/>
        </w:rPr>
        <w:t>文化部為完備</w:t>
      </w:r>
      <w:proofErr w:type="gramEnd"/>
      <w:r w:rsidRPr="00CF100C">
        <w:rPr>
          <w:rFonts w:ascii="標楷體" w:eastAsia="標楷體" w:hAnsi="標楷體" w:hint="eastAsia"/>
          <w:color w:val="000000" w:themeColor="text1"/>
          <w:spacing w:val="4"/>
          <w:szCs w:val="24"/>
        </w:rPr>
        <w:t>文化創意產業專業支援體系，設立文策院辦理相關業務，惟仍存有資金</w:t>
      </w:r>
      <w:proofErr w:type="gramStart"/>
      <w:r w:rsidRPr="00CF100C">
        <w:rPr>
          <w:rFonts w:ascii="標楷體" w:eastAsia="標楷體" w:hAnsi="標楷體" w:hint="eastAsia"/>
          <w:color w:val="000000" w:themeColor="text1"/>
          <w:spacing w:val="4"/>
          <w:szCs w:val="24"/>
        </w:rPr>
        <w:t>動撥率</w:t>
      </w:r>
      <w:proofErr w:type="gramEnd"/>
      <w:r w:rsidRPr="00CF100C">
        <w:rPr>
          <w:rFonts w:ascii="標楷體" w:eastAsia="標楷體" w:hAnsi="標楷體" w:hint="eastAsia"/>
          <w:color w:val="000000" w:themeColor="text1"/>
          <w:spacing w:val="4"/>
          <w:szCs w:val="24"/>
        </w:rPr>
        <w:t>未及</w:t>
      </w:r>
      <w:proofErr w:type="gramStart"/>
      <w:r w:rsidRPr="00CF100C">
        <w:rPr>
          <w:rFonts w:ascii="標楷體" w:eastAsia="標楷體" w:hAnsi="標楷體" w:hint="eastAsia"/>
          <w:color w:val="000000" w:themeColor="text1"/>
          <w:spacing w:val="4"/>
          <w:szCs w:val="24"/>
        </w:rPr>
        <w:t>4成</w:t>
      </w:r>
      <w:proofErr w:type="gramEnd"/>
      <w:r w:rsidRPr="00CF100C">
        <w:rPr>
          <w:rFonts w:ascii="標楷體" w:eastAsia="標楷體" w:hAnsi="標楷體" w:hint="eastAsia"/>
          <w:color w:val="000000" w:themeColor="text1"/>
          <w:spacing w:val="4"/>
          <w:szCs w:val="24"/>
        </w:rPr>
        <w:t>、資金集中</w:t>
      </w:r>
      <w:proofErr w:type="gramStart"/>
      <w:r w:rsidRPr="00CF100C">
        <w:rPr>
          <w:rFonts w:ascii="標楷體" w:eastAsia="標楷體" w:hAnsi="標楷體" w:hint="eastAsia"/>
          <w:color w:val="000000" w:themeColor="text1"/>
          <w:spacing w:val="4"/>
          <w:szCs w:val="24"/>
        </w:rPr>
        <w:t>挹</w:t>
      </w:r>
      <w:proofErr w:type="gramEnd"/>
      <w:r w:rsidRPr="00CF100C">
        <w:rPr>
          <w:rFonts w:ascii="標楷體" w:eastAsia="標楷體" w:hAnsi="標楷體" w:hint="eastAsia"/>
          <w:color w:val="000000" w:themeColor="text1"/>
          <w:spacing w:val="4"/>
          <w:szCs w:val="24"/>
        </w:rPr>
        <w:t>注於影視產業之情形未有效改善，被投資事業近半數營運</w:t>
      </w:r>
      <w:r w:rsidRPr="00CF100C">
        <w:rPr>
          <w:rFonts w:ascii="標楷體" w:eastAsia="標楷體" w:hAnsi="標楷體" w:hint="eastAsia"/>
          <w:color w:val="000000" w:themeColor="text1"/>
          <w:spacing w:val="4"/>
          <w:szCs w:val="24"/>
        </w:rPr>
        <w:lastRenderedPageBreak/>
        <w:t>尚待觀察或績效不佳，及投資後管理未</w:t>
      </w:r>
      <w:proofErr w:type="gramStart"/>
      <w:r w:rsidRPr="00CF100C">
        <w:rPr>
          <w:rFonts w:ascii="標楷體" w:eastAsia="標楷體" w:hAnsi="標楷體" w:hint="eastAsia"/>
          <w:color w:val="000000" w:themeColor="text1"/>
          <w:spacing w:val="4"/>
          <w:szCs w:val="24"/>
        </w:rPr>
        <w:t>臻</w:t>
      </w:r>
      <w:proofErr w:type="gramEnd"/>
      <w:r w:rsidRPr="00CF100C">
        <w:rPr>
          <w:rFonts w:ascii="標楷體" w:eastAsia="標楷體" w:hAnsi="標楷體" w:hint="eastAsia"/>
          <w:color w:val="000000" w:themeColor="text1"/>
          <w:spacing w:val="4"/>
          <w:szCs w:val="24"/>
        </w:rPr>
        <w:t>周延等情，影響國發基金資金運用效益。允宜督促文化部檢討並加強督導文策院，就投資策略布局進行整體性規劃，精進投資標的之評估審議及諮詢輔導工作，並落實投資後管理，促進文化創意產業多元健全發展，增進財務運用效能。</w:t>
      </w:r>
    </w:p>
    <w:p w14:paraId="041E22F3" w14:textId="780BA128" w:rsidR="00E8604E" w:rsidRPr="002764DD" w:rsidRDefault="00E8604E" w:rsidP="00CA55FD">
      <w:pPr>
        <w:pStyle w:val="2"/>
        <w:overflowPunct w:val="0"/>
        <w:spacing w:beforeLines="30" w:before="108" w:afterLines="30" w:after="108" w:line="42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（九）　</w:t>
      </w:r>
      <w:r w:rsidR="00FF2E4F" w:rsidRPr="00FF2E4F">
        <w:rPr>
          <w:rFonts w:hAnsi="標楷體" w:hint="eastAsia"/>
          <w:b/>
          <w:color w:val="000000" w:themeColor="text1"/>
          <w:sz w:val="28"/>
          <w:szCs w:val="28"/>
        </w:rPr>
        <w:t>政府為實現觀光立國願景，拓展國際觀光市場，並持續輔導地方政府營造觀光環境，惟來</w:t>
      </w:r>
      <w:proofErr w:type="gramStart"/>
      <w:r w:rsidR="00FF2E4F" w:rsidRPr="00FF2E4F">
        <w:rPr>
          <w:rFonts w:hAnsi="標楷體" w:hint="eastAsia"/>
          <w:b/>
          <w:color w:val="000000" w:themeColor="text1"/>
          <w:sz w:val="28"/>
          <w:szCs w:val="28"/>
        </w:rPr>
        <w:t>臺</w:t>
      </w:r>
      <w:proofErr w:type="gramEnd"/>
      <w:r w:rsidR="00FF2E4F" w:rsidRPr="00FF2E4F">
        <w:rPr>
          <w:rFonts w:hAnsi="標楷體" w:hint="eastAsia"/>
          <w:b/>
          <w:color w:val="000000" w:themeColor="text1"/>
          <w:sz w:val="28"/>
          <w:szCs w:val="28"/>
        </w:rPr>
        <w:t>旅客總人次呈現衰退情形，且補助辦理觀光建設計畫，</w:t>
      </w:r>
      <w:proofErr w:type="gramStart"/>
      <w:r w:rsidR="00FF2E4F" w:rsidRPr="00FF2E4F">
        <w:rPr>
          <w:rFonts w:hAnsi="標楷體" w:hint="eastAsia"/>
          <w:b/>
          <w:color w:val="000000" w:themeColor="text1"/>
          <w:sz w:val="28"/>
          <w:szCs w:val="28"/>
        </w:rPr>
        <w:t>間有部分</w:t>
      </w:r>
      <w:proofErr w:type="gramEnd"/>
      <w:r w:rsidR="00FF2E4F" w:rsidRPr="00FF2E4F">
        <w:rPr>
          <w:rFonts w:hAnsi="標楷體" w:hint="eastAsia"/>
          <w:b/>
          <w:color w:val="000000" w:themeColor="text1"/>
          <w:sz w:val="28"/>
          <w:szCs w:val="28"/>
        </w:rPr>
        <w:t>先期規劃作業及經營管理計畫</w:t>
      </w:r>
      <w:proofErr w:type="gramStart"/>
      <w:r w:rsidR="00FF2E4F" w:rsidRPr="00FF2E4F">
        <w:rPr>
          <w:rFonts w:hAnsi="標楷體" w:hint="eastAsia"/>
          <w:b/>
          <w:color w:val="000000" w:themeColor="text1"/>
          <w:sz w:val="28"/>
          <w:szCs w:val="28"/>
        </w:rPr>
        <w:t>未盡周妥</w:t>
      </w:r>
      <w:proofErr w:type="gramEnd"/>
      <w:r w:rsidR="00FF2E4F" w:rsidRPr="00FF2E4F">
        <w:rPr>
          <w:rFonts w:hAnsi="標楷體" w:hint="eastAsia"/>
          <w:b/>
          <w:color w:val="000000" w:themeColor="text1"/>
          <w:sz w:val="28"/>
          <w:szCs w:val="28"/>
        </w:rPr>
        <w:t>等</w:t>
      </w:r>
      <w:r w:rsidR="00ED6DFA">
        <w:rPr>
          <w:rFonts w:hAnsi="標楷體" w:hint="eastAsia"/>
          <w:b/>
          <w:color w:val="000000" w:themeColor="text1"/>
          <w:sz w:val="28"/>
          <w:szCs w:val="28"/>
        </w:rPr>
        <w:t>，</w:t>
      </w:r>
      <w:r w:rsidR="00FF2E4F" w:rsidRPr="00FF2E4F">
        <w:rPr>
          <w:rFonts w:hAnsi="標楷體" w:hint="eastAsia"/>
          <w:b/>
          <w:color w:val="000000" w:themeColor="text1"/>
          <w:sz w:val="28"/>
          <w:szCs w:val="28"/>
        </w:rPr>
        <w:t>允宜督促積極</w:t>
      </w:r>
      <w:proofErr w:type="gramStart"/>
      <w:r w:rsidR="00FF2E4F" w:rsidRPr="00FF2E4F">
        <w:rPr>
          <w:rFonts w:hAnsi="標楷體" w:hint="eastAsia"/>
          <w:b/>
          <w:color w:val="000000" w:themeColor="text1"/>
          <w:sz w:val="28"/>
          <w:szCs w:val="28"/>
        </w:rPr>
        <w:t>研</w:t>
      </w:r>
      <w:proofErr w:type="gramEnd"/>
      <w:r w:rsidR="00FF2E4F" w:rsidRPr="00FF2E4F">
        <w:rPr>
          <w:rFonts w:hAnsi="標楷體" w:hint="eastAsia"/>
          <w:b/>
          <w:color w:val="000000" w:themeColor="text1"/>
          <w:sz w:val="28"/>
          <w:szCs w:val="28"/>
        </w:rPr>
        <w:t>謀改善，</w:t>
      </w:r>
      <w:proofErr w:type="gramStart"/>
      <w:r w:rsidR="00FF2E4F" w:rsidRPr="00FF2E4F">
        <w:rPr>
          <w:rFonts w:hAnsi="標楷體" w:hint="eastAsia"/>
          <w:b/>
          <w:color w:val="000000" w:themeColor="text1"/>
          <w:sz w:val="28"/>
          <w:szCs w:val="28"/>
        </w:rPr>
        <w:t>俾</w:t>
      </w:r>
      <w:proofErr w:type="gramEnd"/>
      <w:r w:rsidR="00FF2E4F" w:rsidRPr="00FF2E4F">
        <w:rPr>
          <w:rFonts w:hAnsi="標楷體" w:hint="eastAsia"/>
          <w:b/>
          <w:color w:val="000000" w:themeColor="text1"/>
          <w:sz w:val="28"/>
          <w:szCs w:val="28"/>
        </w:rPr>
        <w:t>確保政府資源有效運用，發揮觀光綜效。</w:t>
      </w:r>
    </w:p>
    <w:p w14:paraId="132F768F" w14:textId="06B25DAF" w:rsidR="00E8604E" w:rsidRPr="002764DD" w:rsidRDefault="003B4CFF" w:rsidP="00CA55FD">
      <w:pPr>
        <w:pStyle w:val="2"/>
        <w:overflowPunct w:val="0"/>
        <w:spacing w:beforeLines="20" w:before="72" w:afterLines="20" w:after="72" w:line="420" w:lineRule="exact"/>
        <w:ind w:left="0" w:firstLineChars="200" w:firstLine="480"/>
        <w:rPr>
          <w:rFonts w:hAnsi="標楷體"/>
          <w:color w:val="000000" w:themeColor="text1"/>
          <w:sz w:val="24"/>
          <w:szCs w:val="24"/>
        </w:rPr>
      </w:pPr>
      <w:r w:rsidRPr="003B4CFF">
        <w:rPr>
          <w:rFonts w:hAnsi="標楷體" w:hint="eastAsia"/>
          <w:color w:val="000000" w:themeColor="text1"/>
          <w:sz w:val="24"/>
          <w:szCs w:val="24"/>
        </w:rPr>
        <w:t>交通部觀光署為落實台灣觀光政策白皮書之長期發展目標，透過打造魅力景點、整備主題旅遊、優化產業環境、推展數位體驗、廣拓觀光客源等五大執行策略，建立永續多元旅遊環境。有關政府推動觀光發展情形，核有下列事項：</w:t>
      </w:r>
    </w:p>
    <w:p w14:paraId="1EE3FADB" w14:textId="2E8C1371" w:rsidR="00E8604E" w:rsidRPr="002764DD" w:rsidRDefault="00E8604E" w:rsidP="00B2406D">
      <w:pPr>
        <w:overflowPunct w:val="0"/>
        <w:spacing w:line="434"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3B4CFF" w:rsidRPr="00484E64">
        <w:rPr>
          <w:rFonts w:ascii="標楷體" w:eastAsia="標楷體" w:hAnsi="標楷體" w:hint="eastAsia"/>
          <w:b/>
          <w:szCs w:val="24"/>
        </w:rPr>
        <w:t>辦理國際客源開拓相關計畫，惟來</w:t>
      </w:r>
      <w:proofErr w:type="gramStart"/>
      <w:r w:rsidR="003B4CFF" w:rsidRPr="00484E64">
        <w:rPr>
          <w:rFonts w:ascii="標楷體" w:eastAsia="標楷體" w:hAnsi="標楷體" w:hint="eastAsia"/>
          <w:b/>
          <w:szCs w:val="24"/>
        </w:rPr>
        <w:t>臺</w:t>
      </w:r>
      <w:proofErr w:type="gramEnd"/>
      <w:r w:rsidR="003B4CFF" w:rsidRPr="00484E64">
        <w:rPr>
          <w:rFonts w:ascii="標楷體" w:eastAsia="標楷體" w:hAnsi="標楷體" w:hint="eastAsia"/>
          <w:b/>
          <w:szCs w:val="24"/>
        </w:rPr>
        <w:t>旅客總人次呈現衰退情形，觀光逆差尚未見改善，各項措施執行成效未如預期：</w:t>
      </w:r>
      <w:r w:rsidR="003B4CFF" w:rsidRPr="00484E64">
        <w:rPr>
          <w:rFonts w:ascii="標楷體" w:eastAsia="標楷體" w:hAnsi="標楷體" w:hint="eastAsia"/>
          <w:bCs/>
          <w:kern w:val="0"/>
          <w:szCs w:val="24"/>
        </w:rPr>
        <w:t>交通部</w:t>
      </w:r>
      <w:r w:rsidR="003B4CFF" w:rsidRPr="00484E64">
        <w:rPr>
          <w:rFonts w:ascii="標楷體" w:eastAsia="標楷體" w:hAnsi="標楷體" w:hint="eastAsia"/>
          <w:szCs w:val="24"/>
        </w:rPr>
        <w:t>觀光署為吸引國際旅客來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觀光，開拓海外市場，歷年辦理「國際市場開拓計畫」、「精</w:t>
      </w:r>
      <w:proofErr w:type="gramStart"/>
      <w:r w:rsidR="003B4CFF" w:rsidRPr="00484E64">
        <w:rPr>
          <w:rFonts w:ascii="標楷體" w:eastAsia="標楷體" w:hAnsi="標楷體" w:hint="eastAsia"/>
          <w:szCs w:val="24"/>
        </w:rPr>
        <w:t>準</w:t>
      </w:r>
      <w:proofErr w:type="gramEnd"/>
      <w:r w:rsidR="003B4CFF" w:rsidRPr="00484E64">
        <w:rPr>
          <w:rFonts w:ascii="標楷體" w:eastAsia="標楷體" w:hAnsi="標楷體" w:hint="eastAsia"/>
          <w:szCs w:val="24"/>
        </w:rPr>
        <w:t>客源開拓計畫」等，又為因應</w:t>
      </w:r>
      <w:proofErr w:type="gramStart"/>
      <w:r w:rsidR="003B4CFF" w:rsidRPr="00484E64">
        <w:rPr>
          <w:rFonts w:ascii="標楷體" w:eastAsia="標楷體" w:hAnsi="標楷體" w:hint="eastAsia"/>
          <w:szCs w:val="24"/>
        </w:rPr>
        <w:t>新型冠</w:t>
      </w:r>
      <w:proofErr w:type="gramEnd"/>
      <w:r w:rsidR="003B4CFF" w:rsidRPr="00484E64">
        <w:rPr>
          <w:rFonts w:ascii="標楷體" w:eastAsia="標楷體" w:hAnsi="標楷體" w:hint="eastAsia"/>
          <w:szCs w:val="24"/>
        </w:rPr>
        <w:t>狀病毒肺炎（COVID</w:t>
      </w:r>
      <w:r w:rsidR="00501C5C">
        <w:rPr>
          <w:rFonts w:ascii="標楷體" w:eastAsia="標楷體" w:hAnsi="標楷體" w:hint="eastAsia"/>
          <w:szCs w:val="24"/>
        </w:rPr>
        <w:t>-</w:t>
      </w:r>
      <w:r w:rsidR="003B4CFF" w:rsidRPr="00484E64">
        <w:rPr>
          <w:rFonts w:ascii="標楷體" w:eastAsia="標楷體" w:hAnsi="標楷體" w:hint="eastAsia"/>
          <w:szCs w:val="24"/>
        </w:rPr>
        <w:t>19）</w:t>
      </w:r>
      <w:proofErr w:type="gramStart"/>
      <w:r w:rsidR="003B4CFF" w:rsidRPr="00484E64">
        <w:rPr>
          <w:rFonts w:ascii="標楷體" w:eastAsia="標楷體" w:hAnsi="標楷體" w:hint="eastAsia"/>
          <w:szCs w:val="24"/>
        </w:rPr>
        <w:t>疫情致</w:t>
      </w:r>
      <w:proofErr w:type="gramEnd"/>
      <w:r w:rsidR="003B4CFF" w:rsidRPr="00484E64">
        <w:rPr>
          <w:rFonts w:ascii="標楷體" w:eastAsia="標楷體" w:hAnsi="標楷體" w:hint="eastAsia"/>
          <w:szCs w:val="24"/>
        </w:rPr>
        <w:t>旅遊市場復甦緩慢，自</w:t>
      </w:r>
      <w:proofErr w:type="gramStart"/>
      <w:r w:rsidR="003B4CFF" w:rsidRPr="00484E64">
        <w:rPr>
          <w:rFonts w:ascii="標楷體" w:eastAsia="標楷體" w:hAnsi="標楷體" w:hint="eastAsia"/>
          <w:szCs w:val="24"/>
        </w:rPr>
        <w:t>112</w:t>
      </w:r>
      <w:proofErr w:type="gramEnd"/>
      <w:r w:rsidR="003B4CFF" w:rsidRPr="00484E64">
        <w:rPr>
          <w:rFonts w:ascii="標楷體" w:eastAsia="標楷體" w:hAnsi="標楷體" w:hint="eastAsia"/>
          <w:szCs w:val="24"/>
        </w:rPr>
        <w:t>年度起推動「加速擴大吸引國際觀光客方案」，於108至113年度（截至9月底止）計投入經費75.32億元。經分析日、韓等8國108及</w:t>
      </w:r>
      <w:proofErr w:type="gramStart"/>
      <w:r w:rsidR="003B4CFF" w:rsidRPr="00484E64">
        <w:rPr>
          <w:rFonts w:ascii="標楷體" w:eastAsia="標楷體" w:hAnsi="標楷體" w:hint="eastAsia"/>
          <w:szCs w:val="24"/>
        </w:rPr>
        <w:t>112</w:t>
      </w:r>
      <w:proofErr w:type="gramEnd"/>
      <w:r w:rsidR="003B4CFF" w:rsidRPr="00484E64">
        <w:rPr>
          <w:rFonts w:ascii="標楷體" w:eastAsia="標楷體" w:hAnsi="標楷體" w:hint="eastAsia"/>
          <w:szCs w:val="24"/>
        </w:rPr>
        <w:t>年度（</w:t>
      </w:r>
      <w:proofErr w:type="gramStart"/>
      <w:r w:rsidR="003B4CFF" w:rsidRPr="00484E64">
        <w:rPr>
          <w:rFonts w:ascii="標楷體" w:eastAsia="標楷體" w:hAnsi="標楷體" w:hint="eastAsia"/>
          <w:szCs w:val="24"/>
        </w:rPr>
        <w:t>疫</w:t>
      </w:r>
      <w:proofErr w:type="gramEnd"/>
      <w:r w:rsidR="003B4CFF" w:rsidRPr="00484E64">
        <w:rPr>
          <w:rFonts w:ascii="標楷體" w:eastAsia="標楷體" w:hAnsi="標楷體" w:hint="eastAsia"/>
          <w:szCs w:val="24"/>
        </w:rPr>
        <w:t>情前後）來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旅客人次結果，其中以日、韓等主要國外觀光客來源市場減幅最為明顯，分別由</w:t>
      </w:r>
      <w:proofErr w:type="gramStart"/>
      <w:r w:rsidR="003B4CFF" w:rsidRPr="00484E64">
        <w:rPr>
          <w:rFonts w:ascii="標楷體" w:eastAsia="標楷體" w:hAnsi="標楷體" w:hint="eastAsia"/>
          <w:szCs w:val="24"/>
        </w:rPr>
        <w:t>108</w:t>
      </w:r>
      <w:proofErr w:type="gramEnd"/>
      <w:r w:rsidR="003B4CFF" w:rsidRPr="00484E64">
        <w:rPr>
          <w:rFonts w:ascii="標楷體" w:eastAsia="標楷體" w:hAnsi="標楷體" w:hint="eastAsia"/>
          <w:szCs w:val="24"/>
        </w:rPr>
        <w:t>年度之216萬7,952人次、124萬2,598人次，減少至</w:t>
      </w:r>
      <w:proofErr w:type="gramStart"/>
      <w:r w:rsidR="003B4CFF" w:rsidRPr="00484E64">
        <w:rPr>
          <w:rFonts w:ascii="標楷體" w:eastAsia="標楷體" w:hAnsi="標楷體" w:hint="eastAsia"/>
          <w:szCs w:val="24"/>
        </w:rPr>
        <w:t>112</w:t>
      </w:r>
      <w:proofErr w:type="gramEnd"/>
      <w:r w:rsidR="003B4CFF" w:rsidRPr="00484E64">
        <w:rPr>
          <w:rFonts w:ascii="標楷體" w:eastAsia="標楷體" w:hAnsi="標楷體" w:hint="eastAsia"/>
          <w:szCs w:val="24"/>
        </w:rPr>
        <w:t>年度之92萬8,235人次、74萬4,727人次，降幅高達57.18％、40.07％，顯示日、韓等國（重點行銷市場）來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旅客仍未恢復至</w:t>
      </w:r>
      <w:proofErr w:type="gramStart"/>
      <w:r w:rsidR="003B4CFF" w:rsidRPr="00484E64">
        <w:rPr>
          <w:rFonts w:ascii="標楷體" w:eastAsia="標楷體" w:hAnsi="標楷體" w:hint="eastAsia"/>
          <w:szCs w:val="24"/>
        </w:rPr>
        <w:t>疫情前</w:t>
      </w:r>
      <w:proofErr w:type="gramEnd"/>
      <w:r w:rsidR="003B4CFF" w:rsidRPr="00484E64">
        <w:rPr>
          <w:rFonts w:ascii="標楷體" w:eastAsia="標楷體" w:hAnsi="標楷體" w:hint="eastAsia"/>
          <w:szCs w:val="24"/>
        </w:rPr>
        <w:t>水準。另就出國旅客及來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旅客觀光消費支出比較分析結果，</w:t>
      </w:r>
      <w:proofErr w:type="gramStart"/>
      <w:r w:rsidR="003B4CFF" w:rsidRPr="00484E64">
        <w:rPr>
          <w:rFonts w:ascii="標楷體" w:eastAsia="標楷體" w:hAnsi="標楷體" w:hint="eastAsia"/>
          <w:szCs w:val="24"/>
        </w:rPr>
        <w:t>108</w:t>
      </w:r>
      <w:proofErr w:type="gramEnd"/>
      <w:r w:rsidR="003B4CFF" w:rsidRPr="00484E64">
        <w:rPr>
          <w:rFonts w:ascii="標楷體" w:eastAsia="標楷體" w:hAnsi="標楷體" w:hint="eastAsia"/>
          <w:szCs w:val="24"/>
        </w:rPr>
        <w:t>年度觀光消費支出逆差為1,884億元，攀升至</w:t>
      </w:r>
      <w:proofErr w:type="gramStart"/>
      <w:r w:rsidR="003B4CFF" w:rsidRPr="00484E64">
        <w:rPr>
          <w:rFonts w:ascii="標楷體" w:eastAsia="標楷體" w:hAnsi="標楷體" w:hint="eastAsia"/>
          <w:szCs w:val="24"/>
        </w:rPr>
        <w:t>112</w:t>
      </w:r>
      <w:proofErr w:type="gramEnd"/>
      <w:r w:rsidR="003B4CFF" w:rsidRPr="00484E64">
        <w:rPr>
          <w:rFonts w:ascii="標楷體" w:eastAsia="標楷體" w:hAnsi="標楷體" w:hint="eastAsia"/>
          <w:szCs w:val="24"/>
        </w:rPr>
        <w:t>年度之2,137億元，顯示</w:t>
      </w:r>
      <w:proofErr w:type="gramStart"/>
      <w:r w:rsidR="003B4CFF" w:rsidRPr="00484E64">
        <w:rPr>
          <w:rFonts w:ascii="標楷體" w:eastAsia="標楷體" w:hAnsi="標楷體" w:hint="eastAsia"/>
          <w:szCs w:val="24"/>
        </w:rPr>
        <w:t>疫</w:t>
      </w:r>
      <w:proofErr w:type="gramEnd"/>
      <w:r w:rsidR="003B4CFF" w:rsidRPr="00484E64">
        <w:rPr>
          <w:rFonts w:ascii="標楷體" w:eastAsia="標楷體" w:hAnsi="標楷體" w:hint="eastAsia"/>
          <w:szCs w:val="24"/>
        </w:rPr>
        <w:t>後觀光消費支出逆差大幅增加。據</w:t>
      </w:r>
      <w:r w:rsidR="003B4CFF" w:rsidRPr="00484E64">
        <w:rPr>
          <w:rFonts w:ascii="標楷體" w:eastAsia="標楷體" w:hAnsi="標楷體" w:hint="eastAsia"/>
          <w:bCs/>
          <w:kern w:val="0"/>
          <w:szCs w:val="24"/>
        </w:rPr>
        <w:t>交通部觀光署</w:t>
      </w:r>
      <w:r w:rsidR="003B4CFF" w:rsidRPr="00484E64">
        <w:rPr>
          <w:rFonts w:ascii="標楷體" w:eastAsia="標楷體" w:hAnsi="標楷體" w:hint="eastAsia"/>
          <w:szCs w:val="24"/>
        </w:rPr>
        <w:t>行政資訊網公告之觀光新聞，原訂</w:t>
      </w:r>
      <w:proofErr w:type="gramStart"/>
      <w:r w:rsidR="003B4CFF" w:rsidRPr="00484E64">
        <w:rPr>
          <w:rFonts w:ascii="標楷體" w:eastAsia="標楷體" w:hAnsi="標楷體"/>
          <w:szCs w:val="24"/>
        </w:rPr>
        <w:t>113</w:t>
      </w:r>
      <w:proofErr w:type="gramEnd"/>
      <w:r w:rsidR="003B4CFF" w:rsidRPr="00484E64">
        <w:rPr>
          <w:rFonts w:ascii="標楷體" w:eastAsia="標楷體" w:hAnsi="標楷體" w:hint="eastAsia"/>
          <w:szCs w:val="24"/>
        </w:rPr>
        <w:t>年度國際旅客來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目標為</w:t>
      </w:r>
      <w:r w:rsidR="003B4CFF" w:rsidRPr="00484E64">
        <w:rPr>
          <w:rFonts w:ascii="標楷體" w:eastAsia="標楷體" w:hAnsi="標楷體"/>
          <w:szCs w:val="24"/>
        </w:rPr>
        <w:t>1,200</w:t>
      </w:r>
      <w:r w:rsidR="003B4CFF" w:rsidRPr="00484E64">
        <w:rPr>
          <w:rFonts w:ascii="標楷體" w:eastAsia="標楷體" w:hAnsi="標楷體" w:hint="eastAsia"/>
          <w:szCs w:val="24"/>
        </w:rPr>
        <w:t>萬人次，因實際來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旅客情形未如預期，經該署於</w:t>
      </w:r>
      <w:r w:rsidR="003B4CFF" w:rsidRPr="00484E64">
        <w:rPr>
          <w:rFonts w:ascii="標楷體" w:eastAsia="標楷體" w:hAnsi="標楷體"/>
          <w:szCs w:val="24"/>
        </w:rPr>
        <w:t>113</w:t>
      </w:r>
      <w:r w:rsidR="003B4CFF" w:rsidRPr="00484E64">
        <w:rPr>
          <w:rFonts w:ascii="標楷體" w:eastAsia="標楷體" w:hAnsi="標楷體" w:hint="eastAsia"/>
          <w:szCs w:val="24"/>
        </w:rPr>
        <w:t>年</w:t>
      </w:r>
      <w:r w:rsidR="003B4CFF" w:rsidRPr="00484E64">
        <w:rPr>
          <w:rFonts w:ascii="標楷體" w:eastAsia="標楷體" w:hAnsi="標楷體"/>
          <w:szCs w:val="24"/>
        </w:rPr>
        <w:t>4</w:t>
      </w:r>
      <w:r w:rsidR="003B4CFF" w:rsidRPr="00484E64">
        <w:rPr>
          <w:rFonts w:ascii="標楷體" w:eastAsia="標楷體" w:hAnsi="標楷體" w:hint="eastAsia"/>
          <w:szCs w:val="24"/>
        </w:rPr>
        <w:t>月及10月兩度下修目標至</w:t>
      </w:r>
      <w:r w:rsidR="003B4CFF" w:rsidRPr="00484E64">
        <w:rPr>
          <w:rFonts w:ascii="標楷體" w:eastAsia="標楷體" w:hAnsi="標楷體"/>
          <w:szCs w:val="24"/>
        </w:rPr>
        <w:t>750</w:t>
      </w:r>
      <w:r w:rsidR="003B4CFF" w:rsidRPr="00484E64">
        <w:rPr>
          <w:rFonts w:ascii="標楷體" w:eastAsia="標楷體" w:hAnsi="標楷體" w:hint="eastAsia"/>
          <w:szCs w:val="24"/>
        </w:rPr>
        <w:t>萬人次。另據日本觀光局統計資料，日本</w:t>
      </w:r>
      <w:r w:rsidR="003B4CFF" w:rsidRPr="00484E64">
        <w:rPr>
          <w:rFonts w:ascii="標楷體" w:eastAsia="標楷體" w:hAnsi="標楷體"/>
          <w:szCs w:val="24"/>
        </w:rPr>
        <w:t>2024</w:t>
      </w:r>
      <w:r w:rsidR="003B4CFF" w:rsidRPr="00484E64">
        <w:rPr>
          <w:rFonts w:ascii="標楷體" w:eastAsia="標楷體" w:hAnsi="標楷體" w:hint="eastAsia"/>
          <w:szCs w:val="24"/>
        </w:rPr>
        <w:t>年前</w:t>
      </w:r>
      <w:r w:rsidR="003B4CFF" w:rsidRPr="00484E64">
        <w:rPr>
          <w:rFonts w:ascii="標楷體" w:eastAsia="標楷體" w:hAnsi="標楷體"/>
          <w:szCs w:val="24"/>
        </w:rPr>
        <w:t>3</w:t>
      </w:r>
      <w:r w:rsidR="003B4CFF" w:rsidRPr="00484E64">
        <w:rPr>
          <w:rFonts w:ascii="標楷體" w:eastAsia="標楷體" w:hAnsi="標楷體" w:hint="eastAsia"/>
          <w:szCs w:val="24"/>
        </w:rPr>
        <w:t>季外國觀光客入</w:t>
      </w:r>
      <w:r w:rsidR="003B4CFF" w:rsidRPr="00484E64">
        <w:rPr>
          <w:rFonts w:ascii="標楷體" w:eastAsia="標楷體" w:hAnsi="標楷體" w:hint="eastAsia"/>
          <w:spacing w:val="-2"/>
          <w:szCs w:val="24"/>
        </w:rPr>
        <w:t>境人數為</w:t>
      </w:r>
      <w:r w:rsidR="003B4CFF" w:rsidRPr="00484E64">
        <w:rPr>
          <w:rFonts w:ascii="標楷體" w:eastAsia="標楷體" w:hAnsi="標楷體"/>
          <w:spacing w:val="-2"/>
          <w:szCs w:val="24"/>
        </w:rPr>
        <w:t>2,688</w:t>
      </w:r>
      <w:r w:rsidR="003B4CFF" w:rsidRPr="00484E64">
        <w:rPr>
          <w:rFonts w:ascii="標楷體" w:eastAsia="標楷體" w:hAnsi="標楷體" w:hint="eastAsia"/>
          <w:spacing w:val="-2"/>
          <w:szCs w:val="24"/>
        </w:rPr>
        <w:t>萬餘</w:t>
      </w:r>
      <w:proofErr w:type="gramStart"/>
      <w:r w:rsidR="003B4CFF" w:rsidRPr="00484E64">
        <w:rPr>
          <w:rFonts w:ascii="標楷體" w:eastAsia="標楷體" w:hAnsi="標楷體" w:hint="eastAsia"/>
          <w:spacing w:val="-2"/>
          <w:szCs w:val="24"/>
        </w:rPr>
        <w:t>人次，</w:t>
      </w:r>
      <w:proofErr w:type="gramEnd"/>
      <w:r w:rsidR="003B4CFF" w:rsidRPr="00484E64">
        <w:rPr>
          <w:rFonts w:ascii="標楷體" w:eastAsia="標楷體" w:hAnsi="標楷體" w:hint="eastAsia"/>
          <w:spacing w:val="-2"/>
          <w:szCs w:val="24"/>
        </w:rPr>
        <w:t>已逾</w:t>
      </w:r>
      <w:r w:rsidR="003B4CFF" w:rsidRPr="00484E64">
        <w:rPr>
          <w:rFonts w:ascii="標楷體" w:eastAsia="標楷體" w:hAnsi="標楷體"/>
          <w:spacing w:val="-2"/>
          <w:szCs w:val="24"/>
        </w:rPr>
        <w:t>2019</w:t>
      </w:r>
      <w:r w:rsidR="003B4CFF" w:rsidRPr="00484E64">
        <w:rPr>
          <w:rFonts w:ascii="標楷體" w:eastAsia="標楷體" w:hAnsi="標楷體" w:hint="eastAsia"/>
          <w:spacing w:val="-2"/>
          <w:szCs w:val="24"/>
        </w:rPr>
        <w:t>年同期之2,441萬餘人次；韓國觀光公社統計，韓國2024年前3季外國觀光客入境人數為1,213萬餘</w:t>
      </w:r>
      <w:proofErr w:type="gramStart"/>
      <w:r w:rsidR="003B4CFF" w:rsidRPr="00484E64">
        <w:rPr>
          <w:rFonts w:ascii="標楷體" w:eastAsia="標楷體" w:hAnsi="標楷體" w:hint="eastAsia"/>
          <w:spacing w:val="-2"/>
          <w:szCs w:val="24"/>
        </w:rPr>
        <w:t>人次，</w:t>
      </w:r>
      <w:proofErr w:type="gramEnd"/>
      <w:r w:rsidR="003B4CFF" w:rsidRPr="00484E64">
        <w:rPr>
          <w:rFonts w:ascii="標楷體" w:eastAsia="標楷體" w:hAnsi="標楷體" w:hint="eastAsia"/>
          <w:spacing w:val="-2"/>
          <w:szCs w:val="24"/>
        </w:rPr>
        <w:t>亦已恢復至2019年同期水準之93.85％。反觀我國</w:t>
      </w:r>
      <w:proofErr w:type="gramStart"/>
      <w:r w:rsidR="003B4CFF" w:rsidRPr="00484E64">
        <w:rPr>
          <w:rFonts w:ascii="標楷體" w:eastAsia="標楷體" w:hAnsi="標楷體" w:hint="eastAsia"/>
          <w:spacing w:val="-2"/>
          <w:szCs w:val="24"/>
        </w:rPr>
        <w:t>113</w:t>
      </w:r>
      <w:proofErr w:type="gramEnd"/>
      <w:r w:rsidR="003B4CFF" w:rsidRPr="00484E64">
        <w:rPr>
          <w:rFonts w:ascii="標楷體" w:eastAsia="標楷體" w:hAnsi="標楷體" w:hint="eastAsia"/>
          <w:spacing w:val="-2"/>
          <w:szCs w:val="24"/>
        </w:rPr>
        <w:t>年度前3季入境旅客人數554萬餘</w:t>
      </w:r>
      <w:proofErr w:type="gramStart"/>
      <w:r w:rsidR="003B4CFF" w:rsidRPr="00484E64">
        <w:rPr>
          <w:rFonts w:ascii="標楷體" w:eastAsia="標楷體" w:hAnsi="標楷體" w:hint="eastAsia"/>
          <w:spacing w:val="-2"/>
          <w:szCs w:val="24"/>
        </w:rPr>
        <w:t>人次，</w:t>
      </w:r>
      <w:proofErr w:type="gramEnd"/>
      <w:r w:rsidR="003B4CFF" w:rsidRPr="00484E64">
        <w:rPr>
          <w:rFonts w:ascii="標楷體" w:eastAsia="標楷體" w:hAnsi="標楷體" w:hint="eastAsia"/>
          <w:spacing w:val="-2"/>
          <w:szCs w:val="24"/>
        </w:rPr>
        <w:t>僅恢復至108年同期879萬</w:t>
      </w:r>
      <w:r w:rsidR="00983B11">
        <w:rPr>
          <w:rFonts w:ascii="標楷體" w:eastAsia="標楷體" w:hAnsi="標楷體" w:hint="eastAsia"/>
          <w:spacing w:val="-2"/>
          <w:szCs w:val="24"/>
        </w:rPr>
        <w:t>餘</w:t>
      </w:r>
      <w:r w:rsidR="003B4CFF" w:rsidRPr="00484E64">
        <w:rPr>
          <w:rFonts w:ascii="標楷體" w:eastAsia="標楷體" w:hAnsi="標楷體" w:hint="eastAsia"/>
          <w:spacing w:val="-2"/>
          <w:szCs w:val="24"/>
        </w:rPr>
        <w:t>人次之63.07％，</w:t>
      </w:r>
      <w:r w:rsidR="003B4CFF" w:rsidRPr="00484E64">
        <w:rPr>
          <w:rFonts w:ascii="標楷體" w:eastAsia="標楷體" w:hAnsi="標楷體" w:hint="eastAsia"/>
          <w:szCs w:val="24"/>
        </w:rPr>
        <w:t>顯示</w:t>
      </w:r>
      <w:r w:rsidR="003B4CFF" w:rsidRPr="00484E64">
        <w:rPr>
          <w:rFonts w:ascii="標楷體" w:eastAsia="標楷體" w:hAnsi="標楷體" w:hint="eastAsia"/>
          <w:bCs/>
          <w:kern w:val="0"/>
          <w:szCs w:val="24"/>
        </w:rPr>
        <w:t>交通部</w:t>
      </w:r>
      <w:r w:rsidR="003B4CFF" w:rsidRPr="00484E64">
        <w:rPr>
          <w:rFonts w:ascii="標楷體" w:eastAsia="標楷體" w:hAnsi="標楷體" w:hint="eastAsia"/>
          <w:szCs w:val="24"/>
        </w:rPr>
        <w:t>觀光署推動國際觀光行銷策略及促進旅客來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具體措施多年，來</w:t>
      </w:r>
      <w:proofErr w:type="gramStart"/>
      <w:r w:rsidR="003B4CFF" w:rsidRPr="00484E64">
        <w:rPr>
          <w:rFonts w:ascii="標楷體" w:eastAsia="標楷體" w:hAnsi="標楷體" w:hint="eastAsia"/>
          <w:szCs w:val="24"/>
        </w:rPr>
        <w:t>臺</w:t>
      </w:r>
      <w:proofErr w:type="gramEnd"/>
      <w:r w:rsidR="003B4CFF" w:rsidRPr="00484E64">
        <w:rPr>
          <w:rFonts w:ascii="標楷體" w:eastAsia="標楷體" w:hAnsi="標楷體" w:hint="eastAsia"/>
          <w:szCs w:val="24"/>
        </w:rPr>
        <w:t>旅客復甦情形與觀光競爭力仍待強化，且觀光消費支出逆差情形未見改善，政府投入觀光行銷資源未盡發揮預期效益。</w:t>
      </w:r>
    </w:p>
    <w:p w14:paraId="2B1B7229" w14:textId="5C9500E8" w:rsidR="00E8604E" w:rsidRDefault="00E8604E" w:rsidP="00CA55FD">
      <w:pPr>
        <w:overflowPunct w:val="0"/>
        <w:spacing w:line="42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845D36" w:rsidRPr="00484E64">
        <w:rPr>
          <w:rFonts w:ascii="標楷體" w:eastAsia="標楷體" w:hAnsi="標楷體" w:hint="eastAsia"/>
          <w:b/>
          <w:szCs w:val="24"/>
        </w:rPr>
        <w:t>補助地</w:t>
      </w:r>
      <w:r w:rsidR="00845D36" w:rsidRPr="00484E64">
        <w:rPr>
          <w:rFonts w:ascii="標楷體" w:eastAsia="標楷體" w:hAnsi="標楷體" w:hint="eastAsia"/>
          <w:b/>
          <w:spacing w:val="-4"/>
          <w:szCs w:val="24"/>
        </w:rPr>
        <w:t>方政府辦理觀光建設計畫，</w:t>
      </w:r>
      <w:proofErr w:type="gramStart"/>
      <w:r w:rsidR="00845D36" w:rsidRPr="00484E64">
        <w:rPr>
          <w:rFonts w:ascii="標楷體" w:eastAsia="標楷體" w:hAnsi="標楷體" w:hint="eastAsia"/>
          <w:b/>
          <w:spacing w:val="-4"/>
          <w:szCs w:val="24"/>
        </w:rPr>
        <w:t>間有部分</w:t>
      </w:r>
      <w:proofErr w:type="gramEnd"/>
      <w:r w:rsidR="00845D36" w:rsidRPr="00484E64">
        <w:rPr>
          <w:rFonts w:ascii="標楷體" w:eastAsia="標楷體" w:hAnsi="標楷體" w:hint="eastAsia"/>
          <w:b/>
          <w:spacing w:val="-4"/>
          <w:szCs w:val="24"/>
        </w:rPr>
        <w:t>補助案件先期規劃作業</w:t>
      </w:r>
      <w:proofErr w:type="gramStart"/>
      <w:r w:rsidR="00845D36" w:rsidRPr="00484E64">
        <w:rPr>
          <w:rFonts w:ascii="標楷體" w:eastAsia="標楷體" w:hAnsi="標楷體" w:hint="eastAsia"/>
          <w:b/>
          <w:spacing w:val="-4"/>
          <w:szCs w:val="24"/>
        </w:rPr>
        <w:t>未盡周妥</w:t>
      </w:r>
      <w:proofErr w:type="gramEnd"/>
      <w:r w:rsidR="00845D36" w:rsidRPr="00484E64">
        <w:rPr>
          <w:rFonts w:ascii="標楷體" w:eastAsia="標楷體" w:hAnsi="標楷體" w:hint="eastAsia"/>
          <w:b/>
          <w:spacing w:val="-4"/>
          <w:szCs w:val="24"/>
        </w:rPr>
        <w:t>、未落實經營管理計畫及自償收益偏低等情事，影響振興觀光成效：</w:t>
      </w:r>
      <w:r w:rsidR="00845D36" w:rsidRPr="00484E64">
        <w:rPr>
          <w:rFonts w:ascii="標楷體" w:eastAsia="標楷體" w:hAnsi="標楷體" w:hint="eastAsia"/>
          <w:spacing w:val="-4"/>
          <w:szCs w:val="24"/>
        </w:rPr>
        <w:t>政府為發展特色觀光，提升觀光遊憩據點服務品質，先後辦理「</w:t>
      </w:r>
      <w:proofErr w:type="gramStart"/>
      <w:r w:rsidR="00845D36" w:rsidRPr="00484E64">
        <w:rPr>
          <w:rFonts w:ascii="標楷體" w:eastAsia="標楷體" w:hAnsi="標楷體" w:hint="eastAsia"/>
          <w:spacing w:val="-4"/>
          <w:szCs w:val="24"/>
        </w:rPr>
        <w:t>跨域亮</w:t>
      </w:r>
      <w:proofErr w:type="gramEnd"/>
      <w:r w:rsidR="00845D36" w:rsidRPr="00484E64">
        <w:rPr>
          <w:rFonts w:ascii="標楷體" w:eastAsia="標楷體" w:hAnsi="標楷體" w:hint="eastAsia"/>
          <w:spacing w:val="-4"/>
          <w:szCs w:val="24"/>
        </w:rPr>
        <w:t>點及特色加值計畫中程計畫（104－107年）」（下稱跨域加值計畫，含「跨域亮點計畫」及「遊憩據點特色加值計畫」）、「體驗觀光</w:t>
      </w:r>
      <w:r w:rsidR="00845D36" w:rsidRPr="00484E64">
        <w:rPr>
          <w:rFonts w:ascii="標楷體" w:eastAsia="標楷體" w:hAnsi="標楷體" w:hint="eastAsia"/>
          <w:szCs w:val="24"/>
        </w:rPr>
        <w:t>－地方旅遊環境營造計畫中程計畫</w:t>
      </w:r>
      <w:r w:rsidR="00845D36" w:rsidRPr="00484E64">
        <w:rPr>
          <w:rFonts w:ascii="標楷體" w:eastAsia="標楷體" w:hAnsi="標楷體" w:hint="eastAsia"/>
          <w:szCs w:val="24"/>
        </w:rPr>
        <w:lastRenderedPageBreak/>
        <w:t>（108－112年）」（下稱體驗觀光計畫），補助地方政府加強觀光旅遊環境整備計610案，投資金額逾126億元，期營造觀光景點在地魅力及延長遊客停留時間。又</w:t>
      </w:r>
      <w:r w:rsidR="00845D36" w:rsidRPr="00484E64">
        <w:rPr>
          <w:rFonts w:ascii="標楷體" w:eastAsia="標楷體" w:hAnsi="標楷體" w:hint="eastAsia"/>
          <w:bCs/>
          <w:kern w:val="0"/>
          <w:szCs w:val="24"/>
        </w:rPr>
        <w:t>交通部</w:t>
      </w:r>
      <w:r w:rsidR="00845D36" w:rsidRPr="00484E64">
        <w:rPr>
          <w:rFonts w:ascii="標楷體" w:eastAsia="標楷體" w:hAnsi="標楷體" w:hint="eastAsia"/>
          <w:szCs w:val="24"/>
        </w:rPr>
        <w:t>觀光署為加強地方政府經營管理責任及導入自償性經費概念，依國家風景區暨補助地方觀光建設計畫財務規劃審查作業要點第6點規定，請地方政府務實提報財務計畫及落實經濟效益評估，以強化中央政府扶植地方觀光建設投資效益。依上開計畫申請須知列載計畫審查原則，計畫須取得用地所有權或土地使用同意書、須有妥善之經營管理及維護計畫及核實評估自償性財源實現能力與各項收益估列之核實性等；計畫自償率越高者得優先核定。</w:t>
      </w:r>
      <w:proofErr w:type="gramStart"/>
      <w:r w:rsidR="00845D36" w:rsidRPr="00484E64">
        <w:rPr>
          <w:rFonts w:ascii="標楷體" w:eastAsia="標楷體" w:hAnsi="標楷體" w:hint="eastAsia"/>
          <w:szCs w:val="24"/>
        </w:rPr>
        <w:t>惟間有部分</w:t>
      </w:r>
      <w:proofErr w:type="gramEnd"/>
      <w:r w:rsidR="00845D36" w:rsidRPr="00484E64">
        <w:rPr>
          <w:rFonts w:ascii="標楷體" w:eastAsia="標楷體" w:hAnsi="標楷體" w:hint="eastAsia"/>
          <w:szCs w:val="24"/>
        </w:rPr>
        <w:t>補助案件或有先期規劃及前置作業未盡完備，於土地建物尚無法合法使用、未提出可行之營運管理計畫等情況下仍獲核定補助；受補助機關未切實執行應於取得建造執照，及確定施工用地取得後，始得辦理工程招標等應辦事項；部分地方政府未落實經營管理計畫，致設施閒置或低度利用等情。又體驗觀光計畫實際自償率為9.26％，較前期</w:t>
      </w:r>
      <w:proofErr w:type="gramStart"/>
      <w:r w:rsidR="00845D36" w:rsidRPr="00484E64">
        <w:rPr>
          <w:rFonts w:ascii="標楷體" w:eastAsia="標楷體" w:hAnsi="標楷體" w:hint="eastAsia"/>
          <w:szCs w:val="24"/>
        </w:rPr>
        <w:t>跨域加</w:t>
      </w:r>
      <w:proofErr w:type="gramEnd"/>
      <w:r w:rsidR="00845D36" w:rsidRPr="00484E64">
        <w:rPr>
          <w:rFonts w:ascii="標楷體" w:eastAsia="標楷體" w:hAnsi="標楷體" w:hint="eastAsia"/>
          <w:szCs w:val="24"/>
        </w:rPr>
        <w:t>值計畫實際自償率之15.34％，減少6.08個百分點，顯示</w:t>
      </w:r>
      <w:r w:rsidR="00845D36" w:rsidRPr="00484E64">
        <w:rPr>
          <w:rFonts w:ascii="標楷體" w:eastAsia="標楷體" w:hAnsi="標楷體" w:hint="eastAsia"/>
          <w:bCs/>
          <w:kern w:val="0"/>
          <w:szCs w:val="24"/>
        </w:rPr>
        <w:t>交通部</w:t>
      </w:r>
      <w:r w:rsidR="00845D36" w:rsidRPr="00484E64">
        <w:rPr>
          <w:rFonts w:ascii="標楷體" w:eastAsia="標楷體" w:hAnsi="標楷體" w:hint="eastAsia"/>
          <w:szCs w:val="24"/>
        </w:rPr>
        <w:t>觀光署補助地方政府辦理觀光建設計畫投資效益仍有待提升。另依遊憩據點特色加值計畫執行</w:t>
      </w:r>
      <w:proofErr w:type="gramStart"/>
      <w:r w:rsidR="00845D36" w:rsidRPr="00484E64">
        <w:rPr>
          <w:rFonts w:ascii="標楷體" w:eastAsia="標楷體" w:hAnsi="標楷體" w:hint="eastAsia"/>
          <w:szCs w:val="24"/>
        </w:rPr>
        <w:t>注意事項列述</w:t>
      </w:r>
      <w:proofErr w:type="gramEnd"/>
      <w:r w:rsidR="00845D36" w:rsidRPr="00484E64">
        <w:rPr>
          <w:rFonts w:ascii="標楷體" w:eastAsia="標楷體" w:hAnsi="標楷體" w:hint="eastAsia"/>
          <w:szCs w:val="24"/>
        </w:rPr>
        <w:t>，受補助計畫之自償性經費，原則由觀光發展基金先行墊支，受補助機關應自計畫完工啟用後次年度，依核定工作計畫書之回饋計畫及方式，以每年至少1％逐年回饋至觀光發展基金，回饋年期以20年為限。</w:t>
      </w:r>
      <w:proofErr w:type="gramStart"/>
      <w:r w:rsidR="00845D36" w:rsidRPr="00484E64">
        <w:rPr>
          <w:rFonts w:ascii="標楷體" w:eastAsia="標楷體" w:hAnsi="標楷體" w:hint="eastAsia"/>
          <w:szCs w:val="24"/>
        </w:rPr>
        <w:t>惟</w:t>
      </w:r>
      <w:proofErr w:type="gramEnd"/>
      <w:r w:rsidR="00845D36" w:rsidRPr="00484E64">
        <w:rPr>
          <w:rFonts w:ascii="標楷體" w:eastAsia="標楷體" w:hAnsi="標楷體" w:hint="eastAsia"/>
          <w:szCs w:val="24"/>
        </w:rPr>
        <w:t>截至113年9</w:t>
      </w:r>
      <w:r w:rsidR="00845D36" w:rsidRPr="00484E64">
        <w:rPr>
          <w:rFonts w:ascii="標楷體" w:eastAsia="標楷體" w:hAnsi="標楷體" w:hint="eastAsia"/>
          <w:spacing w:val="2"/>
          <w:szCs w:val="24"/>
        </w:rPr>
        <w:t>月底止，340件補助案中尚有「蘇澳冷泉整體再造特色加值計畫」等88件補助案之</w:t>
      </w:r>
      <w:proofErr w:type="gramStart"/>
      <w:r w:rsidR="00845D36" w:rsidRPr="00484E64">
        <w:rPr>
          <w:rFonts w:ascii="標楷體" w:eastAsia="標楷體" w:hAnsi="標楷體" w:hint="eastAsia"/>
          <w:spacing w:val="2"/>
          <w:szCs w:val="24"/>
        </w:rPr>
        <w:t>自償款未完</w:t>
      </w:r>
      <w:proofErr w:type="gramEnd"/>
      <w:r w:rsidR="00845D36" w:rsidRPr="00484E64">
        <w:rPr>
          <w:rFonts w:ascii="標楷體" w:eastAsia="標楷體" w:hAnsi="標楷體" w:hint="eastAsia"/>
          <w:spacing w:val="2"/>
          <w:szCs w:val="24"/>
        </w:rPr>
        <w:t>全繳回，待追繳金額計1億7,938萬餘元，占應繳回金額4億2,799萬餘元之41.91％，其中「</w:t>
      </w:r>
      <w:proofErr w:type="gramStart"/>
      <w:r w:rsidR="00845D36" w:rsidRPr="00484E64">
        <w:rPr>
          <w:rFonts w:ascii="標楷體" w:eastAsia="標楷體" w:hAnsi="標楷體" w:hint="eastAsia"/>
          <w:spacing w:val="2"/>
          <w:szCs w:val="24"/>
        </w:rPr>
        <w:t>北泰雅</w:t>
      </w:r>
      <w:proofErr w:type="gramEnd"/>
      <w:r w:rsidR="00845D36" w:rsidRPr="00484E64">
        <w:rPr>
          <w:rFonts w:ascii="標楷體" w:eastAsia="標楷體" w:hAnsi="標楷體" w:hint="eastAsia"/>
          <w:spacing w:val="2"/>
          <w:szCs w:val="24"/>
        </w:rPr>
        <w:t>NAHUY旅遊服務站暨周邊環境改善整備工程計畫」及「新竹縣尖石鄉玉峰村遊憩系統－</w:t>
      </w:r>
      <w:r w:rsidR="00845D36" w:rsidRPr="00484E64">
        <w:rPr>
          <w:rFonts w:ascii="標楷體" w:eastAsia="標楷體" w:hAnsi="標楷體" w:hint="eastAsia"/>
          <w:szCs w:val="24"/>
        </w:rPr>
        <w:t>老鷹溪步道修繕工程」等2件分別於105及</w:t>
      </w:r>
      <w:proofErr w:type="gramStart"/>
      <w:r w:rsidR="00845D36" w:rsidRPr="00484E64">
        <w:rPr>
          <w:rFonts w:ascii="標楷體" w:eastAsia="標楷體" w:hAnsi="標楷體" w:hint="eastAsia"/>
          <w:szCs w:val="24"/>
        </w:rPr>
        <w:t>106</w:t>
      </w:r>
      <w:proofErr w:type="gramEnd"/>
      <w:r w:rsidR="00845D36" w:rsidRPr="00484E64">
        <w:rPr>
          <w:rFonts w:ascii="標楷體" w:eastAsia="標楷體" w:hAnsi="標楷體" w:hint="eastAsia"/>
          <w:szCs w:val="24"/>
        </w:rPr>
        <w:t>年度經</w:t>
      </w:r>
      <w:r w:rsidR="00845D36" w:rsidRPr="00484E64">
        <w:rPr>
          <w:rFonts w:ascii="標楷體" w:eastAsia="標楷體" w:hAnsi="標楷體" w:hint="eastAsia"/>
          <w:bCs/>
          <w:kern w:val="0"/>
          <w:szCs w:val="24"/>
        </w:rPr>
        <w:t>交通部</w:t>
      </w:r>
      <w:r w:rsidR="00845D36" w:rsidRPr="00484E64">
        <w:rPr>
          <w:rFonts w:ascii="標楷體" w:eastAsia="標楷體" w:hAnsi="標楷體" w:hint="eastAsia"/>
          <w:szCs w:val="24"/>
        </w:rPr>
        <w:t>觀光署核定，合計應繳回</w:t>
      </w:r>
      <w:proofErr w:type="gramStart"/>
      <w:r w:rsidR="00845D36" w:rsidRPr="00484E64">
        <w:rPr>
          <w:rFonts w:ascii="標楷體" w:eastAsia="標楷體" w:hAnsi="標楷體" w:hint="eastAsia"/>
          <w:szCs w:val="24"/>
        </w:rPr>
        <w:t>自償款金額</w:t>
      </w:r>
      <w:proofErr w:type="gramEnd"/>
      <w:r w:rsidR="00845D36" w:rsidRPr="00484E64">
        <w:rPr>
          <w:rFonts w:ascii="標楷體" w:eastAsia="標楷體" w:hAnsi="標楷體" w:hint="eastAsia"/>
          <w:szCs w:val="24"/>
        </w:rPr>
        <w:t>逾300萬元，惟截至113年9月底止，全數未繳回。</w:t>
      </w:r>
    </w:p>
    <w:p w14:paraId="56F75720" w14:textId="31FA0A17" w:rsidR="00E8604E" w:rsidRPr="002764DD" w:rsidRDefault="00845D36" w:rsidP="00CA55FD">
      <w:pPr>
        <w:overflowPunct w:val="0"/>
        <w:spacing w:line="430" w:lineRule="exact"/>
        <w:ind w:firstLineChars="200" w:firstLine="480"/>
        <w:jc w:val="both"/>
        <w:rPr>
          <w:rFonts w:hAnsi="標楷體"/>
          <w:bCs/>
          <w:color w:val="000000" w:themeColor="text1"/>
          <w:szCs w:val="24"/>
        </w:rPr>
      </w:pPr>
      <w:r w:rsidRPr="00484E64">
        <w:rPr>
          <w:rFonts w:ascii="標楷體" w:eastAsia="標楷體" w:hAnsi="標楷體" w:hint="eastAsia"/>
          <w:bCs/>
          <w:kern w:val="0"/>
          <w:szCs w:val="24"/>
        </w:rPr>
        <w:t>綜上，政府為實現「觀光立國」之願景，已將觀光產業列為國家重要之策略性產業，允宜督促主管機關與相關部會合作</w:t>
      </w:r>
      <w:proofErr w:type="gramStart"/>
      <w:r w:rsidRPr="00484E64">
        <w:rPr>
          <w:rFonts w:ascii="標楷體" w:eastAsia="標楷體" w:hAnsi="標楷體" w:hint="eastAsia"/>
          <w:bCs/>
          <w:kern w:val="0"/>
          <w:szCs w:val="24"/>
        </w:rPr>
        <w:t>研</w:t>
      </w:r>
      <w:proofErr w:type="gramEnd"/>
      <w:r w:rsidRPr="00484E64">
        <w:rPr>
          <w:rFonts w:ascii="標楷體" w:eastAsia="標楷體" w:hAnsi="標楷體" w:hint="eastAsia"/>
          <w:bCs/>
          <w:kern w:val="0"/>
          <w:szCs w:val="24"/>
        </w:rPr>
        <w:t>訂國際觀光行銷策略，暨促進國際旅客來</w:t>
      </w:r>
      <w:proofErr w:type="gramStart"/>
      <w:r w:rsidRPr="00484E64">
        <w:rPr>
          <w:rFonts w:ascii="標楷體" w:eastAsia="標楷體" w:hAnsi="標楷體" w:hint="eastAsia"/>
          <w:bCs/>
          <w:kern w:val="0"/>
          <w:szCs w:val="24"/>
        </w:rPr>
        <w:t>臺</w:t>
      </w:r>
      <w:proofErr w:type="gramEnd"/>
      <w:r w:rsidRPr="00484E64">
        <w:rPr>
          <w:rFonts w:ascii="標楷體" w:eastAsia="標楷體" w:hAnsi="標楷體" w:hint="eastAsia"/>
          <w:bCs/>
          <w:kern w:val="0"/>
          <w:szCs w:val="24"/>
        </w:rPr>
        <w:t>具體措施，</w:t>
      </w:r>
      <w:proofErr w:type="gramStart"/>
      <w:r w:rsidRPr="00484E64">
        <w:rPr>
          <w:rFonts w:ascii="標楷體" w:eastAsia="標楷體" w:hAnsi="標楷體" w:hint="eastAsia"/>
          <w:bCs/>
          <w:kern w:val="0"/>
          <w:szCs w:val="24"/>
        </w:rPr>
        <w:t>俾</w:t>
      </w:r>
      <w:proofErr w:type="gramEnd"/>
      <w:r w:rsidRPr="00484E64">
        <w:rPr>
          <w:rFonts w:ascii="標楷體" w:eastAsia="標楷體" w:hAnsi="標楷體" w:hint="eastAsia"/>
          <w:bCs/>
          <w:kern w:val="0"/>
          <w:szCs w:val="24"/>
        </w:rPr>
        <w:t>吸引及擴大境外旅客來</w:t>
      </w:r>
      <w:proofErr w:type="gramStart"/>
      <w:r w:rsidRPr="00484E64">
        <w:rPr>
          <w:rFonts w:ascii="標楷體" w:eastAsia="標楷體" w:hAnsi="標楷體" w:hint="eastAsia"/>
          <w:bCs/>
          <w:kern w:val="0"/>
          <w:szCs w:val="24"/>
        </w:rPr>
        <w:t>臺</w:t>
      </w:r>
      <w:proofErr w:type="gramEnd"/>
      <w:r w:rsidRPr="00484E64">
        <w:rPr>
          <w:rFonts w:ascii="標楷體" w:eastAsia="標楷體" w:hAnsi="標楷體" w:hint="eastAsia"/>
          <w:bCs/>
          <w:kern w:val="0"/>
          <w:szCs w:val="24"/>
        </w:rPr>
        <w:t>，增進觀光產值；另加強督導中央補助機關與地方政府詳實規劃補助建設及落實經營管理計畫，以促使補助資源發揮振興觀光成效，並維護觀光發展基金財務健全。</w:t>
      </w:r>
    </w:p>
    <w:p w14:paraId="69D6445C" w14:textId="73A7660E" w:rsidR="00E8604E" w:rsidRPr="002764DD" w:rsidRDefault="00E8604E" w:rsidP="00CA55FD">
      <w:pPr>
        <w:pStyle w:val="2"/>
        <w:overflowPunct w:val="0"/>
        <w:spacing w:beforeLines="20" w:before="72" w:afterLines="20" w:after="72" w:line="42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（十）　</w:t>
      </w:r>
      <w:r w:rsidR="00007106" w:rsidRPr="00007106">
        <w:rPr>
          <w:rFonts w:hAnsi="標楷體" w:hint="eastAsia"/>
          <w:b/>
          <w:color w:val="000000" w:themeColor="text1"/>
          <w:sz w:val="28"/>
          <w:szCs w:val="28"/>
        </w:rPr>
        <w:t>政府推動提升道路品質計畫，有助改善道路服務品質，</w:t>
      </w:r>
      <w:proofErr w:type="gramStart"/>
      <w:r w:rsidR="00007106" w:rsidRPr="00007106">
        <w:rPr>
          <w:rFonts w:hAnsi="標楷體" w:hint="eastAsia"/>
          <w:b/>
          <w:color w:val="000000" w:themeColor="text1"/>
          <w:sz w:val="28"/>
          <w:szCs w:val="28"/>
        </w:rPr>
        <w:t>惟間有未</w:t>
      </w:r>
      <w:proofErr w:type="gramEnd"/>
      <w:r w:rsidR="00007106" w:rsidRPr="00007106">
        <w:rPr>
          <w:rFonts w:hAnsi="標楷體" w:hint="eastAsia"/>
          <w:b/>
          <w:color w:val="000000" w:themeColor="text1"/>
          <w:sz w:val="28"/>
          <w:szCs w:val="28"/>
        </w:rPr>
        <w:t>落實結果導向訂定績效指標，且未能有效督促受補助機關配合執行該整合與建置項目，影響計畫效益</w:t>
      </w:r>
      <w:r w:rsidR="0090145C">
        <w:rPr>
          <w:rFonts w:hAnsi="標楷體" w:hint="eastAsia"/>
          <w:b/>
          <w:color w:val="000000" w:themeColor="text1"/>
          <w:sz w:val="28"/>
          <w:szCs w:val="28"/>
        </w:rPr>
        <w:t>，</w:t>
      </w:r>
      <w:r w:rsidR="00007106" w:rsidRPr="00007106">
        <w:rPr>
          <w:rFonts w:hAnsi="標楷體" w:hint="eastAsia"/>
          <w:b/>
          <w:color w:val="000000" w:themeColor="text1"/>
          <w:sz w:val="28"/>
          <w:szCs w:val="28"/>
        </w:rPr>
        <w:t>允宜督促強化計畫執行管考機制，促請受補助機關積極執行計畫所訂管線整</w:t>
      </w:r>
      <w:proofErr w:type="gramStart"/>
      <w:r w:rsidR="00007106" w:rsidRPr="00007106">
        <w:rPr>
          <w:rFonts w:hAnsi="標楷體" w:hint="eastAsia"/>
          <w:b/>
          <w:color w:val="000000" w:themeColor="text1"/>
          <w:sz w:val="28"/>
          <w:szCs w:val="28"/>
        </w:rPr>
        <w:t>併</w:t>
      </w:r>
      <w:proofErr w:type="gramEnd"/>
      <w:r w:rsidR="00007106" w:rsidRPr="00007106">
        <w:rPr>
          <w:rFonts w:hAnsi="標楷體" w:hint="eastAsia"/>
          <w:b/>
          <w:color w:val="000000" w:themeColor="text1"/>
          <w:sz w:val="28"/>
          <w:szCs w:val="28"/>
        </w:rPr>
        <w:t>下地等工作，並參酌受補助機關有效推動作法或案例，針對無法取得用地之關鍵因素，協助</w:t>
      </w:r>
      <w:proofErr w:type="gramStart"/>
      <w:r w:rsidR="00007106" w:rsidRPr="00007106">
        <w:rPr>
          <w:rFonts w:hAnsi="標楷體" w:hint="eastAsia"/>
          <w:b/>
          <w:color w:val="000000" w:themeColor="text1"/>
          <w:sz w:val="28"/>
          <w:szCs w:val="28"/>
        </w:rPr>
        <w:t>研謀善策</w:t>
      </w:r>
      <w:proofErr w:type="gramEnd"/>
      <w:r w:rsidR="00007106" w:rsidRPr="00007106">
        <w:rPr>
          <w:rFonts w:hAnsi="標楷體" w:hint="eastAsia"/>
          <w:b/>
          <w:color w:val="000000" w:themeColor="text1"/>
          <w:sz w:val="28"/>
          <w:szCs w:val="28"/>
        </w:rPr>
        <w:t>因應，以增進財務效能及交通與人行安全性之效益。</w:t>
      </w:r>
    </w:p>
    <w:p w14:paraId="5C09602D" w14:textId="735CCE59" w:rsidR="00E8604E" w:rsidRPr="002764DD" w:rsidRDefault="00007106" w:rsidP="00CA55FD">
      <w:pPr>
        <w:pStyle w:val="2"/>
        <w:overflowPunct w:val="0"/>
        <w:spacing w:beforeLines="20" w:before="72" w:afterLines="20" w:after="72" w:line="400" w:lineRule="exact"/>
        <w:ind w:left="0" w:firstLineChars="200" w:firstLine="480"/>
        <w:rPr>
          <w:rFonts w:hAnsi="標楷體"/>
          <w:color w:val="000000" w:themeColor="text1"/>
          <w:sz w:val="24"/>
          <w:szCs w:val="24"/>
        </w:rPr>
      </w:pPr>
      <w:r w:rsidRPr="00007106">
        <w:rPr>
          <w:rFonts w:hAnsi="標楷體" w:hint="eastAsia"/>
          <w:color w:val="000000" w:themeColor="text1"/>
          <w:sz w:val="24"/>
          <w:szCs w:val="24"/>
        </w:rPr>
        <w:t>內政部為提升道路品質，辦理提升道路品質計畫（106年9月至110年8月），經費計212億元；</w:t>
      </w:r>
      <w:proofErr w:type="gramStart"/>
      <w:r w:rsidRPr="00007106">
        <w:rPr>
          <w:rFonts w:hAnsi="標楷體" w:hint="eastAsia"/>
          <w:color w:val="000000" w:themeColor="text1"/>
          <w:sz w:val="24"/>
          <w:szCs w:val="24"/>
        </w:rPr>
        <w:t>嗣</w:t>
      </w:r>
      <w:proofErr w:type="gramEnd"/>
      <w:r w:rsidRPr="00007106">
        <w:rPr>
          <w:rFonts w:hAnsi="標楷體" w:hint="eastAsia"/>
          <w:color w:val="000000" w:themeColor="text1"/>
          <w:sz w:val="24"/>
          <w:szCs w:val="24"/>
        </w:rPr>
        <w:t>為繼續推動上開計畫相關工作</w:t>
      </w:r>
      <w:r w:rsidR="00194FBA">
        <w:rPr>
          <w:rFonts w:hAnsi="標楷體" w:hint="eastAsia"/>
          <w:color w:val="000000" w:themeColor="text1"/>
          <w:sz w:val="24"/>
          <w:szCs w:val="24"/>
        </w:rPr>
        <w:t>，</w:t>
      </w:r>
      <w:r w:rsidRPr="00007106">
        <w:rPr>
          <w:rFonts w:hAnsi="標楷體" w:hint="eastAsia"/>
          <w:color w:val="000000" w:themeColor="text1"/>
          <w:sz w:val="24"/>
          <w:szCs w:val="24"/>
        </w:rPr>
        <w:t>陳報提升道路品質計畫2.0（106年9月至114年8月），其中110至114年度經費計269億餘元，用以補助直轄市、縣（市）政府改善重點發展之</w:t>
      </w:r>
      <w:r w:rsidRPr="00007106">
        <w:rPr>
          <w:rFonts w:hAnsi="標楷體" w:hint="eastAsia"/>
          <w:color w:val="000000" w:themeColor="text1"/>
          <w:sz w:val="24"/>
          <w:szCs w:val="24"/>
        </w:rPr>
        <w:lastRenderedPageBreak/>
        <w:t>道路，主要工作項目包含共同管（線）溝整合與建置等，期改善道路品質減少道路挖掘，以增進交通及人行安全性。有關共同管（線）溝整合與建置情形，核有下列事項：</w:t>
      </w:r>
    </w:p>
    <w:p w14:paraId="6EBB879F" w14:textId="1F86FFBB" w:rsidR="00E8604E" w:rsidRPr="002764DD" w:rsidRDefault="00E8604E" w:rsidP="00CA55FD">
      <w:pPr>
        <w:overflowPunct w:val="0"/>
        <w:spacing w:line="424"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303E0A" w:rsidRPr="00484E64">
        <w:rPr>
          <w:rFonts w:ascii="標楷體" w:eastAsia="標楷體" w:hAnsi="標楷體" w:hint="eastAsia"/>
          <w:b/>
          <w:szCs w:val="24"/>
        </w:rPr>
        <w:t>內政部推動提升道路品質計畫2.0，刪除管線下地長度相關關鍵績效指標，無法藉以鼓勵受補助機關主動協調台灣電力公司將既有架空配電線路整</w:t>
      </w:r>
      <w:proofErr w:type="gramStart"/>
      <w:r w:rsidR="00303E0A" w:rsidRPr="00484E64">
        <w:rPr>
          <w:rFonts w:ascii="標楷體" w:eastAsia="標楷體" w:hAnsi="標楷體" w:hint="eastAsia"/>
          <w:b/>
          <w:szCs w:val="24"/>
        </w:rPr>
        <w:t>併</w:t>
      </w:r>
      <w:proofErr w:type="gramEnd"/>
      <w:r w:rsidR="00303E0A" w:rsidRPr="00484E64">
        <w:rPr>
          <w:rFonts w:ascii="標楷體" w:eastAsia="標楷體" w:hAnsi="標楷體" w:hint="eastAsia"/>
          <w:b/>
          <w:szCs w:val="24"/>
        </w:rPr>
        <w:t>下地，影響計畫執行效能：</w:t>
      </w:r>
      <w:r w:rsidR="00303E0A" w:rsidRPr="00484E64">
        <w:rPr>
          <w:rFonts w:ascii="標楷體" w:eastAsia="標楷體" w:hAnsi="標楷體" w:hint="eastAsia"/>
          <w:szCs w:val="24"/>
        </w:rPr>
        <w:t>內政部推動上開2項計畫之主要工作項目包含共同管（線）溝整合與建置。</w:t>
      </w:r>
      <w:proofErr w:type="gramStart"/>
      <w:r w:rsidR="00303E0A" w:rsidRPr="00484E64">
        <w:rPr>
          <w:rFonts w:ascii="標楷體" w:eastAsia="標楷體" w:hAnsi="標楷體" w:hint="eastAsia"/>
          <w:szCs w:val="24"/>
        </w:rPr>
        <w:t>該部為鼓勵</w:t>
      </w:r>
      <w:proofErr w:type="gramEnd"/>
      <w:r w:rsidR="00303E0A" w:rsidRPr="00484E64">
        <w:rPr>
          <w:rFonts w:ascii="標楷體" w:eastAsia="標楷體" w:hAnsi="標楷體" w:hint="eastAsia"/>
          <w:szCs w:val="24"/>
        </w:rPr>
        <w:t>共同管（線）溝整合與建置，於提升道路品質計畫訂有辦理共同管（線）溝之直轄市政府，中央增加補助5％，縣市政府部分中央則增加補助10％之規定，並將管線下地長度列為關鍵績效指標之</w:t>
      </w:r>
      <w:proofErr w:type="gramStart"/>
      <w:r w:rsidR="00303E0A" w:rsidRPr="00484E64">
        <w:rPr>
          <w:rFonts w:ascii="標楷體" w:eastAsia="標楷體" w:hAnsi="標楷體" w:hint="eastAsia"/>
          <w:szCs w:val="24"/>
        </w:rPr>
        <w:t>一</w:t>
      </w:r>
      <w:proofErr w:type="gramEnd"/>
      <w:r w:rsidR="00303E0A" w:rsidRPr="00484E64">
        <w:rPr>
          <w:rFonts w:ascii="標楷體" w:eastAsia="標楷體" w:hAnsi="標楷體" w:hint="eastAsia"/>
          <w:szCs w:val="24"/>
        </w:rPr>
        <w:t>。惟受補助機關執行過程屢因配電設備之設置遭地方民眾</w:t>
      </w:r>
      <w:proofErr w:type="gramStart"/>
      <w:r w:rsidR="00303E0A" w:rsidRPr="00484E64">
        <w:rPr>
          <w:rFonts w:ascii="標楷體" w:eastAsia="標楷體" w:hAnsi="標楷體" w:hint="eastAsia"/>
          <w:szCs w:val="24"/>
        </w:rPr>
        <w:t>陳抗及</w:t>
      </w:r>
      <w:proofErr w:type="gramEnd"/>
      <w:r w:rsidR="00303E0A" w:rsidRPr="00484E64">
        <w:rPr>
          <w:rFonts w:ascii="標楷體" w:eastAsia="標楷體" w:hAnsi="標楷體" w:hint="eastAsia"/>
          <w:szCs w:val="24"/>
        </w:rPr>
        <w:t>經費不足等問題，而未協調台灣電力公司將改善道路品質工程範圍內之既有架空配電線路下地，顯見受補助機關辦理管線共同整合下地相關工作推動存有一定難度。嗣後內政部自</w:t>
      </w:r>
      <w:r w:rsidR="00303E0A" w:rsidRPr="00484E64">
        <w:rPr>
          <w:rFonts w:ascii="標楷體" w:eastAsia="標楷體" w:hAnsi="標楷體"/>
          <w:szCs w:val="24"/>
        </w:rPr>
        <w:t>110</w:t>
      </w:r>
      <w:r w:rsidR="00303E0A" w:rsidRPr="00484E64">
        <w:rPr>
          <w:rFonts w:ascii="標楷體" w:eastAsia="標楷體" w:hAnsi="標楷體" w:hint="eastAsia"/>
          <w:szCs w:val="24"/>
        </w:rPr>
        <w:t>年起辦理提升道路品質計畫</w:t>
      </w:r>
      <w:r w:rsidR="00303E0A" w:rsidRPr="00484E64">
        <w:rPr>
          <w:rFonts w:ascii="標楷體" w:eastAsia="標楷體" w:hAnsi="標楷體"/>
          <w:szCs w:val="24"/>
        </w:rPr>
        <w:t>2.0</w:t>
      </w:r>
      <w:r w:rsidR="00303E0A" w:rsidRPr="00484E64">
        <w:rPr>
          <w:rFonts w:ascii="標楷體" w:eastAsia="標楷體" w:hAnsi="標楷體" w:hint="eastAsia"/>
          <w:szCs w:val="24"/>
        </w:rPr>
        <w:t>，未就相關推動困境</w:t>
      </w:r>
      <w:proofErr w:type="gramStart"/>
      <w:r w:rsidR="00303E0A" w:rsidRPr="00484E64">
        <w:rPr>
          <w:rFonts w:ascii="標楷體" w:eastAsia="標楷體" w:hAnsi="標楷體" w:hint="eastAsia"/>
          <w:szCs w:val="24"/>
        </w:rPr>
        <w:t>研</w:t>
      </w:r>
      <w:proofErr w:type="gramEnd"/>
      <w:r w:rsidR="00303E0A" w:rsidRPr="00484E64">
        <w:rPr>
          <w:rFonts w:ascii="標楷體" w:eastAsia="標楷體" w:hAnsi="標楷體" w:hint="eastAsia"/>
          <w:szCs w:val="24"/>
        </w:rPr>
        <w:t>謀有效因應對策，反刪除上述共同管（線）溝整合與建置增加補助經費條件，及管線下地長度之關鍵績效指標，且未</w:t>
      </w:r>
      <w:proofErr w:type="gramStart"/>
      <w:r w:rsidR="00303E0A" w:rsidRPr="00484E64">
        <w:rPr>
          <w:rFonts w:ascii="標楷體" w:eastAsia="標楷體" w:hAnsi="標楷體" w:hint="eastAsia"/>
          <w:szCs w:val="24"/>
        </w:rPr>
        <w:t>賡</w:t>
      </w:r>
      <w:proofErr w:type="gramEnd"/>
      <w:r w:rsidR="00303E0A" w:rsidRPr="00484E64">
        <w:rPr>
          <w:rFonts w:ascii="標楷體" w:eastAsia="標楷體" w:hAnsi="標楷體" w:hint="eastAsia"/>
          <w:szCs w:val="24"/>
        </w:rPr>
        <w:t>續統計受補助機關執行管線下地長度。據本部運用地理資訊系統（</w:t>
      </w:r>
      <w:r w:rsidR="00303E0A" w:rsidRPr="00484E64">
        <w:rPr>
          <w:rFonts w:ascii="標楷體" w:eastAsia="標楷體" w:hAnsi="標楷體"/>
          <w:szCs w:val="24"/>
        </w:rPr>
        <w:t>QGIS</w:t>
      </w:r>
      <w:r w:rsidR="00303E0A" w:rsidRPr="00484E64">
        <w:rPr>
          <w:rFonts w:ascii="標楷體" w:eastAsia="標楷體" w:hAnsi="標楷體" w:hint="eastAsia"/>
          <w:szCs w:val="24"/>
        </w:rPr>
        <w:t>）將台灣電力公司公告實施</w:t>
      </w:r>
      <w:proofErr w:type="gramStart"/>
      <w:r w:rsidR="00303E0A" w:rsidRPr="00484E64">
        <w:rPr>
          <w:rFonts w:ascii="標楷體" w:eastAsia="標楷體" w:hAnsi="標楷體" w:hint="eastAsia"/>
          <w:szCs w:val="24"/>
        </w:rPr>
        <w:t>地下化配電區</w:t>
      </w:r>
      <w:proofErr w:type="gramEnd"/>
      <w:r w:rsidR="00303E0A" w:rsidRPr="00484E64">
        <w:rPr>
          <w:rFonts w:ascii="標楷體" w:eastAsia="標楷體" w:hAnsi="標楷體" w:hint="eastAsia"/>
          <w:szCs w:val="24"/>
        </w:rPr>
        <w:t>範圍，與提升道路品質計畫</w:t>
      </w:r>
      <w:r w:rsidR="00303E0A" w:rsidRPr="00484E64">
        <w:rPr>
          <w:rFonts w:ascii="標楷體" w:eastAsia="標楷體" w:hAnsi="標楷體"/>
          <w:szCs w:val="24"/>
        </w:rPr>
        <w:t>2.0</w:t>
      </w:r>
      <w:r w:rsidR="00303E0A" w:rsidRPr="00484E64">
        <w:rPr>
          <w:rFonts w:ascii="標楷體" w:eastAsia="標楷體" w:hAnsi="標楷體" w:hint="eastAsia"/>
          <w:szCs w:val="24"/>
        </w:rPr>
        <w:t>之</w:t>
      </w:r>
      <w:r w:rsidR="00303E0A" w:rsidRPr="00484E64">
        <w:rPr>
          <w:rFonts w:ascii="標楷體" w:eastAsia="標楷體" w:hAnsi="標楷體"/>
          <w:szCs w:val="24"/>
        </w:rPr>
        <w:t>110</w:t>
      </w:r>
      <w:r w:rsidR="00303E0A" w:rsidRPr="00484E64">
        <w:rPr>
          <w:rFonts w:ascii="標楷體" w:eastAsia="標楷體" w:hAnsi="標楷體" w:hint="eastAsia"/>
          <w:szCs w:val="24"/>
        </w:rPr>
        <w:t>至</w:t>
      </w:r>
      <w:r w:rsidR="00303E0A" w:rsidRPr="00484E64">
        <w:rPr>
          <w:rFonts w:ascii="標楷體" w:eastAsia="標楷體" w:hAnsi="標楷體"/>
          <w:szCs w:val="24"/>
        </w:rPr>
        <w:t>112</w:t>
      </w:r>
      <w:r w:rsidR="00303E0A" w:rsidRPr="00484E64">
        <w:rPr>
          <w:rFonts w:ascii="標楷體" w:eastAsia="標楷體" w:hAnsi="標楷體" w:hint="eastAsia"/>
          <w:szCs w:val="24"/>
        </w:rPr>
        <w:t>年度受補助改善道路品質工程採購案（計</w:t>
      </w:r>
      <w:r w:rsidR="00303E0A" w:rsidRPr="00484E64">
        <w:rPr>
          <w:rFonts w:ascii="標楷體" w:eastAsia="標楷體" w:hAnsi="標楷體"/>
          <w:szCs w:val="24"/>
        </w:rPr>
        <w:t>417</w:t>
      </w:r>
      <w:r w:rsidR="00303E0A" w:rsidRPr="00484E64">
        <w:rPr>
          <w:rFonts w:ascii="標楷體" w:eastAsia="標楷體" w:hAnsi="標楷體" w:hint="eastAsia"/>
          <w:szCs w:val="24"/>
        </w:rPr>
        <w:t>件）</w:t>
      </w:r>
      <w:proofErr w:type="gramStart"/>
      <w:r w:rsidR="00303E0A" w:rsidRPr="00484E64">
        <w:rPr>
          <w:rFonts w:ascii="標楷體" w:eastAsia="標楷體" w:hAnsi="標楷體" w:hint="eastAsia"/>
          <w:szCs w:val="24"/>
        </w:rPr>
        <w:t>工址進行</w:t>
      </w:r>
      <w:proofErr w:type="gramEnd"/>
      <w:r w:rsidR="00303E0A" w:rsidRPr="00484E64">
        <w:rPr>
          <w:rFonts w:ascii="標楷體" w:eastAsia="標楷體" w:hAnsi="標楷體" w:hint="eastAsia"/>
          <w:szCs w:val="24"/>
        </w:rPr>
        <w:t>圖</w:t>
      </w:r>
      <w:proofErr w:type="gramStart"/>
      <w:r w:rsidR="00303E0A" w:rsidRPr="00484E64">
        <w:rPr>
          <w:rFonts w:ascii="標楷體" w:eastAsia="標楷體" w:hAnsi="標楷體" w:hint="eastAsia"/>
          <w:szCs w:val="24"/>
        </w:rPr>
        <w:t>層套疊</w:t>
      </w:r>
      <w:proofErr w:type="gramEnd"/>
      <w:r w:rsidR="00303E0A" w:rsidRPr="00484E64">
        <w:rPr>
          <w:rFonts w:ascii="標楷體" w:eastAsia="標楷體" w:hAnsi="標楷體" w:hint="eastAsia"/>
          <w:szCs w:val="24"/>
        </w:rPr>
        <w:t>結果，</w:t>
      </w:r>
      <w:proofErr w:type="gramStart"/>
      <w:r w:rsidR="00303E0A" w:rsidRPr="00484E64">
        <w:rPr>
          <w:rFonts w:ascii="標楷體" w:eastAsia="標楷體" w:hAnsi="標楷體" w:hint="eastAsia"/>
          <w:szCs w:val="24"/>
        </w:rPr>
        <w:t>工址路段</w:t>
      </w:r>
      <w:proofErr w:type="gramEnd"/>
      <w:r w:rsidR="00303E0A" w:rsidRPr="00484E64">
        <w:rPr>
          <w:rFonts w:ascii="標楷體" w:eastAsia="標楷體" w:hAnsi="標楷體" w:hint="eastAsia"/>
          <w:szCs w:val="24"/>
        </w:rPr>
        <w:t>上存有既有架空配電線路未整</w:t>
      </w:r>
      <w:proofErr w:type="gramStart"/>
      <w:r w:rsidR="00303E0A" w:rsidRPr="00484E64">
        <w:rPr>
          <w:rFonts w:ascii="標楷體" w:eastAsia="標楷體" w:hAnsi="標楷體" w:hint="eastAsia"/>
          <w:szCs w:val="24"/>
        </w:rPr>
        <w:t>併</w:t>
      </w:r>
      <w:proofErr w:type="gramEnd"/>
      <w:r w:rsidR="00303E0A" w:rsidRPr="00484E64">
        <w:rPr>
          <w:rFonts w:ascii="標楷體" w:eastAsia="標楷體" w:hAnsi="標楷體" w:hint="eastAsia"/>
          <w:szCs w:val="24"/>
        </w:rPr>
        <w:t>下地者計</w:t>
      </w:r>
      <w:r w:rsidR="00303E0A" w:rsidRPr="00484E64">
        <w:rPr>
          <w:rFonts w:ascii="標楷體" w:eastAsia="標楷體" w:hAnsi="標楷體"/>
          <w:szCs w:val="24"/>
        </w:rPr>
        <w:t>233</w:t>
      </w:r>
      <w:r w:rsidR="00303E0A" w:rsidRPr="00484E64">
        <w:rPr>
          <w:rFonts w:ascii="標楷體" w:eastAsia="標楷體" w:hAnsi="標楷體" w:hint="eastAsia"/>
          <w:szCs w:val="24"/>
        </w:rPr>
        <w:t>件，其中計有18件施作工程位於公告實施地下</w:t>
      </w:r>
      <w:proofErr w:type="gramStart"/>
      <w:r w:rsidR="00303E0A" w:rsidRPr="00484E64">
        <w:rPr>
          <w:rFonts w:ascii="標楷體" w:eastAsia="標楷體" w:hAnsi="標楷體" w:hint="eastAsia"/>
          <w:szCs w:val="24"/>
        </w:rPr>
        <w:t>配電區</w:t>
      </w:r>
      <w:proofErr w:type="gramEnd"/>
      <w:r w:rsidR="00303E0A" w:rsidRPr="00484E64">
        <w:rPr>
          <w:rFonts w:ascii="標楷體" w:eastAsia="標楷體" w:hAnsi="標楷體" w:hint="eastAsia"/>
          <w:szCs w:val="24"/>
        </w:rPr>
        <w:t>，其受補助</w:t>
      </w:r>
      <w:proofErr w:type="gramStart"/>
      <w:r w:rsidR="00303E0A" w:rsidRPr="00484E64">
        <w:rPr>
          <w:rFonts w:ascii="標楷體" w:eastAsia="標楷體" w:hAnsi="標楷體" w:hint="eastAsia"/>
          <w:szCs w:val="24"/>
        </w:rPr>
        <w:t>機關均未與</w:t>
      </w:r>
      <w:proofErr w:type="gramEnd"/>
      <w:r w:rsidR="00303E0A" w:rsidRPr="00484E64">
        <w:rPr>
          <w:rFonts w:ascii="標楷體" w:eastAsia="標楷體" w:hAnsi="標楷體" w:hint="eastAsia"/>
          <w:szCs w:val="24"/>
        </w:rPr>
        <w:t>台灣電力公司溝通協調將既有架空配電線路整</w:t>
      </w:r>
      <w:proofErr w:type="gramStart"/>
      <w:r w:rsidR="00303E0A" w:rsidRPr="00484E64">
        <w:rPr>
          <w:rFonts w:ascii="標楷體" w:eastAsia="標楷體" w:hAnsi="標楷體" w:hint="eastAsia"/>
          <w:szCs w:val="24"/>
        </w:rPr>
        <w:t>併</w:t>
      </w:r>
      <w:proofErr w:type="gramEnd"/>
      <w:r w:rsidR="00303E0A" w:rsidRPr="00484E64">
        <w:rPr>
          <w:rFonts w:ascii="標楷體" w:eastAsia="標楷體" w:hAnsi="標楷體" w:hint="eastAsia"/>
          <w:szCs w:val="24"/>
        </w:rPr>
        <w:t>下地，而該部刪除管線下地長度相關關鍵績效指標，無法藉以鼓勵受補助機關執行共同管（線）溝整合與建置意願，致無法達成計畫以共同管（線）溝整合與建置，節省不必要或重複性開挖與填補道路經費支出之目標。</w:t>
      </w:r>
    </w:p>
    <w:p w14:paraId="2B4EC078" w14:textId="0C03BEE6" w:rsidR="00E8604E" w:rsidRDefault="00E8604E" w:rsidP="00CA55FD">
      <w:pPr>
        <w:overflowPunct w:val="0"/>
        <w:spacing w:line="42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A45457" w:rsidRPr="00484E64">
        <w:rPr>
          <w:rFonts w:ascii="標楷體" w:eastAsia="標楷體" w:hAnsi="標楷體" w:hint="eastAsia"/>
          <w:b/>
          <w:szCs w:val="24"/>
        </w:rPr>
        <w:t>受補助機關辦理共同管（線）溝整合與建置項目，屢遭遇配電系統設備設置用地無法取得之困境，致未能有效達成計畫效益：</w:t>
      </w:r>
      <w:r w:rsidR="00A45457" w:rsidRPr="00484E64">
        <w:rPr>
          <w:rFonts w:ascii="標楷體" w:eastAsia="標楷體" w:hAnsi="標楷體" w:hint="eastAsia"/>
          <w:szCs w:val="24"/>
        </w:rPr>
        <w:t>多數受補助機關因電力</w:t>
      </w:r>
      <w:proofErr w:type="gramStart"/>
      <w:r w:rsidR="00A45457" w:rsidRPr="00484E64">
        <w:rPr>
          <w:rFonts w:ascii="標楷體" w:eastAsia="標楷體" w:hAnsi="標楷體" w:hint="eastAsia"/>
          <w:szCs w:val="24"/>
        </w:rPr>
        <w:t>設施箱體為</w:t>
      </w:r>
      <w:proofErr w:type="gramEnd"/>
      <w:r w:rsidR="00A45457" w:rsidRPr="00484E64">
        <w:rPr>
          <w:rFonts w:ascii="標楷體" w:eastAsia="標楷體" w:hAnsi="標楷體" w:hint="eastAsia"/>
          <w:szCs w:val="24"/>
        </w:rPr>
        <w:t>鄰避設施，屢遭規劃設置位置周邊民眾</w:t>
      </w:r>
      <w:proofErr w:type="gramStart"/>
      <w:r w:rsidR="00A45457" w:rsidRPr="00484E64">
        <w:rPr>
          <w:rFonts w:ascii="標楷體" w:eastAsia="標楷體" w:hAnsi="標楷體" w:hint="eastAsia"/>
          <w:szCs w:val="24"/>
        </w:rPr>
        <w:t>陳抗，</w:t>
      </w:r>
      <w:proofErr w:type="gramEnd"/>
      <w:r w:rsidR="00A45457" w:rsidRPr="00484E64">
        <w:rPr>
          <w:rFonts w:ascii="標楷體" w:eastAsia="標楷體" w:hAnsi="標楷體" w:hint="eastAsia"/>
          <w:szCs w:val="24"/>
        </w:rPr>
        <w:t>面臨無法取得</w:t>
      </w:r>
      <w:proofErr w:type="gramStart"/>
      <w:r w:rsidR="00A45457" w:rsidRPr="00484E64">
        <w:rPr>
          <w:rFonts w:ascii="標楷體" w:eastAsia="標楷體" w:hAnsi="標楷體" w:hint="eastAsia"/>
          <w:szCs w:val="24"/>
        </w:rPr>
        <w:t>地下化配</w:t>
      </w:r>
      <w:proofErr w:type="gramEnd"/>
      <w:r w:rsidR="00A45457" w:rsidRPr="00484E64">
        <w:rPr>
          <w:rFonts w:ascii="標楷體" w:eastAsia="標楷體" w:hAnsi="標楷體" w:hint="eastAsia"/>
          <w:szCs w:val="24"/>
        </w:rPr>
        <w:t>電設備用地問題，而未協調台灣電力公司將受補助案件範圍內既有架空配電線路整</w:t>
      </w:r>
      <w:proofErr w:type="gramStart"/>
      <w:r w:rsidR="00A45457" w:rsidRPr="00484E64">
        <w:rPr>
          <w:rFonts w:ascii="標楷體" w:eastAsia="標楷體" w:hAnsi="標楷體" w:hint="eastAsia"/>
          <w:szCs w:val="24"/>
        </w:rPr>
        <w:t>併</w:t>
      </w:r>
      <w:proofErr w:type="gramEnd"/>
      <w:r w:rsidR="00A45457" w:rsidRPr="00484E64">
        <w:rPr>
          <w:rFonts w:ascii="標楷體" w:eastAsia="標楷體" w:hAnsi="標楷體" w:hint="eastAsia"/>
          <w:szCs w:val="24"/>
        </w:rPr>
        <w:t>下地。另內政部為因應政府建立以人為本及無障礙用路環境，自113年推動4年400億「永續提升人行安全計畫」，鼓勵地方政府推動道路及人行環境改善工程，惟因該計畫主要工作包含路口行人安全設施改善及減少路側障礙物，須辦理管線地下化</w:t>
      </w:r>
      <w:proofErr w:type="gramStart"/>
      <w:r w:rsidR="00A45457" w:rsidRPr="00484E64">
        <w:rPr>
          <w:rFonts w:ascii="標楷體" w:eastAsia="標楷體" w:hAnsi="標楷體" w:hint="eastAsia"/>
          <w:szCs w:val="24"/>
        </w:rPr>
        <w:t>或移設配</w:t>
      </w:r>
      <w:proofErr w:type="gramEnd"/>
      <w:r w:rsidR="00A45457" w:rsidRPr="00484E64">
        <w:rPr>
          <w:rFonts w:ascii="標楷體" w:eastAsia="標楷體" w:hAnsi="標楷體" w:hint="eastAsia"/>
          <w:szCs w:val="24"/>
        </w:rPr>
        <w:t>電系統設備等項目，後續推動過程，可預見將同樣面臨用地無法取得困境，而影響計畫執行成效。又各受補助機關雖同樣面臨用地取得之困境，部分受補助機關為提高架空配電線路地下化可行性，已提出因應策略，</w:t>
      </w:r>
      <w:proofErr w:type="gramStart"/>
      <w:r w:rsidR="00A45457" w:rsidRPr="00484E64">
        <w:rPr>
          <w:rFonts w:ascii="標楷體" w:eastAsia="標楷體" w:hAnsi="標楷體" w:hint="eastAsia"/>
          <w:szCs w:val="24"/>
        </w:rPr>
        <w:t>舉如</w:t>
      </w:r>
      <w:proofErr w:type="gramEnd"/>
      <w:r w:rsidR="00A45457" w:rsidRPr="00484E64">
        <w:rPr>
          <w:rFonts w:ascii="標楷體" w:eastAsia="標楷體" w:hAnsi="標楷體" w:hint="eastAsia"/>
          <w:szCs w:val="24"/>
        </w:rPr>
        <w:t>：新北市政府於109年6月</w:t>
      </w:r>
      <w:proofErr w:type="gramStart"/>
      <w:r w:rsidR="00A45457" w:rsidRPr="00484E64">
        <w:rPr>
          <w:rFonts w:ascii="標楷體" w:eastAsia="標楷體" w:hAnsi="標楷體" w:hint="eastAsia"/>
          <w:szCs w:val="24"/>
        </w:rPr>
        <w:t>通函新北市</w:t>
      </w:r>
      <w:proofErr w:type="gramEnd"/>
      <w:r w:rsidR="00A45457" w:rsidRPr="00484E64">
        <w:rPr>
          <w:rFonts w:ascii="標楷體" w:eastAsia="標楷體" w:hAnsi="標楷體" w:hint="eastAsia"/>
          <w:szCs w:val="24"/>
        </w:rPr>
        <w:t>建築師等公會說明，新建建築物申請建造執照涉及公共開放空間容積獎勵，應配合台灣電力公司於基地範圍內留設</w:t>
      </w:r>
      <w:proofErr w:type="gramStart"/>
      <w:r w:rsidR="00A45457" w:rsidRPr="00484E64">
        <w:rPr>
          <w:rFonts w:ascii="標楷體" w:eastAsia="標楷體" w:hAnsi="標楷體" w:hint="eastAsia"/>
          <w:szCs w:val="24"/>
        </w:rPr>
        <w:t>義務性配電</w:t>
      </w:r>
      <w:proofErr w:type="gramEnd"/>
      <w:r w:rsidR="00A45457" w:rsidRPr="00484E64">
        <w:rPr>
          <w:rFonts w:ascii="標楷體" w:eastAsia="標楷體" w:hAnsi="標楷體" w:hint="eastAsia"/>
          <w:szCs w:val="24"/>
        </w:rPr>
        <w:t>設施空間，作為給予獎勵條件之執行機制，解決電纜地下化過程無法取得配電設備用地之問題，並透過制定相關約束及設備維護管理配合事項，管控日後與市民發生糾紛之風險。內政部可蒐集</w:t>
      </w:r>
      <w:proofErr w:type="gramStart"/>
      <w:r w:rsidR="00A45457" w:rsidRPr="00484E64">
        <w:rPr>
          <w:rFonts w:ascii="標楷體" w:eastAsia="標楷體" w:hAnsi="標楷體" w:hint="eastAsia"/>
          <w:szCs w:val="24"/>
        </w:rPr>
        <w:t>彙整受補助</w:t>
      </w:r>
      <w:proofErr w:type="gramEnd"/>
      <w:r w:rsidR="00A45457" w:rsidRPr="00484E64">
        <w:rPr>
          <w:rFonts w:ascii="標楷體" w:eastAsia="標楷體" w:hAnsi="標楷體" w:hint="eastAsia"/>
          <w:szCs w:val="24"/>
        </w:rPr>
        <w:t>機關類此有效推動作法或案例，於推動提升道路品質計畫2.0及永續提升人行安全計畫，參酌協助或輔導其他受補助機關參考辦理。</w:t>
      </w:r>
    </w:p>
    <w:p w14:paraId="06BF3528" w14:textId="366E206A" w:rsidR="00A45457" w:rsidRPr="002764DD" w:rsidRDefault="00A45457" w:rsidP="00CA55FD">
      <w:pPr>
        <w:overflowPunct w:val="0"/>
        <w:spacing w:line="420" w:lineRule="exact"/>
        <w:ind w:firstLineChars="200" w:firstLine="480"/>
        <w:jc w:val="both"/>
        <w:rPr>
          <w:rFonts w:ascii="標楷體" w:eastAsia="標楷體" w:hAnsi="標楷體"/>
          <w:color w:val="000000" w:themeColor="text1"/>
          <w:szCs w:val="24"/>
        </w:rPr>
      </w:pPr>
      <w:r w:rsidRPr="00A45457">
        <w:rPr>
          <w:rFonts w:ascii="標楷體" w:eastAsia="標楷體" w:hAnsi="標楷體" w:hint="eastAsia"/>
          <w:color w:val="000000" w:themeColor="text1"/>
          <w:szCs w:val="24"/>
        </w:rPr>
        <w:lastRenderedPageBreak/>
        <w:t>綜上，推動共同管（線）溝整合與建置有助增進交通改善及人行安全，允宜督促權責機關強化計畫執行管考機制，促請受補助機關積極執行計畫所訂管線整</w:t>
      </w:r>
      <w:proofErr w:type="gramStart"/>
      <w:r w:rsidRPr="00A45457">
        <w:rPr>
          <w:rFonts w:ascii="標楷體" w:eastAsia="標楷體" w:hAnsi="標楷體" w:hint="eastAsia"/>
          <w:color w:val="000000" w:themeColor="text1"/>
          <w:szCs w:val="24"/>
        </w:rPr>
        <w:t>併</w:t>
      </w:r>
      <w:proofErr w:type="gramEnd"/>
      <w:r w:rsidRPr="00A45457">
        <w:rPr>
          <w:rFonts w:ascii="標楷體" w:eastAsia="標楷體" w:hAnsi="標楷體" w:hint="eastAsia"/>
          <w:color w:val="000000" w:themeColor="text1"/>
          <w:szCs w:val="24"/>
        </w:rPr>
        <w:t>下地等工作，並參酌受補助機關有效推動作法或案例，針對無法取得用地之關鍵因素，協助</w:t>
      </w:r>
      <w:proofErr w:type="gramStart"/>
      <w:r w:rsidRPr="00A45457">
        <w:rPr>
          <w:rFonts w:ascii="標楷體" w:eastAsia="標楷體" w:hAnsi="標楷體" w:hint="eastAsia"/>
          <w:color w:val="000000" w:themeColor="text1"/>
          <w:szCs w:val="24"/>
        </w:rPr>
        <w:t>研謀善策</w:t>
      </w:r>
      <w:proofErr w:type="gramEnd"/>
      <w:r w:rsidRPr="00A45457">
        <w:rPr>
          <w:rFonts w:ascii="標楷體" w:eastAsia="標楷體" w:hAnsi="標楷體" w:hint="eastAsia"/>
          <w:color w:val="000000" w:themeColor="text1"/>
          <w:szCs w:val="24"/>
        </w:rPr>
        <w:t>因應，以增進財務效能及交通與人行安全性之效益。</w:t>
      </w:r>
    </w:p>
    <w:p w14:paraId="6CB49E4E" w14:textId="3AF78E1D" w:rsidR="00E8604E" w:rsidRPr="002764DD" w:rsidRDefault="00E8604E" w:rsidP="00CA55FD">
      <w:pPr>
        <w:pStyle w:val="2"/>
        <w:overflowPunct w:val="0"/>
        <w:spacing w:beforeLines="30" w:before="108" w:afterLines="30" w:after="108" w:line="42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（十一）　</w:t>
      </w:r>
      <w:r w:rsidR="0014459A" w:rsidRPr="0014459A">
        <w:rPr>
          <w:rFonts w:hAnsi="標楷體" w:hint="eastAsia"/>
          <w:b/>
          <w:color w:val="000000" w:themeColor="text1"/>
          <w:sz w:val="28"/>
          <w:szCs w:val="28"/>
        </w:rPr>
        <w:t>政府推動智慧運輸系統之發展，有助營造</w:t>
      </w:r>
      <w:proofErr w:type="gramStart"/>
      <w:r w:rsidR="0014459A" w:rsidRPr="0014459A">
        <w:rPr>
          <w:rFonts w:hAnsi="標楷體" w:hint="eastAsia"/>
          <w:b/>
          <w:color w:val="000000" w:themeColor="text1"/>
          <w:sz w:val="28"/>
          <w:szCs w:val="28"/>
        </w:rPr>
        <w:t>人本且永</w:t>
      </w:r>
      <w:proofErr w:type="gramEnd"/>
      <w:r w:rsidR="0014459A" w:rsidRPr="0014459A">
        <w:rPr>
          <w:rFonts w:hAnsi="標楷體" w:hint="eastAsia"/>
          <w:b/>
          <w:color w:val="000000" w:themeColor="text1"/>
          <w:sz w:val="28"/>
          <w:szCs w:val="28"/>
        </w:rPr>
        <w:t>續之智慧交通生活環境，惟辦理過程缺乏資源盤點及整合，致耗資2億餘元補助地方政府建置功能相近之</w:t>
      </w:r>
      <w:proofErr w:type="gramStart"/>
      <w:r w:rsidR="0014459A" w:rsidRPr="0014459A">
        <w:rPr>
          <w:rFonts w:hAnsi="標楷體" w:hint="eastAsia"/>
          <w:b/>
          <w:color w:val="000000" w:themeColor="text1"/>
          <w:sz w:val="28"/>
          <w:szCs w:val="28"/>
        </w:rPr>
        <w:t>交控平臺</w:t>
      </w:r>
      <w:proofErr w:type="gramEnd"/>
      <w:r w:rsidR="0014459A" w:rsidRPr="0014459A">
        <w:rPr>
          <w:rFonts w:hAnsi="標楷體" w:hint="eastAsia"/>
          <w:b/>
          <w:color w:val="000000" w:themeColor="text1"/>
          <w:sz w:val="28"/>
          <w:szCs w:val="28"/>
        </w:rPr>
        <w:t>、系統或APP，且與警政機關於相同或鄰近路口、路段分別建置路況監視設備等，衍生不經濟支出</w:t>
      </w:r>
      <w:r w:rsidR="00F15E6C">
        <w:rPr>
          <w:rFonts w:hAnsi="標楷體" w:hint="eastAsia"/>
          <w:b/>
          <w:color w:val="000000" w:themeColor="text1"/>
          <w:sz w:val="28"/>
          <w:szCs w:val="28"/>
        </w:rPr>
        <w:t>，</w:t>
      </w:r>
      <w:r w:rsidR="0014459A" w:rsidRPr="0014459A">
        <w:rPr>
          <w:rFonts w:hAnsi="標楷體" w:hint="eastAsia"/>
          <w:b/>
          <w:color w:val="000000" w:themeColor="text1"/>
          <w:sz w:val="28"/>
          <w:szCs w:val="28"/>
        </w:rPr>
        <w:t>允宜強化交通資源管理與相關作業機制，並促進各機關間資源交流，以提升政府資產運用效益及增進財務效能。</w:t>
      </w:r>
    </w:p>
    <w:p w14:paraId="682A0BE5" w14:textId="320A502C" w:rsidR="00E8604E" w:rsidRPr="002764DD" w:rsidRDefault="0014459A" w:rsidP="00CA55FD">
      <w:pPr>
        <w:pStyle w:val="2"/>
        <w:overflowPunct w:val="0"/>
        <w:spacing w:beforeLines="20" w:before="72" w:afterLines="20" w:after="72" w:line="430" w:lineRule="exact"/>
        <w:ind w:left="0" w:firstLineChars="200" w:firstLine="480"/>
        <w:rPr>
          <w:rFonts w:hAnsi="標楷體"/>
          <w:color w:val="000000" w:themeColor="text1"/>
          <w:sz w:val="24"/>
          <w:szCs w:val="24"/>
        </w:rPr>
      </w:pPr>
      <w:r w:rsidRPr="0014459A">
        <w:rPr>
          <w:rFonts w:hAnsi="標楷體" w:hint="eastAsia"/>
          <w:color w:val="000000" w:themeColor="text1"/>
          <w:sz w:val="24"/>
          <w:szCs w:val="24"/>
        </w:rPr>
        <w:t>交通部為推動智慧運輸系統（Intelligent Transportation System, ITS）發展，建立</w:t>
      </w:r>
      <w:proofErr w:type="gramStart"/>
      <w:r w:rsidRPr="0014459A">
        <w:rPr>
          <w:rFonts w:hAnsi="標楷體" w:hint="eastAsia"/>
          <w:color w:val="000000" w:themeColor="text1"/>
          <w:sz w:val="24"/>
          <w:szCs w:val="24"/>
        </w:rPr>
        <w:t>人本且永</w:t>
      </w:r>
      <w:proofErr w:type="gramEnd"/>
      <w:r w:rsidRPr="0014459A">
        <w:rPr>
          <w:rFonts w:hAnsi="標楷體" w:hint="eastAsia"/>
          <w:color w:val="000000" w:themeColor="text1"/>
          <w:sz w:val="24"/>
          <w:szCs w:val="24"/>
        </w:rPr>
        <w:t>續交通生活環境，辦理「智慧運輸系統發展建設計畫（106至109年）」（下稱ITS第1期計畫）及「智慧運輸系統發展建設計畫（110至113年）」（下稱ITS第2期計畫），分別於各該計畫項下補助地方政府2億餘元建置區域</w:t>
      </w:r>
      <w:proofErr w:type="gramStart"/>
      <w:r w:rsidRPr="0014459A">
        <w:rPr>
          <w:rFonts w:hAnsi="標楷體" w:hint="eastAsia"/>
          <w:color w:val="000000" w:themeColor="text1"/>
          <w:sz w:val="24"/>
          <w:szCs w:val="24"/>
        </w:rPr>
        <w:t>交控平臺</w:t>
      </w:r>
      <w:proofErr w:type="gramEnd"/>
      <w:r w:rsidRPr="0014459A">
        <w:rPr>
          <w:rFonts w:hAnsi="標楷體" w:hint="eastAsia"/>
          <w:color w:val="000000" w:themeColor="text1"/>
          <w:sz w:val="24"/>
          <w:szCs w:val="24"/>
        </w:rPr>
        <w:t>、智慧交通管理中心、</w:t>
      </w:r>
      <w:proofErr w:type="gramStart"/>
      <w:r w:rsidRPr="0014459A">
        <w:rPr>
          <w:rFonts w:hAnsi="標楷體" w:hint="eastAsia"/>
          <w:color w:val="000000" w:themeColor="text1"/>
          <w:sz w:val="24"/>
          <w:szCs w:val="24"/>
        </w:rPr>
        <w:t>新興交控系統</w:t>
      </w:r>
      <w:proofErr w:type="gramEnd"/>
      <w:r w:rsidRPr="0014459A">
        <w:rPr>
          <w:rFonts w:hAnsi="標楷體" w:hint="eastAsia"/>
          <w:color w:val="000000" w:themeColor="text1"/>
          <w:sz w:val="24"/>
          <w:szCs w:val="24"/>
        </w:rPr>
        <w:t>與設備等。有關智慧運輸系統相關設施建置情形，核有下列事項：</w:t>
      </w:r>
    </w:p>
    <w:p w14:paraId="3017503F" w14:textId="193F80ED" w:rsidR="00E8604E" w:rsidRPr="002764DD" w:rsidRDefault="00E8604E" w:rsidP="00CA55FD">
      <w:pPr>
        <w:overflowPunct w:val="0"/>
        <w:spacing w:line="43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AF1F36" w:rsidRPr="00484E64">
        <w:rPr>
          <w:rFonts w:ascii="標楷體" w:eastAsia="標楷體" w:hAnsi="標楷體" w:hint="eastAsia"/>
          <w:b/>
          <w:szCs w:val="24"/>
        </w:rPr>
        <w:t>政府推動智慧運輸系統發展過程，缺乏資源盤點及整合，致補助地方政府建置功能相近之</w:t>
      </w:r>
      <w:proofErr w:type="gramStart"/>
      <w:r w:rsidR="00AF1F36" w:rsidRPr="00484E64">
        <w:rPr>
          <w:rFonts w:ascii="標楷體" w:eastAsia="標楷體" w:hAnsi="標楷體" w:hint="eastAsia"/>
          <w:b/>
          <w:szCs w:val="24"/>
        </w:rPr>
        <w:t>交控平臺</w:t>
      </w:r>
      <w:proofErr w:type="gramEnd"/>
      <w:r w:rsidR="00AF1F36" w:rsidRPr="00484E64">
        <w:rPr>
          <w:rFonts w:ascii="標楷體" w:eastAsia="標楷體" w:hAnsi="標楷體" w:hint="eastAsia"/>
          <w:b/>
          <w:szCs w:val="24"/>
        </w:rPr>
        <w:t>、系統或APP，衍生不經濟支出：</w:t>
      </w:r>
      <w:r w:rsidR="00AF1F36" w:rsidRPr="00484E64">
        <w:rPr>
          <w:rFonts w:ascii="標楷體" w:eastAsia="標楷體" w:hAnsi="標楷體" w:hint="eastAsia"/>
          <w:szCs w:val="24"/>
        </w:rPr>
        <w:t>近年來都市不斷發展導致交通問題日趨複雜與嚴重，已非新</w:t>
      </w:r>
      <w:proofErr w:type="gramStart"/>
      <w:r w:rsidR="00AF1F36" w:rsidRPr="00484E64">
        <w:rPr>
          <w:rFonts w:ascii="標楷體" w:eastAsia="標楷體" w:hAnsi="標楷體" w:hint="eastAsia"/>
          <w:szCs w:val="24"/>
        </w:rPr>
        <w:t>闢</w:t>
      </w:r>
      <w:proofErr w:type="gramEnd"/>
      <w:r w:rsidR="00AF1F36" w:rsidRPr="00484E64">
        <w:rPr>
          <w:rFonts w:ascii="標楷體" w:eastAsia="標楷體" w:hAnsi="標楷體" w:hint="eastAsia"/>
          <w:szCs w:val="24"/>
        </w:rPr>
        <w:t>道路可以全然解決。交通部為提升管理車流之能力，推動「e化交通－</w:t>
      </w:r>
      <w:proofErr w:type="gramStart"/>
      <w:r w:rsidR="00AF1F36" w:rsidRPr="00484E64">
        <w:rPr>
          <w:rFonts w:ascii="標楷體" w:eastAsia="標楷體" w:hAnsi="標楷體" w:hint="eastAsia"/>
          <w:szCs w:val="24"/>
        </w:rPr>
        <w:t>智慧交控系統</w:t>
      </w:r>
      <w:proofErr w:type="gramEnd"/>
      <w:r w:rsidR="00AF1F36" w:rsidRPr="00484E64">
        <w:rPr>
          <w:rFonts w:ascii="標楷體" w:eastAsia="標楷體" w:hAnsi="標楷體" w:hint="eastAsia"/>
          <w:szCs w:val="24"/>
        </w:rPr>
        <w:t>」計畫，於92及93年補助</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中市政府與</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南市政府進行標準化</w:t>
      </w:r>
      <w:proofErr w:type="gramStart"/>
      <w:r w:rsidR="00AF1F36" w:rsidRPr="00484E64">
        <w:rPr>
          <w:rFonts w:ascii="標楷體" w:eastAsia="標楷體" w:hAnsi="標楷體" w:hint="eastAsia"/>
          <w:szCs w:val="24"/>
        </w:rPr>
        <w:t>都市交控系統</w:t>
      </w:r>
      <w:proofErr w:type="gramEnd"/>
      <w:r w:rsidR="00AF1F36" w:rsidRPr="00484E64">
        <w:rPr>
          <w:rFonts w:ascii="標楷體" w:eastAsia="標楷體" w:hAnsi="標楷體" w:hint="eastAsia"/>
          <w:szCs w:val="24"/>
        </w:rPr>
        <w:t>、即時交通資訊整合等相關平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之規劃設計與建置，94及95年補助原臺北縣（99年12月25日改制為新北市）、原桃園縣（103年12月25日改制為桃園市）、</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中市、高雄市、新竹市、嘉義縣與嘉義市等地方政府建置標準化</w:t>
      </w:r>
      <w:proofErr w:type="gramStart"/>
      <w:r w:rsidR="00AF1F36" w:rsidRPr="00484E64">
        <w:rPr>
          <w:rFonts w:ascii="標楷體" w:eastAsia="標楷體" w:hAnsi="標楷體" w:hint="eastAsia"/>
          <w:szCs w:val="24"/>
        </w:rPr>
        <w:t>都市交控中心</w:t>
      </w:r>
      <w:proofErr w:type="gramEnd"/>
      <w:r w:rsidR="00AF1F36" w:rsidRPr="00484E64">
        <w:rPr>
          <w:rFonts w:ascii="標楷體" w:eastAsia="標楷體" w:hAnsi="標楷體" w:hint="eastAsia"/>
          <w:szCs w:val="24"/>
        </w:rPr>
        <w:t>軟體、採用標準化通訊協定設備、交通監視系統、即時交通資訊網站等。</w:t>
      </w:r>
      <w:proofErr w:type="gramStart"/>
      <w:r w:rsidR="00AF1F36" w:rsidRPr="00484E64">
        <w:rPr>
          <w:rFonts w:ascii="標楷體" w:eastAsia="標楷體" w:hAnsi="標楷體" w:hint="eastAsia"/>
          <w:szCs w:val="24"/>
        </w:rPr>
        <w:t>嗣</w:t>
      </w:r>
      <w:proofErr w:type="gramEnd"/>
      <w:r w:rsidR="00AF1F36" w:rsidRPr="00484E64">
        <w:rPr>
          <w:rFonts w:ascii="標楷體" w:eastAsia="標楷體" w:hAnsi="標楷體" w:hint="eastAsia"/>
          <w:szCs w:val="24"/>
        </w:rPr>
        <w:t>因應資通訊技術快速發展，交通部於ITS第1期及第2期計畫補助臺北市等10個地方政府1億5,404萬餘元，建置聯合運輸管理平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w:t>
      </w:r>
      <w:proofErr w:type="gramStart"/>
      <w:r w:rsidR="00AF1F36" w:rsidRPr="00484E64">
        <w:rPr>
          <w:rFonts w:ascii="標楷體" w:eastAsia="標楷體" w:hAnsi="標楷體" w:hint="eastAsia"/>
          <w:szCs w:val="24"/>
        </w:rPr>
        <w:t>交控系統</w:t>
      </w:r>
      <w:proofErr w:type="gramEnd"/>
      <w:r w:rsidR="00AF1F36" w:rsidRPr="00484E64">
        <w:rPr>
          <w:rFonts w:ascii="標楷體" w:eastAsia="標楷體" w:hAnsi="標楷體" w:hint="eastAsia"/>
          <w:szCs w:val="24"/>
        </w:rPr>
        <w:t>擴充、交通事故分析平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、運輸資訊管理平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、智慧號</w:t>
      </w:r>
      <w:proofErr w:type="gramStart"/>
      <w:r w:rsidR="00AF1F36" w:rsidRPr="00484E64">
        <w:rPr>
          <w:rFonts w:ascii="標楷體" w:eastAsia="標楷體" w:hAnsi="標楷體" w:hint="eastAsia"/>
          <w:szCs w:val="24"/>
        </w:rPr>
        <w:t>誌</w:t>
      </w:r>
      <w:proofErr w:type="gramEnd"/>
      <w:r w:rsidR="00AF1F36" w:rsidRPr="00484E64">
        <w:rPr>
          <w:rFonts w:ascii="標楷體" w:eastAsia="標楷體" w:hAnsi="標楷體" w:hint="eastAsia"/>
          <w:szCs w:val="24"/>
        </w:rPr>
        <w:t>控制系統平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等；補助臺北市等5個地方政府5,819萬餘元，分別建置</w:t>
      </w:r>
      <w:proofErr w:type="gramStart"/>
      <w:r w:rsidR="00AF1F36" w:rsidRPr="00484E64">
        <w:rPr>
          <w:rFonts w:ascii="標楷體" w:eastAsia="標楷體" w:hAnsi="標楷體" w:hint="eastAsia"/>
          <w:szCs w:val="24"/>
        </w:rPr>
        <w:t>臺北好</w:t>
      </w:r>
      <w:proofErr w:type="gramEnd"/>
      <w:r w:rsidR="00AF1F36" w:rsidRPr="00484E64">
        <w:rPr>
          <w:rFonts w:ascii="標楷體" w:eastAsia="標楷體" w:hAnsi="標楷體" w:hint="eastAsia"/>
          <w:szCs w:val="24"/>
        </w:rPr>
        <w:t>行、桃園輕鬆Go、Taichung Go、幸福共享美濃Go及屏東Go好玩等應用程式（Application, APP）平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w:t>
      </w:r>
      <w:proofErr w:type="gramStart"/>
      <w:r w:rsidR="00AF1F36" w:rsidRPr="00484E64">
        <w:rPr>
          <w:rFonts w:ascii="標楷體" w:eastAsia="標楷體" w:hAnsi="標楷體" w:hint="eastAsia"/>
          <w:szCs w:val="24"/>
        </w:rPr>
        <w:t>惟</w:t>
      </w:r>
      <w:proofErr w:type="gramEnd"/>
      <w:r w:rsidR="00AF1F36" w:rsidRPr="00484E64">
        <w:rPr>
          <w:rFonts w:ascii="標楷體" w:eastAsia="標楷體" w:hAnsi="標楷體" w:hint="eastAsia"/>
          <w:szCs w:val="24"/>
        </w:rPr>
        <w:t>聯合運輸管理平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w:t>
      </w:r>
      <w:proofErr w:type="gramStart"/>
      <w:r w:rsidR="00AF1F36" w:rsidRPr="00484E64">
        <w:rPr>
          <w:rFonts w:ascii="標楷體" w:eastAsia="標楷體" w:hAnsi="標楷體" w:hint="eastAsia"/>
          <w:szCs w:val="24"/>
        </w:rPr>
        <w:t>交控系統</w:t>
      </w:r>
      <w:proofErr w:type="gramEnd"/>
      <w:r w:rsidR="00AF1F36" w:rsidRPr="00484E64">
        <w:rPr>
          <w:rFonts w:ascii="標楷體" w:eastAsia="標楷體" w:hAnsi="標楷體" w:hint="eastAsia"/>
          <w:szCs w:val="24"/>
        </w:rPr>
        <w:t>擴充或交通事故分析平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、運輸資訊管理平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、APP等，建置內容包含即時交通事件及告警、交通事件資料蒐集與</w:t>
      </w:r>
      <w:proofErr w:type="gramStart"/>
      <w:r w:rsidR="00AF1F36" w:rsidRPr="00484E64">
        <w:rPr>
          <w:rFonts w:ascii="標楷體" w:eastAsia="標楷體" w:hAnsi="標楷體" w:hint="eastAsia"/>
          <w:szCs w:val="24"/>
        </w:rPr>
        <w:t>研</w:t>
      </w:r>
      <w:proofErr w:type="gramEnd"/>
      <w:r w:rsidR="00AF1F36" w:rsidRPr="00484E64">
        <w:rPr>
          <w:rFonts w:ascii="標楷體" w:eastAsia="標楷體" w:hAnsi="標楷體" w:hint="eastAsia"/>
          <w:szCs w:val="24"/>
        </w:rPr>
        <w:t>析、智慧化號</w:t>
      </w:r>
      <w:proofErr w:type="gramStart"/>
      <w:r w:rsidR="00AF1F36" w:rsidRPr="00484E64">
        <w:rPr>
          <w:rFonts w:ascii="標楷體" w:eastAsia="標楷體" w:hAnsi="標楷體" w:hint="eastAsia"/>
          <w:szCs w:val="24"/>
        </w:rPr>
        <w:t>誌</w:t>
      </w:r>
      <w:proofErr w:type="gramEnd"/>
      <w:r w:rsidR="00AF1F36" w:rsidRPr="00484E64">
        <w:rPr>
          <w:rFonts w:ascii="標楷體" w:eastAsia="標楷體" w:hAnsi="標楷體" w:hint="eastAsia"/>
          <w:szCs w:val="24"/>
        </w:rPr>
        <w:t>控制應用、公車動態點位地圖呈現、路段路況資料蒐集與分析、停車場導引等資訊，平</w:t>
      </w:r>
      <w:proofErr w:type="gramStart"/>
      <w:r w:rsidR="00AF1F36" w:rsidRPr="00484E64">
        <w:rPr>
          <w:rFonts w:ascii="標楷體" w:eastAsia="標楷體" w:hAnsi="標楷體" w:hint="eastAsia"/>
          <w:szCs w:val="24"/>
        </w:rPr>
        <w:t>臺</w:t>
      </w:r>
      <w:proofErr w:type="gramEnd"/>
      <w:r w:rsidR="00AF1F36" w:rsidRPr="00484E64">
        <w:rPr>
          <w:rFonts w:ascii="標楷體" w:eastAsia="標楷體" w:hAnsi="標楷體" w:hint="eastAsia"/>
          <w:szCs w:val="24"/>
        </w:rPr>
        <w:t>功能相近或雷同。交通部未事先進行資源盤點及整合，並於補助計畫審查階段，積極促進各機關間資源交流，致補助地方政府建置功能相近之</w:t>
      </w:r>
      <w:proofErr w:type="gramStart"/>
      <w:r w:rsidR="00AF1F36" w:rsidRPr="00484E64">
        <w:rPr>
          <w:rFonts w:ascii="標楷體" w:eastAsia="標楷體" w:hAnsi="標楷體" w:hint="eastAsia"/>
          <w:szCs w:val="24"/>
        </w:rPr>
        <w:t>交控平臺</w:t>
      </w:r>
      <w:proofErr w:type="gramEnd"/>
      <w:r w:rsidR="00AF1F36" w:rsidRPr="00484E64">
        <w:rPr>
          <w:rFonts w:ascii="標楷體" w:eastAsia="標楷體" w:hAnsi="標楷體" w:hint="eastAsia"/>
          <w:szCs w:val="24"/>
        </w:rPr>
        <w:t>、系統或APP，衍生不經濟支出。</w:t>
      </w:r>
    </w:p>
    <w:p w14:paraId="096E44A0" w14:textId="07107EB1" w:rsidR="00E8604E" w:rsidRDefault="00E8604E" w:rsidP="00CA55FD">
      <w:pPr>
        <w:overflowPunct w:val="0"/>
        <w:spacing w:line="430"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0305FC" w:rsidRPr="00484E64">
        <w:rPr>
          <w:rFonts w:ascii="標楷體" w:eastAsia="標楷體" w:hAnsi="標楷體" w:hint="eastAsia"/>
          <w:b/>
          <w:szCs w:val="24"/>
        </w:rPr>
        <w:t>補助地方政府於轄管道路建置路況監視設備，缺乏</w:t>
      </w:r>
      <w:proofErr w:type="gramStart"/>
      <w:r w:rsidR="000305FC" w:rsidRPr="00484E64">
        <w:rPr>
          <w:rFonts w:ascii="標楷體" w:eastAsia="標楷體" w:hAnsi="標楷體" w:hint="eastAsia"/>
          <w:b/>
          <w:szCs w:val="24"/>
        </w:rPr>
        <w:t>事前妥</w:t>
      </w:r>
      <w:proofErr w:type="gramEnd"/>
      <w:r w:rsidR="000305FC" w:rsidRPr="00484E64">
        <w:rPr>
          <w:rFonts w:ascii="標楷體" w:eastAsia="標楷體" w:hAnsi="標楷體" w:hint="eastAsia"/>
          <w:b/>
          <w:szCs w:val="24"/>
        </w:rPr>
        <w:t>適之協調整合及建置後相互</w:t>
      </w:r>
      <w:proofErr w:type="gramStart"/>
      <w:r w:rsidR="000305FC" w:rsidRPr="00484E64">
        <w:rPr>
          <w:rFonts w:ascii="標楷體" w:eastAsia="標楷體" w:hAnsi="標楷體" w:hint="eastAsia"/>
          <w:b/>
          <w:szCs w:val="24"/>
        </w:rPr>
        <w:t>介</w:t>
      </w:r>
      <w:proofErr w:type="gramEnd"/>
      <w:r w:rsidR="000305FC" w:rsidRPr="00484E64">
        <w:rPr>
          <w:rFonts w:ascii="標楷體" w:eastAsia="標楷體" w:hAnsi="標楷體" w:hint="eastAsia"/>
          <w:b/>
          <w:szCs w:val="24"/>
        </w:rPr>
        <w:t>接運用機制，未能發揮最大之財務效能：</w:t>
      </w:r>
      <w:r w:rsidR="000305FC" w:rsidRPr="00484E64">
        <w:rPr>
          <w:rFonts w:ascii="標楷體" w:eastAsia="標楷體" w:hAnsi="標楷體" w:hint="eastAsia"/>
          <w:szCs w:val="24"/>
        </w:rPr>
        <w:t>政府為維護治安、改善交通及降低行車事故，</w:t>
      </w:r>
      <w:r w:rsidR="000305FC" w:rsidRPr="00484E64">
        <w:rPr>
          <w:rFonts w:ascii="標楷體" w:eastAsia="標楷體" w:hAnsi="標楷體" w:hint="eastAsia"/>
          <w:szCs w:val="24"/>
        </w:rPr>
        <w:lastRenderedPageBreak/>
        <w:t>分別由內政部警政署、交通部透過一般性補助計畫（109至113年）、ITS第1期及第2期計畫分別補助臺北市等22個地方政府37億2,387萬元及2億626萬餘元，於重要路口設置21萬7,343支及999支監視設備。據</w:t>
      </w:r>
      <w:r w:rsidR="000305FC">
        <w:rPr>
          <w:rFonts w:ascii="標楷體" w:eastAsia="標楷體" w:hAnsi="標楷體" w:hint="eastAsia"/>
          <w:szCs w:val="24"/>
        </w:rPr>
        <w:t>內政部</w:t>
      </w:r>
      <w:r w:rsidR="000305FC" w:rsidRPr="00484E64">
        <w:rPr>
          <w:rFonts w:ascii="標楷體" w:eastAsia="標楷體" w:hAnsi="標楷體" w:hint="eastAsia"/>
          <w:szCs w:val="24"/>
        </w:rPr>
        <w:t>警政署與中央警察大學於103年9月召開道路交通安全與執法研討會，會中提出「交通與治安整合監控系統可行性之研究」載</w:t>
      </w:r>
      <w:proofErr w:type="gramStart"/>
      <w:r w:rsidR="000305FC" w:rsidRPr="00484E64">
        <w:rPr>
          <w:rFonts w:ascii="標楷體" w:eastAsia="標楷體" w:hAnsi="標楷體" w:hint="eastAsia"/>
          <w:szCs w:val="24"/>
        </w:rPr>
        <w:t>以</w:t>
      </w:r>
      <w:proofErr w:type="gramEnd"/>
      <w:r w:rsidR="000305FC" w:rsidRPr="00484E64">
        <w:rPr>
          <w:rFonts w:ascii="標楷體" w:eastAsia="標楷體" w:hAnsi="標楷體" w:hint="eastAsia"/>
          <w:szCs w:val="24"/>
        </w:rPr>
        <w:t>，新竹科學園區之交通監視系統、治安監視系統係獨立運作，在路側設備及中心軟體功能</w:t>
      </w:r>
      <w:proofErr w:type="gramStart"/>
      <w:r w:rsidR="000305FC" w:rsidRPr="00484E64">
        <w:rPr>
          <w:rFonts w:ascii="標楷體" w:eastAsia="標楷體" w:hAnsi="標楷體" w:hint="eastAsia"/>
          <w:szCs w:val="24"/>
        </w:rPr>
        <w:t>上均有部分</w:t>
      </w:r>
      <w:proofErr w:type="gramEnd"/>
      <w:r w:rsidR="000305FC" w:rsidRPr="00484E64">
        <w:rPr>
          <w:rFonts w:ascii="標楷體" w:eastAsia="標楷體" w:hAnsi="標楷體" w:hint="eastAsia"/>
          <w:szCs w:val="24"/>
        </w:rPr>
        <w:t>重複，倘能透過系統之整合，將可使資訊共享並進行策略合作，設備與資訊資源得以充分利用與應用，並可同時簡化管理者對於系統之管理與維護。惟新北市、</w:t>
      </w:r>
      <w:proofErr w:type="gramStart"/>
      <w:r w:rsidR="000305FC" w:rsidRPr="00484E64">
        <w:rPr>
          <w:rFonts w:ascii="標楷體" w:eastAsia="標楷體" w:hAnsi="標楷體" w:hint="eastAsia"/>
          <w:szCs w:val="24"/>
        </w:rPr>
        <w:t>臺</w:t>
      </w:r>
      <w:proofErr w:type="gramEnd"/>
      <w:r w:rsidR="000305FC" w:rsidRPr="00484E64">
        <w:rPr>
          <w:rFonts w:ascii="標楷體" w:eastAsia="標楷體" w:hAnsi="標楷體" w:hint="eastAsia"/>
          <w:szCs w:val="24"/>
        </w:rPr>
        <w:t>中市、</w:t>
      </w:r>
      <w:proofErr w:type="gramStart"/>
      <w:r w:rsidR="000305FC" w:rsidRPr="00484E64">
        <w:rPr>
          <w:rFonts w:ascii="標楷體" w:eastAsia="標楷體" w:hAnsi="標楷體" w:hint="eastAsia"/>
          <w:szCs w:val="24"/>
        </w:rPr>
        <w:t>臺</w:t>
      </w:r>
      <w:proofErr w:type="gramEnd"/>
      <w:r w:rsidR="000305FC" w:rsidRPr="00484E64">
        <w:rPr>
          <w:rFonts w:ascii="標楷體" w:eastAsia="標楷體" w:hAnsi="標楷體" w:hint="eastAsia"/>
          <w:szCs w:val="24"/>
        </w:rPr>
        <w:t>南市、高雄市及新竹縣等5個地方政府，不乏於相同或相近道路上，分別有警察局及交通單位設置之路口監視設備。各該機關於建置路況監視設備前未妥</w:t>
      </w:r>
      <w:proofErr w:type="gramStart"/>
      <w:r w:rsidR="000305FC" w:rsidRPr="00484E64">
        <w:rPr>
          <w:rFonts w:ascii="標楷體" w:eastAsia="標楷體" w:hAnsi="標楷體" w:hint="eastAsia"/>
          <w:szCs w:val="24"/>
        </w:rPr>
        <w:t>適</w:t>
      </w:r>
      <w:proofErr w:type="gramEnd"/>
      <w:r w:rsidR="000305FC" w:rsidRPr="00484E64">
        <w:rPr>
          <w:rFonts w:ascii="標楷體" w:eastAsia="標楷體" w:hAnsi="標楷體" w:hint="eastAsia"/>
          <w:szCs w:val="24"/>
        </w:rPr>
        <w:t>協調整合，建置後攝影取得之相關交通資訊亦多缺乏相互</w:t>
      </w:r>
      <w:proofErr w:type="gramStart"/>
      <w:r w:rsidR="000305FC" w:rsidRPr="00484E64">
        <w:rPr>
          <w:rFonts w:ascii="標楷體" w:eastAsia="標楷體" w:hAnsi="標楷體" w:hint="eastAsia"/>
          <w:szCs w:val="24"/>
        </w:rPr>
        <w:t>介</w:t>
      </w:r>
      <w:proofErr w:type="gramEnd"/>
      <w:r w:rsidR="000305FC" w:rsidRPr="00484E64">
        <w:rPr>
          <w:rFonts w:ascii="標楷體" w:eastAsia="標楷體" w:hAnsi="標楷體" w:hint="eastAsia"/>
          <w:szCs w:val="24"/>
        </w:rPr>
        <w:t>接運用機制，相關設備重複投資結果，未能發揮最大之財務效能，並徒增市容雜亂與</w:t>
      </w:r>
      <w:proofErr w:type="gramStart"/>
      <w:r w:rsidR="000305FC" w:rsidRPr="00484E64">
        <w:rPr>
          <w:rFonts w:ascii="標楷體" w:eastAsia="標楷體" w:hAnsi="標楷體" w:hint="eastAsia"/>
          <w:szCs w:val="24"/>
        </w:rPr>
        <w:t>日後維</w:t>
      </w:r>
      <w:proofErr w:type="gramEnd"/>
      <w:r w:rsidR="000305FC" w:rsidRPr="00484E64">
        <w:rPr>
          <w:rFonts w:ascii="標楷體" w:eastAsia="標楷體" w:hAnsi="標楷體" w:hint="eastAsia"/>
          <w:szCs w:val="24"/>
        </w:rPr>
        <w:t>運支出。</w:t>
      </w:r>
    </w:p>
    <w:p w14:paraId="1ED90CF7" w14:textId="714C78A7" w:rsidR="00196FF1" w:rsidRPr="002764DD" w:rsidRDefault="00196FF1" w:rsidP="00CA55FD">
      <w:pPr>
        <w:overflowPunct w:val="0"/>
        <w:spacing w:line="430" w:lineRule="exact"/>
        <w:ind w:firstLineChars="200" w:firstLine="480"/>
        <w:jc w:val="both"/>
        <w:rPr>
          <w:rFonts w:ascii="標楷體" w:eastAsia="標楷體" w:hAnsi="標楷體"/>
          <w:color w:val="000000" w:themeColor="text1"/>
          <w:szCs w:val="24"/>
        </w:rPr>
      </w:pPr>
      <w:r w:rsidRPr="00196FF1">
        <w:rPr>
          <w:rFonts w:ascii="標楷體" w:eastAsia="標楷體" w:hAnsi="標楷體" w:hint="eastAsia"/>
          <w:color w:val="000000" w:themeColor="text1"/>
          <w:szCs w:val="24"/>
        </w:rPr>
        <w:t>綜上，智慧運輸系統之發展高度仰賴資通訊科技，惟政府資源有限，補助地方政府建置功能相近之</w:t>
      </w:r>
      <w:proofErr w:type="gramStart"/>
      <w:r w:rsidRPr="00196FF1">
        <w:rPr>
          <w:rFonts w:ascii="標楷體" w:eastAsia="標楷體" w:hAnsi="標楷體" w:hint="eastAsia"/>
          <w:color w:val="000000" w:themeColor="text1"/>
          <w:szCs w:val="24"/>
        </w:rPr>
        <w:t>交控平臺</w:t>
      </w:r>
      <w:proofErr w:type="gramEnd"/>
      <w:r w:rsidRPr="00196FF1">
        <w:rPr>
          <w:rFonts w:ascii="標楷體" w:eastAsia="標楷體" w:hAnsi="標楷體" w:hint="eastAsia"/>
          <w:color w:val="000000" w:themeColor="text1"/>
          <w:szCs w:val="24"/>
        </w:rPr>
        <w:t>、系統或APP，及該等機關於相同或相近道路重複建置路況監視設備等，未能發揮最大之財務效能。允宜督促交通部、內政部警政署及地方政府強化交通資源管理與相關作業機制，促進各機關間資源交流，並</w:t>
      </w:r>
      <w:proofErr w:type="gramStart"/>
      <w:r w:rsidRPr="00196FF1">
        <w:rPr>
          <w:rFonts w:ascii="標楷體" w:eastAsia="標楷體" w:hAnsi="標楷體" w:hint="eastAsia"/>
          <w:color w:val="000000" w:themeColor="text1"/>
          <w:szCs w:val="24"/>
        </w:rPr>
        <w:t>研</w:t>
      </w:r>
      <w:proofErr w:type="gramEnd"/>
      <w:r w:rsidRPr="00196FF1">
        <w:rPr>
          <w:rFonts w:ascii="標楷體" w:eastAsia="標楷體" w:hAnsi="標楷體" w:hint="eastAsia"/>
          <w:color w:val="000000" w:themeColor="text1"/>
          <w:szCs w:val="24"/>
        </w:rPr>
        <w:t>謀建置共通性資訊平</w:t>
      </w:r>
      <w:proofErr w:type="gramStart"/>
      <w:r w:rsidRPr="00196FF1">
        <w:rPr>
          <w:rFonts w:ascii="標楷體" w:eastAsia="標楷體" w:hAnsi="標楷體" w:hint="eastAsia"/>
          <w:color w:val="000000" w:themeColor="text1"/>
          <w:szCs w:val="24"/>
        </w:rPr>
        <w:t>臺</w:t>
      </w:r>
      <w:proofErr w:type="gramEnd"/>
      <w:r w:rsidRPr="00196FF1">
        <w:rPr>
          <w:rFonts w:ascii="標楷體" w:eastAsia="標楷體" w:hAnsi="標楷體" w:hint="eastAsia"/>
          <w:color w:val="000000" w:themeColor="text1"/>
          <w:szCs w:val="24"/>
        </w:rPr>
        <w:t>供地方政府參</w:t>
      </w:r>
      <w:proofErr w:type="gramStart"/>
      <w:r w:rsidRPr="00196FF1">
        <w:rPr>
          <w:rFonts w:ascii="標楷體" w:eastAsia="標楷體" w:hAnsi="標楷體" w:hint="eastAsia"/>
          <w:color w:val="000000" w:themeColor="text1"/>
          <w:szCs w:val="24"/>
        </w:rPr>
        <w:t>採</w:t>
      </w:r>
      <w:proofErr w:type="gramEnd"/>
      <w:r w:rsidRPr="00196FF1">
        <w:rPr>
          <w:rFonts w:ascii="標楷體" w:eastAsia="標楷體" w:hAnsi="標楷體" w:hint="eastAsia"/>
          <w:color w:val="000000" w:themeColor="text1"/>
          <w:szCs w:val="24"/>
        </w:rPr>
        <w:t>運用，及檢討路況監視設備功能整合與資料</w:t>
      </w:r>
      <w:proofErr w:type="gramStart"/>
      <w:r w:rsidRPr="00196FF1">
        <w:rPr>
          <w:rFonts w:ascii="標楷體" w:eastAsia="標楷體" w:hAnsi="標楷體" w:hint="eastAsia"/>
          <w:color w:val="000000" w:themeColor="text1"/>
          <w:szCs w:val="24"/>
        </w:rPr>
        <w:t>介</w:t>
      </w:r>
      <w:proofErr w:type="gramEnd"/>
      <w:r w:rsidRPr="00196FF1">
        <w:rPr>
          <w:rFonts w:ascii="標楷體" w:eastAsia="標楷體" w:hAnsi="標楷體" w:hint="eastAsia"/>
          <w:color w:val="000000" w:themeColor="text1"/>
          <w:szCs w:val="24"/>
        </w:rPr>
        <w:t>接之可行性，以提升政府資產運用效益及增進財務效能。</w:t>
      </w:r>
    </w:p>
    <w:p w14:paraId="7617152A" w14:textId="5B03CD0E" w:rsidR="00E8604E" w:rsidRPr="002764DD" w:rsidRDefault="00E8604E" w:rsidP="00CA55FD">
      <w:pPr>
        <w:pStyle w:val="2"/>
        <w:overflowPunct w:val="0"/>
        <w:spacing w:beforeLines="30" w:before="108" w:afterLines="30" w:after="108" w:line="43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 xml:space="preserve">（十二）　</w:t>
      </w:r>
      <w:r w:rsidR="00196FF1" w:rsidRPr="00196FF1">
        <w:rPr>
          <w:rFonts w:hAnsi="標楷體" w:hint="eastAsia"/>
          <w:b/>
          <w:color w:val="000000" w:themeColor="text1"/>
          <w:sz w:val="28"/>
          <w:szCs w:val="28"/>
        </w:rPr>
        <w:t>政府推動多項穩定偏遠地區學校師資措施，惟偏遠地區學校教師流動率及代理教師比率仍偏高，偏遠地區學校教育發展條例有關提升教學專業知能之相關措施未盡落實，易致偏遠地區學生學習成就存有城鄉落差等情</w:t>
      </w:r>
      <w:r w:rsidR="00384832">
        <w:rPr>
          <w:rFonts w:hAnsi="標楷體" w:hint="eastAsia"/>
          <w:b/>
          <w:color w:val="000000" w:themeColor="text1"/>
          <w:sz w:val="28"/>
          <w:szCs w:val="28"/>
        </w:rPr>
        <w:t>，</w:t>
      </w:r>
      <w:r w:rsidR="00196FF1" w:rsidRPr="00196FF1">
        <w:rPr>
          <w:rFonts w:hAnsi="標楷體" w:hint="eastAsia"/>
          <w:b/>
          <w:color w:val="000000" w:themeColor="text1"/>
          <w:sz w:val="28"/>
          <w:szCs w:val="28"/>
        </w:rPr>
        <w:t>允宜督促</w:t>
      </w:r>
      <w:proofErr w:type="gramStart"/>
      <w:r w:rsidR="00196FF1" w:rsidRPr="00196FF1">
        <w:rPr>
          <w:rFonts w:hAnsi="標楷體" w:hint="eastAsia"/>
          <w:b/>
          <w:color w:val="000000" w:themeColor="text1"/>
          <w:sz w:val="28"/>
          <w:szCs w:val="28"/>
        </w:rPr>
        <w:t>研謀善策</w:t>
      </w:r>
      <w:proofErr w:type="gramEnd"/>
      <w:r w:rsidR="00196FF1" w:rsidRPr="00196FF1">
        <w:rPr>
          <w:rFonts w:hAnsi="標楷體" w:hint="eastAsia"/>
          <w:b/>
          <w:color w:val="000000" w:themeColor="text1"/>
          <w:sz w:val="28"/>
          <w:szCs w:val="28"/>
        </w:rPr>
        <w:t>，提升教育資源運用效益，以確保偏遠地區教學及學生學習品質。</w:t>
      </w:r>
    </w:p>
    <w:p w14:paraId="208C2800" w14:textId="77777777" w:rsidR="00196FF1" w:rsidRPr="002764DD" w:rsidRDefault="00196FF1" w:rsidP="00CA55FD">
      <w:pPr>
        <w:pStyle w:val="2"/>
        <w:overflowPunct w:val="0"/>
        <w:spacing w:beforeLines="20" w:before="72" w:afterLines="20" w:after="72" w:line="430" w:lineRule="exact"/>
        <w:ind w:left="0" w:firstLineChars="200" w:firstLine="480"/>
        <w:rPr>
          <w:rFonts w:hAnsi="標楷體"/>
          <w:color w:val="000000" w:themeColor="text1"/>
          <w:sz w:val="24"/>
          <w:szCs w:val="24"/>
        </w:rPr>
      </w:pPr>
      <w:r w:rsidRPr="00196FF1">
        <w:rPr>
          <w:rFonts w:hAnsi="標楷體" w:hint="eastAsia"/>
          <w:color w:val="000000" w:themeColor="text1"/>
          <w:sz w:val="24"/>
          <w:szCs w:val="24"/>
        </w:rPr>
        <w:t>政府為因應偏遠地區學校教育之特性及需求，制定偏遠地區學校教育發展條例（下稱偏教條例），並推動穩定偏遠地區學校師資措施，以降低教師流動率。教育部國民及學前教育署推動補助自願赴偏遠地區學校服務之校長及教師相關特別獎勵等多項措施，</w:t>
      </w:r>
      <w:proofErr w:type="gramStart"/>
      <w:r w:rsidRPr="00196FF1">
        <w:rPr>
          <w:rFonts w:hAnsi="標楷體" w:hint="eastAsia"/>
          <w:color w:val="000000" w:themeColor="text1"/>
          <w:sz w:val="24"/>
          <w:szCs w:val="24"/>
        </w:rPr>
        <w:t>112</w:t>
      </w:r>
      <w:proofErr w:type="gramEnd"/>
      <w:r w:rsidRPr="00196FF1">
        <w:rPr>
          <w:rFonts w:hAnsi="標楷體" w:hint="eastAsia"/>
          <w:color w:val="000000" w:themeColor="text1"/>
          <w:sz w:val="24"/>
          <w:szCs w:val="24"/>
        </w:rPr>
        <w:t>年度執行數30億9,839萬餘元。有關偏遠地區教育發展情形，核有下列事項：</w:t>
      </w:r>
    </w:p>
    <w:p w14:paraId="3BE75ED8" w14:textId="1501EB55" w:rsidR="00196FF1" w:rsidRPr="002764DD" w:rsidRDefault="00196FF1" w:rsidP="00CA55FD">
      <w:pPr>
        <w:overflowPunct w:val="0"/>
        <w:spacing w:line="42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Pr="00484E64">
        <w:rPr>
          <w:rFonts w:ascii="標楷體" w:eastAsia="標楷體" w:hAnsi="標楷體" w:hint="eastAsia"/>
          <w:b/>
          <w:szCs w:val="24"/>
        </w:rPr>
        <w:t>偏遠地區學校教師流動率及代理教師比率仍高，且</w:t>
      </w:r>
      <w:proofErr w:type="gramStart"/>
      <w:r w:rsidRPr="00484E64">
        <w:rPr>
          <w:rFonts w:ascii="標楷體" w:eastAsia="標楷體" w:hAnsi="標楷體" w:hint="eastAsia"/>
          <w:b/>
          <w:szCs w:val="24"/>
        </w:rPr>
        <w:t>均無專聘</w:t>
      </w:r>
      <w:proofErr w:type="gramEnd"/>
      <w:r w:rsidRPr="00484E64">
        <w:rPr>
          <w:rFonts w:ascii="標楷體" w:eastAsia="標楷體" w:hAnsi="標楷體" w:hint="eastAsia"/>
          <w:b/>
          <w:szCs w:val="24"/>
        </w:rPr>
        <w:t>教師在職，又多數學校代理</w:t>
      </w:r>
      <w:proofErr w:type="gramStart"/>
      <w:r w:rsidRPr="00484E64">
        <w:rPr>
          <w:rFonts w:ascii="標楷體" w:eastAsia="標楷體" w:hAnsi="標楷體" w:hint="eastAsia"/>
          <w:b/>
          <w:szCs w:val="24"/>
        </w:rPr>
        <w:t>教師非市縣政府</w:t>
      </w:r>
      <w:proofErr w:type="gramEnd"/>
      <w:r w:rsidRPr="00484E64">
        <w:rPr>
          <w:rFonts w:ascii="標楷體" w:eastAsia="標楷體" w:hAnsi="標楷體" w:hint="eastAsia"/>
          <w:b/>
          <w:szCs w:val="24"/>
        </w:rPr>
        <w:t>主管機關透過公開甄選方式進用，</w:t>
      </w:r>
      <w:proofErr w:type="gramStart"/>
      <w:r w:rsidRPr="00484E64">
        <w:rPr>
          <w:rFonts w:ascii="標楷體" w:eastAsia="標楷體" w:hAnsi="標楷體" w:hint="eastAsia"/>
          <w:b/>
          <w:szCs w:val="24"/>
        </w:rPr>
        <w:t>偏教條例</w:t>
      </w:r>
      <w:proofErr w:type="gramEnd"/>
      <w:r w:rsidRPr="00484E64">
        <w:rPr>
          <w:rFonts w:ascii="標楷體" w:eastAsia="標楷體" w:hAnsi="標楷體" w:hint="eastAsia"/>
          <w:b/>
          <w:szCs w:val="24"/>
        </w:rPr>
        <w:t>相關措施未盡落實，未能達成提升教學專業知能之立法目的：</w:t>
      </w:r>
      <w:r w:rsidRPr="00484E64">
        <w:rPr>
          <w:rFonts w:ascii="標楷體" w:eastAsia="標楷體" w:hAnsi="標楷體" w:hint="eastAsia"/>
          <w:szCs w:val="24"/>
        </w:rPr>
        <w:t>監察院111年2月17日調查報告指出，偏遠地區學校基本教學設施及設備不足、師資聘用不足，長期仍面臨行政人力、師資不足之境遇，建請教育部正視教育資源不均問題。據教育部統計，112學年度高級中等以下偏遠地區學校計1,199校，其中偏遠地區國中、小教師流動</w:t>
      </w:r>
      <w:proofErr w:type="gramStart"/>
      <w:r w:rsidRPr="00484E64">
        <w:rPr>
          <w:rFonts w:ascii="標楷體" w:eastAsia="標楷體" w:hAnsi="標楷體" w:hint="eastAsia"/>
          <w:szCs w:val="24"/>
        </w:rPr>
        <w:t>率均為</w:t>
      </w:r>
      <w:proofErr w:type="gramEnd"/>
      <w:r w:rsidRPr="00484E64">
        <w:rPr>
          <w:rFonts w:ascii="標楷體" w:eastAsia="標楷體" w:hAnsi="標楷體" w:hint="eastAsia"/>
          <w:szCs w:val="24"/>
        </w:rPr>
        <w:t>1.21％，仍分別較全國平均值0.70％及1.06％高出0.51個百分點及0.15個百分點。又部分市縣政府為因應少子女化趨勢衍生之超額教師問題，</w:t>
      </w:r>
      <w:proofErr w:type="gramStart"/>
      <w:r w:rsidRPr="00484E64">
        <w:rPr>
          <w:rFonts w:ascii="標楷體" w:eastAsia="標楷體" w:hAnsi="標楷體" w:hint="eastAsia"/>
          <w:szCs w:val="24"/>
        </w:rPr>
        <w:t>控留編制</w:t>
      </w:r>
      <w:proofErr w:type="gramEnd"/>
      <w:r w:rsidRPr="00484E64">
        <w:rPr>
          <w:rFonts w:ascii="標楷體" w:eastAsia="標楷體" w:hAnsi="標楷體" w:hint="eastAsia"/>
          <w:szCs w:val="24"/>
        </w:rPr>
        <w:t>內正式教師職缺，改聘代理教師，其中偏遠地區學校國中、小代理教師比率由107學年度之19.17％及22.37％，上升至112學年度之24.25％及25.83％，其中112學年度比率分別較全國平均</w:t>
      </w:r>
      <w:r w:rsidRPr="00484E64">
        <w:rPr>
          <w:rFonts w:ascii="標楷體" w:eastAsia="標楷體" w:hAnsi="標楷體" w:hint="eastAsia"/>
          <w:szCs w:val="24"/>
        </w:rPr>
        <w:lastRenderedPageBreak/>
        <w:t>值15.48％及16.63％高出8.77個百分點及9.2個百分點，且超出</w:t>
      </w:r>
      <w:proofErr w:type="gramStart"/>
      <w:r w:rsidRPr="00484E64">
        <w:rPr>
          <w:rFonts w:ascii="標楷體" w:eastAsia="標楷體" w:hAnsi="標楷體" w:hint="eastAsia"/>
          <w:szCs w:val="24"/>
        </w:rPr>
        <w:t>規定控留比率</w:t>
      </w:r>
      <w:proofErr w:type="gramEnd"/>
      <w:r w:rsidRPr="00484E64">
        <w:rPr>
          <w:rFonts w:ascii="標楷體" w:eastAsia="標楷體" w:hAnsi="標楷體" w:hint="eastAsia"/>
          <w:szCs w:val="24"/>
        </w:rPr>
        <w:t>上限（8％）。另政府為協助偏遠地區學校進用教師，</w:t>
      </w:r>
      <w:proofErr w:type="gramStart"/>
      <w:r w:rsidRPr="00484E64">
        <w:rPr>
          <w:rFonts w:ascii="標楷體" w:eastAsia="標楷體" w:hAnsi="標楷體" w:hint="eastAsia"/>
          <w:szCs w:val="24"/>
        </w:rPr>
        <w:t>於偏教條例</w:t>
      </w:r>
      <w:proofErr w:type="gramEnd"/>
      <w:r w:rsidRPr="00484E64">
        <w:rPr>
          <w:rFonts w:ascii="標楷體" w:eastAsia="標楷體" w:hAnsi="標楷體" w:hint="eastAsia"/>
          <w:szCs w:val="24"/>
        </w:rPr>
        <w:t>第7條第1項規定，偏遠地區學校甄選合格專任教師確有困難者，主管機關</w:t>
      </w:r>
      <w:proofErr w:type="gramStart"/>
      <w:r w:rsidRPr="00484E64">
        <w:rPr>
          <w:rFonts w:ascii="標楷體" w:eastAsia="標楷體" w:hAnsi="標楷體" w:hint="eastAsia"/>
          <w:szCs w:val="24"/>
        </w:rPr>
        <w:t>得控留</w:t>
      </w:r>
      <w:proofErr w:type="gramEnd"/>
      <w:r w:rsidRPr="00484E64">
        <w:rPr>
          <w:rFonts w:ascii="標楷體" w:eastAsia="標楷體" w:hAnsi="標楷體" w:hint="eastAsia"/>
          <w:szCs w:val="24"/>
        </w:rPr>
        <w:t>所轄偏遠地區學校教師編制員額三分之一以下之人事經費，由主管機關</w:t>
      </w:r>
      <w:proofErr w:type="gramStart"/>
      <w:r w:rsidRPr="00484E64">
        <w:rPr>
          <w:rFonts w:ascii="標楷體" w:eastAsia="標楷體" w:hAnsi="標楷體" w:hint="eastAsia"/>
          <w:szCs w:val="24"/>
        </w:rPr>
        <w:t>採</w:t>
      </w:r>
      <w:proofErr w:type="gramEnd"/>
      <w:r w:rsidRPr="00484E64">
        <w:rPr>
          <w:rFonts w:ascii="標楷體" w:eastAsia="標楷體" w:hAnsi="標楷體" w:hint="eastAsia"/>
          <w:szCs w:val="24"/>
        </w:rPr>
        <w:t>公開甄選方式，進用代理教師或以契約專案聘任具教師資格之教師（下稱專聘教師）；第8條第2項規定，由主管機關公開甄選</w:t>
      </w:r>
      <w:proofErr w:type="gramStart"/>
      <w:r w:rsidRPr="00484E64">
        <w:rPr>
          <w:rFonts w:ascii="標楷體" w:eastAsia="標楷體" w:hAnsi="標楷體" w:hint="eastAsia"/>
          <w:szCs w:val="24"/>
        </w:rPr>
        <w:t>之專聘教師</w:t>
      </w:r>
      <w:proofErr w:type="gramEnd"/>
      <w:r w:rsidRPr="00484E64">
        <w:rPr>
          <w:rFonts w:ascii="標楷體" w:eastAsia="標楷體" w:hAnsi="標楷體" w:hint="eastAsia"/>
          <w:szCs w:val="24"/>
        </w:rPr>
        <w:t>及代理教師，始得參加由中央主管機關「全額補助」師資培育大學開設之第二專長學分班及師資職前教育課程。惟全國有偏遠地區學校之18市縣主管機關，僅新北市、嘉義縣2市縣為解決偏鄉國小師資不足，曾</w:t>
      </w:r>
      <w:proofErr w:type="gramStart"/>
      <w:r w:rsidRPr="00484E64">
        <w:rPr>
          <w:rFonts w:ascii="標楷體" w:eastAsia="標楷體" w:hAnsi="標楷體" w:hint="eastAsia"/>
          <w:szCs w:val="24"/>
        </w:rPr>
        <w:t>依偏教</w:t>
      </w:r>
      <w:proofErr w:type="gramEnd"/>
      <w:r w:rsidRPr="00484E64">
        <w:rPr>
          <w:rFonts w:ascii="標楷體" w:eastAsia="標楷體" w:hAnsi="標楷體" w:hint="eastAsia"/>
          <w:szCs w:val="24"/>
        </w:rPr>
        <w:t>條例第7條規定，由主管機關公開甄選聘任有教師證</w:t>
      </w:r>
      <w:proofErr w:type="gramStart"/>
      <w:r w:rsidRPr="00484E64">
        <w:rPr>
          <w:rFonts w:ascii="標楷體" w:eastAsia="標楷體" w:hAnsi="標楷體" w:hint="eastAsia"/>
          <w:szCs w:val="24"/>
        </w:rPr>
        <w:t>之專聘教師</w:t>
      </w:r>
      <w:proofErr w:type="gramEnd"/>
      <w:r w:rsidRPr="00484E64">
        <w:rPr>
          <w:rFonts w:ascii="標楷體" w:eastAsia="標楷體" w:hAnsi="標楷體" w:hint="eastAsia"/>
          <w:szCs w:val="24"/>
        </w:rPr>
        <w:t>到偏鄉學校服務，其中嘉義縣分別於108、109及</w:t>
      </w:r>
      <w:proofErr w:type="gramStart"/>
      <w:r w:rsidRPr="00484E64">
        <w:rPr>
          <w:rFonts w:ascii="標楷體" w:eastAsia="標楷體" w:hAnsi="標楷體" w:hint="eastAsia"/>
          <w:szCs w:val="24"/>
        </w:rPr>
        <w:t>110</w:t>
      </w:r>
      <w:proofErr w:type="gramEnd"/>
      <w:r w:rsidRPr="00484E64">
        <w:rPr>
          <w:rFonts w:ascii="標楷體" w:eastAsia="標楷體" w:hAnsi="標楷體" w:hint="eastAsia"/>
          <w:szCs w:val="24"/>
        </w:rPr>
        <w:t>年度公開甄選進</w:t>
      </w:r>
      <w:proofErr w:type="gramStart"/>
      <w:r w:rsidRPr="00484E64">
        <w:rPr>
          <w:rFonts w:ascii="標楷體" w:eastAsia="標楷體" w:hAnsi="標楷體" w:hint="eastAsia"/>
          <w:szCs w:val="24"/>
        </w:rPr>
        <w:t>用專聘教師</w:t>
      </w:r>
      <w:proofErr w:type="gramEnd"/>
      <w:r w:rsidRPr="00484E64">
        <w:rPr>
          <w:rFonts w:ascii="標楷體" w:eastAsia="標楷體" w:hAnsi="標楷體" w:hint="eastAsia"/>
          <w:szCs w:val="24"/>
        </w:rPr>
        <w:t>5位、4位及2位；新北市於</w:t>
      </w:r>
      <w:proofErr w:type="gramStart"/>
      <w:r w:rsidRPr="00484E64">
        <w:rPr>
          <w:rFonts w:ascii="標楷體" w:eastAsia="標楷體" w:hAnsi="標楷體" w:hint="eastAsia"/>
          <w:szCs w:val="24"/>
        </w:rPr>
        <w:t>110</w:t>
      </w:r>
      <w:proofErr w:type="gramEnd"/>
      <w:r w:rsidRPr="00484E64">
        <w:rPr>
          <w:rFonts w:ascii="標楷體" w:eastAsia="標楷體" w:hAnsi="標楷體" w:hint="eastAsia"/>
          <w:szCs w:val="24"/>
        </w:rPr>
        <w:t>年度進用1位，該</w:t>
      </w:r>
      <w:proofErr w:type="gramStart"/>
      <w:r w:rsidRPr="00484E64">
        <w:rPr>
          <w:rFonts w:ascii="標楷體" w:eastAsia="標楷體" w:hAnsi="標楷體" w:hint="eastAsia"/>
          <w:szCs w:val="24"/>
        </w:rPr>
        <w:t>等專聘教師</w:t>
      </w:r>
      <w:proofErr w:type="gramEnd"/>
      <w:r w:rsidRPr="00484E64">
        <w:rPr>
          <w:rFonts w:ascii="標楷體" w:eastAsia="標楷體" w:hAnsi="標楷體" w:hint="eastAsia"/>
          <w:szCs w:val="24"/>
        </w:rPr>
        <w:t>於契約</w:t>
      </w:r>
      <w:proofErr w:type="gramStart"/>
      <w:r w:rsidRPr="00484E64">
        <w:rPr>
          <w:rFonts w:ascii="標楷體" w:eastAsia="標楷體" w:hAnsi="標楷體" w:hint="eastAsia"/>
          <w:szCs w:val="24"/>
        </w:rPr>
        <w:t>期滿均已離職</w:t>
      </w:r>
      <w:proofErr w:type="gramEnd"/>
      <w:r w:rsidRPr="00484E64">
        <w:rPr>
          <w:rFonts w:ascii="標楷體" w:eastAsia="標楷體" w:hAnsi="標楷體" w:hint="eastAsia"/>
          <w:szCs w:val="24"/>
        </w:rPr>
        <w:t>，111及</w:t>
      </w:r>
      <w:proofErr w:type="gramStart"/>
      <w:r w:rsidRPr="00484E64">
        <w:rPr>
          <w:rFonts w:ascii="標楷體" w:eastAsia="標楷體" w:hAnsi="標楷體" w:hint="eastAsia"/>
          <w:szCs w:val="24"/>
        </w:rPr>
        <w:t>112年度均無市</w:t>
      </w:r>
      <w:proofErr w:type="gramEnd"/>
      <w:r w:rsidRPr="00484E64">
        <w:rPr>
          <w:rFonts w:ascii="標楷體" w:eastAsia="標楷體" w:hAnsi="標楷體" w:hint="eastAsia"/>
          <w:szCs w:val="24"/>
        </w:rPr>
        <w:t>縣主管機關公開</w:t>
      </w:r>
      <w:proofErr w:type="gramStart"/>
      <w:r w:rsidRPr="00484E64">
        <w:rPr>
          <w:rFonts w:ascii="標楷體" w:eastAsia="標楷體" w:hAnsi="標楷體" w:hint="eastAsia"/>
          <w:szCs w:val="24"/>
        </w:rPr>
        <w:t>甄選專聘教師</w:t>
      </w:r>
      <w:proofErr w:type="gramEnd"/>
      <w:r w:rsidRPr="00484E64">
        <w:rPr>
          <w:rFonts w:ascii="標楷體" w:eastAsia="標楷體" w:hAnsi="標楷體" w:hint="eastAsia"/>
          <w:szCs w:val="24"/>
        </w:rPr>
        <w:t>。另112學年度全國高級中等以下學校之代理教師計30,854位，其中18市縣偏遠地區學校代課教師4,992人，占16.18％，僅澎湖縣及金門縣2</w:t>
      </w:r>
      <w:proofErr w:type="gramStart"/>
      <w:r w:rsidRPr="00484E64">
        <w:rPr>
          <w:rFonts w:ascii="標楷體" w:eastAsia="標楷體" w:hAnsi="標楷體" w:hint="eastAsia"/>
          <w:szCs w:val="24"/>
        </w:rPr>
        <w:t>縣係由</w:t>
      </w:r>
      <w:proofErr w:type="gramEnd"/>
      <w:r w:rsidRPr="00484E64">
        <w:rPr>
          <w:rFonts w:ascii="標楷體" w:eastAsia="標楷體" w:hAnsi="標楷體" w:hint="eastAsia"/>
          <w:szCs w:val="24"/>
        </w:rPr>
        <w:t>主管機關公開甄選，其餘市縣則由偏遠地區學校自行招聘代理教師，該等教師無法參加政府全額補助之第二專長學分班及師資職前教育課程，以增進偏遠地區學校教師具備教育專長，致未能</w:t>
      </w:r>
      <w:proofErr w:type="gramStart"/>
      <w:r w:rsidRPr="00484E64">
        <w:rPr>
          <w:rFonts w:ascii="標楷體" w:eastAsia="標楷體" w:hAnsi="標楷體" w:hint="eastAsia"/>
          <w:szCs w:val="24"/>
        </w:rPr>
        <w:t>落實偏教條例</w:t>
      </w:r>
      <w:proofErr w:type="gramEnd"/>
      <w:r w:rsidRPr="00484E64">
        <w:rPr>
          <w:rFonts w:ascii="標楷體" w:eastAsia="標楷體" w:hAnsi="標楷體" w:hint="eastAsia"/>
          <w:szCs w:val="24"/>
        </w:rPr>
        <w:t>第7條及第8條有關協助</w:t>
      </w:r>
      <w:proofErr w:type="gramStart"/>
      <w:r w:rsidRPr="00484E64">
        <w:rPr>
          <w:rFonts w:ascii="標楷體" w:eastAsia="標楷體" w:hAnsi="標楷體" w:hint="eastAsia"/>
          <w:szCs w:val="24"/>
        </w:rPr>
        <w:t>招聘專聘教師</w:t>
      </w:r>
      <w:proofErr w:type="gramEnd"/>
      <w:r w:rsidRPr="00484E64">
        <w:rPr>
          <w:rFonts w:ascii="標楷體" w:eastAsia="標楷體" w:hAnsi="標楷體" w:hint="eastAsia"/>
          <w:szCs w:val="24"/>
        </w:rPr>
        <w:t>及代理教師規定達成提升教學專業知能之立法目的。</w:t>
      </w:r>
    </w:p>
    <w:p w14:paraId="362E4BF4" w14:textId="217E02C2" w:rsidR="00196FF1" w:rsidRDefault="00196FF1" w:rsidP="00CA55FD">
      <w:pPr>
        <w:overflowPunct w:val="0"/>
        <w:spacing w:line="426" w:lineRule="exact"/>
        <w:ind w:firstLineChars="450" w:firstLine="1081"/>
        <w:jc w:val="both"/>
        <w:rPr>
          <w:rFonts w:ascii="標楷體" w:eastAsia="標楷體" w:hAnsi="標楷體"/>
          <w:szCs w:val="24"/>
        </w:rPr>
      </w:pPr>
      <w:r w:rsidRPr="002764DD">
        <w:rPr>
          <w:rFonts w:ascii="標楷體" w:eastAsia="標楷體" w:hAnsi="標楷體" w:hint="eastAsia"/>
          <w:b/>
          <w:color w:val="000000" w:themeColor="text1"/>
          <w:szCs w:val="24"/>
        </w:rPr>
        <w:t xml:space="preserve">2.　</w:t>
      </w:r>
      <w:r w:rsidR="00D645EB" w:rsidRPr="00484E64">
        <w:rPr>
          <w:rFonts w:ascii="標楷體" w:eastAsia="標楷體" w:hAnsi="標楷體" w:hint="eastAsia"/>
          <w:b/>
          <w:szCs w:val="24"/>
        </w:rPr>
        <w:t>偏遠地區學生國中會考成績待加強比率及學習扶助篩選測驗未通過比率高出全國比率甚多，存有學習城鄉落差情事：</w:t>
      </w:r>
      <w:r w:rsidR="00D645EB" w:rsidRPr="00484E64">
        <w:rPr>
          <w:rFonts w:ascii="標楷體" w:eastAsia="標楷體" w:hAnsi="標楷體" w:hint="eastAsia"/>
          <w:szCs w:val="24"/>
        </w:rPr>
        <w:t>監察院105年2月18日、111年12月15日調查報告指出，代理教師之高流動性、</w:t>
      </w:r>
      <w:proofErr w:type="gramStart"/>
      <w:r w:rsidR="00D645EB" w:rsidRPr="00484E64">
        <w:rPr>
          <w:rFonts w:ascii="標楷體" w:eastAsia="標楷體" w:hAnsi="標楷體" w:hint="eastAsia"/>
          <w:szCs w:val="24"/>
        </w:rPr>
        <w:t>不</w:t>
      </w:r>
      <w:proofErr w:type="gramEnd"/>
      <w:r w:rsidR="00D645EB" w:rsidRPr="00484E64">
        <w:rPr>
          <w:rFonts w:ascii="標楷體" w:eastAsia="標楷體" w:hAnsi="標楷體" w:hint="eastAsia"/>
          <w:szCs w:val="24"/>
        </w:rPr>
        <w:t>穩定性，易造成教學難以連貫，另偏遠地區學校之學生文化刺激不足、家庭結構弱勢或其師資品質等情，</w:t>
      </w:r>
      <w:proofErr w:type="gramStart"/>
      <w:r w:rsidR="00D645EB" w:rsidRPr="00484E64">
        <w:rPr>
          <w:rFonts w:ascii="標楷體" w:eastAsia="標楷體" w:hAnsi="標楷體" w:hint="eastAsia"/>
          <w:szCs w:val="24"/>
        </w:rPr>
        <w:t>均為學習</w:t>
      </w:r>
      <w:proofErr w:type="gramEnd"/>
      <w:r w:rsidR="00D645EB" w:rsidRPr="00484E64">
        <w:rPr>
          <w:rFonts w:ascii="標楷體" w:eastAsia="標楷體" w:hAnsi="標楷體" w:hint="eastAsia"/>
          <w:szCs w:val="24"/>
        </w:rPr>
        <w:t>上之不利因素。據2022年國際學生能力評量（</w:t>
      </w:r>
      <w:proofErr w:type="spellStart"/>
      <w:r w:rsidR="00D645EB" w:rsidRPr="00484E64">
        <w:rPr>
          <w:rFonts w:ascii="標楷體" w:eastAsia="標楷體" w:hAnsi="標楷體"/>
          <w:szCs w:val="24"/>
        </w:rPr>
        <w:t>Programme</w:t>
      </w:r>
      <w:proofErr w:type="spellEnd"/>
      <w:r w:rsidR="00D645EB" w:rsidRPr="00484E64">
        <w:rPr>
          <w:rFonts w:ascii="標楷體" w:eastAsia="標楷體" w:hAnsi="標楷體"/>
          <w:szCs w:val="24"/>
        </w:rPr>
        <w:t xml:space="preserve"> for International Student Assessment,</w:t>
      </w:r>
      <w:r w:rsidR="00D645EB" w:rsidRPr="00484E64">
        <w:rPr>
          <w:rFonts w:ascii="標楷體" w:eastAsia="標楷體" w:hAnsi="標楷體" w:hint="eastAsia"/>
          <w:szCs w:val="24"/>
        </w:rPr>
        <w:t xml:space="preserve"> PISA）結果，在數學部分，臺灣「都會與工商區」學生平均分數571分</w:t>
      </w:r>
      <w:r w:rsidR="00D645EB" w:rsidRPr="00484E64">
        <w:rPr>
          <w:rFonts w:ascii="標楷體" w:eastAsia="標楷體" w:hAnsi="標楷體" w:hint="eastAsia"/>
          <w:spacing w:val="-2"/>
          <w:szCs w:val="24"/>
        </w:rPr>
        <w:t>，「低度發展與偏遠區」僅517分，相差54分；閱讀、科學亦出現40分以上差異，學習程度城鄉落差甚巨。又112學年度偏遠地區學生國中會考國文、英語及</w:t>
      </w:r>
      <w:r w:rsidR="00D645EB" w:rsidRPr="00484E64">
        <w:rPr>
          <w:rFonts w:ascii="標楷體" w:eastAsia="標楷體" w:hAnsi="標楷體" w:hint="eastAsia"/>
          <w:szCs w:val="24"/>
        </w:rPr>
        <w:t>數學成績「待加強」比率為27.82％、55.20％及48.51％，較全國「待加強」比率12.71％、29.06％</w:t>
      </w:r>
      <w:r w:rsidR="00D645EB" w:rsidRPr="00484E64">
        <w:rPr>
          <w:rFonts w:ascii="標楷體" w:eastAsia="標楷體" w:hAnsi="標楷體" w:hint="eastAsia"/>
          <w:spacing w:val="-2"/>
          <w:szCs w:val="24"/>
        </w:rPr>
        <w:t>及25.93％，</w:t>
      </w:r>
      <w:r w:rsidR="00D645EB" w:rsidRPr="00484E64">
        <w:rPr>
          <w:rFonts w:ascii="標楷體" w:eastAsia="標楷體" w:hAnsi="標楷體" w:hint="eastAsia"/>
          <w:szCs w:val="24"/>
        </w:rPr>
        <w:t>分別高出15.11個百分點、26.14個百分點及22.58個百分點；國中小學</w:t>
      </w:r>
      <w:r w:rsidR="00D645EB" w:rsidRPr="00484E64">
        <w:rPr>
          <w:rFonts w:ascii="標楷體" w:eastAsia="標楷體" w:hAnsi="標楷體" w:hint="eastAsia"/>
          <w:spacing w:val="-4"/>
          <w:szCs w:val="24"/>
        </w:rPr>
        <w:t>習扶助篩選測驗結果，以八年級為例，偏遠地區學生國文、英語及數學未通過比率分別為18.86％、</w:t>
      </w:r>
      <w:r w:rsidR="00D645EB" w:rsidRPr="00484E64">
        <w:rPr>
          <w:rFonts w:ascii="標楷體" w:eastAsia="標楷體" w:hAnsi="標楷體" w:hint="eastAsia"/>
          <w:szCs w:val="24"/>
        </w:rPr>
        <w:t>38.86％及43.97％，較全國未通過比率11.56％、20.96％及24.88％，分別高出7.3個百分點、17.90個百分點及19.09個百分點。上開偏遠地區學生國中會考國文、英語及數學成績待加強比率以及學習扶助篩選測驗未通過比率分別為全國之1.87倍至2.19倍、1.63倍至1.85倍，學習成就及學力存有城鄉落差。</w:t>
      </w:r>
    </w:p>
    <w:p w14:paraId="3391B943" w14:textId="77777777" w:rsidR="00A9025A" w:rsidRPr="0088604F" w:rsidRDefault="0096199D" w:rsidP="00CA55FD">
      <w:pPr>
        <w:overflowPunct w:val="0"/>
        <w:spacing w:line="430" w:lineRule="exact"/>
        <w:ind w:firstLineChars="200" w:firstLine="480"/>
        <w:jc w:val="both"/>
        <w:rPr>
          <w:rFonts w:ascii="標楷體" w:eastAsia="標楷體" w:hAnsi="標楷體"/>
          <w:color w:val="000000" w:themeColor="text1"/>
          <w:szCs w:val="24"/>
        </w:rPr>
      </w:pPr>
      <w:r w:rsidRPr="00484E64">
        <w:rPr>
          <w:rFonts w:ascii="標楷體" w:eastAsia="標楷體" w:hAnsi="標楷體" w:hint="eastAsia"/>
          <w:szCs w:val="24"/>
        </w:rPr>
        <w:t>綜上，政府推動多項穩定偏遠地區學校師資措施，惟偏遠地區學校教師流動率及代理教師比率仍高，</w:t>
      </w:r>
      <w:proofErr w:type="gramStart"/>
      <w:r w:rsidRPr="00484E64">
        <w:rPr>
          <w:rFonts w:ascii="標楷體" w:eastAsia="標楷體" w:hAnsi="標楷體" w:hint="eastAsia"/>
          <w:szCs w:val="24"/>
        </w:rPr>
        <w:t>偏教條例</w:t>
      </w:r>
      <w:proofErr w:type="gramEnd"/>
      <w:r w:rsidRPr="00484E64">
        <w:rPr>
          <w:rFonts w:ascii="標楷體" w:eastAsia="標楷體" w:hAnsi="標楷體" w:hint="eastAsia"/>
          <w:szCs w:val="24"/>
        </w:rPr>
        <w:t>有關提升教學專業知能之相關措施未盡落實，學習成就及學力存有城鄉落差。允宜督促教育部審慎檢討問題癥結及教師與學生需求，</w:t>
      </w:r>
      <w:proofErr w:type="gramStart"/>
      <w:r w:rsidRPr="00484E64">
        <w:rPr>
          <w:rFonts w:ascii="標楷體" w:eastAsia="標楷體" w:hAnsi="標楷體" w:hint="eastAsia"/>
          <w:szCs w:val="24"/>
        </w:rPr>
        <w:t>研</w:t>
      </w:r>
      <w:proofErr w:type="gramEnd"/>
      <w:r w:rsidRPr="00484E64">
        <w:rPr>
          <w:rFonts w:ascii="標楷體" w:eastAsia="標楷體" w:hAnsi="標楷體" w:hint="eastAsia"/>
          <w:szCs w:val="24"/>
        </w:rPr>
        <w:t>議具體改善對策，提升教育資源運用效益，以確保偏遠地區教學及學生學習品質，促進各地區教育均衡發展。</w:t>
      </w:r>
    </w:p>
    <w:p w14:paraId="142656B6" w14:textId="787D107C" w:rsidR="00681F74" w:rsidRDefault="00681F74" w:rsidP="00CA55FD">
      <w:pPr>
        <w:overflowPunct w:val="0"/>
        <w:spacing w:line="430" w:lineRule="exact"/>
        <w:ind w:firstLineChars="200" w:firstLine="480"/>
        <w:jc w:val="both"/>
        <w:rPr>
          <w:rFonts w:ascii="標楷體" w:eastAsia="標楷體" w:hAnsi="標楷體"/>
          <w:szCs w:val="24"/>
        </w:rPr>
        <w:sectPr w:rsidR="00681F74" w:rsidSect="006D7C6C">
          <w:footerReference w:type="even" r:id="rId8"/>
          <w:footerReference w:type="default" r:id="rId9"/>
          <w:pgSz w:w="11906" w:h="16838" w:code="9"/>
          <w:pgMar w:top="1418" w:right="851" w:bottom="1418" w:left="851" w:header="1021" w:footer="737" w:gutter="284"/>
          <w:pgNumType w:start="6"/>
          <w:cols w:space="425"/>
          <w:docGrid w:type="lines" w:linePitch="360"/>
        </w:sectPr>
      </w:pPr>
    </w:p>
    <w:p w14:paraId="7D065A8B" w14:textId="09C23708" w:rsidR="00841FDA" w:rsidRPr="00893770" w:rsidRDefault="00FE73F8" w:rsidP="00CA55FD">
      <w:pPr>
        <w:pStyle w:val="10"/>
        <w:overflowPunct w:val="0"/>
        <w:spacing w:beforeLines="30" w:before="108" w:afterLines="30" w:after="108" w:line="420" w:lineRule="exact"/>
        <w:ind w:firstLineChars="100" w:firstLine="320"/>
        <w:rPr>
          <w:rFonts w:ascii="標楷體" w:eastAsia="標楷體" w:hAnsi="標楷體"/>
          <w:color w:val="000000" w:themeColor="text1"/>
          <w:sz w:val="32"/>
          <w:szCs w:val="32"/>
        </w:rPr>
      </w:pPr>
      <w:r w:rsidRPr="00893770">
        <w:rPr>
          <w:rFonts w:ascii="標楷體" w:eastAsia="標楷體" w:hAnsi="標楷體" w:hint="eastAsia"/>
          <w:color w:val="000000" w:themeColor="text1"/>
          <w:sz w:val="32"/>
          <w:szCs w:val="32"/>
        </w:rPr>
        <w:lastRenderedPageBreak/>
        <w:t>四</w:t>
      </w:r>
      <w:r w:rsidR="00650851" w:rsidRPr="00893770">
        <w:rPr>
          <w:rFonts w:ascii="標楷體" w:eastAsia="標楷體" w:hAnsi="標楷體" w:hint="eastAsia"/>
          <w:color w:val="000000" w:themeColor="text1"/>
          <w:sz w:val="32"/>
          <w:szCs w:val="32"/>
        </w:rPr>
        <w:t>、重要審核意見</w:t>
      </w:r>
    </w:p>
    <w:p w14:paraId="77CC8AE4" w14:textId="1FE9FA19" w:rsidR="009C43A4" w:rsidRPr="00BD687A" w:rsidRDefault="009C43A4" w:rsidP="001B4DCA">
      <w:pPr>
        <w:pStyle w:val="2"/>
        <w:overflowPunct w:val="0"/>
        <w:spacing w:beforeLines="20" w:before="72" w:afterLines="20" w:after="72" w:line="400" w:lineRule="exact"/>
        <w:ind w:left="0" w:firstLineChars="200" w:firstLine="561"/>
        <w:rPr>
          <w:rFonts w:hAnsi="標楷體"/>
          <w:b/>
          <w:color w:val="000000" w:themeColor="text1"/>
          <w:sz w:val="28"/>
          <w:szCs w:val="28"/>
          <w:highlight w:val="yellow"/>
        </w:rPr>
      </w:pPr>
      <w:r w:rsidRPr="00BD687A">
        <w:rPr>
          <w:rFonts w:hAnsi="標楷體" w:hint="eastAsia"/>
          <w:b/>
          <w:color w:val="000000" w:themeColor="text1"/>
          <w:sz w:val="28"/>
          <w:szCs w:val="28"/>
        </w:rPr>
        <w:t xml:space="preserve">（一）　</w:t>
      </w:r>
      <w:r w:rsidR="00A70EF2" w:rsidRPr="00A969AE">
        <w:rPr>
          <w:rFonts w:hAnsi="標楷體" w:hint="eastAsia"/>
          <w:b/>
          <w:snapToGrid w:val="0"/>
          <w:sz w:val="28"/>
          <w:szCs w:val="32"/>
        </w:rPr>
        <w:t>政府自</w:t>
      </w:r>
      <w:proofErr w:type="gramStart"/>
      <w:r w:rsidR="00A70EF2" w:rsidRPr="00A969AE">
        <w:rPr>
          <w:rFonts w:hAnsi="標楷體" w:hint="eastAsia"/>
          <w:b/>
          <w:snapToGrid w:val="0"/>
          <w:sz w:val="28"/>
          <w:szCs w:val="32"/>
        </w:rPr>
        <w:t>108</w:t>
      </w:r>
      <w:proofErr w:type="gramEnd"/>
      <w:r w:rsidR="00A70EF2" w:rsidRPr="00A969AE">
        <w:rPr>
          <w:rFonts w:hAnsi="標楷體" w:hint="eastAsia"/>
          <w:b/>
          <w:snapToGrid w:val="0"/>
          <w:sz w:val="28"/>
          <w:szCs w:val="32"/>
        </w:rPr>
        <w:t>年度起已發布5份臺灣永續發展目標年度檢討報告，</w:t>
      </w:r>
      <w:r w:rsidR="00ED2CFE">
        <w:rPr>
          <w:rFonts w:hAnsi="標楷體" w:hint="eastAsia"/>
          <w:b/>
          <w:snapToGrid w:val="0"/>
          <w:sz w:val="28"/>
          <w:szCs w:val="32"/>
        </w:rPr>
        <w:t>對應</w:t>
      </w:r>
      <w:r w:rsidR="00BF3890">
        <w:rPr>
          <w:rFonts w:hAnsi="標楷體" w:hint="eastAsia"/>
          <w:b/>
          <w:snapToGrid w:val="0"/>
          <w:sz w:val="28"/>
          <w:szCs w:val="32"/>
        </w:rPr>
        <w:t>指標達成率呈成長趨勢，</w:t>
      </w:r>
      <w:r w:rsidR="00A70EF2" w:rsidRPr="00A969AE">
        <w:rPr>
          <w:rFonts w:hAnsi="標楷體" w:hint="eastAsia"/>
          <w:b/>
          <w:snapToGrid w:val="0"/>
          <w:sz w:val="28"/>
          <w:szCs w:val="32"/>
        </w:rPr>
        <w:t>惟尚有部分對應指標未達年度目標且連年落後，又近</w:t>
      </w:r>
      <w:proofErr w:type="gramStart"/>
      <w:r w:rsidR="00A70EF2" w:rsidRPr="00A969AE">
        <w:rPr>
          <w:rFonts w:hAnsi="標楷體" w:hint="eastAsia"/>
          <w:b/>
          <w:snapToGrid w:val="0"/>
          <w:sz w:val="28"/>
          <w:szCs w:val="32"/>
        </w:rPr>
        <w:t>3</w:t>
      </w:r>
      <w:proofErr w:type="gramEnd"/>
      <w:r w:rsidR="00A70EF2" w:rsidRPr="00A969AE">
        <w:rPr>
          <w:rFonts w:hAnsi="標楷體" w:hint="eastAsia"/>
          <w:b/>
          <w:snapToGrid w:val="0"/>
          <w:sz w:val="28"/>
          <w:szCs w:val="32"/>
        </w:rPr>
        <w:t>年度檢討報告發布</w:t>
      </w:r>
      <w:proofErr w:type="gramStart"/>
      <w:r w:rsidR="00A70EF2" w:rsidRPr="00A969AE">
        <w:rPr>
          <w:rFonts w:hAnsi="標楷體" w:hint="eastAsia"/>
          <w:b/>
          <w:snapToGrid w:val="0"/>
          <w:sz w:val="28"/>
          <w:szCs w:val="32"/>
        </w:rPr>
        <w:t>期間均較執行</w:t>
      </w:r>
      <w:proofErr w:type="gramEnd"/>
      <w:r w:rsidR="00A70EF2" w:rsidRPr="00A969AE">
        <w:rPr>
          <w:rFonts w:hAnsi="標楷體" w:hint="eastAsia"/>
          <w:b/>
          <w:snapToGrid w:val="0"/>
          <w:sz w:val="28"/>
          <w:szCs w:val="32"/>
        </w:rPr>
        <w:t>年度落後長達1年；</w:t>
      </w:r>
      <w:r w:rsidR="0061200D" w:rsidRPr="0061200D">
        <w:rPr>
          <w:rFonts w:hAnsi="標楷體" w:hint="eastAsia"/>
          <w:b/>
          <w:snapToGrid w:val="0"/>
          <w:sz w:val="28"/>
          <w:szCs w:val="32"/>
        </w:rPr>
        <w:t>另指標接軌比率低於鄰近先進國家，可接軌指標比率</w:t>
      </w:r>
      <w:proofErr w:type="gramStart"/>
      <w:r w:rsidR="0061200D" w:rsidRPr="0061200D">
        <w:rPr>
          <w:rFonts w:hAnsi="標楷體" w:hint="eastAsia"/>
          <w:b/>
          <w:snapToGrid w:val="0"/>
          <w:sz w:val="28"/>
          <w:szCs w:val="32"/>
        </w:rPr>
        <w:t>差異頗巨</w:t>
      </w:r>
      <w:proofErr w:type="gramEnd"/>
      <w:r w:rsidR="0061200D" w:rsidRPr="0061200D">
        <w:rPr>
          <w:rFonts w:hAnsi="標楷體" w:hint="eastAsia"/>
          <w:b/>
          <w:snapToGrid w:val="0"/>
          <w:sz w:val="28"/>
          <w:szCs w:val="32"/>
        </w:rPr>
        <w:t>，甚有無法接軌等情事，</w:t>
      </w:r>
      <w:r w:rsidR="00A70EF2" w:rsidRPr="00A969AE">
        <w:rPr>
          <w:rFonts w:hAnsi="標楷體" w:hint="eastAsia"/>
          <w:b/>
          <w:snapToGrid w:val="0"/>
          <w:sz w:val="28"/>
          <w:szCs w:val="32"/>
        </w:rPr>
        <w:t>允宜督促相關權責機關</w:t>
      </w:r>
      <w:proofErr w:type="gramStart"/>
      <w:r w:rsidR="00A70EF2" w:rsidRPr="00A969AE">
        <w:rPr>
          <w:rFonts w:hAnsi="標楷體" w:hint="eastAsia"/>
          <w:b/>
          <w:snapToGrid w:val="0"/>
          <w:sz w:val="28"/>
          <w:szCs w:val="32"/>
        </w:rPr>
        <w:t>研</w:t>
      </w:r>
      <w:proofErr w:type="gramEnd"/>
      <w:r w:rsidR="00A70EF2" w:rsidRPr="00A969AE">
        <w:rPr>
          <w:rFonts w:hAnsi="標楷體" w:hint="eastAsia"/>
          <w:b/>
          <w:snapToGrid w:val="0"/>
          <w:sz w:val="28"/>
          <w:szCs w:val="32"/>
        </w:rPr>
        <w:t>謀因應，以促進永續發展執行成效。</w:t>
      </w:r>
    </w:p>
    <w:p w14:paraId="42FBC0FB" w14:textId="3D5CD421" w:rsidR="00B1445F" w:rsidRPr="001B4DCA" w:rsidRDefault="00B1445F" w:rsidP="001B4DCA">
      <w:pPr>
        <w:overflowPunct w:val="0"/>
        <w:spacing w:line="400" w:lineRule="exact"/>
        <w:ind w:firstLineChars="200" w:firstLine="472"/>
        <w:jc w:val="both"/>
        <w:rPr>
          <w:rFonts w:ascii="標楷體" w:eastAsia="標楷體" w:hAnsi="標楷體"/>
          <w:spacing w:val="-2"/>
          <w:szCs w:val="32"/>
        </w:rPr>
      </w:pPr>
      <w:r w:rsidRPr="001B4DCA">
        <w:rPr>
          <w:rFonts w:ascii="標楷體" w:eastAsia="標楷體" w:hAnsi="標楷體" w:hint="eastAsia"/>
          <w:spacing w:val="-2"/>
          <w:szCs w:val="32"/>
        </w:rPr>
        <w:t>行政院國家永續發展委員會（下稱永續會）為具體回應聯合國於2015年提出之</w:t>
      </w:r>
      <w:r w:rsidRPr="001B4DCA">
        <w:rPr>
          <w:rFonts w:ascii="標楷體" w:eastAsia="標楷體" w:hAnsi="標楷體" w:hint="eastAsia"/>
          <w:spacing w:val="-2"/>
          <w:szCs w:val="24"/>
        </w:rPr>
        <w:t>「翻轉世界：2030年永續發展議程」</w:t>
      </w:r>
      <w:proofErr w:type="gramStart"/>
      <w:r w:rsidRPr="001B4DCA">
        <w:rPr>
          <w:rFonts w:ascii="標楷體" w:eastAsia="標楷體" w:hAnsi="標楷體" w:hint="eastAsia"/>
          <w:spacing w:val="-2"/>
          <w:szCs w:val="24"/>
        </w:rPr>
        <w:t>（</w:t>
      </w:r>
      <w:proofErr w:type="gramEnd"/>
      <w:r w:rsidRPr="001B4DCA">
        <w:rPr>
          <w:rFonts w:ascii="標楷體" w:eastAsia="標楷體" w:hAnsi="標楷體" w:hint="eastAsia"/>
          <w:spacing w:val="-2"/>
          <w:szCs w:val="24"/>
        </w:rPr>
        <w:t>Transforming our world: the 2030 Agenda for Sustainable Development</w:t>
      </w:r>
      <w:proofErr w:type="gramStart"/>
      <w:r w:rsidRPr="001B4DCA">
        <w:rPr>
          <w:rFonts w:ascii="標楷體" w:eastAsia="標楷體" w:hAnsi="標楷體" w:hint="eastAsia"/>
          <w:spacing w:val="-2"/>
          <w:szCs w:val="24"/>
        </w:rPr>
        <w:t>）</w:t>
      </w:r>
      <w:proofErr w:type="gramEnd"/>
      <w:r w:rsidRPr="001B4DCA">
        <w:rPr>
          <w:rFonts w:ascii="標楷體" w:eastAsia="標楷體" w:hAnsi="標楷體" w:hint="eastAsia"/>
          <w:spacing w:val="-2"/>
          <w:szCs w:val="32"/>
        </w:rPr>
        <w:t>，於第29次委員會議決議我國永續發展應訂定分階段目標，</w:t>
      </w:r>
      <w:proofErr w:type="gramStart"/>
      <w:r w:rsidRPr="001B4DCA">
        <w:rPr>
          <w:rFonts w:ascii="標楷體" w:eastAsia="標楷體" w:hAnsi="標楷體" w:hint="eastAsia"/>
          <w:spacing w:val="-2"/>
          <w:szCs w:val="32"/>
        </w:rPr>
        <w:t>嗣</w:t>
      </w:r>
      <w:proofErr w:type="gramEnd"/>
      <w:r w:rsidRPr="001B4DCA">
        <w:rPr>
          <w:rFonts w:ascii="標楷體" w:eastAsia="標楷體" w:hAnsi="標楷體" w:hint="eastAsia"/>
          <w:spacing w:val="-2"/>
          <w:szCs w:val="32"/>
        </w:rPr>
        <w:t>於第31次委員會議審議通過臺灣永續發展目標之18項核心目標，並滾動修正具體目標及對應指標，於108年7月1日核定143項具體目標及336項對應指標（111年修正為337項），</w:t>
      </w:r>
      <w:proofErr w:type="gramStart"/>
      <w:r w:rsidRPr="001B4DCA">
        <w:rPr>
          <w:rFonts w:ascii="標楷體" w:eastAsia="標楷體" w:hAnsi="標楷體" w:hint="eastAsia"/>
          <w:spacing w:val="-2"/>
          <w:szCs w:val="32"/>
        </w:rPr>
        <w:t>由各主</w:t>
      </w:r>
      <w:proofErr w:type="gramEnd"/>
      <w:r w:rsidRPr="001B4DCA">
        <w:rPr>
          <w:rFonts w:ascii="標楷體" w:eastAsia="標楷體" w:hAnsi="標楷體" w:hint="eastAsia"/>
          <w:spacing w:val="-2"/>
          <w:szCs w:val="32"/>
        </w:rPr>
        <w:t>、協辦單位負責推動。</w:t>
      </w:r>
      <w:proofErr w:type="gramStart"/>
      <w:r w:rsidRPr="001B4DCA">
        <w:rPr>
          <w:rFonts w:ascii="標楷體" w:eastAsia="標楷體" w:hAnsi="標楷體" w:hint="eastAsia"/>
          <w:spacing w:val="-2"/>
          <w:szCs w:val="32"/>
        </w:rPr>
        <w:t>經查永續會</w:t>
      </w:r>
      <w:proofErr w:type="gramEnd"/>
      <w:r w:rsidRPr="001B4DCA">
        <w:rPr>
          <w:rFonts w:ascii="標楷體" w:eastAsia="標楷體" w:hAnsi="標楷體" w:hint="eastAsia"/>
          <w:spacing w:val="-2"/>
          <w:szCs w:val="32"/>
        </w:rPr>
        <w:t>辦理</w:t>
      </w:r>
      <w:r w:rsidRPr="001B4DCA">
        <w:rPr>
          <w:rFonts w:ascii="標楷體" w:eastAsia="標楷體" w:hAnsi="標楷體"/>
          <w:spacing w:val="-2"/>
          <w:szCs w:val="32"/>
        </w:rPr>
        <w:t>臺灣永續發展目標</w:t>
      </w:r>
      <w:r w:rsidRPr="001B4DCA">
        <w:rPr>
          <w:rFonts w:ascii="標楷體" w:eastAsia="標楷體" w:hAnsi="標楷體" w:hint="eastAsia"/>
          <w:spacing w:val="-2"/>
          <w:szCs w:val="32"/>
        </w:rPr>
        <w:t>管考及</w:t>
      </w:r>
      <w:r w:rsidR="002D4020" w:rsidRPr="001B4DCA">
        <w:rPr>
          <w:rFonts w:ascii="標楷體" w:eastAsia="標楷體" w:hAnsi="標楷體" w:hint="eastAsia"/>
          <w:spacing w:val="-2"/>
          <w:szCs w:val="32"/>
        </w:rPr>
        <w:t>相關指標與聯合國全球指標接軌情形，</w:t>
      </w:r>
      <w:r w:rsidRPr="001B4DCA">
        <w:rPr>
          <w:rFonts w:ascii="標楷體" w:eastAsia="標楷體" w:hAnsi="標楷體" w:hint="eastAsia"/>
          <w:spacing w:val="-2"/>
          <w:szCs w:val="32"/>
        </w:rPr>
        <w:t>核有下列事項：</w:t>
      </w:r>
    </w:p>
    <w:p w14:paraId="3CCA3FDD" w14:textId="1437177A" w:rsidR="00C57789" w:rsidRDefault="00BD5EF0" w:rsidP="001B4DCA">
      <w:pPr>
        <w:overflowPunct w:val="0"/>
        <w:adjustRightInd w:val="0"/>
        <w:snapToGrid w:val="0"/>
        <w:spacing w:line="404" w:lineRule="exact"/>
        <w:ind w:firstLineChars="350" w:firstLine="1120"/>
        <w:jc w:val="both"/>
        <w:rPr>
          <w:rFonts w:ascii="標楷體" w:eastAsia="標楷體" w:hAnsi="標楷體"/>
          <w:bCs/>
          <w:spacing w:val="-2"/>
          <w:szCs w:val="32"/>
        </w:rPr>
      </w:pPr>
      <w:r w:rsidRPr="00BE6273">
        <w:rPr>
          <w:rFonts w:ascii="標楷體" w:eastAsia="標楷體" w:hAnsi="標楷體" w:hint="eastAsia"/>
          <w:noProof/>
          <w:sz w:val="32"/>
          <w:szCs w:val="32"/>
        </w:rPr>
        <mc:AlternateContent>
          <mc:Choice Requires="wps">
            <w:drawing>
              <wp:anchor distT="0" distB="0" distL="114300" distR="114300" simplePos="0" relativeHeight="251645952" behindDoc="0" locked="0" layoutInCell="1" allowOverlap="1" wp14:anchorId="46886229" wp14:editId="5B0DFCDA">
                <wp:simplePos x="0" y="0"/>
                <wp:positionH relativeFrom="margin">
                  <wp:posOffset>2567940</wp:posOffset>
                </wp:positionH>
                <wp:positionV relativeFrom="paragraph">
                  <wp:posOffset>2536825</wp:posOffset>
                </wp:positionV>
                <wp:extent cx="3728085" cy="305562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3728085" cy="3055620"/>
                        </a:xfrm>
                        <a:prstGeom prst="rect">
                          <a:avLst/>
                        </a:prstGeom>
                        <a:noFill/>
                        <a:ln w="6350">
                          <a:noFill/>
                        </a:ln>
                      </wps:spPr>
                      <wps:txbx>
                        <w:txbxContent>
                          <w:tbl>
                            <w:tblPr>
                              <w:tblStyle w:val="44"/>
                              <w:tblW w:w="5387" w:type="dxa"/>
                              <w:jc w:val="center"/>
                              <w:tblLook w:val="04A0" w:firstRow="1" w:lastRow="0" w:firstColumn="1" w:lastColumn="0" w:noHBand="0" w:noVBand="1"/>
                            </w:tblPr>
                            <w:tblGrid>
                              <w:gridCol w:w="1985"/>
                              <w:gridCol w:w="757"/>
                              <w:gridCol w:w="1936"/>
                              <w:gridCol w:w="709"/>
                            </w:tblGrid>
                            <w:tr w:rsidR="00BD5EF0" w:rsidRPr="00625EEA" w14:paraId="05695F92" w14:textId="77777777" w:rsidTr="00BD0601">
                              <w:trPr>
                                <w:jc w:val="center"/>
                              </w:trPr>
                              <w:tc>
                                <w:tcPr>
                                  <w:tcW w:w="5387" w:type="dxa"/>
                                  <w:gridSpan w:val="4"/>
                                  <w:tcBorders>
                                    <w:top w:val="nil"/>
                                    <w:left w:val="nil"/>
                                    <w:right w:val="nil"/>
                                  </w:tcBorders>
                                </w:tcPr>
                                <w:p w14:paraId="7EF06255" w14:textId="77777777" w:rsidR="00BD5EF0" w:rsidRPr="006433EA" w:rsidRDefault="00BD5EF0" w:rsidP="00167F78">
                                  <w:pPr>
                                    <w:spacing w:line="280" w:lineRule="exact"/>
                                    <w:ind w:left="637" w:rightChars="15" w:right="36" w:hangingChars="265" w:hanging="637"/>
                                    <w:jc w:val="both"/>
                                    <w:rPr>
                                      <w:rFonts w:ascii="標楷體" w:eastAsia="標楷體" w:hAnsi="標楷體"/>
                                      <w:b/>
                                      <w:szCs w:val="24"/>
                                    </w:rPr>
                                  </w:pPr>
                                  <w:r w:rsidRPr="007E73E9">
                                    <w:rPr>
                                      <w:rFonts w:ascii="標楷體" w:eastAsia="標楷體" w:hAnsi="標楷體" w:hint="eastAsia"/>
                                      <w:b/>
                                      <w:szCs w:val="24"/>
                                    </w:rPr>
                                    <w:t>表</w:t>
                                  </w:r>
                                  <w:r>
                                    <w:rPr>
                                      <w:rFonts w:ascii="標楷體" w:eastAsia="標楷體" w:hAnsi="標楷體"/>
                                      <w:b/>
                                      <w:szCs w:val="24"/>
                                    </w:rPr>
                                    <w:t>1</w:t>
                                  </w:r>
                                  <w:r w:rsidRPr="006433EA">
                                    <w:rPr>
                                      <w:rFonts w:ascii="標楷體" w:eastAsia="標楷體" w:hAnsi="標楷體" w:hint="eastAsia"/>
                                      <w:b/>
                                      <w:szCs w:val="24"/>
                                    </w:rPr>
                                    <w:t xml:space="preserve">　2021至2023年</w:t>
                                  </w:r>
                                  <w:r>
                                    <w:rPr>
                                      <w:rFonts w:ascii="標楷體" w:eastAsia="標楷體" w:hAnsi="標楷體" w:hint="eastAsia"/>
                                      <w:b/>
                                      <w:szCs w:val="24"/>
                                    </w:rPr>
                                    <w:t>度</w:t>
                                  </w:r>
                                  <w:r w:rsidRPr="006433EA">
                                    <w:rPr>
                                      <w:rFonts w:ascii="標楷體" w:eastAsia="標楷體" w:hAnsi="標楷體" w:hint="eastAsia"/>
                                      <w:b/>
                                      <w:szCs w:val="24"/>
                                    </w:rPr>
                                    <w:t>臺灣永續發展核心目標及對應指標連續</w:t>
                                  </w:r>
                                  <w:proofErr w:type="gramStart"/>
                                  <w:r w:rsidRPr="006433EA">
                                    <w:rPr>
                                      <w:rFonts w:ascii="標楷體" w:eastAsia="標楷體" w:hAnsi="標楷體" w:hint="eastAsia"/>
                                      <w:b/>
                                      <w:szCs w:val="24"/>
                                    </w:rPr>
                                    <w:t>3</w:t>
                                  </w:r>
                                  <w:proofErr w:type="gramEnd"/>
                                  <w:r w:rsidRPr="006433EA">
                                    <w:rPr>
                                      <w:rFonts w:ascii="標楷體" w:eastAsia="標楷體" w:hAnsi="標楷體" w:hint="eastAsia"/>
                                      <w:b/>
                                      <w:szCs w:val="24"/>
                                    </w:rPr>
                                    <w:t>年</w:t>
                                  </w:r>
                                  <w:r>
                                    <w:rPr>
                                      <w:rFonts w:ascii="標楷體" w:eastAsia="標楷體" w:hAnsi="標楷體" w:hint="eastAsia"/>
                                      <w:b/>
                                      <w:szCs w:val="24"/>
                                    </w:rPr>
                                    <w:t>度</w:t>
                                  </w:r>
                                  <w:r w:rsidRPr="006433EA">
                                    <w:rPr>
                                      <w:rFonts w:ascii="標楷體" w:eastAsia="標楷體" w:hAnsi="標楷體"/>
                                      <w:b/>
                                      <w:szCs w:val="24"/>
                                    </w:rPr>
                                    <w:t>未達</w:t>
                                  </w:r>
                                  <w:r w:rsidRPr="006433EA">
                                    <w:rPr>
                                      <w:rFonts w:ascii="標楷體" w:eastAsia="標楷體" w:hAnsi="標楷體" w:hint="eastAsia"/>
                                      <w:b/>
                                      <w:szCs w:val="24"/>
                                    </w:rPr>
                                    <w:t>年度</w:t>
                                  </w:r>
                                  <w:r w:rsidRPr="006433EA">
                                    <w:rPr>
                                      <w:rFonts w:ascii="標楷體" w:eastAsia="標楷體" w:hAnsi="標楷體"/>
                                      <w:b/>
                                      <w:szCs w:val="24"/>
                                    </w:rPr>
                                    <w:t>目標</w:t>
                                  </w:r>
                                  <w:r w:rsidRPr="006433EA">
                                    <w:rPr>
                                      <w:rFonts w:ascii="標楷體" w:eastAsia="標楷體" w:hAnsi="標楷體" w:hint="eastAsia"/>
                                      <w:b/>
                                      <w:szCs w:val="24"/>
                                    </w:rPr>
                                    <w:t>情形</w:t>
                                  </w:r>
                                </w:p>
                                <w:p w14:paraId="66F94F70" w14:textId="77777777" w:rsidR="00BD5EF0" w:rsidRPr="009424A4" w:rsidRDefault="00BD5EF0" w:rsidP="00583BD4">
                                  <w:pPr>
                                    <w:spacing w:line="300" w:lineRule="exact"/>
                                    <w:ind w:leftChars="-49" w:left="482" w:rightChars="22" w:right="53" w:hangingChars="300" w:hanging="600"/>
                                    <w:jc w:val="right"/>
                                    <w:rPr>
                                      <w:rFonts w:ascii="標楷體" w:eastAsia="標楷體" w:hAnsi="標楷體"/>
                                      <w:b/>
                                      <w:sz w:val="20"/>
                                    </w:rPr>
                                  </w:pPr>
                                  <w:r w:rsidRPr="009424A4">
                                    <w:rPr>
                                      <w:rFonts w:ascii="標楷體" w:eastAsia="標楷體" w:hAnsi="標楷體" w:hint="eastAsia"/>
                                      <w:sz w:val="20"/>
                                    </w:rPr>
                                    <w:t>單位：項</w:t>
                                  </w:r>
                                </w:p>
                              </w:tc>
                            </w:tr>
                            <w:tr w:rsidR="00BD5EF0" w:rsidRPr="00625EEA" w14:paraId="08F84C74" w14:textId="77777777" w:rsidTr="001971EA">
                              <w:trPr>
                                <w:trHeight w:val="406"/>
                                <w:jc w:val="center"/>
                              </w:trPr>
                              <w:tc>
                                <w:tcPr>
                                  <w:tcW w:w="1985" w:type="dxa"/>
                                  <w:vAlign w:val="center"/>
                                </w:tcPr>
                                <w:p w14:paraId="36841C63"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核心目標</w:t>
                                  </w:r>
                                </w:p>
                              </w:tc>
                              <w:tc>
                                <w:tcPr>
                                  <w:tcW w:w="757" w:type="dxa"/>
                                  <w:tcBorders>
                                    <w:right w:val="double" w:sz="4" w:space="0" w:color="auto"/>
                                  </w:tcBorders>
                                  <w:vAlign w:val="center"/>
                                </w:tcPr>
                                <w:p w14:paraId="0541CC3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對應</w:t>
                                  </w:r>
                                  <w:r w:rsidRPr="00066CC7">
                                    <w:rPr>
                                      <w:rFonts w:ascii="標楷體" w:eastAsia="標楷體" w:hAnsi="標楷體"/>
                                      <w:sz w:val="20"/>
                                    </w:rPr>
                                    <w:t>指標</w:t>
                                  </w:r>
                                  <w:r w:rsidRPr="00066CC7">
                                    <w:rPr>
                                      <w:rFonts w:ascii="標楷體" w:eastAsia="標楷體" w:hAnsi="標楷體" w:hint="eastAsia"/>
                                      <w:sz w:val="20"/>
                                    </w:rPr>
                                    <w:t>項數</w:t>
                                  </w:r>
                                </w:p>
                              </w:tc>
                              <w:tc>
                                <w:tcPr>
                                  <w:tcW w:w="1936" w:type="dxa"/>
                                  <w:tcBorders>
                                    <w:left w:val="double" w:sz="4" w:space="0" w:color="auto"/>
                                  </w:tcBorders>
                                  <w:vAlign w:val="center"/>
                                </w:tcPr>
                                <w:p w14:paraId="48445A68"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核心目標</w:t>
                                  </w:r>
                                </w:p>
                              </w:tc>
                              <w:tc>
                                <w:tcPr>
                                  <w:tcW w:w="709" w:type="dxa"/>
                                  <w:vAlign w:val="center"/>
                                </w:tcPr>
                                <w:p w14:paraId="014D2E5D"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對應</w:t>
                                  </w:r>
                                  <w:r w:rsidRPr="00066CC7">
                                    <w:rPr>
                                      <w:rFonts w:ascii="標楷體" w:eastAsia="標楷體" w:hAnsi="標楷體"/>
                                      <w:sz w:val="20"/>
                                    </w:rPr>
                                    <w:t>指標</w:t>
                                  </w:r>
                                  <w:r w:rsidRPr="00066CC7">
                                    <w:rPr>
                                      <w:rFonts w:ascii="標楷體" w:eastAsia="標楷體" w:hAnsi="標楷體" w:hint="eastAsia"/>
                                      <w:sz w:val="20"/>
                                    </w:rPr>
                                    <w:t>項數</w:t>
                                  </w:r>
                                </w:p>
                              </w:tc>
                            </w:tr>
                            <w:tr w:rsidR="00BD5EF0" w:rsidRPr="00625EEA" w14:paraId="622DFD35" w14:textId="77777777" w:rsidTr="001971EA">
                              <w:trPr>
                                <w:jc w:val="center"/>
                              </w:trPr>
                              <w:tc>
                                <w:tcPr>
                                  <w:tcW w:w="1985" w:type="dxa"/>
                                </w:tcPr>
                                <w:p w14:paraId="3899A721"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w:t>
                                  </w:r>
                                  <w:r w:rsidRPr="00066CC7">
                                    <w:rPr>
                                      <w:rFonts w:ascii="標楷體" w:eastAsia="標楷體" w:hAnsi="標楷體" w:hint="eastAsia"/>
                                      <w:sz w:val="20"/>
                                    </w:rPr>
                                    <w:t>消除</w:t>
                                  </w:r>
                                  <w:r w:rsidRPr="00066CC7">
                                    <w:rPr>
                                      <w:rFonts w:ascii="標楷體" w:eastAsia="標楷體" w:hAnsi="標楷體"/>
                                      <w:sz w:val="20"/>
                                    </w:rPr>
                                    <w:t>貧窮</w:t>
                                  </w:r>
                                </w:p>
                              </w:tc>
                              <w:tc>
                                <w:tcPr>
                                  <w:tcW w:w="757" w:type="dxa"/>
                                  <w:tcBorders>
                                    <w:right w:val="double" w:sz="4" w:space="0" w:color="auto"/>
                                  </w:tcBorders>
                                </w:tcPr>
                                <w:p w14:paraId="79AD69AD"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2</w:t>
                                  </w:r>
                                </w:p>
                              </w:tc>
                              <w:tc>
                                <w:tcPr>
                                  <w:tcW w:w="1936" w:type="dxa"/>
                                  <w:tcBorders>
                                    <w:left w:val="double" w:sz="4" w:space="0" w:color="auto"/>
                                  </w:tcBorders>
                                </w:tcPr>
                                <w:p w14:paraId="0CBBFB5A"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0.減少不平等</w:t>
                                  </w:r>
                                </w:p>
                              </w:tc>
                              <w:tc>
                                <w:tcPr>
                                  <w:tcW w:w="709" w:type="dxa"/>
                                </w:tcPr>
                                <w:p w14:paraId="22A65595"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32E1FFC6" w14:textId="77777777" w:rsidTr="001971EA">
                              <w:trPr>
                                <w:jc w:val="center"/>
                              </w:trPr>
                              <w:tc>
                                <w:tcPr>
                                  <w:tcW w:w="1985" w:type="dxa"/>
                                </w:tcPr>
                                <w:p w14:paraId="1957D06B"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2</w:t>
                                  </w:r>
                                  <w:r w:rsidRPr="00066CC7">
                                    <w:rPr>
                                      <w:rFonts w:ascii="標楷體" w:eastAsia="標楷體" w:hAnsi="標楷體"/>
                                      <w:sz w:val="20"/>
                                    </w:rPr>
                                    <w:t>.</w:t>
                                  </w:r>
                                  <w:r w:rsidRPr="00066CC7">
                                    <w:rPr>
                                      <w:rFonts w:ascii="標楷體" w:eastAsia="標楷體" w:hAnsi="標楷體" w:hint="eastAsia"/>
                                      <w:sz w:val="20"/>
                                    </w:rPr>
                                    <w:t>消除</w:t>
                                  </w:r>
                                  <w:r w:rsidRPr="00066CC7">
                                    <w:rPr>
                                      <w:rFonts w:ascii="標楷體" w:eastAsia="標楷體" w:hAnsi="標楷體"/>
                                      <w:sz w:val="20"/>
                                    </w:rPr>
                                    <w:t>飢餓</w:t>
                                  </w:r>
                                </w:p>
                              </w:tc>
                              <w:tc>
                                <w:tcPr>
                                  <w:tcW w:w="757" w:type="dxa"/>
                                  <w:tcBorders>
                                    <w:right w:val="double" w:sz="4" w:space="0" w:color="auto"/>
                                  </w:tcBorders>
                                </w:tcPr>
                                <w:p w14:paraId="58E35D81"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tcBorders>
                                </w:tcPr>
                                <w:p w14:paraId="25870664"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sz w:val="20"/>
                                    </w:rPr>
                                    <w:t>11.</w:t>
                                  </w:r>
                                  <w:r w:rsidRPr="00066CC7">
                                    <w:rPr>
                                      <w:rFonts w:ascii="標楷體" w:eastAsia="標楷體" w:hAnsi="標楷體" w:hint="eastAsia"/>
                                      <w:sz w:val="20"/>
                                    </w:rPr>
                                    <w:t>永續城市</w:t>
                                  </w:r>
                                </w:p>
                              </w:tc>
                              <w:tc>
                                <w:tcPr>
                                  <w:tcW w:w="709" w:type="dxa"/>
                                </w:tcPr>
                                <w:p w14:paraId="480CECB7"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1</w:t>
                                  </w:r>
                                </w:p>
                              </w:tc>
                            </w:tr>
                            <w:tr w:rsidR="00BD5EF0" w:rsidRPr="00625EEA" w14:paraId="3A73701A" w14:textId="77777777" w:rsidTr="001971EA">
                              <w:trPr>
                                <w:jc w:val="center"/>
                              </w:trPr>
                              <w:tc>
                                <w:tcPr>
                                  <w:tcW w:w="1985" w:type="dxa"/>
                                </w:tcPr>
                                <w:p w14:paraId="231E19DC"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3</w:t>
                                  </w:r>
                                  <w:r w:rsidRPr="00066CC7">
                                    <w:rPr>
                                      <w:rFonts w:ascii="標楷體" w:eastAsia="標楷體" w:hAnsi="標楷體"/>
                                      <w:sz w:val="20"/>
                                    </w:rPr>
                                    <w:t>.</w:t>
                                  </w:r>
                                  <w:r w:rsidRPr="00066CC7">
                                    <w:rPr>
                                      <w:rFonts w:ascii="標楷體" w:eastAsia="標楷體" w:hAnsi="標楷體" w:hint="eastAsia"/>
                                      <w:sz w:val="20"/>
                                    </w:rPr>
                                    <w:t>健康</w:t>
                                  </w:r>
                                  <w:r w:rsidRPr="00066CC7">
                                    <w:rPr>
                                      <w:rFonts w:ascii="標楷體" w:eastAsia="標楷體" w:hAnsi="標楷體"/>
                                      <w:sz w:val="20"/>
                                    </w:rPr>
                                    <w:t>福祉</w:t>
                                  </w:r>
                                </w:p>
                              </w:tc>
                              <w:tc>
                                <w:tcPr>
                                  <w:tcW w:w="757" w:type="dxa"/>
                                  <w:tcBorders>
                                    <w:right w:val="double" w:sz="4" w:space="0" w:color="auto"/>
                                  </w:tcBorders>
                                </w:tcPr>
                                <w:p w14:paraId="54D2D8F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2</w:t>
                                  </w:r>
                                </w:p>
                              </w:tc>
                              <w:tc>
                                <w:tcPr>
                                  <w:tcW w:w="1936" w:type="dxa"/>
                                  <w:tcBorders>
                                    <w:left w:val="double" w:sz="4" w:space="0" w:color="auto"/>
                                  </w:tcBorders>
                                </w:tcPr>
                                <w:p w14:paraId="37DAB04F" w14:textId="77777777" w:rsidR="00BD5EF0" w:rsidRPr="00066CC7" w:rsidRDefault="00BD5EF0" w:rsidP="00583BD4">
                                  <w:pPr>
                                    <w:spacing w:line="240" w:lineRule="exact"/>
                                    <w:ind w:right="-17"/>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2.</w:t>
                                  </w:r>
                                  <w:r w:rsidRPr="00066CC7">
                                    <w:rPr>
                                      <w:rFonts w:ascii="標楷體" w:eastAsia="標楷體" w:hAnsi="標楷體" w:hint="eastAsia"/>
                                      <w:sz w:val="20"/>
                                    </w:rPr>
                                    <w:t>責任</w:t>
                                  </w:r>
                                  <w:r w:rsidRPr="00066CC7">
                                    <w:rPr>
                                      <w:rFonts w:ascii="標楷體" w:eastAsia="標楷體" w:hAnsi="標楷體"/>
                                      <w:sz w:val="20"/>
                                    </w:rPr>
                                    <w:t>消費與生產</w:t>
                                  </w:r>
                                </w:p>
                              </w:tc>
                              <w:tc>
                                <w:tcPr>
                                  <w:tcW w:w="709" w:type="dxa"/>
                                </w:tcPr>
                                <w:p w14:paraId="5BAA971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r>
                            <w:tr w:rsidR="00BD5EF0" w:rsidRPr="00625EEA" w14:paraId="69F5160A" w14:textId="77777777" w:rsidTr="001971EA">
                              <w:trPr>
                                <w:jc w:val="center"/>
                              </w:trPr>
                              <w:tc>
                                <w:tcPr>
                                  <w:tcW w:w="1985" w:type="dxa"/>
                                </w:tcPr>
                                <w:p w14:paraId="79A05D00"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4</w:t>
                                  </w:r>
                                  <w:r w:rsidRPr="00066CC7">
                                    <w:rPr>
                                      <w:rFonts w:ascii="標楷體" w:eastAsia="標楷體" w:hAnsi="標楷體" w:hint="eastAsia"/>
                                      <w:sz w:val="20"/>
                                    </w:rPr>
                                    <w:t>.</w:t>
                                  </w:r>
                                  <w:r w:rsidRPr="00066CC7">
                                    <w:rPr>
                                      <w:rFonts w:ascii="標楷體" w:eastAsia="標楷體" w:hAnsi="標楷體"/>
                                      <w:sz w:val="20"/>
                                    </w:rPr>
                                    <w:t>教育</w:t>
                                  </w:r>
                                  <w:r w:rsidRPr="00066CC7">
                                    <w:rPr>
                                      <w:rFonts w:ascii="標楷體" w:eastAsia="標楷體" w:hAnsi="標楷體" w:hint="eastAsia"/>
                                      <w:sz w:val="20"/>
                                    </w:rPr>
                                    <w:t>品質</w:t>
                                  </w:r>
                                </w:p>
                              </w:tc>
                              <w:tc>
                                <w:tcPr>
                                  <w:tcW w:w="757" w:type="dxa"/>
                                  <w:tcBorders>
                                    <w:right w:val="double" w:sz="4" w:space="0" w:color="auto"/>
                                  </w:tcBorders>
                                </w:tcPr>
                                <w:p w14:paraId="181CB4C0"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2</w:t>
                                  </w:r>
                                </w:p>
                              </w:tc>
                              <w:tc>
                                <w:tcPr>
                                  <w:tcW w:w="1936" w:type="dxa"/>
                                  <w:tcBorders>
                                    <w:left w:val="double" w:sz="4" w:space="0" w:color="auto"/>
                                  </w:tcBorders>
                                </w:tcPr>
                                <w:p w14:paraId="204EE505"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3.</w:t>
                                  </w:r>
                                  <w:r w:rsidRPr="00066CC7">
                                    <w:rPr>
                                      <w:rFonts w:ascii="標楷體" w:eastAsia="標楷體" w:hAnsi="標楷體" w:hint="eastAsia"/>
                                      <w:sz w:val="20"/>
                                    </w:rPr>
                                    <w:t>氣候行動</w:t>
                                  </w:r>
                                </w:p>
                              </w:tc>
                              <w:tc>
                                <w:tcPr>
                                  <w:tcW w:w="709" w:type="dxa"/>
                                </w:tcPr>
                                <w:p w14:paraId="0DB4BE4C"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2A51E30F" w14:textId="77777777" w:rsidTr="001971EA">
                              <w:trPr>
                                <w:jc w:val="center"/>
                              </w:trPr>
                              <w:tc>
                                <w:tcPr>
                                  <w:tcW w:w="1985" w:type="dxa"/>
                                </w:tcPr>
                                <w:p w14:paraId="7A5B72D1"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5</w:t>
                                  </w:r>
                                  <w:r w:rsidRPr="00066CC7">
                                    <w:rPr>
                                      <w:rFonts w:ascii="標楷體" w:eastAsia="標楷體" w:hAnsi="標楷體"/>
                                      <w:sz w:val="20"/>
                                    </w:rPr>
                                    <w:t>.性別平等</w:t>
                                  </w:r>
                                </w:p>
                              </w:tc>
                              <w:tc>
                                <w:tcPr>
                                  <w:tcW w:w="757" w:type="dxa"/>
                                  <w:tcBorders>
                                    <w:right w:val="double" w:sz="4" w:space="0" w:color="auto"/>
                                  </w:tcBorders>
                                </w:tcPr>
                                <w:p w14:paraId="2150BF6D"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c>
                                <w:tcPr>
                                  <w:tcW w:w="1936" w:type="dxa"/>
                                  <w:tcBorders>
                                    <w:left w:val="double" w:sz="4" w:space="0" w:color="auto"/>
                                  </w:tcBorders>
                                </w:tcPr>
                                <w:p w14:paraId="31CC8A0C"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4.</w:t>
                                  </w:r>
                                  <w:r w:rsidRPr="00066CC7">
                                    <w:rPr>
                                      <w:rFonts w:ascii="標楷體" w:eastAsia="標楷體" w:hAnsi="標楷體" w:hint="eastAsia"/>
                                      <w:sz w:val="20"/>
                                    </w:rPr>
                                    <w:t>海域生態</w:t>
                                  </w:r>
                                </w:p>
                              </w:tc>
                              <w:tc>
                                <w:tcPr>
                                  <w:tcW w:w="709" w:type="dxa"/>
                                </w:tcPr>
                                <w:p w14:paraId="0ED8B2D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620D1947" w14:textId="77777777" w:rsidTr="001971EA">
                              <w:trPr>
                                <w:jc w:val="center"/>
                              </w:trPr>
                              <w:tc>
                                <w:tcPr>
                                  <w:tcW w:w="1985" w:type="dxa"/>
                                </w:tcPr>
                                <w:p w14:paraId="22808114"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6.</w:t>
                                  </w:r>
                                  <w:r w:rsidRPr="00066CC7">
                                    <w:rPr>
                                      <w:rFonts w:ascii="標楷體" w:eastAsia="標楷體" w:hAnsi="標楷體" w:hint="eastAsia"/>
                                      <w:sz w:val="20"/>
                                    </w:rPr>
                                    <w:t>環境品質</w:t>
                                  </w:r>
                                </w:p>
                              </w:tc>
                              <w:tc>
                                <w:tcPr>
                                  <w:tcW w:w="757" w:type="dxa"/>
                                  <w:tcBorders>
                                    <w:right w:val="double" w:sz="4" w:space="0" w:color="auto"/>
                                  </w:tcBorders>
                                </w:tcPr>
                                <w:p w14:paraId="36E4B2CF"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tcBorders>
                                </w:tcPr>
                                <w:p w14:paraId="7EAC812B"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5.</w:t>
                                  </w:r>
                                  <w:r w:rsidRPr="00066CC7">
                                    <w:rPr>
                                      <w:rFonts w:ascii="標楷體" w:eastAsia="標楷體" w:hAnsi="標楷體" w:hint="eastAsia"/>
                                      <w:sz w:val="20"/>
                                    </w:rPr>
                                    <w:t>陸域</w:t>
                                  </w:r>
                                  <w:r w:rsidRPr="00066CC7">
                                    <w:rPr>
                                      <w:rFonts w:ascii="標楷體" w:eastAsia="標楷體" w:hAnsi="標楷體"/>
                                      <w:sz w:val="20"/>
                                    </w:rPr>
                                    <w:t>生態</w:t>
                                  </w:r>
                                </w:p>
                              </w:tc>
                              <w:tc>
                                <w:tcPr>
                                  <w:tcW w:w="709" w:type="dxa"/>
                                </w:tcPr>
                                <w:p w14:paraId="3AE443E2"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r>
                            <w:tr w:rsidR="00BD5EF0" w:rsidRPr="00625EEA" w14:paraId="1A59D736" w14:textId="77777777" w:rsidTr="001971EA">
                              <w:trPr>
                                <w:jc w:val="center"/>
                              </w:trPr>
                              <w:tc>
                                <w:tcPr>
                                  <w:tcW w:w="1985" w:type="dxa"/>
                                </w:tcPr>
                                <w:p w14:paraId="2B8FB361"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7.</w:t>
                                  </w:r>
                                  <w:r w:rsidRPr="00066CC7">
                                    <w:rPr>
                                      <w:rFonts w:ascii="標楷體" w:eastAsia="標楷體" w:hAnsi="標楷體" w:hint="eastAsia"/>
                                      <w:sz w:val="20"/>
                                    </w:rPr>
                                    <w:t>可負擔</w:t>
                                  </w:r>
                                  <w:r w:rsidRPr="00066CC7">
                                    <w:rPr>
                                      <w:rFonts w:ascii="標楷體" w:eastAsia="標楷體" w:hAnsi="標楷體"/>
                                      <w:sz w:val="20"/>
                                    </w:rPr>
                                    <w:t>能源</w:t>
                                  </w:r>
                                </w:p>
                              </w:tc>
                              <w:tc>
                                <w:tcPr>
                                  <w:tcW w:w="757" w:type="dxa"/>
                                  <w:tcBorders>
                                    <w:right w:val="double" w:sz="4" w:space="0" w:color="auto"/>
                                  </w:tcBorders>
                                </w:tcPr>
                                <w:p w14:paraId="42E14A02"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tcBorders>
                                </w:tcPr>
                                <w:p w14:paraId="57E10A4A"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6.</w:t>
                                  </w:r>
                                  <w:r w:rsidRPr="00066CC7">
                                    <w:rPr>
                                      <w:rFonts w:ascii="標楷體" w:eastAsia="標楷體" w:hAnsi="標楷體" w:hint="eastAsia"/>
                                      <w:sz w:val="20"/>
                                    </w:rPr>
                                    <w:t>和平與正義</w:t>
                                  </w:r>
                                </w:p>
                              </w:tc>
                              <w:tc>
                                <w:tcPr>
                                  <w:tcW w:w="709" w:type="dxa"/>
                                </w:tcPr>
                                <w:p w14:paraId="6F54915F"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40F60967" w14:textId="77777777" w:rsidTr="001971EA">
                              <w:trPr>
                                <w:jc w:val="center"/>
                              </w:trPr>
                              <w:tc>
                                <w:tcPr>
                                  <w:tcW w:w="1985" w:type="dxa"/>
                                  <w:tcBorders>
                                    <w:bottom w:val="single" w:sz="4" w:space="0" w:color="auto"/>
                                  </w:tcBorders>
                                </w:tcPr>
                                <w:p w14:paraId="03A1E31A"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8.</w:t>
                                  </w:r>
                                  <w:r w:rsidRPr="00066CC7">
                                    <w:rPr>
                                      <w:rFonts w:ascii="標楷體" w:eastAsia="標楷體" w:hAnsi="標楷體" w:hint="eastAsia"/>
                                      <w:sz w:val="20"/>
                                    </w:rPr>
                                    <w:t>就業與</w:t>
                                  </w:r>
                                  <w:r w:rsidRPr="00066CC7">
                                    <w:rPr>
                                      <w:rFonts w:ascii="標楷體" w:eastAsia="標楷體" w:hAnsi="標楷體"/>
                                      <w:sz w:val="20"/>
                                    </w:rPr>
                                    <w:t>經濟成長</w:t>
                                  </w:r>
                                </w:p>
                              </w:tc>
                              <w:tc>
                                <w:tcPr>
                                  <w:tcW w:w="757" w:type="dxa"/>
                                  <w:tcBorders>
                                    <w:bottom w:val="single" w:sz="4" w:space="0" w:color="auto"/>
                                    <w:right w:val="double" w:sz="4" w:space="0" w:color="auto"/>
                                  </w:tcBorders>
                                </w:tcPr>
                                <w:p w14:paraId="7491FD90"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bottom w:val="single" w:sz="4" w:space="0" w:color="auto"/>
                                    <w:right w:val="single" w:sz="4" w:space="0" w:color="auto"/>
                                  </w:tcBorders>
                                  <w:shd w:val="clear" w:color="auto" w:fill="FFFFFF"/>
                                </w:tcPr>
                                <w:p w14:paraId="1FB96218"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7.全球夥伴</w:t>
                                  </w:r>
                                </w:p>
                              </w:tc>
                              <w:tc>
                                <w:tcPr>
                                  <w:tcW w:w="709" w:type="dxa"/>
                                  <w:tcBorders>
                                    <w:left w:val="single" w:sz="4" w:space="0" w:color="auto"/>
                                    <w:bottom w:val="single" w:sz="4" w:space="0" w:color="auto"/>
                                  </w:tcBorders>
                                  <w:shd w:val="clear" w:color="auto" w:fill="FFFFFF"/>
                                </w:tcPr>
                                <w:p w14:paraId="25F4F20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428EBB88" w14:textId="77777777" w:rsidTr="003E3734">
                              <w:trPr>
                                <w:jc w:val="center"/>
                              </w:trPr>
                              <w:tc>
                                <w:tcPr>
                                  <w:tcW w:w="1985" w:type="dxa"/>
                                  <w:tcBorders>
                                    <w:bottom w:val="single" w:sz="4" w:space="0" w:color="auto"/>
                                  </w:tcBorders>
                                </w:tcPr>
                                <w:p w14:paraId="39D38EDB"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9.</w:t>
                                  </w:r>
                                  <w:r w:rsidRPr="00066CC7">
                                    <w:rPr>
                                      <w:rFonts w:ascii="標楷體" w:eastAsia="標楷體" w:hAnsi="標楷體" w:hint="eastAsia"/>
                                      <w:sz w:val="20"/>
                                    </w:rPr>
                                    <w:t>永續運輸</w:t>
                                  </w:r>
                                </w:p>
                              </w:tc>
                              <w:tc>
                                <w:tcPr>
                                  <w:tcW w:w="757" w:type="dxa"/>
                                  <w:tcBorders>
                                    <w:bottom w:val="single" w:sz="4" w:space="0" w:color="auto"/>
                                    <w:right w:val="double" w:sz="4" w:space="0" w:color="auto"/>
                                  </w:tcBorders>
                                </w:tcPr>
                                <w:p w14:paraId="041C4A9E"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4</w:t>
                                  </w:r>
                                </w:p>
                              </w:tc>
                              <w:tc>
                                <w:tcPr>
                                  <w:tcW w:w="1936" w:type="dxa"/>
                                  <w:tcBorders>
                                    <w:left w:val="double" w:sz="4" w:space="0" w:color="auto"/>
                                    <w:bottom w:val="single" w:sz="4" w:space="0" w:color="auto"/>
                                    <w:right w:val="single" w:sz="4" w:space="0" w:color="auto"/>
                                  </w:tcBorders>
                                  <w:shd w:val="clear" w:color="auto" w:fill="FFFFFF"/>
                                </w:tcPr>
                                <w:p w14:paraId="4C6747D2" w14:textId="3A53FE70"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8.</w:t>
                                  </w:r>
                                  <w:r w:rsidRPr="00066CC7">
                                    <w:rPr>
                                      <w:rFonts w:ascii="標楷體" w:eastAsia="標楷體" w:hAnsi="標楷體" w:hint="eastAsia"/>
                                      <w:sz w:val="20"/>
                                    </w:rPr>
                                    <w:t>非核家園(</w:t>
                                  </w:r>
                                  <w:proofErr w:type="gramStart"/>
                                  <w:r w:rsidRPr="00066CC7">
                                    <w:rPr>
                                      <w:rFonts w:ascii="標楷體" w:eastAsia="標楷體" w:hAnsi="標楷體" w:hint="eastAsia"/>
                                      <w:sz w:val="20"/>
                                    </w:rPr>
                                    <w:t>註</w:t>
                                  </w:r>
                                  <w:proofErr w:type="gramEnd"/>
                                  <w:r w:rsidR="00496378">
                                    <w:rPr>
                                      <w:rFonts w:ascii="標楷體" w:eastAsia="標楷體" w:hAnsi="標楷體" w:hint="eastAsia"/>
                                      <w:sz w:val="20"/>
                                    </w:rPr>
                                    <w:t>1</w:t>
                                  </w:r>
                                  <w:r w:rsidRPr="00066CC7">
                                    <w:rPr>
                                      <w:rFonts w:ascii="標楷體" w:eastAsia="標楷體" w:hAnsi="標楷體"/>
                                      <w:sz w:val="20"/>
                                    </w:rPr>
                                    <w:t>)</w:t>
                                  </w:r>
                                </w:p>
                              </w:tc>
                              <w:tc>
                                <w:tcPr>
                                  <w:tcW w:w="709" w:type="dxa"/>
                                  <w:tcBorders>
                                    <w:left w:val="single" w:sz="4" w:space="0" w:color="auto"/>
                                    <w:bottom w:val="single" w:sz="4" w:space="0" w:color="auto"/>
                                    <w:tl2br w:val="single" w:sz="4" w:space="0" w:color="auto"/>
                                  </w:tcBorders>
                                  <w:shd w:val="clear" w:color="auto" w:fill="FFFFFF"/>
                                </w:tcPr>
                                <w:p w14:paraId="313B1483" w14:textId="77777777" w:rsidR="00BD5EF0" w:rsidRPr="00066CC7" w:rsidRDefault="00BD5EF0" w:rsidP="006D3496">
                                  <w:pPr>
                                    <w:spacing w:line="240" w:lineRule="exact"/>
                                    <w:ind w:right="24"/>
                                    <w:jc w:val="center"/>
                                    <w:rPr>
                                      <w:rFonts w:ascii="標楷體" w:eastAsia="標楷體" w:hAnsi="標楷體"/>
                                      <w:sz w:val="20"/>
                                    </w:rPr>
                                  </w:pPr>
                                </w:p>
                              </w:tc>
                            </w:tr>
                            <w:tr w:rsidR="00BD5EF0" w:rsidRPr="00625EEA" w14:paraId="6CAE9E47" w14:textId="77777777" w:rsidTr="00BD0601">
                              <w:trPr>
                                <w:jc w:val="center"/>
                              </w:trPr>
                              <w:tc>
                                <w:tcPr>
                                  <w:tcW w:w="5387" w:type="dxa"/>
                                  <w:gridSpan w:val="4"/>
                                  <w:tcBorders>
                                    <w:top w:val="single" w:sz="4" w:space="0" w:color="auto"/>
                                    <w:left w:val="nil"/>
                                    <w:bottom w:val="nil"/>
                                    <w:right w:val="nil"/>
                                  </w:tcBorders>
                                </w:tcPr>
                                <w:p w14:paraId="78BD375B" w14:textId="77777777" w:rsidR="00BD5EF0" w:rsidRPr="00BE6273" w:rsidRDefault="00BD5EF0" w:rsidP="006D3496">
                                  <w:pPr>
                                    <w:spacing w:line="240" w:lineRule="exact"/>
                                    <w:ind w:right="24"/>
                                    <w:rPr>
                                      <w:rFonts w:ascii="標楷體" w:eastAsia="標楷體" w:hAnsi="標楷體"/>
                                      <w:sz w:val="18"/>
                                      <w:szCs w:val="18"/>
                                    </w:rPr>
                                  </w:pPr>
                                  <w:proofErr w:type="gramStart"/>
                                  <w:r w:rsidRPr="00BE6273">
                                    <w:rPr>
                                      <w:rFonts w:ascii="標楷體" w:eastAsia="標楷體" w:hAnsi="標楷體" w:hint="eastAsia"/>
                                      <w:sz w:val="18"/>
                                      <w:szCs w:val="18"/>
                                    </w:rPr>
                                    <w:t>註</w:t>
                                  </w:r>
                                  <w:proofErr w:type="gramEnd"/>
                                  <w:r w:rsidRPr="00BE6273">
                                    <w:rPr>
                                      <w:rFonts w:ascii="標楷體" w:eastAsia="標楷體" w:hAnsi="標楷體" w:hint="eastAsia"/>
                                      <w:sz w:val="18"/>
                                      <w:szCs w:val="18"/>
                                    </w:rPr>
                                    <w:t>：1</w:t>
                                  </w:r>
                                  <w:r w:rsidRPr="00BE6273">
                                    <w:rPr>
                                      <w:rFonts w:ascii="標楷體" w:eastAsia="標楷體" w:hAnsi="標楷體"/>
                                      <w:sz w:val="18"/>
                                      <w:szCs w:val="18"/>
                                    </w:rPr>
                                    <w:t>.核心目標18非核家園並未設定年度目標值</w:t>
                                  </w:r>
                                  <w:r w:rsidRPr="00BE6273">
                                    <w:rPr>
                                      <w:rFonts w:ascii="標楷體" w:eastAsia="標楷體" w:hAnsi="標楷體" w:hint="eastAsia"/>
                                      <w:sz w:val="18"/>
                                      <w:szCs w:val="18"/>
                                    </w:rPr>
                                    <w:t>。</w:t>
                                  </w:r>
                                </w:p>
                                <w:p w14:paraId="0E018DEE" w14:textId="77777777" w:rsidR="00BD5EF0" w:rsidRPr="00625EEA" w:rsidRDefault="00BD5EF0" w:rsidP="00A05943">
                                  <w:pPr>
                                    <w:spacing w:line="240" w:lineRule="exact"/>
                                    <w:ind w:leftChars="150" w:left="540" w:right="24" w:hangingChars="100" w:hanging="180"/>
                                    <w:rPr>
                                      <w:rFonts w:ascii="標楷體" w:eastAsia="標楷體" w:hAnsi="標楷體"/>
                                      <w:sz w:val="22"/>
                                    </w:rPr>
                                  </w:pPr>
                                  <w:r w:rsidRPr="00BE6273">
                                    <w:rPr>
                                      <w:rFonts w:ascii="標楷體" w:eastAsia="標楷體" w:hAnsi="標楷體" w:hint="eastAsia"/>
                                      <w:sz w:val="18"/>
                                      <w:szCs w:val="18"/>
                                    </w:rPr>
                                    <w:t>2</w:t>
                                  </w:r>
                                  <w:r w:rsidRPr="00BE6273">
                                    <w:rPr>
                                      <w:rFonts w:ascii="標楷體" w:eastAsia="標楷體" w:hAnsi="標楷體"/>
                                      <w:sz w:val="18"/>
                                      <w:szCs w:val="18"/>
                                    </w:rPr>
                                    <w:t>.</w:t>
                                  </w:r>
                                  <w:r w:rsidRPr="00BE6273">
                                    <w:rPr>
                                      <w:rFonts w:ascii="標楷體" w:eastAsia="標楷體" w:hAnsi="標楷體" w:hint="eastAsia"/>
                                      <w:sz w:val="18"/>
                                      <w:szCs w:val="18"/>
                                    </w:rPr>
                                    <w:t>資料來源：整理自2021至2023年度</w:t>
                                  </w:r>
                                  <w:r w:rsidRPr="00A05943">
                                    <w:rPr>
                                      <w:rFonts w:ascii="標楷體" w:eastAsia="標楷體" w:hAnsi="標楷體" w:hint="eastAsia"/>
                                      <w:sz w:val="18"/>
                                      <w:szCs w:val="18"/>
                                    </w:rPr>
                                    <w:t>臺灣永續發展目標</w:t>
                                  </w:r>
                                  <w:r w:rsidRPr="00BE6273">
                                    <w:rPr>
                                      <w:rFonts w:ascii="標楷體" w:eastAsia="標楷體" w:hAnsi="標楷體" w:hint="eastAsia"/>
                                      <w:sz w:val="18"/>
                                      <w:szCs w:val="18"/>
                                    </w:rPr>
                                    <w:t>檢討報告。</w:t>
                                  </w:r>
                                </w:p>
                              </w:tc>
                            </w:tr>
                          </w:tbl>
                          <w:p w14:paraId="01FAFA31" w14:textId="77777777" w:rsidR="00BD5EF0" w:rsidRPr="00BA7A00" w:rsidRDefault="00BD5EF0" w:rsidP="00BD5EF0">
                            <w:pPr>
                              <w:rPr>
                                <w:rFonts w:ascii="標楷體" w:eastAsia="標楷體" w:hAnsi="標楷體"/>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886229" id="_x0000_t202" coordsize="21600,21600" o:spt="202" path="m,l,21600r21600,l21600,xe">
                <v:stroke joinstyle="miter"/>
                <v:path gradientshapeok="t" o:connecttype="rect"/>
              </v:shapetype>
              <v:shape id="文字方塊 3" o:spid="_x0000_s1026" type="#_x0000_t202" style="position:absolute;left:0;text-align:left;margin-left:202.2pt;margin-top:199.75pt;width:293.55pt;height:240.6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" filled="f" stroked="f" strokeweight=".5pt">
                <v:textbox>
                  <w:txbxContent>
                    <w:tbl>
                      <w:tblPr>
                        <w:tblStyle w:val="44"/>
                        <w:tblW w:w="5387" w:type="dxa"/>
                        <w:jc w:val="center"/>
                        <w:tblLook w:val="04A0" w:firstRow="1" w:lastRow="0" w:firstColumn="1" w:lastColumn="0" w:noHBand="0" w:noVBand="1"/>
                      </w:tblPr>
                      <w:tblGrid>
                        <w:gridCol w:w="1985"/>
                        <w:gridCol w:w="757"/>
                        <w:gridCol w:w="1936"/>
                        <w:gridCol w:w="709"/>
                      </w:tblGrid>
                      <w:tr w:rsidR="00BD5EF0" w:rsidRPr="00625EEA" w14:paraId="05695F92" w14:textId="77777777" w:rsidTr="00BD0601">
                        <w:trPr>
                          <w:jc w:val="center"/>
                        </w:trPr>
                        <w:tc>
                          <w:tcPr>
                            <w:tcW w:w="5387" w:type="dxa"/>
                            <w:gridSpan w:val="4"/>
                            <w:tcBorders>
                              <w:top w:val="nil"/>
                              <w:left w:val="nil"/>
                              <w:right w:val="nil"/>
                            </w:tcBorders>
                          </w:tcPr>
                          <w:p w14:paraId="7EF06255" w14:textId="77777777" w:rsidR="00BD5EF0" w:rsidRPr="006433EA" w:rsidRDefault="00BD5EF0" w:rsidP="00167F78">
                            <w:pPr>
                              <w:spacing w:line="280" w:lineRule="exact"/>
                              <w:ind w:left="637" w:rightChars="15" w:right="36" w:hangingChars="265" w:hanging="637"/>
                              <w:jc w:val="both"/>
                              <w:rPr>
                                <w:rFonts w:ascii="標楷體" w:eastAsia="標楷體" w:hAnsi="標楷體"/>
                                <w:b/>
                                <w:szCs w:val="24"/>
                              </w:rPr>
                            </w:pPr>
                            <w:r w:rsidRPr="007E73E9">
                              <w:rPr>
                                <w:rFonts w:ascii="標楷體" w:eastAsia="標楷體" w:hAnsi="標楷體" w:hint="eastAsia"/>
                                <w:b/>
                                <w:szCs w:val="24"/>
                              </w:rPr>
                              <w:t>表</w:t>
                            </w:r>
                            <w:r>
                              <w:rPr>
                                <w:rFonts w:ascii="標楷體" w:eastAsia="標楷體" w:hAnsi="標楷體"/>
                                <w:b/>
                                <w:szCs w:val="24"/>
                              </w:rPr>
                              <w:t>1</w:t>
                            </w:r>
                            <w:r w:rsidRPr="006433EA">
                              <w:rPr>
                                <w:rFonts w:ascii="標楷體" w:eastAsia="標楷體" w:hAnsi="標楷體" w:hint="eastAsia"/>
                                <w:b/>
                                <w:szCs w:val="24"/>
                              </w:rPr>
                              <w:t xml:space="preserve">　2021至2023年</w:t>
                            </w:r>
                            <w:r>
                              <w:rPr>
                                <w:rFonts w:ascii="標楷體" w:eastAsia="標楷體" w:hAnsi="標楷體" w:hint="eastAsia"/>
                                <w:b/>
                                <w:szCs w:val="24"/>
                              </w:rPr>
                              <w:t>度</w:t>
                            </w:r>
                            <w:r w:rsidRPr="006433EA">
                              <w:rPr>
                                <w:rFonts w:ascii="標楷體" w:eastAsia="標楷體" w:hAnsi="標楷體" w:hint="eastAsia"/>
                                <w:b/>
                                <w:szCs w:val="24"/>
                              </w:rPr>
                              <w:t>臺灣永續發展核心目標及對應指標連續</w:t>
                            </w:r>
                            <w:proofErr w:type="gramStart"/>
                            <w:r w:rsidRPr="006433EA">
                              <w:rPr>
                                <w:rFonts w:ascii="標楷體" w:eastAsia="標楷體" w:hAnsi="標楷體" w:hint="eastAsia"/>
                                <w:b/>
                                <w:szCs w:val="24"/>
                              </w:rPr>
                              <w:t>3</w:t>
                            </w:r>
                            <w:proofErr w:type="gramEnd"/>
                            <w:r w:rsidRPr="006433EA">
                              <w:rPr>
                                <w:rFonts w:ascii="標楷體" w:eastAsia="標楷體" w:hAnsi="標楷體" w:hint="eastAsia"/>
                                <w:b/>
                                <w:szCs w:val="24"/>
                              </w:rPr>
                              <w:t>年</w:t>
                            </w:r>
                            <w:r>
                              <w:rPr>
                                <w:rFonts w:ascii="標楷體" w:eastAsia="標楷體" w:hAnsi="標楷體" w:hint="eastAsia"/>
                                <w:b/>
                                <w:szCs w:val="24"/>
                              </w:rPr>
                              <w:t>度</w:t>
                            </w:r>
                            <w:r w:rsidRPr="006433EA">
                              <w:rPr>
                                <w:rFonts w:ascii="標楷體" w:eastAsia="標楷體" w:hAnsi="標楷體"/>
                                <w:b/>
                                <w:szCs w:val="24"/>
                              </w:rPr>
                              <w:t>未達</w:t>
                            </w:r>
                            <w:r w:rsidRPr="006433EA">
                              <w:rPr>
                                <w:rFonts w:ascii="標楷體" w:eastAsia="標楷體" w:hAnsi="標楷體" w:hint="eastAsia"/>
                                <w:b/>
                                <w:szCs w:val="24"/>
                              </w:rPr>
                              <w:t>年度</w:t>
                            </w:r>
                            <w:r w:rsidRPr="006433EA">
                              <w:rPr>
                                <w:rFonts w:ascii="標楷體" w:eastAsia="標楷體" w:hAnsi="標楷體"/>
                                <w:b/>
                                <w:szCs w:val="24"/>
                              </w:rPr>
                              <w:t>目標</w:t>
                            </w:r>
                            <w:r w:rsidRPr="006433EA">
                              <w:rPr>
                                <w:rFonts w:ascii="標楷體" w:eastAsia="標楷體" w:hAnsi="標楷體" w:hint="eastAsia"/>
                                <w:b/>
                                <w:szCs w:val="24"/>
                              </w:rPr>
                              <w:t>情形</w:t>
                            </w:r>
                          </w:p>
                          <w:p w14:paraId="66F94F70" w14:textId="77777777" w:rsidR="00BD5EF0" w:rsidRPr="009424A4" w:rsidRDefault="00BD5EF0" w:rsidP="00583BD4">
                            <w:pPr>
                              <w:spacing w:line="300" w:lineRule="exact"/>
                              <w:ind w:leftChars="-49" w:left="482" w:rightChars="22" w:right="53" w:hangingChars="300" w:hanging="600"/>
                              <w:jc w:val="right"/>
                              <w:rPr>
                                <w:rFonts w:ascii="標楷體" w:eastAsia="標楷體" w:hAnsi="標楷體"/>
                                <w:b/>
                                <w:sz w:val="20"/>
                              </w:rPr>
                            </w:pPr>
                            <w:r w:rsidRPr="009424A4">
                              <w:rPr>
                                <w:rFonts w:ascii="標楷體" w:eastAsia="標楷體" w:hAnsi="標楷體" w:hint="eastAsia"/>
                                <w:sz w:val="20"/>
                              </w:rPr>
                              <w:t>單位：項</w:t>
                            </w:r>
                          </w:p>
                        </w:tc>
                      </w:tr>
                      <w:tr w:rsidR="00BD5EF0" w:rsidRPr="00625EEA" w14:paraId="08F84C74" w14:textId="77777777" w:rsidTr="001971EA">
                        <w:trPr>
                          <w:trHeight w:val="406"/>
                          <w:jc w:val="center"/>
                        </w:trPr>
                        <w:tc>
                          <w:tcPr>
                            <w:tcW w:w="1985" w:type="dxa"/>
                            <w:vAlign w:val="center"/>
                          </w:tcPr>
                          <w:p w14:paraId="36841C63"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核心目標</w:t>
                            </w:r>
                          </w:p>
                        </w:tc>
                        <w:tc>
                          <w:tcPr>
                            <w:tcW w:w="757" w:type="dxa"/>
                            <w:tcBorders>
                              <w:right w:val="double" w:sz="4" w:space="0" w:color="auto"/>
                            </w:tcBorders>
                            <w:vAlign w:val="center"/>
                          </w:tcPr>
                          <w:p w14:paraId="0541CC3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對應</w:t>
                            </w:r>
                            <w:r w:rsidRPr="00066CC7">
                              <w:rPr>
                                <w:rFonts w:ascii="標楷體" w:eastAsia="標楷體" w:hAnsi="標楷體"/>
                                <w:sz w:val="20"/>
                              </w:rPr>
                              <w:t>指標</w:t>
                            </w:r>
                            <w:r w:rsidRPr="00066CC7">
                              <w:rPr>
                                <w:rFonts w:ascii="標楷體" w:eastAsia="標楷體" w:hAnsi="標楷體" w:hint="eastAsia"/>
                                <w:sz w:val="20"/>
                              </w:rPr>
                              <w:t>項數</w:t>
                            </w:r>
                          </w:p>
                        </w:tc>
                        <w:tc>
                          <w:tcPr>
                            <w:tcW w:w="1936" w:type="dxa"/>
                            <w:tcBorders>
                              <w:left w:val="double" w:sz="4" w:space="0" w:color="auto"/>
                            </w:tcBorders>
                            <w:vAlign w:val="center"/>
                          </w:tcPr>
                          <w:p w14:paraId="48445A68"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核心目標</w:t>
                            </w:r>
                          </w:p>
                        </w:tc>
                        <w:tc>
                          <w:tcPr>
                            <w:tcW w:w="709" w:type="dxa"/>
                            <w:vAlign w:val="center"/>
                          </w:tcPr>
                          <w:p w14:paraId="014D2E5D"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對應</w:t>
                            </w:r>
                            <w:r w:rsidRPr="00066CC7">
                              <w:rPr>
                                <w:rFonts w:ascii="標楷體" w:eastAsia="標楷體" w:hAnsi="標楷體"/>
                                <w:sz w:val="20"/>
                              </w:rPr>
                              <w:t>指標</w:t>
                            </w:r>
                            <w:r w:rsidRPr="00066CC7">
                              <w:rPr>
                                <w:rFonts w:ascii="標楷體" w:eastAsia="標楷體" w:hAnsi="標楷體" w:hint="eastAsia"/>
                                <w:sz w:val="20"/>
                              </w:rPr>
                              <w:t>項數</w:t>
                            </w:r>
                          </w:p>
                        </w:tc>
                      </w:tr>
                      <w:tr w:rsidR="00BD5EF0" w:rsidRPr="00625EEA" w14:paraId="622DFD35" w14:textId="77777777" w:rsidTr="001971EA">
                        <w:trPr>
                          <w:jc w:val="center"/>
                        </w:trPr>
                        <w:tc>
                          <w:tcPr>
                            <w:tcW w:w="1985" w:type="dxa"/>
                          </w:tcPr>
                          <w:p w14:paraId="3899A721"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w:t>
                            </w:r>
                            <w:r w:rsidRPr="00066CC7">
                              <w:rPr>
                                <w:rFonts w:ascii="標楷體" w:eastAsia="標楷體" w:hAnsi="標楷體" w:hint="eastAsia"/>
                                <w:sz w:val="20"/>
                              </w:rPr>
                              <w:t>消除</w:t>
                            </w:r>
                            <w:r w:rsidRPr="00066CC7">
                              <w:rPr>
                                <w:rFonts w:ascii="標楷體" w:eastAsia="標楷體" w:hAnsi="標楷體"/>
                                <w:sz w:val="20"/>
                              </w:rPr>
                              <w:t>貧窮</w:t>
                            </w:r>
                          </w:p>
                        </w:tc>
                        <w:tc>
                          <w:tcPr>
                            <w:tcW w:w="757" w:type="dxa"/>
                            <w:tcBorders>
                              <w:right w:val="double" w:sz="4" w:space="0" w:color="auto"/>
                            </w:tcBorders>
                          </w:tcPr>
                          <w:p w14:paraId="79AD69AD"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2</w:t>
                            </w:r>
                          </w:p>
                        </w:tc>
                        <w:tc>
                          <w:tcPr>
                            <w:tcW w:w="1936" w:type="dxa"/>
                            <w:tcBorders>
                              <w:left w:val="double" w:sz="4" w:space="0" w:color="auto"/>
                            </w:tcBorders>
                          </w:tcPr>
                          <w:p w14:paraId="0CBBFB5A"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0.減少不平等</w:t>
                            </w:r>
                          </w:p>
                        </w:tc>
                        <w:tc>
                          <w:tcPr>
                            <w:tcW w:w="709" w:type="dxa"/>
                          </w:tcPr>
                          <w:p w14:paraId="22A65595"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32E1FFC6" w14:textId="77777777" w:rsidTr="001971EA">
                        <w:trPr>
                          <w:jc w:val="center"/>
                        </w:trPr>
                        <w:tc>
                          <w:tcPr>
                            <w:tcW w:w="1985" w:type="dxa"/>
                          </w:tcPr>
                          <w:p w14:paraId="1957D06B"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2</w:t>
                            </w:r>
                            <w:r w:rsidRPr="00066CC7">
                              <w:rPr>
                                <w:rFonts w:ascii="標楷體" w:eastAsia="標楷體" w:hAnsi="標楷體"/>
                                <w:sz w:val="20"/>
                              </w:rPr>
                              <w:t>.</w:t>
                            </w:r>
                            <w:r w:rsidRPr="00066CC7">
                              <w:rPr>
                                <w:rFonts w:ascii="標楷體" w:eastAsia="標楷體" w:hAnsi="標楷體" w:hint="eastAsia"/>
                                <w:sz w:val="20"/>
                              </w:rPr>
                              <w:t>消除</w:t>
                            </w:r>
                            <w:r w:rsidRPr="00066CC7">
                              <w:rPr>
                                <w:rFonts w:ascii="標楷體" w:eastAsia="標楷體" w:hAnsi="標楷體"/>
                                <w:sz w:val="20"/>
                              </w:rPr>
                              <w:t>飢餓</w:t>
                            </w:r>
                          </w:p>
                        </w:tc>
                        <w:tc>
                          <w:tcPr>
                            <w:tcW w:w="757" w:type="dxa"/>
                            <w:tcBorders>
                              <w:right w:val="double" w:sz="4" w:space="0" w:color="auto"/>
                            </w:tcBorders>
                          </w:tcPr>
                          <w:p w14:paraId="58E35D81"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tcBorders>
                          </w:tcPr>
                          <w:p w14:paraId="25870664"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sz w:val="20"/>
                              </w:rPr>
                              <w:t>11.</w:t>
                            </w:r>
                            <w:r w:rsidRPr="00066CC7">
                              <w:rPr>
                                <w:rFonts w:ascii="標楷體" w:eastAsia="標楷體" w:hAnsi="標楷體" w:hint="eastAsia"/>
                                <w:sz w:val="20"/>
                              </w:rPr>
                              <w:t>永續城市</w:t>
                            </w:r>
                          </w:p>
                        </w:tc>
                        <w:tc>
                          <w:tcPr>
                            <w:tcW w:w="709" w:type="dxa"/>
                          </w:tcPr>
                          <w:p w14:paraId="480CECB7"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1</w:t>
                            </w:r>
                          </w:p>
                        </w:tc>
                      </w:tr>
                      <w:tr w:rsidR="00BD5EF0" w:rsidRPr="00625EEA" w14:paraId="3A73701A" w14:textId="77777777" w:rsidTr="001971EA">
                        <w:trPr>
                          <w:jc w:val="center"/>
                        </w:trPr>
                        <w:tc>
                          <w:tcPr>
                            <w:tcW w:w="1985" w:type="dxa"/>
                          </w:tcPr>
                          <w:p w14:paraId="231E19DC"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3</w:t>
                            </w:r>
                            <w:r w:rsidRPr="00066CC7">
                              <w:rPr>
                                <w:rFonts w:ascii="標楷體" w:eastAsia="標楷體" w:hAnsi="標楷體"/>
                                <w:sz w:val="20"/>
                              </w:rPr>
                              <w:t>.</w:t>
                            </w:r>
                            <w:r w:rsidRPr="00066CC7">
                              <w:rPr>
                                <w:rFonts w:ascii="標楷體" w:eastAsia="標楷體" w:hAnsi="標楷體" w:hint="eastAsia"/>
                                <w:sz w:val="20"/>
                              </w:rPr>
                              <w:t>健康</w:t>
                            </w:r>
                            <w:r w:rsidRPr="00066CC7">
                              <w:rPr>
                                <w:rFonts w:ascii="標楷體" w:eastAsia="標楷體" w:hAnsi="標楷體"/>
                                <w:sz w:val="20"/>
                              </w:rPr>
                              <w:t>福祉</w:t>
                            </w:r>
                          </w:p>
                        </w:tc>
                        <w:tc>
                          <w:tcPr>
                            <w:tcW w:w="757" w:type="dxa"/>
                            <w:tcBorders>
                              <w:right w:val="double" w:sz="4" w:space="0" w:color="auto"/>
                            </w:tcBorders>
                          </w:tcPr>
                          <w:p w14:paraId="54D2D8F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2</w:t>
                            </w:r>
                          </w:p>
                        </w:tc>
                        <w:tc>
                          <w:tcPr>
                            <w:tcW w:w="1936" w:type="dxa"/>
                            <w:tcBorders>
                              <w:left w:val="double" w:sz="4" w:space="0" w:color="auto"/>
                            </w:tcBorders>
                          </w:tcPr>
                          <w:p w14:paraId="37DAB04F" w14:textId="77777777" w:rsidR="00BD5EF0" w:rsidRPr="00066CC7" w:rsidRDefault="00BD5EF0" w:rsidP="00583BD4">
                            <w:pPr>
                              <w:spacing w:line="240" w:lineRule="exact"/>
                              <w:ind w:right="-17"/>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2.</w:t>
                            </w:r>
                            <w:r w:rsidRPr="00066CC7">
                              <w:rPr>
                                <w:rFonts w:ascii="標楷體" w:eastAsia="標楷體" w:hAnsi="標楷體" w:hint="eastAsia"/>
                                <w:sz w:val="20"/>
                              </w:rPr>
                              <w:t>責任</w:t>
                            </w:r>
                            <w:r w:rsidRPr="00066CC7">
                              <w:rPr>
                                <w:rFonts w:ascii="標楷體" w:eastAsia="標楷體" w:hAnsi="標楷體"/>
                                <w:sz w:val="20"/>
                              </w:rPr>
                              <w:t>消費與生產</w:t>
                            </w:r>
                          </w:p>
                        </w:tc>
                        <w:tc>
                          <w:tcPr>
                            <w:tcW w:w="709" w:type="dxa"/>
                          </w:tcPr>
                          <w:p w14:paraId="5BAA971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r>
                      <w:tr w:rsidR="00BD5EF0" w:rsidRPr="00625EEA" w14:paraId="69F5160A" w14:textId="77777777" w:rsidTr="001971EA">
                        <w:trPr>
                          <w:jc w:val="center"/>
                        </w:trPr>
                        <w:tc>
                          <w:tcPr>
                            <w:tcW w:w="1985" w:type="dxa"/>
                          </w:tcPr>
                          <w:p w14:paraId="79A05D00"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4</w:t>
                            </w:r>
                            <w:r w:rsidRPr="00066CC7">
                              <w:rPr>
                                <w:rFonts w:ascii="標楷體" w:eastAsia="標楷體" w:hAnsi="標楷體" w:hint="eastAsia"/>
                                <w:sz w:val="20"/>
                              </w:rPr>
                              <w:t>.</w:t>
                            </w:r>
                            <w:r w:rsidRPr="00066CC7">
                              <w:rPr>
                                <w:rFonts w:ascii="標楷體" w:eastAsia="標楷體" w:hAnsi="標楷體"/>
                                <w:sz w:val="20"/>
                              </w:rPr>
                              <w:t>教育</w:t>
                            </w:r>
                            <w:r w:rsidRPr="00066CC7">
                              <w:rPr>
                                <w:rFonts w:ascii="標楷體" w:eastAsia="標楷體" w:hAnsi="標楷體" w:hint="eastAsia"/>
                                <w:sz w:val="20"/>
                              </w:rPr>
                              <w:t>品質</w:t>
                            </w:r>
                          </w:p>
                        </w:tc>
                        <w:tc>
                          <w:tcPr>
                            <w:tcW w:w="757" w:type="dxa"/>
                            <w:tcBorders>
                              <w:right w:val="double" w:sz="4" w:space="0" w:color="auto"/>
                            </w:tcBorders>
                          </w:tcPr>
                          <w:p w14:paraId="181CB4C0"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2</w:t>
                            </w:r>
                          </w:p>
                        </w:tc>
                        <w:tc>
                          <w:tcPr>
                            <w:tcW w:w="1936" w:type="dxa"/>
                            <w:tcBorders>
                              <w:left w:val="double" w:sz="4" w:space="0" w:color="auto"/>
                            </w:tcBorders>
                          </w:tcPr>
                          <w:p w14:paraId="204EE505"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3.</w:t>
                            </w:r>
                            <w:r w:rsidRPr="00066CC7">
                              <w:rPr>
                                <w:rFonts w:ascii="標楷體" w:eastAsia="標楷體" w:hAnsi="標楷體" w:hint="eastAsia"/>
                                <w:sz w:val="20"/>
                              </w:rPr>
                              <w:t>氣候行動</w:t>
                            </w:r>
                          </w:p>
                        </w:tc>
                        <w:tc>
                          <w:tcPr>
                            <w:tcW w:w="709" w:type="dxa"/>
                          </w:tcPr>
                          <w:p w14:paraId="0DB4BE4C"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2A51E30F" w14:textId="77777777" w:rsidTr="001971EA">
                        <w:trPr>
                          <w:jc w:val="center"/>
                        </w:trPr>
                        <w:tc>
                          <w:tcPr>
                            <w:tcW w:w="1985" w:type="dxa"/>
                          </w:tcPr>
                          <w:p w14:paraId="7A5B72D1"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hint="eastAsia"/>
                                <w:sz w:val="20"/>
                              </w:rPr>
                              <w:t>5</w:t>
                            </w:r>
                            <w:r w:rsidRPr="00066CC7">
                              <w:rPr>
                                <w:rFonts w:ascii="標楷體" w:eastAsia="標楷體" w:hAnsi="標楷體"/>
                                <w:sz w:val="20"/>
                              </w:rPr>
                              <w:t>.性別平等</w:t>
                            </w:r>
                          </w:p>
                        </w:tc>
                        <w:tc>
                          <w:tcPr>
                            <w:tcW w:w="757" w:type="dxa"/>
                            <w:tcBorders>
                              <w:right w:val="double" w:sz="4" w:space="0" w:color="auto"/>
                            </w:tcBorders>
                          </w:tcPr>
                          <w:p w14:paraId="2150BF6D"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c>
                          <w:tcPr>
                            <w:tcW w:w="1936" w:type="dxa"/>
                            <w:tcBorders>
                              <w:left w:val="double" w:sz="4" w:space="0" w:color="auto"/>
                            </w:tcBorders>
                          </w:tcPr>
                          <w:p w14:paraId="31CC8A0C"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4.</w:t>
                            </w:r>
                            <w:r w:rsidRPr="00066CC7">
                              <w:rPr>
                                <w:rFonts w:ascii="標楷體" w:eastAsia="標楷體" w:hAnsi="標楷體" w:hint="eastAsia"/>
                                <w:sz w:val="20"/>
                              </w:rPr>
                              <w:t>海域生態</w:t>
                            </w:r>
                          </w:p>
                        </w:tc>
                        <w:tc>
                          <w:tcPr>
                            <w:tcW w:w="709" w:type="dxa"/>
                          </w:tcPr>
                          <w:p w14:paraId="0ED8B2D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620D1947" w14:textId="77777777" w:rsidTr="001971EA">
                        <w:trPr>
                          <w:jc w:val="center"/>
                        </w:trPr>
                        <w:tc>
                          <w:tcPr>
                            <w:tcW w:w="1985" w:type="dxa"/>
                          </w:tcPr>
                          <w:p w14:paraId="22808114"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6.</w:t>
                            </w:r>
                            <w:r w:rsidRPr="00066CC7">
                              <w:rPr>
                                <w:rFonts w:ascii="標楷體" w:eastAsia="標楷體" w:hAnsi="標楷體" w:hint="eastAsia"/>
                                <w:sz w:val="20"/>
                              </w:rPr>
                              <w:t>環境品質</w:t>
                            </w:r>
                          </w:p>
                        </w:tc>
                        <w:tc>
                          <w:tcPr>
                            <w:tcW w:w="757" w:type="dxa"/>
                            <w:tcBorders>
                              <w:right w:val="double" w:sz="4" w:space="0" w:color="auto"/>
                            </w:tcBorders>
                          </w:tcPr>
                          <w:p w14:paraId="36E4B2CF"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tcBorders>
                          </w:tcPr>
                          <w:p w14:paraId="7EAC812B"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5.</w:t>
                            </w:r>
                            <w:r w:rsidRPr="00066CC7">
                              <w:rPr>
                                <w:rFonts w:ascii="標楷體" w:eastAsia="標楷體" w:hAnsi="標楷體" w:hint="eastAsia"/>
                                <w:sz w:val="20"/>
                              </w:rPr>
                              <w:t>陸域</w:t>
                            </w:r>
                            <w:r w:rsidRPr="00066CC7">
                              <w:rPr>
                                <w:rFonts w:ascii="標楷體" w:eastAsia="標楷體" w:hAnsi="標楷體"/>
                                <w:sz w:val="20"/>
                              </w:rPr>
                              <w:t>生態</w:t>
                            </w:r>
                          </w:p>
                        </w:tc>
                        <w:tc>
                          <w:tcPr>
                            <w:tcW w:w="709" w:type="dxa"/>
                          </w:tcPr>
                          <w:p w14:paraId="3AE443E2"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r>
                      <w:tr w:rsidR="00BD5EF0" w:rsidRPr="00625EEA" w14:paraId="1A59D736" w14:textId="77777777" w:rsidTr="001971EA">
                        <w:trPr>
                          <w:jc w:val="center"/>
                        </w:trPr>
                        <w:tc>
                          <w:tcPr>
                            <w:tcW w:w="1985" w:type="dxa"/>
                          </w:tcPr>
                          <w:p w14:paraId="2B8FB361"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7.</w:t>
                            </w:r>
                            <w:r w:rsidRPr="00066CC7">
                              <w:rPr>
                                <w:rFonts w:ascii="標楷體" w:eastAsia="標楷體" w:hAnsi="標楷體" w:hint="eastAsia"/>
                                <w:sz w:val="20"/>
                              </w:rPr>
                              <w:t>可負擔</w:t>
                            </w:r>
                            <w:r w:rsidRPr="00066CC7">
                              <w:rPr>
                                <w:rFonts w:ascii="標楷體" w:eastAsia="標楷體" w:hAnsi="標楷體"/>
                                <w:sz w:val="20"/>
                              </w:rPr>
                              <w:t>能源</w:t>
                            </w:r>
                          </w:p>
                        </w:tc>
                        <w:tc>
                          <w:tcPr>
                            <w:tcW w:w="757" w:type="dxa"/>
                            <w:tcBorders>
                              <w:right w:val="double" w:sz="4" w:space="0" w:color="auto"/>
                            </w:tcBorders>
                          </w:tcPr>
                          <w:p w14:paraId="42E14A02"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tcBorders>
                          </w:tcPr>
                          <w:p w14:paraId="57E10A4A"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6.</w:t>
                            </w:r>
                            <w:r w:rsidRPr="00066CC7">
                              <w:rPr>
                                <w:rFonts w:ascii="標楷體" w:eastAsia="標楷體" w:hAnsi="標楷體" w:hint="eastAsia"/>
                                <w:sz w:val="20"/>
                              </w:rPr>
                              <w:t>和平與正義</w:t>
                            </w:r>
                          </w:p>
                        </w:tc>
                        <w:tc>
                          <w:tcPr>
                            <w:tcW w:w="709" w:type="dxa"/>
                          </w:tcPr>
                          <w:p w14:paraId="6F54915F"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40F60967" w14:textId="77777777" w:rsidTr="001971EA">
                        <w:trPr>
                          <w:jc w:val="center"/>
                        </w:trPr>
                        <w:tc>
                          <w:tcPr>
                            <w:tcW w:w="1985" w:type="dxa"/>
                            <w:tcBorders>
                              <w:bottom w:val="single" w:sz="4" w:space="0" w:color="auto"/>
                            </w:tcBorders>
                          </w:tcPr>
                          <w:p w14:paraId="03A1E31A"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8.</w:t>
                            </w:r>
                            <w:r w:rsidRPr="00066CC7">
                              <w:rPr>
                                <w:rFonts w:ascii="標楷體" w:eastAsia="標楷體" w:hAnsi="標楷體" w:hint="eastAsia"/>
                                <w:sz w:val="20"/>
                              </w:rPr>
                              <w:t>就業與</w:t>
                            </w:r>
                            <w:r w:rsidRPr="00066CC7">
                              <w:rPr>
                                <w:rFonts w:ascii="標楷體" w:eastAsia="標楷體" w:hAnsi="標楷體"/>
                                <w:sz w:val="20"/>
                              </w:rPr>
                              <w:t>經濟成長</w:t>
                            </w:r>
                          </w:p>
                        </w:tc>
                        <w:tc>
                          <w:tcPr>
                            <w:tcW w:w="757" w:type="dxa"/>
                            <w:tcBorders>
                              <w:bottom w:val="single" w:sz="4" w:space="0" w:color="auto"/>
                              <w:right w:val="double" w:sz="4" w:space="0" w:color="auto"/>
                            </w:tcBorders>
                          </w:tcPr>
                          <w:p w14:paraId="7491FD90"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sz w:val="20"/>
                              </w:rPr>
                              <w:t>1</w:t>
                            </w:r>
                          </w:p>
                        </w:tc>
                        <w:tc>
                          <w:tcPr>
                            <w:tcW w:w="1936" w:type="dxa"/>
                            <w:tcBorders>
                              <w:left w:val="double" w:sz="4" w:space="0" w:color="auto"/>
                              <w:bottom w:val="single" w:sz="4" w:space="0" w:color="auto"/>
                              <w:right w:val="single" w:sz="4" w:space="0" w:color="auto"/>
                            </w:tcBorders>
                            <w:shd w:val="clear" w:color="auto" w:fill="FFFFFF"/>
                          </w:tcPr>
                          <w:p w14:paraId="1FB96218" w14:textId="77777777"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7.全球夥伴</w:t>
                            </w:r>
                          </w:p>
                        </w:tc>
                        <w:tc>
                          <w:tcPr>
                            <w:tcW w:w="709" w:type="dxa"/>
                            <w:tcBorders>
                              <w:left w:val="single" w:sz="4" w:space="0" w:color="auto"/>
                              <w:bottom w:val="single" w:sz="4" w:space="0" w:color="auto"/>
                            </w:tcBorders>
                            <w:shd w:val="clear" w:color="auto" w:fill="FFFFFF"/>
                          </w:tcPr>
                          <w:p w14:paraId="25F4F209"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w:t>
                            </w:r>
                          </w:p>
                        </w:tc>
                      </w:tr>
                      <w:tr w:rsidR="00BD5EF0" w:rsidRPr="00625EEA" w14:paraId="428EBB88" w14:textId="77777777" w:rsidTr="003E3734">
                        <w:trPr>
                          <w:jc w:val="center"/>
                        </w:trPr>
                        <w:tc>
                          <w:tcPr>
                            <w:tcW w:w="1985" w:type="dxa"/>
                            <w:tcBorders>
                              <w:bottom w:val="single" w:sz="4" w:space="0" w:color="auto"/>
                            </w:tcBorders>
                          </w:tcPr>
                          <w:p w14:paraId="39D38EDB" w14:textId="77777777" w:rsidR="00BD5EF0" w:rsidRPr="00066CC7" w:rsidRDefault="00BD5EF0" w:rsidP="006D3496">
                            <w:pPr>
                              <w:spacing w:line="240" w:lineRule="exact"/>
                              <w:ind w:right="24"/>
                              <w:jc w:val="both"/>
                              <w:rPr>
                                <w:rFonts w:ascii="標楷體" w:eastAsia="標楷體" w:hAnsi="標楷體"/>
                                <w:sz w:val="20"/>
                              </w:rPr>
                            </w:pPr>
                            <w:r w:rsidRPr="00066CC7">
                              <w:rPr>
                                <w:rFonts w:ascii="標楷體" w:eastAsia="標楷體" w:hAnsi="標楷體"/>
                                <w:sz w:val="20"/>
                              </w:rPr>
                              <w:t>9.</w:t>
                            </w:r>
                            <w:r w:rsidRPr="00066CC7">
                              <w:rPr>
                                <w:rFonts w:ascii="標楷體" w:eastAsia="標楷體" w:hAnsi="標楷體" w:hint="eastAsia"/>
                                <w:sz w:val="20"/>
                              </w:rPr>
                              <w:t>永續運輸</w:t>
                            </w:r>
                          </w:p>
                        </w:tc>
                        <w:tc>
                          <w:tcPr>
                            <w:tcW w:w="757" w:type="dxa"/>
                            <w:tcBorders>
                              <w:bottom w:val="single" w:sz="4" w:space="0" w:color="auto"/>
                              <w:right w:val="double" w:sz="4" w:space="0" w:color="auto"/>
                            </w:tcBorders>
                          </w:tcPr>
                          <w:p w14:paraId="041C4A9E" w14:textId="77777777" w:rsidR="00BD5EF0" w:rsidRPr="00066CC7" w:rsidRDefault="00BD5EF0" w:rsidP="006D3496">
                            <w:pPr>
                              <w:spacing w:line="240" w:lineRule="exact"/>
                              <w:ind w:right="24"/>
                              <w:jc w:val="center"/>
                              <w:rPr>
                                <w:rFonts w:ascii="標楷體" w:eastAsia="標楷體" w:hAnsi="標楷體"/>
                                <w:sz w:val="20"/>
                              </w:rPr>
                            </w:pPr>
                            <w:r w:rsidRPr="00066CC7">
                              <w:rPr>
                                <w:rFonts w:ascii="標楷體" w:eastAsia="標楷體" w:hAnsi="標楷體" w:hint="eastAsia"/>
                                <w:sz w:val="20"/>
                              </w:rPr>
                              <w:t>4</w:t>
                            </w:r>
                          </w:p>
                        </w:tc>
                        <w:tc>
                          <w:tcPr>
                            <w:tcW w:w="1936" w:type="dxa"/>
                            <w:tcBorders>
                              <w:left w:val="double" w:sz="4" w:space="0" w:color="auto"/>
                              <w:bottom w:val="single" w:sz="4" w:space="0" w:color="auto"/>
                              <w:right w:val="single" w:sz="4" w:space="0" w:color="auto"/>
                            </w:tcBorders>
                            <w:shd w:val="clear" w:color="auto" w:fill="FFFFFF"/>
                          </w:tcPr>
                          <w:p w14:paraId="4C6747D2" w14:textId="3A53FE70" w:rsidR="00BD5EF0" w:rsidRPr="00066CC7" w:rsidRDefault="00BD5EF0" w:rsidP="006D3496">
                            <w:pPr>
                              <w:spacing w:line="240" w:lineRule="exact"/>
                              <w:ind w:right="24"/>
                              <w:rPr>
                                <w:rFonts w:ascii="標楷體" w:eastAsia="標楷體" w:hAnsi="標楷體"/>
                                <w:sz w:val="20"/>
                              </w:rPr>
                            </w:pPr>
                            <w:r w:rsidRPr="00066CC7">
                              <w:rPr>
                                <w:rFonts w:ascii="標楷體" w:eastAsia="標楷體" w:hAnsi="標楷體" w:hint="eastAsia"/>
                                <w:sz w:val="20"/>
                              </w:rPr>
                              <w:t>1</w:t>
                            </w:r>
                            <w:r w:rsidRPr="00066CC7">
                              <w:rPr>
                                <w:rFonts w:ascii="標楷體" w:eastAsia="標楷體" w:hAnsi="標楷體"/>
                                <w:sz w:val="20"/>
                              </w:rPr>
                              <w:t>8.</w:t>
                            </w:r>
                            <w:r w:rsidRPr="00066CC7">
                              <w:rPr>
                                <w:rFonts w:ascii="標楷體" w:eastAsia="標楷體" w:hAnsi="標楷體" w:hint="eastAsia"/>
                                <w:sz w:val="20"/>
                              </w:rPr>
                              <w:t>非核家園(</w:t>
                            </w:r>
                            <w:proofErr w:type="gramStart"/>
                            <w:r w:rsidRPr="00066CC7">
                              <w:rPr>
                                <w:rFonts w:ascii="標楷體" w:eastAsia="標楷體" w:hAnsi="標楷體" w:hint="eastAsia"/>
                                <w:sz w:val="20"/>
                              </w:rPr>
                              <w:t>註</w:t>
                            </w:r>
                            <w:proofErr w:type="gramEnd"/>
                            <w:r w:rsidR="00496378">
                              <w:rPr>
                                <w:rFonts w:ascii="標楷體" w:eastAsia="標楷體" w:hAnsi="標楷體" w:hint="eastAsia"/>
                                <w:sz w:val="20"/>
                              </w:rPr>
                              <w:t>1</w:t>
                            </w:r>
                            <w:r w:rsidRPr="00066CC7">
                              <w:rPr>
                                <w:rFonts w:ascii="標楷體" w:eastAsia="標楷體" w:hAnsi="標楷體"/>
                                <w:sz w:val="20"/>
                              </w:rPr>
                              <w:t>)</w:t>
                            </w:r>
                          </w:p>
                        </w:tc>
                        <w:tc>
                          <w:tcPr>
                            <w:tcW w:w="709" w:type="dxa"/>
                            <w:tcBorders>
                              <w:left w:val="single" w:sz="4" w:space="0" w:color="auto"/>
                              <w:bottom w:val="single" w:sz="4" w:space="0" w:color="auto"/>
                              <w:tl2br w:val="single" w:sz="4" w:space="0" w:color="auto"/>
                            </w:tcBorders>
                            <w:shd w:val="clear" w:color="auto" w:fill="FFFFFF"/>
                          </w:tcPr>
                          <w:p w14:paraId="313B1483" w14:textId="77777777" w:rsidR="00BD5EF0" w:rsidRPr="00066CC7" w:rsidRDefault="00BD5EF0" w:rsidP="006D3496">
                            <w:pPr>
                              <w:spacing w:line="240" w:lineRule="exact"/>
                              <w:ind w:right="24"/>
                              <w:jc w:val="center"/>
                              <w:rPr>
                                <w:rFonts w:ascii="標楷體" w:eastAsia="標楷體" w:hAnsi="標楷體"/>
                                <w:sz w:val="20"/>
                              </w:rPr>
                            </w:pPr>
                          </w:p>
                        </w:tc>
                      </w:tr>
                      <w:tr w:rsidR="00BD5EF0" w:rsidRPr="00625EEA" w14:paraId="6CAE9E47" w14:textId="77777777" w:rsidTr="00BD0601">
                        <w:trPr>
                          <w:jc w:val="center"/>
                        </w:trPr>
                        <w:tc>
                          <w:tcPr>
                            <w:tcW w:w="5387" w:type="dxa"/>
                            <w:gridSpan w:val="4"/>
                            <w:tcBorders>
                              <w:top w:val="single" w:sz="4" w:space="0" w:color="auto"/>
                              <w:left w:val="nil"/>
                              <w:bottom w:val="nil"/>
                              <w:right w:val="nil"/>
                            </w:tcBorders>
                          </w:tcPr>
                          <w:p w14:paraId="78BD375B" w14:textId="77777777" w:rsidR="00BD5EF0" w:rsidRPr="00BE6273" w:rsidRDefault="00BD5EF0" w:rsidP="006D3496">
                            <w:pPr>
                              <w:spacing w:line="240" w:lineRule="exact"/>
                              <w:ind w:right="24"/>
                              <w:rPr>
                                <w:rFonts w:ascii="標楷體" w:eastAsia="標楷體" w:hAnsi="標楷體"/>
                                <w:sz w:val="18"/>
                                <w:szCs w:val="18"/>
                              </w:rPr>
                            </w:pPr>
                            <w:proofErr w:type="gramStart"/>
                            <w:r w:rsidRPr="00BE6273">
                              <w:rPr>
                                <w:rFonts w:ascii="標楷體" w:eastAsia="標楷體" w:hAnsi="標楷體" w:hint="eastAsia"/>
                                <w:sz w:val="18"/>
                                <w:szCs w:val="18"/>
                              </w:rPr>
                              <w:t>註</w:t>
                            </w:r>
                            <w:proofErr w:type="gramEnd"/>
                            <w:r w:rsidRPr="00BE6273">
                              <w:rPr>
                                <w:rFonts w:ascii="標楷體" w:eastAsia="標楷體" w:hAnsi="標楷體" w:hint="eastAsia"/>
                                <w:sz w:val="18"/>
                                <w:szCs w:val="18"/>
                              </w:rPr>
                              <w:t>：1</w:t>
                            </w:r>
                            <w:r w:rsidRPr="00BE6273">
                              <w:rPr>
                                <w:rFonts w:ascii="標楷體" w:eastAsia="標楷體" w:hAnsi="標楷體"/>
                                <w:sz w:val="18"/>
                                <w:szCs w:val="18"/>
                              </w:rPr>
                              <w:t>.核心目標18非核家園並未設定年度目標值</w:t>
                            </w:r>
                            <w:r w:rsidRPr="00BE6273">
                              <w:rPr>
                                <w:rFonts w:ascii="標楷體" w:eastAsia="標楷體" w:hAnsi="標楷體" w:hint="eastAsia"/>
                                <w:sz w:val="18"/>
                                <w:szCs w:val="18"/>
                              </w:rPr>
                              <w:t>。</w:t>
                            </w:r>
                          </w:p>
                          <w:p w14:paraId="0E018DEE" w14:textId="77777777" w:rsidR="00BD5EF0" w:rsidRPr="00625EEA" w:rsidRDefault="00BD5EF0" w:rsidP="00A05943">
                            <w:pPr>
                              <w:spacing w:line="240" w:lineRule="exact"/>
                              <w:ind w:leftChars="150" w:left="540" w:right="24" w:hangingChars="100" w:hanging="180"/>
                              <w:rPr>
                                <w:rFonts w:ascii="標楷體" w:eastAsia="標楷體" w:hAnsi="標楷體"/>
                                <w:sz w:val="22"/>
                              </w:rPr>
                            </w:pPr>
                            <w:r w:rsidRPr="00BE6273">
                              <w:rPr>
                                <w:rFonts w:ascii="標楷體" w:eastAsia="標楷體" w:hAnsi="標楷體" w:hint="eastAsia"/>
                                <w:sz w:val="18"/>
                                <w:szCs w:val="18"/>
                              </w:rPr>
                              <w:t>2</w:t>
                            </w:r>
                            <w:r w:rsidRPr="00BE6273">
                              <w:rPr>
                                <w:rFonts w:ascii="標楷體" w:eastAsia="標楷體" w:hAnsi="標楷體"/>
                                <w:sz w:val="18"/>
                                <w:szCs w:val="18"/>
                              </w:rPr>
                              <w:t>.</w:t>
                            </w:r>
                            <w:r w:rsidRPr="00BE6273">
                              <w:rPr>
                                <w:rFonts w:ascii="標楷體" w:eastAsia="標楷體" w:hAnsi="標楷體" w:hint="eastAsia"/>
                                <w:sz w:val="18"/>
                                <w:szCs w:val="18"/>
                              </w:rPr>
                              <w:t>資料來源：整理自2021至2023年度</w:t>
                            </w:r>
                            <w:r w:rsidRPr="00A05943">
                              <w:rPr>
                                <w:rFonts w:ascii="標楷體" w:eastAsia="標楷體" w:hAnsi="標楷體" w:hint="eastAsia"/>
                                <w:sz w:val="18"/>
                                <w:szCs w:val="18"/>
                              </w:rPr>
                              <w:t>臺灣永續發展目標</w:t>
                            </w:r>
                            <w:r w:rsidRPr="00BE6273">
                              <w:rPr>
                                <w:rFonts w:ascii="標楷體" w:eastAsia="標楷體" w:hAnsi="標楷體" w:hint="eastAsia"/>
                                <w:sz w:val="18"/>
                                <w:szCs w:val="18"/>
                              </w:rPr>
                              <w:t>檢討報告。</w:t>
                            </w:r>
                          </w:p>
                        </w:tc>
                      </w:tr>
                    </w:tbl>
                    <w:p w14:paraId="01FAFA31" w14:textId="77777777" w:rsidR="00BD5EF0" w:rsidRPr="00BA7A00" w:rsidRDefault="00BD5EF0" w:rsidP="00BD5EF0">
                      <w:pPr>
                        <w:rPr>
                          <w:rFonts w:ascii="標楷體" w:eastAsia="標楷體" w:hAnsi="標楷體"/>
                          <w:color w:val="FF0000"/>
                        </w:rPr>
                      </w:pPr>
                    </w:p>
                  </w:txbxContent>
                </v:textbox>
                <w10:wrap type="square" anchorx="margin"/>
              </v:shape>
            </w:pict>
          </mc:Fallback>
        </mc:AlternateContent>
      </w:r>
      <w:r w:rsidR="002D4020">
        <w:rPr>
          <w:rFonts w:ascii="標楷體" w:eastAsia="標楷體" w:hAnsi="標楷體" w:hint="eastAsia"/>
          <w:b/>
          <w:bCs/>
          <w:szCs w:val="32"/>
        </w:rPr>
        <w:t>1</w:t>
      </w:r>
      <w:r w:rsidR="002D4020" w:rsidRPr="00290092">
        <w:rPr>
          <w:rFonts w:ascii="標楷體" w:eastAsia="標楷體" w:hAnsi="標楷體" w:hint="eastAsia"/>
          <w:b/>
          <w:bCs/>
          <w:szCs w:val="32"/>
        </w:rPr>
        <w:t>.</w:t>
      </w:r>
      <w:r w:rsidR="002D4020" w:rsidRPr="00821EF8">
        <w:rPr>
          <w:rFonts w:ascii="標楷體" w:eastAsia="標楷體" w:hAnsi="標楷體" w:hint="eastAsia"/>
          <w:b/>
          <w:szCs w:val="24"/>
        </w:rPr>
        <w:t xml:space="preserve"> </w:t>
      </w:r>
      <w:r w:rsidR="002D4020" w:rsidRPr="001B4DCA">
        <w:rPr>
          <w:rFonts w:ascii="標楷體" w:eastAsia="標楷體" w:hAnsi="標楷體" w:hint="eastAsia"/>
          <w:b/>
          <w:spacing w:val="-2"/>
          <w:szCs w:val="32"/>
        </w:rPr>
        <w:t>部分</w:t>
      </w:r>
      <w:r w:rsidR="002D4020" w:rsidRPr="001B4DCA">
        <w:rPr>
          <w:rFonts w:ascii="標楷體" w:eastAsia="標楷體" w:hAnsi="標楷體"/>
          <w:b/>
          <w:spacing w:val="-2"/>
          <w:szCs w:val="32"/>
        </w:rPr>
        <w:t>臺灣永續發展目標</w:t>
      </w:r>
      <w:r w:rsidR="002D4020" w:rsidRPr="001B4DCA">
        <w:rPr>
          <w:rFonts w:ascii="標楷體" w:eastAsia="標楷體" w:hAnsi="標楷體" w:hint="eastAsia"/>
          <w:b/>
          <w:spacing w:val="-2"/>
          <w:szCs w:val="32"/>
        </w:rPr>
        <w:t>對應指標未達年度目標且連年落後，又近</w:t>
      </w:r>
      <w:proofErr w:type="gramStart"/>
      <w:r w:rsidR="002D4020" w:rsidRPr="001B4DCA">
        <w:rPr>
          <w:rFonts w:ascii="標楷體" w:eastAsia="標楷體" w:hAnsi="標楷體" w:hint="eastAsia"/>
          <w:b/>
          <w:spacing w:val="-2"/>
          <w:szCs w:val="32"/>
        </w:rPr>
        <w:t>3</w:t>
      </w:r>
      <w:proofErr w:type="gramEnd"/>
      <w:r w:rsidR="002D4020" w:rsidRPr="001B4DCA">
        <w:rPr>
          <w:rFonts w:ascii="標楷體" w:eastAsia="標楷體" w:hAnsi="標楷體" w:hint="eastAsia"/>
          <w:b/>
          <w:spacing w:val="-2"/>
          <w:szCs w:val="32"/>
        </w:rPr>
        <w:t>年度檢討報告發布</w:t>
      </w:r>
      <w:proofErr w:type="gramStart"/>
      <w:r w:rsidR="002D4020" w:rsidRPr="001B4DCA">
        <w:rPr>
          <w:rFonts w:ascii="標楷體" w:eastAsia="標楷體" w:hAnsi="標楷體" w:hint="eastAsia"/>
          <w:b/>
          <w:spacing w:val="-2"/>
          <w:szCs w:val="32"/>
        </w:rPr>
        <w:t>期間均較執行</w:t>
      </w:r>
      <w:proofErr w:type="gramEnd"/>
      <w:r w:rsidR="002D4020" w:rsidRPr="001B4DCA">
        <w:rPr>
          <w:rFonts w:ascii="標楷體" w:eastAsia="標楷體" w:hAnsi="標楷體" w:hint="eastAsia"/>
          <w:b/>
          <w:spacing w:val="-2"/>
          <w:szCs w:val="32"/>
        </w:rPr>
        <w:t>年度落後長達1年，不利各界及時瞭解及監督年度推動永續發展成效：</w:t>
      </w:r>
      <w:r w:rsidR="002D4020" w:rsidRPr="001B4DCA">
        <w:rPr>
          <w:rFonts w:ascii="標楷體" w:eastAsia="標楷體" w:hAnsi="標楷體" w:hint="eastAsia"/>
          <w:bCs/>
          <w:spacing w:val="-2"/>
          <w:szCs w:val="32"/>
        </w:rPr>
        <w:t>永續會為追蹤臺灣永續發展目標及各對應指標階段成效，於第47次工作會議決議訂定臺灣永續發展目標追蹤管考作業原則，自108至120年度，由永續會秘書處與各工作分組持續監測及追蹤對應指標進展，每年檢視前一年度之推動成效，同時以4年為一週期進行階段性檢視，就執行落後之對應指標提出因應對策。截至113年底止，永續會已發布5份</w:t>
      </w:r>
      <w:r w:rsidR="002D4020" w:rsidRPr="001B4DCA">
        <w:rPr>
          <w:rFonts w:ascii="標楷體" w:eastAsia="標楷體" w:hAnsi="標楷體"/>
          <w:bCs/>
          <w:spacing w:val="-2"/>
          <w:szCs w:val="32"/>
        </w:rPr>
        <w:t>臺灣永續發展目標</w:t>
      </w:r>
      <w:r w:rsidR="002D4020" w:rsidRPr="001B4DCA">
        <w:rPr>
          <w:rFonts w:ascii="標楷體" w:eastAsia="標楷體" w:hAnsi="標楷體" w:hint="eastAsia"/>
          <w:bCs/>
          <w:spacing w:val="-2"/>
          <w:szCs w:val="32"/>
        </w:rPr>
        <w:t>年度檢討報告（下稱年度檢討報告）及2份</w:t>
      </w:r>
      <w:r w:rsidR="002D4020" w:rsidRPr="001B4DCA">
        <w:rPr>
          <w:rFonts w:ascii="標楷體" w:eastAsia="標楷體" w:hAnsi="標楷體"/>
          <w:bCs/>
          <w:spacing w:val="-2"/>
          <w:szCs w:val="32"/>
        </w:rPr>
        <w:t>臺灣永續發展目標</w:t>
      </w:r>
      <w:r w:rsidR="002D4020" w:rsidRPr="001B4DCA">
        <w:rPr>
          <w:rFonts w:ascii="標楷體" w:eastAsia="標楷體" w:hAnsi="標楷體" w:hint="eastAsia"/>
          <w:bCs/>
          <w:spacing w:val="-2"/>
          <w:szCs w:val="32"/>
        </w:rPr>
        <w:t>階段性檢討報告。</w:t>
      </w:r>
      <w:proofErr w:type="gramStart"/>
      <w:r w:rsidR="002D4020" w:rsidRPr="001B4DCA">
        <w:rPr>
          <w:rFonts w:ascii="標楷體" w:eastAsia="標楷體" w:hAnsi="標楷體" w:hint="eastAsia"/>
          <w:bCs/>
          <w:spacing w:val="-2"/>
          <w:szCs w:val="32"/>
        </w:rPr>
        <w:t>經查永續會</w:t>
      </w:r>
      <w:proofErr w:type="gramEnd"/>
      <w:r w:rsidR="002D4020" w:rsidRPr="001B4DCA">
        <w:rPr>
          <w:rFonts w:ascii="標楷體" w:eastAsia="標楷體" w:hAnsi="標楷體" w:hint="eastAsia"/>
          <w:bCs/>
          <w:spacing w:val="-2"/>
          <w:szCs w:val="32"/>
        </w:rPr>
        <w:t>辦理臺灣永續發展目標管考情形，核有：（1）依據永續會發布之5份年度檢討報告所列統計成果，2019至2023年度推動進度符合預期之對應指標達成率分別為79.17％、72.02％、82.66％、83.79％及84.59％，雖逐漸有所成長，惟未達成年度目標之項目仍有</w:t>
      </w:r>
      <w:proofErr w:type="gramStart"/>
      <w:r w:rsidR="002D4020" w:rsidRPr="001B4DCA">
        <w:rPr>
          <w:rFonts w:ascii="標楷體" w:eastAsia="標楷體" w:hAnsi="標楷體" w:hint="eastAsia"/>
          <w:bCs/>
          <w:spacing w:val="-2"/>
          <w:szCs w:val="32"/>
        </w:rPr>
        <w:t>1成</w:t>
      </w:r>
      <w:proofErr w:type="gramEnd"/>
      <w:r w:rsidR="002D4020" w:rsidRPr="001B4DCA">
        <w:rPr>
          <w:rFonts w:ascii="標楷體" w:eastAsia="標楷體" w:hAnsi="標楷體" w:hint="eastAsia"/>
          <w:bCs/>
          <w:spacing w:val="-2"/>
          <w:szCs w:val="32"/>
        </w:rPr>
        <w:t>餘；</w:t>
      </w:r>
      <w:r w:rsidR="002D4020" w:rsidRPr="00DB08D2">
        <w:rPr>
          <w:rFonts w:ascii="標楷體" w:eastAsia="標楷體" w:hAnsi="標楷體" w:hint="eastAsia"/>
          <w:bCs/>
          <w:szCs w:val="32"/>
        </w:rPr>
        <w:t>又據該會113年12月發布「2020-2023年臺灣永續發展目標階段性檢討報告」，指出2023年臺灣永續發展目標之337項對應指標中，計269項已達成2023年階段目標、9項未達成2023年度目標、40項進度落後（2023年度目標未達成，以及2020至2022任一年度目標未達成）及19項未達統計週期無數據等。進一步分析前開40項進度落後對應指標，其中計有17項已連續</w:t>
      </w:r>
      <w:proofErr w:type="gramStart"/>
      <w:r w:rsidR="002D4020" w:rsidRPr="00DB08D2">
        <w:rPr>
          <w:rFonts w:ascii="標楷體" w:eastAsia="標楷體" w:hAnsi="標楷體" w:hint="eastAsia"/>
          <w:bCs/>
          <w:szCs w:val="32"/>
        </w:rPr>
        <w:t>3</w:t>
      </w:r>
      <w:proofErr w:type="gramEnd"/>
      <w:r w:rsidR="002D4020" w:rsidRPr="00DB08D2">
        <w:rPr>
          <w:rFonts w:ascii="標楷體" w:eastAsia="標楷體" w:hAnsi="標楷體" w:hint="eastAsia"/>
          <w:bCs/>
          <w:szCs w:val="32"/>
        </w:rPr>
        <w:t>年度（2021至2023年度）未達年度目標（表</w:t>
      </w:r>
      <w:r w:rsidR="005E6261" w:rsidRPr="00DB08D2">
        <w:rPr>
          <w:rFonts w:ascii="標楷體" w:eastAsia="標楷體" w:hAnsi="標楷體" w:hint="eastAsia"/>
          <w:bCs/>
          <w:szCs w:val="32"/>
        </w:rPr>
        <w:t>1</w:t>
      </w:r>
      <w:r w:rsidR="002D4020" w:rsidRPr="00DB08D2">
        <w:rPr>
          <w:rFonts w:ascii="標楷體" w:eastAsia="標楷體" w:hAnsi="標楷體" w:hint="eastAsia"/>
          <w:bCs/>
          <w:szCs w:val="32"/>
        </w:rPr>
        <w:t>），</w:t>
      </w:r>
    </w:p>
    <w:p w14:paraId="60C216B5" w14:textId="12337ABF" w:rsidR="00DB403E" w:rsidRDefault="00C57789" w:rsidP="00C57789">
      <w:pPr>
        <w:overflowPunct w:val="0"/>
        <w:adjustRightInd w:val="0"/>
        <w:snapToGrid w:val="0"/>
        <w:spacing w:line="420" w:lineRule="exact"/>
        <w:jc w:val="both"/>
        <w:rPr>
          <w:rFonts w:ascii="標楷體" w:eastAsia="標楷體" w:hAnsi="標楷體"/>
          <w:szCs w:val="32"/>
        </w:rPr>
      </w:pPr>
      <w:r w:rsidRPr="006524EF">
        <w:rPr>
          <w:rFonts w:ascii="標楷體" w:eastAsia="標楷體" w:hAnsi="標楷體" w:hint="eastAsia"/>
          <w:noProof/>
          <w:sz w:val="32"/>
          <w:szCs w:val="32"/>
        </w:rPr>
        <w:lastRenderedPageBreak/>
        <mc:AlternateContent>
          <mc:Choice Requires="wps">
            <w:drawing>
              <wp:anchor distT="0" distB="0" distL="114300" distR="114300" simplePos="0" relativeHeight="251648000" behindDoc="0" locked="0" layoutInCell="1" allowOverlap="1" wp14:anchorId="0B592E38" wp14:editId="42AA27BD">
                <wp:simplePos x="0" y="0"/>
                <wp:positionH relativeFrom="margin">
                  <wp:posOffset>4408805</wp:posOffset>
                </wp:positionH>
                <wp:positionV relativeFrom="paragraph">
                  <wp:posOffset>2550795</wp:posOffset>
                </wp:positionV>
                <wp:extent cx="1833880" cy="2144395"/>
                <wp:effectExtent l="0" t="0" r="0" b="0"/>
                <wp:wrapSquare wrapText="bothSides"/>
                <wp:docPr id="4" name="文字方塊 4"/>
                <wp:cNvGraphicFramePr/>
                <a:graphic xmlns:a="http://schemas.openxmlformats.org/drawingml/2006/main">
                  <a:graphicData uri="http://schemas.microsoft.com/office/word/2010/wordprocessingShape">
                    <wps:wsp>
                      <wps:cNvSpPr txBox="1"/>
                      <wps:spPr>
                        <a:xfrm>
                          <a:off x="0" y="0"/>
                          <a:ext cx="1833880" cy="2144395"/>
                        </a:xfrm>
                        <a:prstGeom prst="rect">
                          <a:avLst/>
                        </a:prstGeom>
                        <a:noFill/>
                        <a:ln w="6350">
                          <a:noFill/>
                        </a:ln>
                      </wps:spPr>
                      <wps:txbx>
                        <w:txbxContent>
                          <w:tbl>
                            <w:tblPr>
                              <w:tblStyle w:val="afff"/>
                              <w:tblW w:w="0" w:type="auto"/>
                              <w:jc w:val="center"/>
                              <w:tblLook w:val="04A0" w:firstRow="1" w:lastRow="0" w:firstColumn="1" w:lastColumn="0" w:noHBand="0" w:noVBand="1"/>
                            </w:tblPr>
                            <w:tblGrid>
                              <w:gridCol w:w="1276"/>
                              <w:gridCol w:w="1276"/>
                            </w:tblGrid>
                            <w:tr w:rsidR="002D4020" w:rsidRPr="007D188E" w14:paraId="0F60C7FC" w14:textId="77777777" w:rsidTr="00ED22DD">
                              <w:trPr>
                                <w:jc w:val="center"/>
                              </w:trPr>
                              <w:tc>
                                <w:tcPr>
                                  <w:tcW w:w="2552" w:type="dxa"/>
                                  <w:gridSpan w:val="2"/>
                                  <w:tcBorders>
                                    <w:top w:val="nil"/>
                                    <w:left w:val="nil"/>
                                    <w:right w:val="nil"/>
                                  </w:tcBorders>
                                </w:tcPr>
                                <w:p w14:paraId="42D7573C" w14:textId="7314FA7B" w:rsidR="002D4020" w:rsidRDefault="002D4020" w:rsidP="00DA3745">
                                  <w:pPr>
                                    <w:spacing w:line="240" w:lineRule="exact"/>
                                    <w:ind w:leftChars="-53" w:left="529" w:rightChars="-56" w:right="-134" w:hangingChars="273" w:hanging="656"/>
                                    <w:rPr>
                                      <w:rFonts w:ascii="標楷體" w:eastAsia="標楷體" w:hAnsi="標楷體"/>
                                      <w:b/>
                                      <w:color w:val="000000" w:themeColor="text1"/>
                                      <w:szCs w:val="24"/>
                                    </w:rPr>
                                  </w:pPr>
                                  <w:r w:rsidRPr="00B964D7">
                                    <w:rPr>
                                      <w:rFonts w:ascii="標楷體" w:eastAsia="標楷體" w:hAnsi="標楷體" w:hint="eastAsia"/>
                                      <w:b/>
                                      <w:color w:val="000000" w:themeColor="text1"/>
                                      <w:szCs w:val="24"/>
                                    </w:rPr>
                                    <w:t>表</w:t>
                                  </w:r>
                                  <w:r w:rsidR="005E6261">
                                    <w:rPr>
                                      <w:rFonts w:ascii="標楷體" w:eastAsia="標楷體" w:hAnsi="標楷體"/>
                                      <w:b/>
                                      <w:color w:val="000000" w:themeColor="text1"/>
                                      <w:szCs w:val="24"/>
                                    </w:rPr>
                                    <w:t>2</w:t>
                                  </w:r>
                                  <w:r w:rsidRPr="00B964D7">
                                    <w:rPr>
                                      <w:rFonts w:ascii="標楷體" w:eastAsia="標楷體" w:hAnsi="標楷體" w:hint="eastAsia"/>
                                      <w:b/>
                                      <w:color w:val="000000" w:themeColor="text1"/>
                                      <w:szCs w:val="24"/>
                                    </w:rPr>
                                    <w:t xml:space="preserve">　</w:t>
                                  </w:r>
                                  <w:r w:rsidRPr="00B964D7">
                                    <w:rPr>
                                      <w:rFonts w:ascii="標楷體" w:eastAsia="標楷體" w:hAnsi="標楷體"/>
                                      <w:b/>
                                      <w:color w:val="000000" w:themeColor="text1"/>
                                      <w:szCs w:val="24"/>
                                    </w:rPr>
                                    <w:t>年度檢討報告</w:t>
                                  </w:r>
                                  <w:r w:rsidR="00A73CA1">
                                    <w:rPr>
                                      <w:rFonts w:ascii="標楷體" w:eastAsia="標楷體" w:hAnsi="標楷體" w:hint="eastAsia"/>
                                      <w:b/>
                                      <w:color w:val="000000" w:themeColor="text1"/>
                                      <w:szCs w:val="24"/>
                                    </w:rPr>
                                    <w:t>內列對應指標</w:t>
                                  </w:r>
                                  <w:r w:rsidRPr="00B964D7">
                                    <w:rPr>
                                      <w:rFonts w:ascii="標楷體" w:eastAsia="標楷體" w:hAnsi="標楷體" w:hint="eastAsia"/>
                                      <w:b/>
                                      <w:color w:val="000000" w:themeColor="text1"/>
                                      <w:szCs w:val="24"/>
                                    </w:rPr>
                                    <w:t>未達</w:t>
                                  </w:r>
                                  <w:r w:rsidRPr="00B964D7">
                                    <w:rPr>
                                      <w:rFonts w:ascii="標楷體" w:eastAsia="標楷體" w:hAnsi="標楷體"/>
                                      <w:b/>
                                      <w:color w:val="000000" w:themeColor="text1"/>
                                      <w:szCs w:val="24"/>
                                    </w:rPr>
                                    <w:t>統計週期</w:t>
                                  </w:r>
                                  <w:r w:rsidRPr="00B964D7">
                                    <w:rPr>
                                      <w:rFonts w:ascii="標楷體" w:eastAsia="標楷體" w:hAnsi="標楷體" w:hint="eastAsia"/>
                                      <w:b/>
                                      <w:color w:val="000000" w:themeColor="text1"/>
                                      <w:szCs w:val="24"/>
                                    </w:rPr>
                                    <w:t>情形</w:t>
                                  </w:r>
                                </w:p>
                                <w:p w14:paraId="5A3A7329" w14:textId="77777777" w:rsidR="002D4020" w:rsidRPr="008F7322" w:rsidRDefault="002D4020" w:rsidP="008F7322">
                                  <w:pPr>
                                    <w:spacing w:line="240" w:lineRule="exact"/>
                                    <w:ind w:left="560" w:hangingChars="280" w:hanging="560"/>
                                    <w:jc w:val="right"/>
                                    <w:rPr>
                                      <w:rFonts w:ascii="標楷體" w:eastAsia="標楷體" w:hAnsi="標楷體"/>
                                      <w:color w:val="000000" w:themeColor="text1"/>
                                      <w:sz w:val="20"/>
                                    </w:rPr>
                                  </w:pPr>
                                  <w:r w:rsidRPr="008F7322">
                                    <w:rPr>
                                      <w:rFonts w:ascii="標楷體" w:eastAsia="標楷體" w:hAnsi="標楷體" w:hint="eastAsia"/>
                                      <w:color w:val="000000" w:themeColor="text1"/>
                                      <w:sz w:val="20"/>
                                    </w:rPr>
                                    <w:t>單位：項</w:t>
                                  </w:r>
                                </w:p>
                              </w:tc>
                            </w:tr>
                            <w:tr w:rsidR="002D4020" w:rsidRPr="007D188E" w14:paraId="6A715E5A" w14:textId="77777777" w:rsidTr="00A75B1D">
                              <w:trPr>
                                <w:jc w:val="center"/>
                              </w:trPr>
                              <w:tc>
                                <w:tcPr>
                                  <w:tcW w:w="1276" w:type="dxa"/>
                                </w:tcPr>
                                <w:p w14:paraId="0EE4CB18"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年度</w:t>
                                  </w:r>
                                </w:p>
                              </w:tc>
                              <w:tc>
                                <w:tcPr>
                                  <w:tcW w:w="1276" w:type="dxa"/>
                                </w:tcPr>
                                <w:p w14:paraId="7A500233"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項</w:t>
                                  </w:r>
                                  <w:r w:rsidRPr="00A11AC5">
                                    <w:rPr>
                                      <w:rFonts w:ascii="標楷體" w:eastAsia="標楷體" w:hAnsi="標楷體"/>
                                      <w:color w:val="000000" w:themeColor="text1"/>
                                      <w:sz w:val="20"/>
                                    </w:rPr>
                                    <w:t>數</w:t>
                                  </w:r>
                                </w:p>
                              </w:tc>
                            </w:tr>
                            <w:tr w:rsidR="002D4020" w:rsidRPr="007D188E" w14:paraId="20967006" w14:textId="77777777" w:rsidTr="00A75B1D">
                              <w:trPr>
                                <w:jc w:val="center"/>
                              </w:trPr>
                              <w:tc>
                                <w:tcPr>
                                  <w:tcW w:w="1276" w:type="dxa"/>
                                </w:tcPr>
                                <w:p w14:paraId="1A3D9E68"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019</w:t>
                                  </w:r>
                                </w:p>
                              </w:tc>
                              <w:tc>
                                <w:tcPr>
                                  <w:tcW w:w="1276" w:type="dxa"/>
                                  <w:tcBorders>
                                    <w:top w:val="nil"/>
                                    <w:left w:val="nil"/>
                                    <w:bottom w:val="single" w:sz="4" w:space="0" w:color="auto"/>
                                    <w:right w:val="single" w:sz="4" w:space="0" w:color="auto"/>
                                  </w:tcBorders>
                                  <w:shd w:val="clear" w:color="auto" w:fill="auto"/>
                                  <w:vAlign w:val="center"/>
                                </w:tcPr>
                                <w:p w14:paraId="48F2AAFC"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hint="eastAsia"/>
                                      <w:color w:val="000000" w:themeColor="text1"/>
                                      <w:sz w:val="20"/>
                                    </w:rPr>
                                    <w:t>44</w:t>
                                  </w:r>
                                </w:p>
                              </w:tc>
                            </w:tr>
                            <w:tr w:rsidR="002D4020" w:rsidRPr="007D188E" w14:paraId="1268FD8D" w14:textId="77777777" w:rsidTr="00A75B1D">
                              <w:trPr>
                                <w:jc w:val="center"/>
                              </w:trPr>
                              <w:tc>
                                <w:tcPr>
                                  <w:tcW w:w="1276" w:type="dxa"/>
                                </w:tcPr>
                                <w:p w14:paraId="46544DED"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020</w:t>
                                  </w:r>
                                </w:p>
                              </w:tc>
                              <w:tc>
                                <w:tcPr>
                                  <w:tcW w:w="1276" w:type="dxa"/>
                                  <w:tcBorders>
                                    <w:top w:val="nil"/>
                                    <w:left w:val="nil"/>
                                    <w:bottom w:val="single" w:sz="4" w:space="0" w:color="auto"/>
                                    <w:right w:val="single" w:sz="4" w:space="0" w:color="auto"/>
                                  </w:tcBorders>
                                  <w:shd w:val="clear" w:color="auto" w:fill="auto"/>
                                  <w:vAlign w:val="center"/>
                                </w:tcPr>
                                <w:p w14:paraId="2B3E5C55"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hint="eastAsia"/>
                                      <w:color w:val="000000" w:themeColor="text1"/>
                                      <w:sz w:val="20"/>
                                    </w:rPr>
                                    <w:t>49</w:t>
                                  </w:r>
                                </w:p>
                              </w:tc>
                            </w:tr>
                            <w:tr w:rsidR="002D4020" w:rsidRPr="007D188E" w14:paraId="36706B34" w14:textId="77777777" w:rsidTr="00A75B1D">
                              <w:trPr>
                                <w:jc w:val="center"/>
                              </w:trPr>
                              <w:tc>
                                <w:tcPr>
                                  <w:tcW w:w="1276" w:type="dxa"/>
                                </w:tcPr>
                                <w:p w14:paraId="60D3C770"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021</w:t>
                                  </w:r>
                                </w:p>
                              </w:tc>
                              <w:tc>
                                <w:tcPr>
                                  <w:tcW w:w="1276" w:type="dxa"/>
                                  <w:tcBorders>
                                    <w:top w:val="nil"/>
                                    <w:left w:val="nil"/>
                                    <w:bottom w:val="single" w:sz="4" w:space="0" w:color="000000"/>
                                    <w:right w:val="single" w:sz="4" w:space="0" w:color="auto"/>
                                  </w:tcBorders>
                                  <w:shd w:val="clear" w:color="auto" w:fill="auto"/>
                                  <w:vAlign w:val="center"/>
                                </w:tcPr>
                                <w:p w14:paraId="3796FCE3"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hint="eastAsia"/>
                                      <w:color w:val="000000" w:themeColor="text1"/>
                                      <w:sz w:val="20"/>
                                    </w:rPr>
                                    <w:t>39</w:t>
                                  </w:r>
                                </w:p>
                              </w:tc>
                            </w:tr>
                            <w:tr w:rsidR="002D4020" w:rsidRPr="007D188E" w14:paraId="274A018F" w14:textId="77777777" w:rsidTr="00A75B1D">
                              <w:trPr>
                                <w:jc w:val="center"/>
                              </w:trPr>
                              <w:tc>
                                <w:tcPr>
                                  <w:tcW w:w="1276" w:type="dxa"/>
                                </w:tcPr>
                                <w:p w14:paraId="11CD8276"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022</w:t>
                                  </w:r>
                                </w:p>
                              </w:tc>
                              <w:tc>
                                <w:tcPr>
                                  <w:tcW w:w="1276" w:type="dxa"/>
                                  <w:tcBorders>
                                    <w:top w:val="nil"/>
                                    <w:left w:val="nil"/>
                                    <w:bottom w:val="single" w:sz="4" w:space="0" w:color="000000"/>
                                    <w:right w:val="single" w:sz="4" w:space="0" w:color="auto"/>
                                  </w:tcBorders>
                                  <w:vAlign w:val="center"/>
                                </w:tcPr>
                                <w:p w14:paraId="141290CF"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3</w:t>
                                  </w:r>
                                  <w:r w:rsidRPr="00A11AC5">
                                    <w:rPr>
                                      <w:rFonts w:ascii="標楷體" w:eastAsia="標楷體" w:hAnsi="標楷體"/>
                                      <w:color w:val="000000" w:themeColor="text1"/>
                                      <w:sz w:val="20"/>
                                    </w:rPr>
                                    <w:t>7</w:t>
                                  </w:r>
                                </w:p>
                              </w:tc>
                            </w:tr>
                            <w:tr w:rsidR="002D4020" w:rsidRPr="007D188E" w14:paraId="7AABCBB7" w14:textId="77777777" w:rsidTr="00A75B1D">
                              <w:trPr>
                                <w:jc w:val="center"/>
                              </w:trPr>
                              <w:tc>
                                <w:tcPr>
                                  <w:tcW w:w="1276" w:type="dxa"/>
                                </w:tcPr>
                                <w:p w14:paraId="5D2A92CE"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023</w:t>
                                  </w:r>
                                </w:p>
                              </w:tc>
                              <w:tc>
                                <w:tcPr>
                                  <w:tcW w:w="1276" w:type="dxa"/>
                                  <w:tcBorders>
                                    <w:top w:val="nil"/>
                                    <w:left w:val="nil"/>
                                    <w:bottom w:val="single" w:sz="4" w:space="0" w:color="auto"/>
                                    <w:right w:val="single" w:sz="4" w:space="0" w:color="auto"/>
                                  </w:tcBorders>
                                  <w:shd w:val="clear" w:color="auto" w:fill="auto"/>
                                  <w:vAlign w:val="center"/>
                                </w:tcPr>
                                <w:p w14:paraId="454ECA18"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color w:val="000000" w:themeColor="text1"/>
                                      <w:sz w:val="20"/>
                                    </w:rPr>
                                    <w:t>19</w:t>
                                  </w:r>
                                </w:p>
                              </w:tc>
                            </w:tr>
                            <w:tr w:rsidR="002D4020" w:rsidRPr="007D188E" w14:paraId="0FE8350E" w14:textId="77777777" w:rsidTr="00ED22DD">
                              <w:trPr>
                                <w:jc w:val="center"/>
                              </w:trPr>
                              <w:tc>
                                <w:tcPr>
                                  <w:tcW w:w="2552" w:type="dxa"/>
                                  <w:gridSpan w:val="2"/>
                                  <w:tcBorders>
                                    <w:left w:val="nil"/>
                                    <w:bottom w:val="nil"/>
                                    <w:right w:val="nil"/>
                                  </w:tcBorders>
                                </w:tcPr>
                                <w:p w14:paraId="2BB312E2" w14:textId="77777777" w:rsidR="002D4020" w:rsidRPr="00A11AC5" w:rsidRDefault="002D4020" w:rsidP="00ED22DD">
                                  <w:pPr>
                                    <w:spacing w:line="240" w:lineRule="exact"/>
                                    <w:ind w:leftChars="-31" w:left="736" w:hangingChars="450" w:hanging="810"/>
                                    <w:jc w:val="both"/>
                                    <w:rPr>
                                      <w:rFonts w:ascii="標楷體" w:eastAsia="標楷體" w:hAnsi="標楷體" w:cs="新細明體"/>
                                      <w:color w:val="000000" w:themeColor="text1"/>
                                      <w:sz w:val="18"/>
                                      <w:szCs w:val="18"/>
                                    </w:rPr>
                                  </w:pPr>
                                  <w:r w:rsidRPr="00A11AC5">
                                    <w:rPr>
                                      <w:rFonts w:ascii="標楷體" w:eastAsia="標楷體" w:hAnsi="標楷體" w:hint="eastAsia"/>
                                      <w:color w:val="000000" w:themeColor="text1"/>
                                      <w:sz w:val="18"/>
                                      <w:szCs w:val="18"/>
                                    </w:rPr>
                                    <w:t>資料來源</w:t>
                                  </w:r>
                                  <w:r w:rsidRPr="00A11AC5">
                                    <w:rPr>
                                      <w:rFonts w:ascii="微軟正黑體" w:eastAsia="微軟正黑體" w:hAnsi="微軟正黑體" w:hint="eastAsia"/>
                                      <w:color w:val="000000" w:themeColor="text1"/>
                                      <w:sz w:val="18"/>
                                      <w:szCs w:val="18"/>
                                    </w:rPr>
                                    <w:t>：</w:t>
                                  </w:r>
                                  <w:r w:rsidRPr="00A11AC5">
                                    <w:rPr>
                                      <w:rFonts w:ascii="標楷體" w:eastAsia="標楷體" w:hAnsi="標楷體" w:hint="eastAsia"/>
                                      <w:color w:val="000000" w:themeColor="text1"/>
                                      <w:sz w:val="18"/>
                                      <w:szCs w:val="18"/>
                                    </w:rPr>
                                    <w:t>整理自</w:t>
                                  </w:r>
                                  <w:r w:rsidRPr="00A11AC5">
                                    <w:rPr>
                                      <w:rFonts w:ascii="標楷體" w:eastAsia="標楷體" w:hAnsi="標楷體"/>
                                      <w:color w:val="000000" w:themeColor="text1"/>
                                      <w:sz w:val="18"/>
                                      <w:szCs w:val="18"/>
                                    </w:rPr>
                                    <w:t>2019</w:t>
                                  </w:r>
                                  <w:r w:rsidRPr="00A11AC5">
                                    <w:rPr>
                                      <w:rFonts w:ascii="標楷體" w:eastAsia="標楷體" w:hAnsi="標楷體" w:hint="eastAsia"/>
                                      <w:color w:val="000000" w:themeColor="text1"/>
                                      <w:sz w:val="18"/>
                                      <w:szCs w:val="18"/>
                                    </w:rPr>
                                    <w:t>至2023年度</w:t>
                                  </w:r>
                                  <w:r w:rsidRPr="00FC0E4C">
                                    <w:rPr>
                                      <w:rFonts w:ascii="標楷體" w:eastAsia="標楷體" w:hAnsi="標楷體" w:hint="eastAsia"/>
                                      <w:color w:val="000000" w:themeColor="text1"/>
                                      <w:sz w:val="18"/>
                                      <w:szCs w:val="18"/>
                                    </w:rPr>
                                    <w:t>臺灣永續發展目標</w:t>
                                  </w:r>
                                  <w:r w:rsidRPr="00A11AC5">
                                    <w:rPr>
                                      <w:rFonts w:ascii="標楷體" w:eastAsia="標楷體" w:hAnsi="標楷體" w:hint="eastAsia"/>
                                      <w:color w:val="000000" w:themeColor="text1"/>
                                      <w:sz w:val="18"/>
                                      <w:szCs w:val="18"/>
                                    </w:rPr>
                                    <w:t>檢討報告。</w:t>
                                  </w:r>
                                </w:p>
                              </w:tc>
                            </w:tr>
                          </w:tbl>
                          <w:p w14:paraId="5A482277" w14:textId="77777777" w:rsidR="002D4020" w:rsidRPr="007D188E" w:rsidRDefault="002D4020" w:rsidP="002D4020">
                            <w:pPr>
                              <w:ind w:left="721" w:hangingChars="300" w:hanging="721"/>
                              <w:rPr>
                                <w:rFonts w:ascii="標楷體" w:eastAsia="標楷體" w:hAnsi="標楷體"/>
                                <w:b/>
                                <w:color w:val="000000" w:themeColor="text1"/>
                                <w:szCs w:val="24"/>
                              </w:rPr>
                            </w:pPr>
                          </w:p>
                          <w:p w14:paraId="1C5F1AE8" w14:textId="77777777" w:rsidR="002D4020" w:rsidRPr="007D188E" w:rsidRDefault="002D4020" w:rsidP="002D4020">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92E38" id="文字方塊 4" o:spid="_x0000_s1027" type="#_x0000_t202" style="position:absolute;left:0;text-align:left;margin-left:347.15pt;margin-top:200.85pt;width:144.4pt;height:168.8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" filled="f" stroked="f" strokeweight=".5pt">
                <v:textbox>
                  <w:txbxContent>
                    <w:tbl>
                      <w:tblPr>
                        <w:tblStyle w:val="afff"/>
                        <w:tblW w:w="0" w:type="auto"/>
                        <w:jc w:val="center"/>
                        <w:tblLook w:val="04A0" w:firstRow="1" w:lastRow="0" w:firstColumn="1" w:lastColumn="0" w:noHBand="0" w:noVBand="1"/>
                      </w:tblPr>
                      <w:tblGrid>
                        <w:gridCol w:w="1276"/>
                        <w:gridCol w:w="1276"/>
                      </w:tblGrid>
                      <w:tr w:rsidR="002D4020" w:rsidRPr="007D188E" w14:paraId="0F60C7FC" w14:textId="77777777" w:rsidTr="00ED22DD">
                        <w:trPr>
                          <w:jc w:val="center"/>
                        </w:trPr>
                        <w:tc>
                          <w:tcPr>
                            <w:tcW w:w="2552" w:type="dxa"/>
                            <w:gridSpan w:val="2"/>
                            <w:tcBorders>
                              <w:top w:val="nil"/>
                              <w:left w:val="nil"/>
                              <w:right w:val="nil"/>
                            </w:tcBorders>
                          </w:tcPr>
                          <w:p w14:paraId="42D7573C" w14:textId="7314FA7B" w:rsidR="002D4020" w:rsidRDefault="002D4020" w:rsidP="00DA3745">
                            <w:pPr>
                              <w:spacing w:line="240" w:lineRule="exact"/>
                              <w:ind w:leftChars="-53" w:left="529" w:rightChars="-56" w:right="-134" w:hangingChars="273" w:hanging="656"/>
                              <w:rPr>
                                <w:rFonts w:ascii="標楷體" w:eastAsia="標楷體" w:hAnsi="標楷體"/>
                                <w:b/>
                                <w:color w:val="000000" w:themeColor="text1"/>
                                <w:szCs w:val="24"/>
                              </w:rPr>
                            </w:pPr>
                            <w:r w:rsidRPr="00B964D7">
                              <w:rPr>
                                <w:rFonts w:ascii="標楷體" w:eastAsia="標楷體" w:hAnsi="標楷體" w:hint="eastAsia"/>
                                <w:b/>
                                <w:color w:val="000000" w:themeColor="text1"/>
                                <w:szCs w:val="24"/>
                              </w:rPr>
                              <w:t>表</w:t>
                            </w:r>
                            <w:r w:rsidR="005E6261">
                              <w:rPr>
                                <w:rFonts w:ascii="標楷體" w:eastAsia="標楷體" w:hAnsi="標楷體"/>
                                <w:b/>
                                <w:color w:val="000000" w:themeColor="text1"/>
                                <w:szCs w:val="24"/>
                              </w:rPr>
                              <w:t>2</w:t>
                            </w:r>
                            <w:r w:rsidRPr="00B964D7">
                              <w:rPr>
                                <w:rFonts w:ascii="標楷體" w:eastAsia="標楷體" w:hAnsi="標楷體" w:hint="eastAsia"/>
                                <w:b/>
                                <w:color w:val="000000" w:themeColor="text1"/>
                                <w:szCs w:val="24"/>
                              </w:rPr>
                              <w:t xml:space="preserve">　</w:t>
                            </w:r>
                            <w:r w:rsidRPr="00B964D7">
                              <w:rPr>
                                <w:rFonts w:ascii="標楷體" w:eastAsia="標楷體" w:hAnsi="標楷體"/>
                                <w:b/>
                                <w:color w:val="000000" w:themeColor="text1"/>
                                <w:szCs w:val="24"/>
                              </w:rPr>
                              <w:t>年度檢討報告</w:t>
                            </w:r>
                            <w:r w:rsidR="00A73CA1">
                              <w:rPr>
                                <w:rFonts w:ascii="標楷體" w:eastAsia="標楷體" w:hAnsi="標楷體" w:hint="eastAsia"/>
                                <w:b/>
                                <w:color w:val="000000" w:themeColor="text1"/>
                                <w:szCs w:val="24"/>
                              </w:rPr>
                              <w:t>內列對應指標</w:t>
                            </w:r>
                            <w:r w:rsidRPr="00B964D7">
                              <w:rPr>
                                <w:rFonts w:ascii="標楷體" w:eastAsia="標楷體" w:hAnsi="標楷體" w:hint="eastAsia"/>
                                <w:b/>
                                <w:color w:val="000000" w:themeColor="text1"/>
                                <w:szCs w:val="24"/>
                              </w:rPr>
                              <w:t>未達</w:t>
                            </w:r>
                            <w:r w:rsidRPr="00B964D7">
                              <w:rPr>
                                <w:rFonts w:ascii="標楷體" w:eastAsia="標楷體" w:hAnsi="標楷體"/>
                                <w:b/>
                                <w:color w:val="000000" w:themeColor="text1"/>
                                <w:szCs w:val="24"/>
                              </w:rPr>
                              <w:t>統計週期</w:t>
                            </w:r>
                            <w:r w:rsidRPr="00B964D7">
                              <w:rPr>
                                <w:rFonts w:ascii="標楷體" w:eastAsia="標楷體" w:hAnsi="標楷體" w:hint="eastAsia"/>
                                <w:b/>
                                <w:color w:val="000000" w:themeColor="text1"/>
                                <w:szCs w:val="24"/>
                              </w:rPr>
                              <w:t>情形</w:t>
                            </w:r>
                          </w:p>
                          <w:p w14:paraId="5A3A7329" w14:textId="77777777" w:rsidR="002D4020" w:rsidRPr="008F7322" w:rsidRDefault="002D4020" w:rsidP="008F7322">
                            <w:pPr>
                              <w:spacing w:line="240" w:lineRule="exact"/>
                              <w:ind w:left="560" w:hangingChars="280" w:hanging="560"/>
                              <w:jc w:val="right"/>
                              <w:rPr>
                                <w:rFonts w:ascii="標楷體" w:eastAsia="標楷體" w:hAnsi="標楷體"/>
                                <w:color w:val="000000" w:themeColor="text1"/>
                                <w:sz w:val="20"/>
                              </w:rPr>
                            </w:pPr>
                            <w:r w:rsidRPr="008F7322">
                              <w:rPr>
                                <w:rFonts w:ascii="標楷體" w:eastAsia="標楷體" w:hAnsi="標楷體" w:hint="eastAsia"/>
                                <w:color w:val="000000" w:themeColor="text1"/>
                                <w:sz w:val="20"/>
                              </w:rPr>
                              <w:t>單位：項</w:t>
                            </w:r>
                          </w:p>
                        </w:tc>
                      </w:tr>
                      <w:tr w:rsidR="002D4020" w:rsidRPr="007D188E" w14:paraId="6A715E5A" w14:textId="77777777" w:rsidTr="00A75B1D">
                        <w:trPr>
                          <w:jc w:val="center"/>
                        </w:trPr>
                        <w:tc>
                          <w:tcPr>
                            <w:tcW w:w="1276" w:type="dxa"/>
                          </w:tcPr>
                          <w:p w14:paraId="0EE4CB18"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年度</w:t>
                            </w:r>
                          </w:p>
                        </w:tc>
                        <w:tc>
                          <w:tcPr>
                            <w:tcW w:w="1276" w:type="dxa"/>
                          </w:tcPr>
                          <w:p w14:paraId="7A500233"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項</w:t>
                            </w:r>
                            <w:r w:rsidRPr="00A11AC5">
                              <w:rPr>
                                <w:rFonts w:ascii="標楷體" w:eastAsia="標楷體" w:hAnsi="標楷體"/>
                                <w:color w:val="000000" w:themeColor="text1"/>
                                <w:sz w:val="20"/>
                              </w:rPr>
                              <w:t>數</w:t>
                            </w:r>
                          </w:p>
                        </w:tc>
                      </w:tr>
                      <w:tr w:rsidR="002D4020" w:rsidRPr="007D188E" w14:paraId="20967006" w14:textId="77777777" w:rsidTr="00A75B1D">
                        <w:trPr>
                          <w:jc w:val="center"/>
                        </w:trPr>
                        <w:tc>
                          <w:tcPr>
                            <w:tcW w:w="1276" w:type="dxa"/>
                          </w:tcPr>
                          <w:p w14:paraId="1A3D9E68"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019</w:t>
                            </w:r>
                          </w:p>
                        </w:tc>
                        <w:tc>
                          <w:tcPr>
                            <w:tcW w:w="1276" w:type="dxa"/>
                            <w:tcBorders>
                              <w:top w:val="nil"/>
                              <w:left w:val="nil"/>
                              <w:bottom w:val="single" w:sz="4" w:space="0" w:color="auto"/>
                              <w:right w:val="single" w:sz="4" w:space="0" w:color="auto"/>
                            </w:tcBorders>
                            <w:shd w:val="clear" w:color="auto" w:fill="auto"/>
                            <w:vAlign w:val="center"/>
                          </w:tcPr>
                          <w:p w14:paraId="48F2AAFC"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hint="eastAsia"/>
                                <w:color w:val="000000" w:themeColor="text1"/>
                                <w:sz w:val="20"/>
                              </w:rPr>
                              <w:t>44</w:t>
                            </w:r>
                          </w:p>
                        </w:tc>
                      </w:tr>
                      <w:tr w:rsidR="002D4020" w:rsidRPr="007D188E" w14:paraId="1268FD8D" w14:textId="77777777" w:rsidTr="00A75B1D">
                        <w:trPr>
                          <w:jc w:val="center"/>
                        </w:trPr>
                        <w:tc>
                          <w:tcPr>
                            <w:tcW w:w="1276" w:type="dxa"/>
                          </w:tcPr>
                          <w:p w14:paraId="46544DED"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020</w:t>
                            </w:r>
                          </w:p>
                        </w:tc>
                        <w:tc>
                          <w:tcPr>
                            <w:tcW w:w="1276" w:type="dxa"/>
                            <w:tcBorders>
                              <w:top w:val="nil"/>
                              <w:left w:val="nil"/>
                              <w:bottom w:val="single" w:sz="4" w:space="0" w:color="auto"/>
                              <w:right w:val="single" w:sz="4" w:space="0" w:color="auto"/>
                            </w:tcBorders>
                            <w:shd w:val="clear" w:color="auto" w:fill="auto"/>
                            <w:vAlign w:val="center"/>
                          </w:tcPr>
                          <w:p w14:paraId="2B3E5C55"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hint="eastAsia"/>
                                <w:color w:val="000000" w:themeColor="text1"/>
                                <w:sz w:val="20"/>
                              </w:rPr>
                              <w:t>49</w:t>
                            </w:r>
                          </w:p>
                        </w:tc>
                      </w:tr>
                      <w:tr w:rsidR="002D4020" w:rsidRPr="007D188E" w14:paraId="36706B34" w14:textId="77777777" w:rsidTr="00A75B1D">
                        <w:trPr>
                          <w:jc w:val="center"/>
                        </w:trPr>
                        <w:tc>
                          <w:tcPr>
                            <w:tcW w:w="1276" w:type="dxa"/>
                          </w:tcPr>
                          <w:p w14:paraId="60D3C770"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021</w:t>
                            </w:r>
                          </w:p>
                        </w:tc>
                        <w:tc>
                          <w:tcPr>
                            <w:tcW w:w="1276" w:type="dxa"/>
                            <w:tcBorders>
                              <w:top w:val="nil"/>
                              <w:left w:val="nil"/>
                              <w:bottom w:val="single" w:sz="4" w:space="0" w:color="000000"/>
                              <w:right w:val="single" w:sz="4" w:space="0" w:color="auto"/>
                            </w:tcBorders>
                            <w:shd w:val="clear" w:color="auto" w:fill="auto"/>
                            <w:vAlign w:val="center"/>
                          </w:tcPr>
                          <w:p w14:paraId="3796FCE3"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hint="eastAsia"/>
                                <w:color w:val="000000" w:themeColor="text1"/>
                                <w:sz w:val="20"/>
                              </w:rPr>
                              <w:t>39</w:t>
                            </w:r>
                          </w:p>
                        </w:tc>
                      </w:tr>
                      <w:tr w:rsidR="002D4020" w:rsidRPr="007D188E" w14:paraId="274A018F" w14:textId="77777777" w:rsidTr="00A75B1D">
                        <w:trPr>
                          <w:jc w:val="center"/>
                        </w:trPr>
                        <w:tc>
                          <w:tcPr>
                            <w:tcW w:w="1276" w:type="dxa"/>
                          </w:tcPr>
                          <w:p w14:paraId="11CD8276"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022</w:t>
                            </w:r>
                          </w:p>
                        </w:tc>
                        <w:tc>
                          <w:tcPr>
                            <w:tcW w:w="1276" w:type="dxa"/>
                            <w:tcBorders>
                              <w:top w:val="nil"/>
                              <w:left w:val="nil"/>
                              <w:bottom w:val="single" w:sz="4" w:space="0" w:color="000000"/>
                              <w:right w:val="single" w:sz="4" w:space="0" w:color="auto"/>
                            </w:tcBorders>
                            <w:vAlign w:val="center"/>
                          </w:tcPr>
                          <w:p w14:paraId="141290CF"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3</w:t>
                            </w:r>
                            <w:r w:rsidRPr="00A11AC5">
                              <w:rPr>
                                <w:rFonts w:ascii="標楷體" w:eastAsia="標楷體" w:hAnsi="標楷體"/>
                                <w:color w:val="000000" w:themeColor="text1"/>
                                <w:sz w:val="20"/>
                              </w:rPr>
                              <w:t>7</w:t>
                            </w:r>
                          </w:p>
                        </w:tc>
                      </w:tr>
                      <w:tr w:rsidR="002D4020" w:rsidRPr="007D188E" w14:paraId="7AABCBB7" w14:textId="77777777" w:rsidTr="00A75B1D">
                        <w:trPr>
                          <w:jc w:val="center"/>
                        </w:trPr>
                        <w:tc>
                          <w:tcPr>
                            <w:tcW w:w="1276" w:type="dxa"/>
                          </w:tcPr>
                          <w:p w14:paraId="5D2A92CE"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hint="eastAsia"/>
                                <w:color w:val="000000" w:themeColor="text1"/>
                                <w:sz w:val="20"/>
                              </w:rPr>
                              <w:t>2</w:t>
                            </w:r>
                            <w:r w:rsidRPr="00A11AC5">
                              <w:rPr>
                                <w:rFonts w:ascii="標楷體" w:eastAsia="標楷體" w:hAnsi="標楷體"/>
                                <w:color w:val="000000" w:themeColor="text1"/>
                                <w:sz w:val="20"/>
                              </w:rPr>
                              <w:t>023</w:t>
                            </w:r>
                          </w:p>
                        </w:tc>
                        <w:tc>
                          <w:tcPr>
                            <w:tcW w:w="1276" w:type="dxa"/>
                            <w:tcBorders>
                              <w:top w:val="nil"/>
                              <w:left w:val="nil"/>
                              <w:bottom w:val="single" w:sz="4" w:space="0" w:color="auto"/>
                              <w:right w:val="single" w:sz="4" w:space="0" w:color="auto"/>
                            </w:tcBorders>
                            <w:shd w:val="clear" w:color="auto" w:fill="auto"/>
                            <w:vAlign w:val="center"/>
                          </w:tcPr>
                          <w:p w14:paraId="454ECA18" w14:textId="77777777" w:rsidR="002D4020" w:rsidRPr="00A11AC5" w:rsidRDefault="002D4020" w:rsidP="00A11AC5">
                            <w:pPr>
                              <w:spacing w:line="240" w:lineRule="exact"/>
                              <w:jc w:val="center"/>
                              <w:rPr>
                                <w:rFonts w:ascii="標楷體" w:eastAsia="標楷體" w:hAnsi="標楷體"/>
                                <w:color w:val="000000" w:themeColor="text1"/>
                                <w:sz w:val="20"/>
                              </w:rPr>
                            </w:pPr>
                            <w:r w:rsidRPr="00A11AC5">
                              <w:rPr>
                                <w:rFonts w:ascii="標楷體" w:eastAsia="標楷體" w:hAnsi="標楷體" w:cs="新細明體"/>
                                <w:color w:val="000000" w:themeColor="text1"/>
                                <w:sz w:val="20"/>
                              </w:rPr>
                              <w:t>19</w:t>
                            </w:r>
                          </w:p>
                        </w:tc>
                      </w:tr>
                      <w:tr w:rsidR="002D4020" w:rsidRPr="007D188E" w14:paraId="0FE8350E" w14:textId="77777777" w:rsidTr="00ED22DD">
                        <w:trPr>
                          <w:jc w:val="center"/>
                        </w:trPr>
                        <w:tc>
                          <w:tcPr>
                            <w:tcW w:w="2552" w:type="dxa"/>
                            <w:gridSpan w:val="2"/>
                            <w:tcBorders>
                              <w:left w:val="nil"/>
                              <w:bottom w:val="nil"/>
                              <w:right w:val="nil"/>
                            </w:tcBorders>
                          </w:tcPr>
                          <w:p w14:paraId="2BB312E2" w14:textId="77777777" w:rsidR="002D4020" w:rsidRPr="00A11AC5" w:rsidRDefault="002D4020" w:rsidP="00ED22DD">
                            <w:pPr>
                              <w:spacing w:line="240" w:lineRule="exact"/>
                              <w:ind w:leftChars="-31" w:left="736" w:hangingChars="450" w:hanging="810"/>
                              <w:jc w:val="both"/>
                              <w:rPr>
                                <w:rFonts w:ascii="標楷體" w:eastAsia="標楷體" w:hAnsi="標楷體" w:cs="新細明體"/>
                                <w:color w:val="000000" w:themeColor="text1"/>
                                <w:sz w:val="18"/>
                                <w:szCs w:val="18"/>
                              </w:rPr>
                            </w:pPr>
                            <w:r w:rsidRPr="00A11AC5">
                              <w:rPr>
                                <w:rFonts w:ascii="標楷體" w:eastAsia="標楷體" w:hAnsi="標楷體" w:hint="eastAsia"/>
                                <w:color w:val="000000" w:themeColor="text1"/>
                                <w:sz w:val="18"/>
                                <w:szCs w:val="18"/>
                              </w:rPr>
                              <w:t>資料來源</w:t>
                            </w:r>
                            <w:r w:rsidRPr="00A11AC5">
                              <w:rPr>
                                <w:rFonts w:ascii="微軟正黑體" w:eastAsia="微軟正黑體" w:hAnsi="微軟正黑體" w:hint="eastAsia"/>
                                <w:color w:val="000000" w:themeColor="text1"/>
                                <w:sz w:val="18"/>
                                <w:szCs w:val="18"/>
                              </w:rPr>
                              <w:t>：</w:t>
                            </w:r>
                            <w:r w:rsidRPr="00A11AC5">
                              <w:rPr>
                                <w:rFonts w:ascii="標楷體" w:eastAsia="標楷體" w:hAnsi="標楷體" w:hint="eastAsia"/>
                                <w:color w:val="000000" w:themeColor="text1"/>
                                <w:sz w:val="18"/>
                                <w:szCs w:val="18"/>
                              </w:rPr>
                              <w:t>整理自</w:t>
                            </w:r>
                            <w:r w:rsidRPr="00A11AC5">
                              <w:rPr>
                                <w:rFonts w:ascii="標楷體" w:eastAsia="標楷體" w:hAnsi="標楷體"/>
                                <w:color w:val="000000" w:themeColor="text1"/>
                                <w:sz w:val="18"/>
                                <w:szCs w:val="18"/>
                              </w:rPr>
                              <w:t>2019</w:t>
                            </w:r>
                            <w:r w:rsidRPr="00A11AC5">
                              <w:rPr>
                                <w:rFonts w:ascii="標楷體" w:eastAsia="標楷體" w:hAnsi="標楷體" w:hint="eastAsia"/>
                                <w:color w:val="000000" w:themeColor="text1"/>
                                <w:sz w:val="18"/>
                                <w:szCs w:val="18"/>
                              </w:rPr>
                              <w:t>至2023年度</w:t>
                            </w:r>
                            <w:r w:rsidRPr="00FC0E4C">
                              <w:rPr>
                                <w:rFonts w:ascii="標楷體" w:eastAsia="標楷體" w:hAnsi="標楷體" w:hint="eastAsia"/>
                                <w:color w:val="000000" w:themeColor="text1"/>
                                <w:sz w:val="18"/>
                                <w:szCs w:val="18"/>
                              </w:rPr>
                              <w:t>臺灣永續發展目標</w:t>
                            </w:r>
                            <w:r w:rsidRPr="00A11AC5">
                              <w:rPr>
                                <w:rFonts w:ascii="標楷體" w:eastAsia="標楷體" w:hAnsi="標楷體" w:hint="eastAsia"/>
                                <w:color w:val="000000" w:themeColor="text1"/>
                                <w:sz w:val="18"/>
                                <w:szCs w:val="18"/>
                              </w:rPr>
                              <w:t>檢討報告。</w:t>
                            </w:r>
                          </w:p>
                        </w:tc>
                      </w:tr>
                    </w:tbl>
                    <w:p w14:paraId="5A482277" w14:textId="77777777" w:rsidR="002D4020" w:rsidRPr="007D188E" w:rsidRDefault="002D4020" w:rsidP="002D4020">
                      <w:pPr>
                        <w:ind w:left="721" w:hangingChars="300" w:hanging="721"/>
                        <w:rPr>
                          <w:rFonts w:ascii="標楷體" w:eastAsia="標楷體" w:hAnsi="標楷體"/>
                          <w:b/>
                          <w:color w:val="000000" w:themeColor="text1"/>
                          <w:szCs w:val="24"/>
                        </w:rPr>
                      </w:pPr>
                    </w:p>
                    <w:p w14:paraId="1C5F1AE8" w14:textId="77777777" w:rsidR="002D4020" w:rsidRPr="007D188E" w:rsidRDefault="002D4020" w:rsidP="002D4020">
                      <w:pPr>
                        <w:rPr>
                          <w:color w:val="000000" w:themeColor="text1"/>
                        </w:rPr>
                      </w:pPr>
                    </w:p>
                  </w:txbxContent>
                </v:textbox>
                <w10:wrap type="square" anchorx="margin"/>
              </v:shape>
            </w:pict>
          </mc:Fallback>
        </mc:AlternateContent>
      </w:r>
      <w:r w:rsidR="002D4020" w:rsidRPr="007C0377">
        <w:rPr>
          <w:rFonts w:ascii="標楷體" w:eastAsia="標楷體" w:hAnsi="標楷體" w:hint="eastAsia"/>
          <w:bCs/>
          <w:szCs w:val="32"/>
        </w:rPr>
        <w:t>顯示部分對應指標有連年執行落後情形；（2）依據</w:t>
      </w:r>
      <w:r w:rsidR="002D4020" w:rsidRPr="00594090">
        <w:rPr>
          <w:rFonts w:ascii="標楷體" w:eastAsia="標楷體" w:hAnsi="標楷體" w:hint="eastAsia"/>
          <w:bCs/>
          <w:szCs w:val="32"/>
        </w:rPr>
        <w:t>臺灣永續發展目標追蹤管考作業準則五（二）3規定：「永續會秘書處：應於每年下半年彙總前一年度辦理情形及檢討報告，</w:t>
      </w:r>
      <w:proofErr w:type="gramStart"/>
      <w:r w:rsidR="002D4020" w:rsidRPr="00594090">
        <w:rPr>
          <w:rFonts w:ascii="標楷體" w:eastAsia="標楷體" w:hAnsi="標楷體" w:hint="eastAsia"/>
          <w:bCs/>
          <w:szCs w:val="32"/>
        </w:rPr>
        <w:t>研</w:t>
      </w:r>
      <w:proofErr w:type="gramEnd"/>
      <w:r w:rsidR="002D4020" w:rsidRPr="00594090">
        <w:rPr>
          <w:rFonts w:ascii="標楷體" w:eastAsia="標楷體" w:hAnsi="標楷體" w:hint="eastAsia"/>
          <w:bCs/>
          <w:szCs w:val="32"/>
        </w:rPr>
        <w:t>提總檢討報告，提報貴會工作會議，經永續會委員審查後，</w:t>
      </w:r>
      <w:proofErr w:type="gramStart"/>
      <w:r w:rsidR="002D4020" w:rsidRPr="00594090">
        <w:rPr>
          <w:rFonts w:ascii="標楷體" w:eastAsia="標楷體" w:hAnsi="標楷體" w:hint="eastAsia"/>
          <w:bCs/>
          <w:szCs w:val="32"/>
        </w:rPr>
        <w:t>陳報永續會</w:t>
      </w:r>
      <w:proofErr w:type="gramEnd"/>
      <w:r w:rsidR="002D4020" w:rsidRPr="00594090">
        <w:rPr>
          <w:rFonts w:ascii="標楷體" w:eastAsia="標楷體" w:hAnsi="標楷體" w:hint="eastAsia"/>
          <w:bCs/>
          <w:szCs w:val="32"/>
        </w:rPr>
        <w:t>執行長核定後發布。」</w:t>
      </w:r>
      <w:r w:rsidR="002D4020">
        <w:rPr>
          <w:rFonts w:ascii="標楷體" w:eastAsia="標楷體" w:hAnsi="標楷體" w:hint="eastAsia"/>
          <w:bCs/>
          <w:szCs w:val="32"/>
        </w:rPr>
        <w:t>同作業準則</w:t>
      </w:r>
      <w:r w:rsidR="002D4020" w:rsidRPr="00594090">
        <w:rPr>
          <w:rFonts w:ascii="標楷體" w:eastAsia="標楷體" w:hAnsi="標楷體" w:hint="eastAsia"/>
          <w:bCs/>
          <w:szCs w:val="32"/>
        </w:rPr>
        <w:t>八（一）規定：「由永續會秘書處建置『台灣永續發展目標追蹤管理資訊系統』，並將每年度指標執行情形發布於『行政院國家永續發展委員會全球資訊網』供民眾查閱。」經查，截至113年底止，</w:t>
      </w:r>
      <w:r w:rsidR="002D4020">
        <w:rPr>
          <w:rFonts w:ascii="標楷體" w:eastAsia="標楷體" w:hAnsi="標楷體" w:hint="eastAsia"/>
          <w:bCs/>
          <w:szCs w:val="32"/>
        </w:rPr>
        <w:t>永續</w:t>
      </w:r>
      <w:r w:rsidR="002D4020" w:rsidRPr="00594090">
        <w:rPr>
          <w:rFonts w:ascii="標楷體" w:eastAsia="標楷體" w:hAnsi="標楷體" w:hint="eastAsia"/>
          <w:bCs/>
          <w:szCs w:val="32"/>
        </w:rPr>
        <w:t>會發布</w:t>
      </w:r>
      <w:r w:rsidR="002D4020">
        <w:rPr>
          <w:rFonts w:ascii="標楷體" w:eastAsia="標楷體" w:hAnsi="標楷體" w:hint="eastAsia"/>
          <w:bCs/>
          <w:szCs w:val="32"/>
        </w:rPr>
        <w:t>之</w:t>
      </w:r>
      <w:r w:rsidR="002D4020" w:rsidRPr="00594090">
        <w:rPr>
          <w:rFonts w:ascii="標楷體" w:eastAsia="標楷體" w:hAnsi="標楷體" w:hint="eastAsia"/>
          <w:bCs/>
          <w:szCs w:val="32"/>
        </w:rPr>
        <w:t>5份年度檢討報告，除2019及2020年度檢討報告分別於109年6月及110年8月發布外，其餘2021至2023年度檢討報告分別於111年12月、112年12月及113年12月發布，據</w:t>
      </w:r>
      <w:r w:rsidR="002D4020">
        <w:rPr>
          <w:rFonts w:ascii="標楷體" w:eastAsia="標楷體" w:hAnsi="標楷體" w:hint="eastAsia"/>
          <w:bCs/>
          <w:szCs w:val="32"/>
        </w:rPr>
        <w:t>永續</w:t>
      </w:r>
      <w:r w:rsidR="002D4020" w:rsidRPr="00594090">
        <w:rPr>
          <w:rFonts w:ascii="標楷體" w:eastAsia="標楷體" w:hAnsi="標楷體" w:hint="eastAsia"/>
          <w:bCs/>
          <w:szCs w:val="32"/>
        </w:rPr>
        <w:t>會說明，係配合部分核心目標之對應指標，固定於每年第3季或第4季公布前一年度統計數據，為避免未達統計週期之對應指標數量偏高，而影響整體執行成果，</w:t>
      </w:r>
      <w:proofErr w:type="gramStart"/>
      <w:r w:rsidR="002D4020" w:rsidRPr="00594090">
        <w:rPr>
          <w:rFonts w:ascii="標楷體" w:eastAsia="標楷體" w:hAnsi="標楷體" w:hint="eastAsia"/>
          <w:bCs/>
          <w:szCs w:val="32"/>
        </w:rPr>
        <w:t>爰</w:t>
      </w:r>
      <w:proofErr w:type="gramEnd"/>
      <w:r w:rsidR="002D4020" w:rsidRPr="00594090">
        <w:rPr>
          <w:rFonts w:ascii="標楷體" w:eastAsia="標楷體" w:hAnsi="標楷體" w:hint="eastAsia"/>
          <w:bCs/>
          <w:szCs w:val="32"/>
        </w:rPr>
        <w:t>修正延後報告彙整</w:t>
      </w:r>
      <w:proofErr w:type="gramStart"/>
      <w:r w:rsidR="002D4020" w:rsidRPr="00594090">
        <w:rPr>
          <w:rFonts w:ascii="標楷體" w:eastAsia="標楷體" w:hAnsi="標楷體" w:hint="eastAsia"/>
          <w:bCs/>
          <w:szCs w:val="32"/>
        </w:rPr>
        <w:t>時程所致</w:t>
      </w:r>
      <w:proofErr w:type="gramEnd"/>
      <w:r w:rsidR="002D4020">
        <w:rPr>
          <w:rFonts w:ascii="標楷體" w:eastAsia="標楷體" w:hAnsi="標楷體" w:hint="eastAsia"/>
          <w:bCs/>
          <w:szCs w:val="32"/>
        </w:rPr>
        <w:t>。</w:t>
      </w:r>
      <w:proofErr w:type="gramStart"/>
      <w:r w:rsidR="002D4020" w:rsidRPr="00594090">
        <w:rPr>
          <w:rFonts w:ascii="標楷體" w:eastAsia="標楷體" w:hAnsi="標楷體" w:hint="eastAsia"/>
          <w:bCs/>
          <w:szCs w:val="32"/>
        </w:rPr>
        <w:t>惟</w:t>
      </w:r>
      <w:proofErr w:type="gramEnd"/>
      <w:r w:rsidR="002D4020" w:rsidRPr="00594090">
        <w:rPr>
          <w:rFonts w:ascii="標楷體" w:eastAsia="標楷體" w:hAnsi="標楷體" w:hint="eastAsia"/>
          <w:bCs/>
          <w:szCs w:val="32"/>
        </w:rPr>
        <w:t>20</w:t>
      </w:r>
      <w:r w:rsidR="007C0377">
        <w:rPr>
          <w:rFonts w:ascii="標楷體" w:eastAsia="標楷體" w:hAnsi="標楷體" w:hint="eastAsia"/>
          <w:bCs/>
          <w:szCs w:val="32"/>
        </w:rPr>
        <w:t>21</w:t>
      </w:r>
      <w:r w:rsidR="002D4020" w:rsidRPr="00594090">
        <w:rPr>
          <w:rFonts w:ascii="標楷體" w:eastAsia="標楷體" w:hAnsi="標楷體" w:hint="eastAsia"/>
          <w:bCs/>
          <w:szCs w:val="32"/>
        </w:rPr>
        <w:t>至2023年度檢討報告未達統計週期，尚無實際辦理數據之對應指標，仍介於19項至</w:t>
      </w:r>
      <w:r w:rsidR="007C0377">
        <w:rPr>
          <w:rFonts w:ascii="標楷體" w:eastAsia="標楷體" w:hAnsi="標楷體" w:hint="eastAsia"/>
          <w:bCs/>
          <w:szCs w:val="32"/>
        </w:rPr>
        <w:t>39</w:t>
      </w:r>
      <w:r w:rsidR="002D4020" w:rsidRPr="00594090">
        <w:rPr>
          <w:rFonts w:ascii="標楷體" w:eastAsia="標楷體" w:hAnsi="標楷體" w:hint="eastAsia"/>
          <w:bCs/>
          <w:szCs w:val="32"/>
        </w:rPr>
        <w:t>項間</w:t>
      </w:r>
      <w:r w:rsidR="002D4020" w:rsidRPr="007E73E9">
        <w:rPr>
          <w:rFonts w:ascii="標楷體" w:eastAsia="標楷體" w:hAnsi="標楷體" w:hint="eastAsia"/>
          <w:bCs/>
          <w:szCs w:val="32"/>
        </w:rPr>
        <w:t>（表</w:t>
      </w:r>
      <w:r w:rsidR="005E6261">
        <w:rPr>
          <w:rFonts w:ascii="標楷體" w:eastAsia="標楷體" w:hAnsi="標楷體" w:hint="eastAsia"/>
          <w:bCs/>
          <w:szCs w:val="32"/>
        </w:rPr>
        <w:t>2</w:t>
      </w:r>
      <w:r w:rsidR="002D4020" w:rsidRPr="007E73E9">
        <w:rPr>
          <w:rFonts w:ascii="標楷體" w:eastAsia="標楷體" w:hAnsi="標楷體" w:hint="eastAsia"/>
          <w:bCs/>
          <w:szCs w:val="32"/>
        </w:rPr>
        <w:t>）</w:t>
      </w:r>
      <w:r w:rsidR="002D4020" w:rsidRPr="00594090">
        <w:rPr>
          <w:rFonts w:ascii="標楷體" w:eastAsia="標楷體" w:hAnsi="標楷體" w:hint="eastAsia"/>
          <w:bCs/>
          <w:szCs w:val="32"/>
        </w:rPr>
        <w:t>，</w:t>
      </w:r>
      <w:proofErr w:type="gramStart"/>
      <w:r w:rsidR="002D4020" w:rsidRPr="00594090">
        <w:rPr>
          <w:rFonts w:ascii="標楷體" w:eastAsia="標楷體" w:hAnsi="標楷體" w:hint="eastAsia"/>
          <w:bCs/>
          <w:szCs w:val="32"/>
        </w:rPr>
        <w:t>按</w:t>
      </w:r>
      <w:r w:rsidR="002D4020">
        <w:rPr>
          <w:rFonts w:ascii="標楷體" w:eastAsia="標楷體" w:hAnsi="標楷體" w:hint="eastAsia"/>
          <w:bCs/>
          <w:szCs w:val="32"/>
        </w:rPr>
        <w:t>永續</w:t>
      </w:r>
      <w:r w:rsidR="002D4020" w:rsidRPr="00594090">
        <w:rPr>
          <w:rFonts w:ascii="標楷體" w:eastAsia="標楷體" w:hAnsi="標楷體" w:hint="eastAsia"/>
          <w:bCs/>
          <w:szCs w:val="32"/>
        </w:rPr>
        <w:t>會</w:t>
      </w:r>
      <w:proofErr w:type="gramEnd"/>
      <w:r w:rsidR="002D4020" w:rsidRPr="00594090">
        <w:rPr>
          <w:rFonts w:ascii="標楷體" w:eastAsia="標楷體" w:hAnsi="標楷體" w:hint="eastAsia"/>
          <w:bCs/>
          <w:szCs w:val="32"/>
        </w:rPr>
        <w:t>為持續追蹤各該年度未達統計週期對應指標於下年度辦理情形，已於2021至2023年度檢討報告，調整修正前一年度之達成率，據以完整表達未達統計週期之對應指標實際辦理情形，</w:t>
      </w:r>
      <w:r w:rsidR="002D4020">
        <w:rPr>
          <w:rFonts w:ascii="標楷體" w:eastAsia="標楷體" w:hAnsi="標楷體" w:hint="eastAsia"/>
          <w:bCs/>
          <w:szCs w:val="32"/>
        </w:rPr>
        <w:t>而</w:t>
      </w:r>
      <w:r w:rsidR="002D4020" w:rsidRPr="00594090">
        <w:rPr>
          <w:rFonts w:ascii="標楷體" w:eastAsia="標楷體" w:hAnsi="標楷體" w:hint="eastAsia"/>
          <w:bCs/>
          <w:szCs w:val="32"/>
        </w:rPr>
        <w:t>近</w:t>
      </w:r>
      <w:proofErr w:type="gramStart"/>
      <w:r w:rsidR="002D4020" w:rsidRPr="00594090">
        <w:rPr>
          <w:rFonts w:ascii="標楷體" w:eastAsia="標楷體" w:hAnsi="標楷體" w:hint="eastAsia"/>
          <w:bCs/>
          <w:szCs w:val="32"/>
        </w:rPr>
        <w:t>3</w:t>
      </w:r>
      <w:proofErr w:type="gramEnd"/>
      <w:r w:rsidR="002D4020" w:rsidRPr="00594090">
        <w:rPr>
          <w:rFonts w:ascii="標楷體" w:eastAsia="標楷體" w:hAnsi="標楷體" w:hint="eastAsia"/>
          <w:bCs/>
          <w:szCs w:val="32"/>
        </w:rPr>
        <w:t>年度檢討報告仍至次年度12月底始發布，較執行年度落後長達1年</w:t>
      </w:r>
      <w:r w:rsidR="00936B1E">
        <w:rPr>
          <w:rFonts w:ascii="標楷體" w:eastAsia="標楷體" w:hAnsi="標楷體" w:hint="eastAsia"/>
          <w:bCs/>
          <w:szCs w:val="32"/>
        </w:rPr>
        <w:t>等情事</w:t>
      </w:r>
      <w:r w:rsidR="002D4020" w:rsidRPr="00594090">
        <w:rPr>
          <w:rFonts w:ascii="標楷體" w:eastAsia="標楷體" w:hAnsi="標楷體" w:hint="eastAsia"/>
          <w:bCs/>
          <w:szCs w:val="32"/>
        </w:rPr>
        <w:t>。</w:t>
      </w:r>
      <w:r w:rsidR="002D4020" w:rsidRPr="00E86F19">
        <w:rPr>
          <w:rFonts w:ascii="標楷體" w:eastAsia="標楷體" w:hAnsi="標楷體" w:hint="eastAsia"/>
          <w:bCs/>
          <w:szCs w:val="32"/>
        </w:rPr>
        <w:t>經</w:t>
      </w:r>
      <w:proofErr w:type="gramStart"/>
      <w:r w:rsidR="002D4020" w:rsidRPr="00E86F19">
        <w:rPr>
          <w:rFonts w:ascii="標楷體" w:eastAsia="標楷體" w:hAnsi="標楷體" w:hint="eastAsia"/>
          <w:bCs/>
          <w:szCs w:val="32"/>
        </w:rPr>
        <w:t>函請永續會</w:t>
      </w:r>
      <w:proofErr w:type="gramEnd"/>
      <w:r w:rsidR="002D4020" w:rsidRPr="00F836F6">
        <w:rPr>
          <w:rFonts w:ascii="標楷體" w:eastAsia="標楷體" w:hAnsi="標楷體" w:hint="eastAsia"/>
          <w:bCs/>
          <w:szCs w:val="32"/>
        </w:rPr>
        <w:t>督促權責機關針對對應指標落後之問題癥結</w:t>
      </w:r>
      <w:proofErr w:type="gramStart"/>
      <w:r w:rsidR="002D4020" w:rsidRPr="00F836F6">
        <w:rPr>
          <w:rFonts w:ascii="標楷體" w:eastAsia="標楷體" w:hAnsi="標楷體" w:hint="eastAsia"/>
          <w:bCs/>
          <w:szCs w:val="32"/>
        </w:rPr>
        <w:t>研謀善策</w:t>
      </w:r>
      <w:proofErr w:type="gramEnd"/>
      <w:r w:rsidR="002D4020" w:rsidRPr="00F836F6">
        <w:rPr>
          <w:rFonts w:ascii="標楷體" w:eastAsia="標楷體" w:hAnsi="標楷體" w:hint="eastAsia"/>
          <w:bCs/>
          <w:szCs w:val="32"/>
        </w:rPr>
        <w:t>，妥適調整或修正對應指標目標值，並評估年度檢討報告彙總發布時程提</w:t>
      </w:r>
      <w:r w:rsidR="002D4020">
        <w:rPr>
          <w:rFonts w:ascii="標楷體" w:eastAsia="標楷體" w:hAnsi="標楷體" w:hint="eastAsia"/>
          <w:bCs/>
          <w:szCs w:val="32"/>
        </w:rPr>
        <w:t>前可行性</w:t>
      </w:r>
      <w:r w:rsidR="002D4020" w:rsidRPr="00E86F19">
        <w:rPr>
          <w:rFonts w:ascii="標楷體" w:eastAsia="標楷體" w:hAnsi="標楷體" w:hint="eastAsia"/>
          <w:bCs/>
          <w:szCs w:val="32"/>
        </w:rPr>
        <w:t>。</w:t>
      </w:r>
      <w:r w:rsidR="002D4020" w:rsidRPr="00290092">
        <w:rPr>
          <w:rFonts w:ascii="標楷體" w:eastAsia="標楷體" w:hAnsi="標楷體" w:hint="eastAsia"/>
          <w:szCs w:val="32"/>
        </w:rPr>
        <w:t>據復：</w:t>
      </w:r>
      <w:r w:rsidR="002D4020" w:rsidRPr="00DB6C91">
        <w:rPr>
          <w:rFonts w:ascii="標楷體" w:eastAsia="標楷體" w:hAnsi="標楷體" w:hint="eastAsia"/>
          <w:szCs w:val="32"/>
        </w:rPr>
        <w:t>已針對部分連年落後之指標，責成主政部會提出精進</w:t>
      </w:r>
      <w:r w:rsidR="002D4020">
        <w:rPr>
          <w:rFonts w:ascii="標楷體" w:eastAsia="標楷體" w:hAnsi="標楷體" w:hint="eastAsia"/>
          <w:szCs w:val="32"/>
        </w:rPr>
        <w:t>改善</w:t>
      </w:r>
      <w:r w:rsidR="002D4020" w:rsidRPr="00DB6C91">
        <w:rPr>
          <w:rFonts w:ascii="標楷體" w:eastAsia="標楷體" w:hAnsi="標楷體" w:hint="eastAsia"/>
          <w:szCs w:val="32"/>
        </w:rPr>
        <w:t>對策，將適時邀請主政</w:t>
      </w:r>
      <w:r w:rsidR="002D4020">
        <w:rPr>
          <w:rFonts w:ascii="標楷體" w:eastAsia="標楷體" w:hAnsi="標楷體" w:hint="eastAsia"/>
          <w:szCs w:val="32"/>
        </w:rPr>
        <w:t>部會</w:t>
      </w:r>
      <w:r w:rsidR="002D4020" w:rsidRPr="00DB6C91">
        <w:rPr>
          <w:rFonts w:ascii="標楷體" w:eastAsia="標楷體" w:hAnsi="標楷體" w:hint="eastAsia"/>
          <w:szCs w:val="32"/>
        </w:rPr>
        <w:t>於永續會工作會議報告改善情形</w:t>
      </w:r>
      <w:r w:rsidR="002D4020">
        <w:rPr>
          <w:rFonts w:ascii="標楷體" w:eastAsia="標楷體" w:hAnsi="標楷體" w:hint="eastAsia"/>
          <w:szCs w:val="32"/>
        </w:rPr>
        <w:t>；另</w:t>
      </w:r>
      <w:r w:rsidR="002D4020" w:rsidRPr="00DB6C91">
        <w:rPr>
          <w:rFonts w:ascii="標楷體" w:eastAsia="標楷體" w:hAnsi="標楷體" w:hint="eastAsia"/>
          <w:szCs w:val="32"/>
        </w:rPr>
        <w:t>依臺灣永續發展目標追蹤管考作業原則</w:t>
      </w:r>
      <w:r w:rsidR="002D4020">
        <w:rPr>
          <w:rFonts w:ascii="標楷體" w:eastAsia="標楷體" w:hAnsi="標楷體" w:hint="eastAsia"/>
          <w:szCs w:val="32"/>
        </w:rPr>
        <w:t>之</w:t>
      </w:r>
      <w:r w:rsidR="002D4020" w:rsidRPr="00DB6C91">
        <w:rPr>
          <w:rFonts w:ascii="標楷體" w:eastAsia="標楷體" w:hAnsi="標楷體" w:hint="eastAsia"/>
          <w:szCs w:val="32"/>
        </w:rPr>
        <w:t>規範，請各工作分組</w:t>
      </w:r>
      <w:proofErr w:type="gramStart"/>
      <w:r w:rsidR="002D4020" w:rsidRPr="00DB6C91">
        <w:rPr>
          <w:rFonts w:ascii="標楷體" w:eastAsia="標楷體" w:hAnsi="標楷體" w:hint="eastAsia"/>
          <w:szCs w:val="32"/>
        </w:rPr>
        <w:t>研</w:t>
      </w:r>
      <w:proofErr w:type="gramEnd"/>
      <w:r w:rsidR="002D4020" w:rsidRPr="00DB6C91">
        <w:rPr>
          <w:rFonts w:ascii="標楷體" w:eastAsia="標楷體" w:hAnsi="標楷體" w:hint="eastAsia"/>
          <w:szCs w:val="32"/>
        </w:rPr>
        <w:t>提前</w:t>
      </w:r>
      <w:proofErr w:type="gramStart"/>
      <w:r w:rsidR="002D4020" w:rsidRPr="00DB6C91">
        <w:rPr>
          <w:rFonts w:ascii="標楷體" w:eastAsia="標楷體" w:hAnsi="標楷體" w:hint="eastAsia"/>
          <w:szCs w:val="32"/>
        </w:rPr>
        <w:t>一</w:t>
      </w:r>
      <w:proofErr w:type="gramEnd"/>
      <w:r w:rsidR="002D4020" w:rsidRPr="00DB6C91">
        <w:rPr>
          <w:rFonts w:ascii="標楷體" w:eastAsia="標楷體" w:hAnsi="標楷體" w:hint="eastAsia"/>
          <w:szCs w:val="32"/>
        </w:rPr>
        <w:t>年度檢討報告，</w:t>
      </w:r>
      <w:proofErr w:type="gramStart"/>
      <w:r w:rsidR="002D4020" w:rsidRPr="00DB6C91">
        <w:rPr>
          <w:rFonts w:ascii="標楷體" w:eastAsia="標楷體" w:hAnsi="標楷體" w:hint="eastAsia"/>
          <w:szCs w:val="32"/>
        </w:rPr>
        <w:t>續經檢視</w:t>
      </w:r>
      <w:proofErr w:type="gramEnd"/>
      <w:r w:rsidR="002D4020" w:rsidRPr="00DB6C91">
        <w:rPr>
          <w:rFonts w:ascii="標楷體" w:eastAsia="標楷體" w:hAnsi="標楷體" w:hint="eastAsia"/>
          <w:szCs w:val="32"/>
        </w:rPr>
        <w:t>、修正及提報永續會工作會議確認後發布，</w:t>
      </w:r>
      <w:proofErr w:type="gramStart"/>
      <w:r w:rsidR="002D4020">
        <w:rPr>
          <w:rFonts w:ascii="標楷體" w:eastAsia="標楷體" w:hAnsi="標楷體" w:hint="eastAsia"/>
          <w:szCs w:val="32"/>
        </w:rPr>
        <w:t>致需一定</w:t>
      </w:r>
      <w:proofErr w:type="gramEnd"/>
      <w:r w:rsidR="002D4020">
        <w:rPr>
          <w:rFonts w:ascii="標楷體" w:eastAsia="標楷體" w:hAnsi="標楷體" w:hint="eastAsia"/>
          <w:szCs w:val="32"/>
        </w:rPr>
        <w:t>作業期程，</w:t>
      </w:r>
      <w:r w:rsidR="002D4020" w:rsidRPr="00DB6C91">
        <w:rPr>
          <w:rFonts w:ascii="標楷體" w:eastAsia="標楷體" w:hAnsi="標楷體" w:hint="eastAsia"/>
          <w:szCs w:val="32"/>
        </w:rPr>
        <w:t>未來將兼顧管考時程與管考成效，</w:t>
      </w:r>
      <w:proofErr w:type="gramStart"/>
      <w:r w:rsidR="002D4020" w:rsidRPr="00DB6C91">
        <w:rPr>
          <w:rFonts w:ascii="標楷體" w:eastAsia="標楷體" w:hAnsi="標楷體" w:hint="eastAsia"/>
          <w:szCs w:val="32"/>
        </w:rPr>
        <w:t>儘</w:t>
      </w:r>
      <w:proofErr w:type="gramEnd"/>
      <w:r w:rsidR="002D4020" w:rsidRPr="00DB6C91">
        <w:rPr>
          <w:rFonts w:ascii="標楷體" w:eastAsia="標楷體" w:hAnsi="標楷體" w:hint="eastAsia"/>
          <w:szCs w:val="32"/>
        </w:rPr>
        <w:t>可能提早公布年度檢討報告，以督促各機關確實落實永續發展各項政策。</w:t>
      </w:r>
    </w:p>
    <w:p w14:paraId="69E46B47" w14:textId="6A1F078E" w:rsidR="00DB403E" w:rsidRPr="00975A5D" w:rsidRDefault="00DB403E" w:rsidP="002E1714">
      <w:pPr>
        <w:overflowPunct w:val="0"/>
        <w:adjustRightInd w:val="0"/>
        <w:snapToGrid w:val="0"/>
        <w:spacing w:line="432" w:lineRule="exact"/>
        <w:ind w:firstLineChars="450" w:firstLine="1081"/>
        <w:jc w:val="both"/>
        <w:rPr>
          <w:rFonts w:ascii="標楷體" w:eastAsia="標楷體" w:hAnsi="標楷體"/>
          <w:szCs w:val="24"/>
        </w:rPr>
      </w:pPr>
      <w:r>
        <w:rPr>
          <w:rFonts w:ascii="標楷體" w:eastAsia="標楷體" w:hAnsi="標楷體" w:cs="標楷體" w:hint="eastAsia"/>
          <w:b/>
          <w:kern w:val="52"/>
          <w:szCs w:val="32"/>
        </w:rPr>
        <w:t>2.　政府已建置國際連結專區，惟接軌比率低於鄰近先進國家，且我國各SDGs可接軌指標比率</w:t>
      </w:r>
      <w:proofErr w:type="gramStart"/>
      <w:r>
        <w:rPr>
          <w:rFonts w:ascii="標楷體" w:eastAsia="標楷體" w:hAnsi="標楷體" w:cs="標楷體" w:hint="eastAsia"/>
          <w:b/>
          <w:kern w:val="52"/>
          <w:szCs w:val="32"/>
        </w:rPr>
        <w:t>差異頗巨</w:t>
      </w:r>
      <w:proofErr w:type="gramEnd"/>
      <w:r>
        <w:rPr>
          <w:rFonts w:ascii="標楷體" w:eastAsia="標楷體" w:hAnsi="標楷體" w:cs="標楷體" w:hint="eastAsia"/>
          <w:b/>
          <w:kern w:val="52"/>
          <w:szCs w:val="32"/>
        </w:rPr>
        <w:t>，甚至有無法接軌情事：</w:t>
      </w:r>
      <w:r>
        <w:rPr>
          <w:rFonts w:ascii="標楷體" w:eastAsia="標楷體" w:hAnsi="標楷體" w:cs="標楷體" w:hint="eastAsia"/>
          <w:kern w:val="52"/>
          <w:szCs w:val="32"/>
        </w:rPr>
        <w:t xml:space="preserve">聯合國永續發展解決方案網絡（UN Sustainable Development Solutions </w:t>
      </w:r>
      <w:proofErr w:type="spellStart"/>
      <w:r>
        <w:rPr>
          <w:rFonts w:ascii="標楷體" w:eastAsia="標楷體" w:hAnsi="標楷體" w:cs="標楷體" w:hint="eastAsia"/>
          <w:kern w:val="52"/>
          <w:szCs w:val="32"/>
        </w:rPr>
        <w:t>Network,SDSN</w:t>
      </w:r>
      <w:proofErr w:type="spellEnd"/>
      <w:r>
        <w:rPr>
          <w:rFonts w:ascii="標楷體" w:eastAsia="標楷體" w:hAnsi="標楷體" w:cs="標楷體" w:hint="eastAsia"/>
          <w:kern w:val="52"/>
          <w:szCs w:val="32"/>
        </w:rPr>
        <w:t>）為監督全球落實2030年永續發展議程進展，自2016年起發布永續發展報告，透過聯合國永續發展目標（SDGs）指數對各國永續發展進展進行評比。永續會參考聯合國SDSN資料庫指標進行我國相關數據比對與接軌，於113年11月完成並於永續會網站建置「臺灣永續發展目標/國際連結」專區。經查我國永續發展相關指標與聯合國全球指標接軌情形，核有：（1）國際連結專區揭露我國相關數據與SDSN國際指標</w:t>
      </w:r>
      <w:proofErr w:type="gramStart"/>
      <w:r>
        <w:rPr>
          <w:rFonts w:ascii="標楷體" w:eastAsia="標楷體" w:hAnsi="標楷體" w:cs="標楷體" w:hint="eastAsia"/>
          <w:kern w:val="52"/>
          <w:szCs w:val="32"/>
        </w:rPr>
        <w:t>接軌計70項</w:t>
      </w:r>
      <w:proofErr w:type="gramEnd"/>
      <w:r>
        <w:rPr>
          <w:rFonts w:ascii="標楷體" w:eastAsia="標楷體" w:hAnsi="標楷體" w:cs="標楷體" w:hint="eastAsia"/>
          <w:kern w:val="52"/>
          <w:szCs w:val="32"/>
        </w:rPr>
        <w:t>（可接軌指標比率為56％），低於鄰近先進國家日本及新加坡，可接軌指標（比率）分別為116項指標（92.80％）及89項指標（71.20％）；（2）國際連結專區之各SDG可接軌指標情形，介於0至14項間（占比0％至100％），其中接軌比率最低者為SDG 13，全數無可接軌指標；至於接軌比率低於50％以下者，則有SDG 1、SDG 2、SDG 6、SDG 8、SDG 10、SDG 11、SDG 17</w:t>
      </w:r>
      <w:r w:rsidR="00452FBC">
        <w:rPr>
          <w:rFonts w:hint="eastAsia"/>
          <w:noProof/>
        </w:rPr>
        <w:lastRenderedPageBreak/>
        <mc:AlternateContent>
          <mc:Choice Requires="wps">
            <w:drawing>
              <wp:anchor distT="0" distB="0" distL="114300" distR="114300" simplePos="0" relativeHeight="251650048" behindDoc="1" locked="0" layoutInCell="1" allowOverlap="1" wp14:anchorId="58FC3892" wp14:editId="14C350C2">
                <wp:simplePos x="0" y="0"/>
                <wp:positionH relativeFrom="margin">
                  <wp:posOffset>3159760</wp:posOffset>
                </wp:positionH>
                <wp:positionV relativeFrom="paragraph">
                  <wp:posOffset>95885</wp:posOffset>
                </wp:positionV>
                <wp:extent cx="3086100" cy="4324350"/>
                <wp:effectExtent l="0" t="0" r="0" b="0"/>
                <wp:wrapTight wrapText="bothSides">
                  <wp:wrapPolygon edited="0">
                    <wp:start x="0" y="0"/>
                    <wp:lineTo x="0" y="21505"/>
                    <wp:lineTo x="21467" y="21505"/>
                    <wp:lineTo x="21467"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3086100" cy="4324350"/>
                        </a:xfrm>
                        <a:prstGeom prst="rect">
                          <a:avLst/>
                        </a:prstGeom>
                        <a:solidFill>
                          <a:sysClr val="window" lastClr="FFFFFF"/>
                        </a:solidFill>
                        <a:ln w="6350">
                          <a:noFill/>
                        </a:ln>
                      </wps:spPr>
                      <wps:txbx>
                        <w:txbxContent>
                          <w:tbl>
                            <w:tblPr>
                              <w:tblW w:w="4536" w:type="dxa"/>
                              <w:tblCellMar>
                                <w:left w:w="28" w:type="dxa"/>
                                <w:right w:w="28" w:type="dxa"/>
                              </w:tblCellMar>
                              <w:tblLook w:val="04A0" w:firstRow="1" w:lastRow="0" w:firstColumn="1" w:lastColumn="0" w:noHBand="0" w:noVBand="1"/>
                            </w:tblPr>
                            <w:tblGrid>
                              <w:gridCol w:w="2127"/>
                              <w:gridCol w:w="992"/>
                              <w:gridCol w:w="708"/>
                              <w:gridCol w:w="709"/>
                            </w:tblGrid>
                            <w:tr w:rsidR="00452FBC" w14:paraId="1B2BD378" w14:textId="77777777">
                              <w:trPr>
                                <w:trHeight w:val="20"/>
                              </w:trPr>
                              <w:tc>
                                <w:tcPr>
                                  <w:tcW w:w="4536" w:type="dxa"/>
                                  <w:gridSpan w:val="4"/>
                                  <w:vAlign w:val="center"/>
                                  <w:hideMark/>
                                </w:tcPr>
                                <w:p w14:paraId="38A85695" w14:textId="77777777" w:rsidR="00452FBC" w:rsidRPr="009F1884" w:rsidRDefault="00452FBC" w:rsidP="009F1884">
                                  <w:pPr>
                                    <w:spacing w:line="240" w:lineRule="exact"/>
                                    <w:ind w:leftChars="-10" w:left="661" w:rightChars="-25" w:right="-60" w:hangingChars="295" w:hanging="685"/>
                                    <w:jc w:val="center"/>
                                    <w:rPr>
                                      <w:rFonts w:ascii="標楷體" w:eastAsia="標楷體" w:hAnsi="標楷體" w:cs="新細明體"/>
                                      <w:b/>
                                      <w:bCs/>
                                      <w:color w:val="000000"/>
                                      <w:spacing w:val="-4"/>
                                      <w:kern w:val="0"/>
                                      <w:szCs w:val="24"/>
                                    </w:rPr>
                                  </w:pPr>
                                  <w:r w:rsidRPr="009F1884">
                                    <w:rPr>
                                      <w:rFonts w:ascii="標楷體" w:eastAsia="標楷體" w:hAnsi="標楷體" w:cs="新細明體" w:hint="eastAsia"/>
                                      <w:b/>
                                      <w:bCs/>
                                      <w:color w:val="000000"/>
                                      <w:spacing w:val="-4"/>
                                      <w:kern w:val="0"/>
                                      <w:szCs w:val="24"/>
                                    </w:rPr>
                                    <w:t>表</w:t>
                                  </w:r>
                                  <w:r>
                                    <w:rPr>
                                      <w:rFonts w:ascii="標楷體" w:eastAsia="標楷體" w:hAnsi="標楷體" w:cs="新細明體" w:hint="eastAsia"/>
                                      <w:b/>
                                      <w:bCs/>
                                      <w:color w:val="000000"/>
                                      <w:spacing w:val="-4"/>
                                      <w:szCs w:val="24"/>
                                    </w:rPr>
                                    <w:t>3</w:t>
                                  </w:r>
                                  <w:r w:rsidRPr="009F1884">
                                    <w:rPr>
                                      <w:rFonts w:ascii="標楷體" w:eastAsia="標楷體" w:hAnsi="標楷體" w:cs="新細明體" w:hint="eastAsia"/>
                                      <w:b/>
                                      <w:bCs/>
                                      <w:color w:val="000000"/>
                                      <w:spacing w:val="-4"/>
                                      <w:kern w:val="0"/>
                                      <w:szCs w:val="24"/>
                                    </w:rPr>
                                    <w:t xml:space="preserve">　</w:t>
                                  </w:r>
                                  <w:r w:rsidRPr="009F1884">
                                    <w:rPr>
                                      <w:rFonts w:ascii="標楷體" w:eastAsia="標楷體" w:hAnsi="標楷體" w:cs="新細明體" w:hint="eastAsia"/>
                                      <w:b/>
                                      <w:bCs/>
                                      <w:spacing w:val="-4"/>
                                      <w:kern w:val="0"/>
                                      <w:szCs w:val="24"/>
                                    </w:rPr>
                                    <w:t>我國相關數據</w:t>
                                  </w:r>
                                  <w:r w:rsidRPr="009F1884">
                                    <w:rPr>
                                      <w:rFonts w:ascii="標楷體" w:eastAsia="標楷體" w:hAnsi="標楷體" w:cs="新細明體" w:hint="eastAsia"/>
                                      <w:b/>
                                      <w:bCs/>
                                      <w:color w:val="000000"/>
                                      <w:spacing w:val="-4"/>
                                      <w:kern w:val="0"/>
                                      <w:szCs w:val="24"/>
                                    </w:rPr>
                                    <w:t>接軌SDSN國際指標情形</w:t>
                                  </w:r>
                                </w:p>
                                <w:p w14:paraId="2D0E5DA8" w14:textId="77777777" w:rsidR="00452FBC" w:rsidRPr="009F1884" w:rsidRDefault="00452FBC" w:rsidP="009F1884">
                                  <w:pPr>
                                    <w:spacing w:line="240" w:lineRule="exact"/>
                                    <w:ind w:leftChars="-10" w:left="601" w:rightChars="-7" w:right="-17" w:hangingChars="295" w:hanging="625"/>
                                    <w:jc w:val="center"/>
                                    <w:rPr>
                                      <w:rFonts w:ascii="標楷體" w:eastAsia="標楷體" w:hAnsi="標楷體" w:cs="新細明體"/>
                                      <w:color w:val="000000"/>
                                      <w:spacing w:val="-4"/>
                                      <w:kern w:val="0"/>
                                      <w:sz w:val="22"/>
                                    </w:rPr>
                                  </w:pPr>
                                </w:p>
                              </w:tc>
                            </w:tr>
                            <w:tr w:rsidR="00452FBC" w14:paraId="234740B8" w14:textId="77777777">
                              <w:trPr>
                                <w:trHeight w:val="419"/>
                              </w:trPr>
                              <w:tc>
                                <w:tcPr>
                                  <w:tcW w:w="4536" w:type="dxa"/>
                                  <w:gridSpan w:val="4"/>
                                  <w:tcBorders>
                                    <w:top w:val="nil"/>
                                    <w:left w:val="nil"/>
                                    <w:bottom w:val="single" w:sz="4" w:space="0" w:color="auto"/>
                                    <w:right w:val="nil"/>
                                  </w:tcBorders>
                                  <w:vAlign w:val="center"/>
                                  <w:hideMark/>
                                </w:tcPr>
                                <w:p w14:paraId="7B5C6979" w14:textId="77777777" w:rsidR="00452FBC" w:rsidRDefault="00452FBC">
                                  <w:pPr>
                                    <w:spacing w:line="240" w:lineRule="exact"/>
                                    <w:ind w:rightChars="-7" w:right="-17"/>
                                    <w:jc w:val="right"/>
                                    <w:rPr>
                                      <w:rFonts w:ascii="標楷體" w:eastAsia="標楷體" w:hAnsi="標楷體" w:cs="新細明體"/>
                                      <w:b/>
                                      <w:bCs/>
                                      <w:color w:val="000000"/>
                                      <w:kern w:val="0"/>
                                      <w:szCs w:val="24"/>
                                    </w:rPr>
                                  </w:pPr>
                                  <w:r>
                                    <w:rPr>
                                      <w:rFonts w:ascii="標楷體" w:eastAsia="標楷體" w:hAnsi="標楷體" w:cs="新細明體" w:hint="eastAsia"/>
                                      <w:color w:val="000000"/>
                                      <w:kern w:val="0"/>
                                      <w:sz w:val="20"/>
                                    </w:rPr>
                                    <w:t>單位：項、％</w:t>
                                  </w:r>
                                </w:p>
                              </w:tc>
                            </w:tr>
                            <w:tr w:rsidR="00452FBC" w14:paraId="360ADCA4" w14:textId="77777777">
                              <w:trPr>
                                <w:trHeight w:val="2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7F8A8CC3" w14:textId="77777777" w:rsidR="00452FBC" w:rsidRDefault="00452FBC">
                                  <w:pPr>
                                    <w:pStyle w:val="afffa"/>
                                    <w:widowControl/>
                                    <w:spacing w:line="240" w:lineRule="exact"/>
                                    <w:ind w:leftChars="0" w:left="360" w:rightChars="-7" w:right="-17"/>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聯合國SDGs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146FE58" w14:textId="77777777" w:rsidR="00452FBC" w:rsidRDefault="00452FBC">
                                  <w:pPr>
                                    <w:widowControl/>
                                    <w:spacing w:line="240" w:lineRule="exact"/>
                                    <w:ind w:rightChars="-7" w:right="-17"/>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SDSN國際指標數</w:t>
                                  </w:r>
                                </w:p>
                              </w:tc>
                              <w:tc>
                                <w:tcPr>
                                  <w:tcW w:w="1417" w:type="dxa"/>
                                  <w:gridSpan w:val="2"/>
                                  <w:tcBorders>
                                    <w:top w:val="single" w:sz="4" w:space="0" w:color="auto"/>
                                    <w:left w:val="nil"/>
                                    <w:bottom w:val="single" w:sz="4" w:space="0" w:color="auto"/>
                                    <w:right w:val="single" w:sz="4" w:space="0" w:color="auto"/>
                                  </w:tcBorders>
                                  <w:vAlign w:val="center"/>
                                  <w:hideMark/>
                                </w:tcPr>
                                <w:p w14:paraId="1B981FDB" w14:textId="77777777" w:rsidR="00452FBC" w:rsidRDefault="00452FBC">
                                  <w:pPr>
                                    <w:spacing w:line="240" w:lineRule="exact"/>
                                    <w:ind w:rightChars="-7" w:right="-17"/>
                                    <w:jc w:val="center"/>
                                    <w:rPr>
                                      <w:rFonts w:ascii="標楷體" w:eastAsia="標楷體" w:hAnsi="標楷體" w:cs="新細明體"/>
                                      <w:kern w:val="0"/>
                                      <w:sz w:val="20"/>
                                    </w:rPr>
                                  </w:pPr>
                                  <w:r>
                                    <w:rPr>
                                      <w:rFonts w:ascii="標楷體" w:eastAsia="標楷體" w:hAnsi="標楷體" w:cs="新細明體" w:hint="eastAsia"/>
                                      <w:kern w:val="0"/>
                                      <w:sz w:val="20"/>
                                    </w:rPr>
                                    <w:t>可接軌指標</w:t>
                                  </w:r>
                                </w:p>
                              </w:tc>
                            </w:tr>
                            <w:tr w:rsidR="00452FBC" w14:paraId="104CEBDA"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F5AE1" w14:textId="77777777" w:rsidR="00452FBC" w:rsidRDefault="00452FBC">
                                  <w:pPr>
                                    <w:widowControl/>
                                    <w:spacing w:beforeAutospacing="1" w:afterAutospacing="1"/>
                                    <w:rPr>
                                      <w:rFonts w:ascii="標楷體" w:eastAsia="標楷體" w:hAnsi="標楷體" w:cs="新細明體"/>
                                      <w:color w:val="000000"/>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E3D10" w14:textId="77777777" w:rsidR="00452FBC" w:rsidRDefault="00452FBC">
                                  <w:pPr>
                                    <w:widowControl/>
                                    <w:spacing w:beforeAutospacing="1" w:afterAutospacing="1"/>
                                    <w:rPr>
                                      <w:rFonts w:ascii="標楷體" w:eastAsia="標楷體" w:hAnsi="標楷體" w:cs="新細明體"/>
                                      <w:color w:val="000000"/>
                                      <w:kern w:val="0"/>
                                      <w:sz w:val="20"/>
                                    </w:rPr>
                                  </w:pPr>
                                </w:p>
                              </w:tc>
                              <w:tc>
                                <w:tcPr>
                                  <w:tcW w:w="708" w:type="dxa"/>
                                  <w:tcBorders>
                                    <w:top w:val="single" w:sz="4" w:space="0" w:color="auto"/>
                                    <w:left w:val="nil"/>
                                    <w:bottom w:val="single" w:sz="4" w:space="0" w:color="auto"/>
                                    <w:right w:val="single" w:sz="4" w:space="0" w:color="auto"/>
                                  </w:tcBorders>
                                  <w:noWrap/>
                                  <w:vAlign w:val="center"/>
                                  <w:hideMark/>
                                </w:tcPr>
                                <w:p w14:paraId="464941B0" w14:textId="77777777" w:rsidR="00452FBC" w:rsidRDefault="00452FBC">
                                  <w:pPr>
                                    <w:widowControl/>
                                    <w:spacing w:line="240" w:lineRule="exact"/>
                                    <w:ind w:rightChars="-7" w:right="-17"/>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69E398" w14:textId="77777777" w:rsidR="00452FBC" w:rsidRDefault="00452FBC">
                                  <w:pPr>
                                    <w:widowControl/>
                                    <w:spacing w:line="240" w:lineRule="exact"/>
                                    <w:ind w:rightChars="-7" w:right="-17"/>
                                    <w:jc w:val="center"/>
                                    <w:rPr>
                                      <w:rFonts w:ascii="標楷體" w:eastAsia="標楷體" w:hAnsi="標楷體" w:cs="新細明體"/>
                                      <w:kern w:val="0"/>
                                      <w:sz w:val="20"/>
                                    </w:rPr>
                                  </w:pPr>
                                  <w:r>
                                    <w:rPr>
                                      <w:rFonts w:ascii="標楷體" w:eastAsia="標楷體" w:hAnsi="標楷體" w:cs="新細明體" w:hint="eastAsia"/>
                                      <w:kern w:val="0"/>
                                      <w:sz w:val="20"/>
                                    </w:rPr>
                                    <w:t>占比</w:t>
                                  </w:r>
                                </w:p>
                              </w:tc>
                            </w:tr>
                            <w:tr w:rsidR="00452FBC" w14:paraId="4E3075FB"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7200D56C" w14:textId="77777777" w:rsidR="00452FBC" w:rsidRDefault="00452FBC">
                                  <w:pPr>
                                    <w:widowControl/>
                                    <w:spacing w:line="240" w:lineRule="exact"/>
                                    <w:ind w:rightChars="-7" w:right="-17"/>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992" w:type="dxa"/>
                                  <w:tcBorders>
                                    <w:top w:val="nil"/>
                                    <w:left w:val="nil"/>
                                    <w:bottom w:val="single" w:sz="4" w:space="0" w:color="auto"/>
                                    <w:right w:val="single" w:sz="4" w:space="0" w:color="auto"/>
                                  </w:tcBorders>
                                  <w:noWrap/>
                                  <w:vAlign w:val="center"/>
                                  <w:hideMark/>
                                </w:tcPr>
                                <w:p w14:paraId="25087829" w14:textId="77777777" w:rsidR="00452FBC" w:rsidRDefault="00452FBC">
                                  <w:pPr>
                                    <w:widowControl/>
                                    <w:spacing w:line="24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125</w:t>
                                  </w:r>
                                </w:p>
                              </w:tc>
                              <w:tc>
                                <w:tcPr>
                                  <w:tcW w:w="708" w:type="dxa"/>
                                  <w:tcBorders>
                                    <w:top w:val="nil"/>
                                    <w:left w:val="nil"/>
                                    <w:bottom w:val="single" w:sz="4" w:space="0" w:color="auto"/>
                                    <w:right w:val="single" w:sz="4" w:space="0" w:color="auto"/>
                                  </w:tcBorders>
                                  <w:noWrap/>
                                  <w:vAlign w:val="center"/>
                                  <w:hideMark/>
                                </w:tcPr>
                                <w:p w14:paraId="50F69456" w14:textId="77777777" w:rsidR="00452FBC" w:rsidRDefault="00452FBC">
                                  <w:pPr>
                                    <w:widowControl/>
                                    <w:spacing w:line="24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70</w:t>
                                  </w:r>
                                </w:p>
                              </w:tc>
                              <w:tc>
                                <w:tcPr>
                                  <w:tcW w:w="709" w:type="dxa"/>
                                  <w:tcBorders>
                                    <w:top w:val="nil"/>
                                    <w:left w:val="nil"/>
                                    <w:bottom w:val="single" w:sz="4" w:space="0" w:color="auto"/>
                                    <w:right w:val="single" w:sz="4" w:space="0" w:color="auto"/>
                                  </w:tcBorders>
                                  <w:noWrap/>
                                  <w:vAlign w:val="center"/>
                                  <w:hideMark/>
                                </w:tcPr>
                                <w:p w14:paraId="1EA5801C" w14:textId="77777777" w:rsidR="00452FBC" w:rsidRDefault="00452FBC">
                                  <w:pPr>
                                    <w:widowControl/>
                                    <w:spacing w:line="24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56.00</w:t>
                                  </w:r>
                                </w:p>
                              </w:tc>
                            </w:tr>
                            <w:tr w:rsidR="00452FBC" w14:paraId="2EBEB108"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342B06C9"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1.消除貧窮</w:t>
                                  </w:r>
                                </w:p>
                              </w:tc>
                              <w:tc>
                                <w:tcPr>
                                  <w:tcW w:w="992" w:type="dxa"/>
                                  <w:tcBorders>
                                    <w:top w:val="nil"/>
                                    <w:left w:val="nil"/>
                                    <w:bottom w:val="single" w:sz="4" w:space="0" w:color="auto"/>
                                    <w:right w:val="single" w:sz="4" w:space="0" w:color="auto"/>
                                  </w:tcBorders>
                                  <w:noWrap/>
                                  <w:vAlign w:val="center"/>
                                  <w:hideMark/>
                                </w:tcPr>
                                <w:p w14:paraId="71B0165F"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8" w:type="dxa"/>
                                  <w:tcBorders>
                                    <w:top w:val="nil"/>
                                    <w:left w:val="nil"/>
                                    <w:bottom w:val="single" w:sz="4" w:space="0" w:color="auto"/>
                                    <w:right w:val="single" w:sz="4" w:space="0" w:color="auto"/>
                                  </w:tcBorders>
                                  <w:noWrap/>
                                  <w:vAlign w:val="center"/>
                                  <w:hideMark/>
                                </w:tcPr>
                                <w:p w14:paraId="0B57340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709" w:type="dxa"/>
                                  <w:tcBorders>
                                    <w:top w:val="nil"/>
                                    <w:left w:val="nil"/>
                                    <w:bottom w:val="single" w:sz="4" w:space="0" w:color="auto"/>
                                    <w:right w:val="single" w:sz="4" w:space="0" w:color="auto"/>
                                  </w:tcBorders>
                                  <w:noWrap/>
                                  <w:vAlign w:val="center"/>
                                  <w:hideMark/>
                                </w:tcPr>
                                <w:p w14:paraId="2B747BD0"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3B6CD992"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649A4AE8"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2.消除飢餓</w:t>
                                  </w:r>
                                </w:p>
                              </w:tc>
                              <w:tc>
                                <w:tcPr>
                                  <w:tcW w:w="992" w:type="dxa"/>
                                  <w:tcBorders>
                                    <w:top w:val="nil"/>
                                    <w:left w:val="nil"/>
                                    <w:bottom w:val="single" w:sz="4" w:space="0" w:color="auto"/>
                                    <w:right w:val="single" w:sz="4" w:space="0" w:color="auto"/>
                                  </w:tcBorders>
                                  <w:noWrap/>
                                  <w:vAlign w:val="center"/>
                                  <w:hideMark/>
                                </w:tcPr>
                                <w:p w14:paraId="0E389FA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8" w:type="dxa"/>
                                  <w:tcBorders>
                                    <w:top w:val="nil"/>
                                    <w:left w:val="nil"/>
                                    <w:bottom w:val="single" w:sz="4" w:space="0" w:color="auto"/>
                                    <w:right w:val="single" w:sz="4" w:space="0" w:color="auto"/>
                                  </w:tcBorders>
                                  <w:noWrap/>
                                  <w:vAlign w:val="center"/>
                                  <w:hideMark/>
                                </w:tcPr>
                                <w:p w14:paraId="2D52207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9" w:type="dxa"/>
                                  <w:tcBorders>
                                    <w:top w:val="nil"/>
                                    <w:left w:val="nil"/>
                                    <w:bottom w:val="single" w:sz="4" w:space="0" w:color="auto"/>
                                    <w:right w:val="single" w:sz="4" w:space="0" w:color="auto"/>
                                  </w:tcBorders>
                                  <w:noWrap/>
                                  <w:vAlign w:val="center"/>
                                  <w:hideMark/>
                                </w:tcPr>
                                <w:p w14:paraId="42B52C2F"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44.44</w:t>
                                  </w:r>
                                </w:p>
                              </w:tc>
                            </w:tr>
                            <w:tr w:rsidR="00452FBC" w14:paraId="683A68CE"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9E38F5A"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3.健康福祉</w:t>
                                  </w:r>
                                </w:p>
                              </w:tc>
                              <w:tc>
                                <w:tcPr>
                                  <w:tcW w:w="992" w:type="dxa"/>
                                  <w:tcBorders>
                                    <w:top w:val="nil"/>
                                    <w:left w:val="nil"/>
                                    <w:bottom w:val="single" w:sz="4" w:space="0" w:color="auto"/>
                                    <w:right w:val="single" w:sz="4" w:space="0" w:color="auto"/>
                                  </w:tcBorders>
                                  <w:noWrap/>
                                  <w:vAlign w:val="center"/>
                                  <w:hideMark/>
                                </w:tcPr>
                                <w:p w14:paraId="09FF5D52"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17</w:t>
                                  </w:r>
                                </w:p>
                              </w:tc>
                              <w:tc>
                                <w:tcPr>
                                  <w:tcW w:w="708" w:type="dxa"/>
                                  <w:tcBorders>
                                    <w:top w:val="nil"/>
                                    <w:left w:val="nil"/>
                                    <w:bottom w:val="single" w:sz="4" w:space="0" w:color="auto"/>
                                    <w:right w:val="single" w:sz="4" w:space="0" w:color="auto"/>
                                  </w:tcBorders>
                                  <w:noWrap/>
                                  <w:vAlign w:val="center"/>
                                  <w:hideMark/>
                                </w:tcPr>
                                <w:p w14:paraId="24ABBC4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14</w:t>
                                  </w:r>
                                </w:p>
                              </w:tc>
                              <w:tc>
                                <w:tcPr>
                                  <w:tcW w:w="709" w:type="dxa"/>
                                  <w:tcBorders>
                                    <w:top w:val="nil"/>
                                    <w:left w:val="nil"/>
                                    <w:bottom w:val="single" w:sz="4" w:space="0" w:color="auto"/>
                                    <w:right w:val="single" w:sz="4" w:space="0" w:color="auto"/>
                                  </w:tcBorders>
                                  <w:noWrap/>
                                  <w:vAlign w:val="center"/>
                                  <w:hideMark/>
                                </w:tcPr>
                                <w:p w14:paraId="6B63A19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82.35</w:t>
                                  </w:r>
                                </w:p>
                              </w:tc>
                            </w:tr>
                            <w:tr w:rsidR="00452FBC" w14:paraId="65119636"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23D38FF6"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4.教育品質</w:t>
                                  </w:r>
                                </w:p>
                              </w:tc>
                              <w:tc>
                                <w:tcPr>
                                  <w:tcW w:w="992" w:type="dxa"/>
                                  <w:tcBorders>
                                    <w:top w:val="nil"/>
                                    <w:left w:val="nil"/>
                                    <w:bottom w:val="single" w:sz="4" w:space="0" w:color="auto"/>
                                    <w:right w:val="single" w:sz="4" w:space="0" w:color="auto"/>
                                  </w:tcBorders>
                                  <w:noWrap/>
                                  <w:vAlign w:val="center"/>
                                  <w:hideMark/>
                                </w:tcPr>
                                <w:p w14:paraId="0646A42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8" w:type="dxa"/>
                                  <w:tcBorders>
                                    <w:top w:val="nil"/>
                                    <w:left w:val="nil"/>
                                    <w:bottom w:val="single" w:sz="4" w:space="0" w:color="auto"/>
                                    <w:right w:val="single" w:sz="4" w:space="0" w:color="auto"/>
                                  </w:tcBorders>
                                  <w:noWrap/>
                                  <w:vAlign w:val="center"/>
                                  <w:hideMark/>
                                </w:tcPr>
                                <w:p w14:paraId="5F13AF6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9" w:type="dxa"/>
                                  <w:tcBorders>
                                    <w:top w:val="nil"/>
                                    <w:left w:val="nil"/>
                                    <w:bottom w:val="single" w:sz="4" w:space="0" w:color="auto"/>
                                    <w:right w:val="single" w:sz="4" w:space="0" w:color="auto"/>
                                  </w:tcBorders>
                                  <w:noWrap/>
                                  <w:vAlign w:val="center"/>
                                  <w:hideMark/>
                                </w:tcPr>
                                <w:p w14:paraId="113CD059"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100.00</w:t>
                                  </w:r>
                                </w:p>
                              </w:tc>
                            </w:tr>
                            <w:tr w:rsidR="00452FBC" w14:paraId="50673C06"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6EBC7214"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5.性別平等</w:t>
                                  </w:r>
                                </w:p>
                              </w:tc>
                              <w:tc>
                                <w:tcPr>
                                  <w:tcW w:w="992" w:type="dxa"/>
                                  <w:tcBorders>
                                    <w:top w:val="nil"/>
                                    <w:left w:val="nil"/>
                                    <w:bottom w:val="single" w:sz="4" w:space="0" w:color="auto"/>
                                    <w:right w:val="single" w:sz="4" w:space="0" w:color="auto"/>
                                  </w:tcBorders>
                                  <w:noWrap/>
                                  <w:vAlign w:val="center"/>
                                  <w:hideMark/>
                                </w:tcPr>
                                <w:p w14:paraId="4E7148A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p>
                              </w:tc>
                              <w:tc>
                                <w:tcPr>
                                  <w:tcW w:w="708" w:type="dxa"/>
                                  <w:tcBorders>
                                    <w:top w:val="nil"/>
                                    <w:left w:val="nil"/>
                                    <w:bottom w:val="single" w:sz="4" w:space="0" w:color="auto"/>
                                    <w:right w:val="single" w:sz="4" w:space="0" w:color="auto"/>
                                  </w:tcBorders>
                                  <w:noWrap/>
                                  <w:vAlign w:val="center"/>
                                  <w:hideMark/>
                                </w:tcPr>
                                <w:p w14:paraId="6AFCEAFC"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9" w:type="dxa"/>
                                  <w:tcBorders>
                                    <w:top w:val="nil"/>
                                    <w:left w:val="nil"/>
                                    <w:bottom w:val="single" w:sz="4" w:space="0" w:color="auto"/>
                                    <w:right w:val="single" w:sz="4" w:space="0" w:color="auto"/>
                                  </w:tcBorders>
                                  <w:noWrap/>
                                  <w:vAlign w:val="center"/>
                                  <w:hideMark/>
                                </w:tcPr>
                                <w:p w14:paraId="03CFA7D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80.00</w:t>
                                  </w:r>
                                </w:p>
                              </w:tc>
                            </w:tr>
                            <w:tr w:rsidR="00452FBC" w14:paraId="4331DA5E"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23768640"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6.環境品質</w:t>
                                  </w:r>
                                </w:p>
                              </w:tc>
                              <w:tc>
                                <w:tcPr>
                                  <w:tcW w:w="992" w:type="dxa"/>
                                  <w:tcBorders>
                                    <w:top w:val="nil"/>
                                    <w:left w:val="nil"/>
                                    <w:bottom w:val="single" w:sz="4" w:space="0" w:color="auto"/>
                                    <w:right w:val="single" w:sz="4" w:space="0" w:color="auto"/>
                                  </w:tcBorders>
                                  <w:noWrap/>
                                  <w:vAlign w:val="center"/>
                                  <w:hideMark/>
                                </w:tcPr>
                                <w:p w14:paraId="1509177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7</w:t>
                                  </w:r>
                                </w:p>
                              </w:tc>
                              <w:tc>
                                <w:tcPr>
                                  <w:tcW w:w="708" w:type="dxa"/>
                                  <w:tcBorders>
                                    <w:top w:val="nil"/>
                                    <w:left w:val="nil"/>
                                    <w:bottom w:val="single" w:sz="4" w:space="0" w:color="auto"/>
                                    <w:right w:val="single" w:sz="4" w:space="0" w:color="auto"/>
                                  </w:tcBorders>
                                  <w:noWrap/>
                                  <w:vAlign w:val="center"/>
                                  <w:hideMark/>
                                </w:tcPr>
                                <w:p w14:paraId="18D55439"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4B0CC01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42.86</w:t>
                                  </w:r>
                                </w:p>
                              </w:tc>
                            </w:tr>
                            <w:tr w:rsidR="00452FBC" w14:paraId="3DFE2A83"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6A9321D6"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7.可負擔能源</w:t>
                                  </w:r>
                                </w:p>
                              </w:tc>
                              <w:tc>
                                <w:tcPr>
                                  <w:tcW w:w="992" w:type="dxa"/>
                                  <w:tcBorders>
                                    <w:top w:val="nil"/>
                                    <w:left w:val="nil"/>
                                    <w:bottom w:val="single" w:sz="4" w:space="0" w:color="auto"/>
                                    <w:right w:val="single" w:sz="4" w:space="0" w:color="auto"/>
                                  </w:tcBorders>
                                  <w:noWrap/>
                                  <w:vAlign w:val="center"/>
                                  <w:hideMark/>
                                </w:tcPr>
                                <w:p w14:paraId="2985F8D8"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8" w:type="dxa"/>
                                  <w:tcBorders>
                                    <w:top w:val="nil"/>
                                    <w:left w:val="nil"/>
                                    <w:bottom w:val="single" w:sz="4" w:space="0" w:color="auto"/>
                                    <w:right w:val="single" w:sz="4" w:space="0" w:color="auto"/>
                                  </w:tcBorders>
                                  <w:noWrap/>
                                  <w:vAlign w:val="center"/>
                                  <w:hideMark/>
                                </w:tcPr>
                                <w:p w14:paraId="13A831B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noWrap/>
                                  <w:vAlign w:val="center"/>
                                  <w:hideMark/>
                                </w:tcPr>
                                <w:p w14:paraId="3688ED2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50.00</w:t>
                                  </w:r>
                                </w:p>
                              </w:tc>
                            </w:tr>
                            <w:tr w:rsidR="00452FBC" w14:paraId="15114C14"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AB1B26A"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8.就業與經濟成長</w:t>
                                  </w:r>
                                </w:p>
                              </w:tc>
                              <w:tc>
                                <w:tcPr>
                                  <w:tcW w:w="992" w:type="dxa"/>
                                  <w:tcBorders>
                                    <w:top w:val="nil"/>
                                    <w:left w:val="nil"/>
                                    <w:bottom w:val="single" w:sz="4" w:space="0" w:color="auto"/>
                                    <w:right w:val="single" w:sz="4" w:space="0" w:color="auto"/>
                                  </w:tcBorders>
                                  <w:noWrap/>
                                  <w:vAlign w:val="center"/>
                                  <w:hideMark/>
                                </w:tcPr>
                                <w:p w14:paraId="6E1669A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8" w:type="dxa"/>
                                  <w:tcBorders>
                                    <w:top w:val="nil"/>
                                    <w:left w:val="nil"/>
                                    <w:bottom w:val="single" w:sz="4" w:space="0" w:color="auto"/>
                                    <w:right w:val="single" w:sz="4" w:space="0" w:color="auto"/>
                                  </w:tcBorders>
                                  <w:noWrap/>
                                  <w:vAlign w:val="center"/>
                                  <w:hideMark/>
                                </w:tcPr>
                                <w:p w14:paraId="6CDFB050"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5C7BD117"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5AF47CCA"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3A0643F"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9.永續工業與基礎建設</w:t>
                                  </w:r>
                                </w:p>
                              </w:tc>
                              <w:tc>
                                <w:tcPr>
                                  <w:tcW w:w="992" w:type="dxa"/>
                                  <w:tcBorders>
                                    <w:top w:val="nil"/>
                                    <w:left w:val="nil"/>
                                    <w:bottom w:val="single" w:sz="4" w:space="0" w:color="auto"/>
                                    <w:right w:val="single" w:sz="4" w:space="0" w:color="auto"/>
                                  </w:tcBorders>
                                  <w:noWrap/>
                                  <w:vAlign w:val="center"/>
                                  <w:hideMark/>
                                </w:tcPr>
                                <w:p w14:paraId="4B329B9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11</w:t>
                                  </w:r>
                                </w:p>
                              </w:tc>
                              <w:tc>
                                <w:tcPr>
                                  <w:tcW w:w="708" w:type="dxa"/>
                                  <w:tcBorders>
                                    <w:top w:val="nil"/>
                                    <w:left w:val="nil"/>
                                    <w:bottom w:val="single" w:sz="4" w:space="0" w:color="auto"/>
                                    <w:right w:val="single" w:sz="4" w:space="0" w:color="auto"/>
                                  </w:tcBorders>
                                  <w:noWrap/>
                                  <w:vAlign w:val="center"/>
                                  <w:hideMark/>
                                </w:tcPr>
                                <w:p w14:paraId="6F875CAC"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9" w:type="dxa"/>
                                  <w:tcBorders>
                                    <w:top w:val="nil"/>
                                    <w:left w:val="nil"/>
                                    <w:bottom w:val="single" w:sz="4" w:space="0" w:color="auto"/>
                                    <w:right w:val="single" w:sz="4" w:space="0" w:color="auto"/>
                                  </w:tcBorders>
                                  <w:noWrap/>
                                  <w:vAlign w:val="center"/>
                                  <w:hideMark/>
                                </w:tcPr>
                                <w:p w14:paraId="36FB1F82"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81.82</w:t>
                                  </w:r>
                                </w:p>
                              </w:tc>
                            </w:tr>
                            <w:tr w:rsidR="00452FBC" w14:paraId="5AE680B0"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706444EB"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10.減少不平等</w:t>
                                  </w:r>
                                </w:p>
                              </w:tc>
                              <w:tc>
                                <w:tcPr>
                                  <w:tcW w:w="992" w:type="dxa"/>
                                  <w:tcBorders>
                                    <w:top w:val="nil"/>
                                    <w:left w:val="nil"/>
                                    <w:bottom w:val="single" w:sz="4" w:space="0" w:color="auto"/>
                                    <w:right w:val="single" w:sz="4" w:space="0" w:color="auto"/>
                                  </w:tcBorders>
                                  <w:noWrap/>
                                  <w:vAlign w:val="center"/>
                                  <w:hideMark/>
                                </w:tcPr>
                                <w:p w14:paraId="51B4EF0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8" w:type="dxa"/>
                                  <w:tcBorders>
                                    <w:top w:val="nil"/>
                                    <w:left w:val="nil"/>
                                    <w:bottom w:val="single" w:sz="4" w:space="0" w:color="auto"/>
                                    <w:right w:val="single" w:sz="4" w:space="0" w:color="auto"/>
                                  </w:tcBorders>
                                  <w:noWrap/>
                                  <w:vAlign w:val="center"/>
                                  <w:hideMark/>
                                </w:tcPr>
                                <w:p w14:paraId="2542723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709" w:type="dxa"/>
                                  <w:tcBorders>
                                    <w:top w:val="nil"/>
                                    <w:left w:val="nil"/>
                                    <w:bottom w:val="single" w:sz="4" w:space="0" w:color="auto"/>
                                    <w:right w:val="single" w:sz="4" w:space="0" w:color="auto"/>
                                  </w:tcBorders>
                                  <w:noWrap/>
                                  <w:vAlign w:val="center"/>
                                  <w:hideMark/>
                                </w:tcPr>
                                <w:p w14:paraId="0123F12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4F0EDA85"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7E3C9E3"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11.永續城市</w:t>
                                  </w:r>
                                </w:p>
                              </w:tc>
                              <w:tc>
                                <w:tcPr>
                                  <w:tcW w:w="992" w:type="dxa"/>
                                  <w:tcBorders>
                                    <w:top w:val="nil"/>
                                    <w:left w:val="nil"/>
                                    <w:bottom w:val="single" w:sz="4" w:space="0" w:color="auto"/>
                                    <w:right w:val="single" w:sz="4" w:space="0" w:color="auto"/>
                                  </w:tcBorders>
                                  <w:noWrap/>
                                  <w:vAlign w:val="center"/>
                                  <w:hideMark/>
                                </w:tcPr>
                                <w:p w14:paraId="58C4E89F"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708" w:type="dxa"/>
                                  <w:tcBorders>
                                    <w:top w:val="nil"/>
                                    <w:left w:val="nil"/>
                                    <w:bottom w:val="single" w:sz="4" w:space="0" w:color="auto"/>
                                    <w:right w:val="single" w:sz="4" w:space="0" w:color="auto"/>
                                  </w:tcBorders>
                                  <w:noWrap/>
                                  <w:vAlign w:val="center"/>
                                  <w:hideMark/>
                                </w:tcPr>
                                <w:p w14:paraId="151D0FD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noWrap/>
                                  <w:vAlign w:val="center"/>
                                  <w:hideMark/>
                                </w:tcPr>
                                <w:p w14:paraId="16F4F95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1B894421"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07E1FE94"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12.責任消費與生產</w:t>
                                  </w:r>
                                </w:p>
                              </w:tc>
                              <w:tc>
                                <w:tcPr>
                                  <w:tcW w:w="992" w:type="dxa"/>
                                  <w:tcBorders>
                                    <w:top w:val="nil"/>
                                    <w:left w:val="nil"/>
                                    <w:bottom w:val="single" w:sz="4" w:space="0" w:color="auto"/>
                                    <w:right w:val="single" w:sz="4" w:space="0" w:color="auto"/>
                                  </w:tcBorders>
                                  <w:noWrap/>
                                  <w:vAlign w:val="center"/>
                                  <w:hideMark/>
                                </w:tcPr>
                                <w:p w14:paraId="03F03A9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8" w:type="dxa"/>
                                  <w:tcBorders>
                                    <w:top w:val="nil"/>
                                    <w:left w:val="nil"/>
                                    <w:bottom w:val="single" w:sz="4" w:space="0" w:color="auto"/>
                                    <w:right w:val="single" w:sz="4" w:space="0" w:color="auto"/>
                                  </w:tcBorders>
                                  <w:noWrap/>
                                  <w:vAlign w:val="center"/>
                                  <w:hideMark/>
                                </w:tcPr>
                                <w:p w14:paraId="3203E5D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p>
                              </w:tc>
                              <w:tc>
                                <w:tcPr>
                                  <w:tcW w:w="709" w:type="dxa"/>
                                  <w:tcBorders>
                                    <w:top w:val="nil"/>
                                    <w:left w:val="nil"/>
                                    <w:bottom w:val="single" w:sz="4" w:space="0" w:color="auto"/>
                                    <w:right w:val="single" w:sz="4" w:space="0" w:color="auto"/>
                                  </w:tcBorders>
                                  <w:noWrap/>
                                  <w:vAlign w:val="center"/>
                                  <w:hideMark/>
                                </w:tcPr>
                                <w:p w14:paraId="5A94DA58"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62.50</w:t>
                                  </w:r>
                                </w:p>
                              </w:tc>
                            </w:tr>
                            <w:tr w:rsidR="00452FBC" w14:paraId="3D5D5A42"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7C075783"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13.氣候行動</w:t>
                                  </w:r>
                                </w:p>
                              </w:tc>
                              <w:tc>
                                <w:tcPr>
                                  <w:tcW w:w="992" w:type="dxa"/>
                                  <w:tcBorders>
                                    <w:top w:val="nil"/>
                                    <w:left w:val="nil"/>
                                    <w:bottom w:val="single" w:sz="4" w:space="0" w:color="auto"/>
                                    <w:right w:val="single" w:sz="4" w:space="0" w:color="auto"/>
                                  </w:tcBorders>
                                  <w:noWrap/>
                                  <w:vAlign w:val="center"/>
                                  <w:hideMark/>
                                </w:tcPr>
                                <w:p w14:paraId="40B53F4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8" w:type="dxa"/>
                                  <w:tcBorders>
                                    <w:top w:val="nil"/>
                                    <w:left w:val="nil"/>
                                    <w:bottom w:val="single" w:sz="4" w:space="0" w:color="auto"/>
                                    <w:right w:val="single" w:sz="4" w:space="0" w:color="auto"/>
                                  </w:tcBorders>
                                  <w:noWrap/>
                                  <w:vAlign w:val="center"/>
                                  <w:hideMark/>
                                </w:tcPr>
                                <w:p w14:paraId="0448E527"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noWrap/>
                                  <w:vAlign w:val="center"/>
                                  <w:hideMark/>
                                </w:tcPr>
                                <w:p w14:paraId="7B8BCDA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w:t>
                                  </w:r>
                                </w:p>
                              </w:tc>
                            </w:tr>
                            <w:tr w:rsidR="00452FBC" w14:paraId="6D7EBECA"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415C60AE"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14.海洋生態</w:t>
                                  </w:r>
                                </w:p>
                              </w:tc>
                              <w:tc>
                                <w:tcPr>
                                  <w:tcW w:w="992" w:type="dxa"/>
                                  <w:tcBorders>
                                    <w:top w:val="nil"/>
                                    <w:left w:val="nil"/>
                                    <w:bottom w:val="single" w:sz="4" w:space="0" w:color="auto"/>
                                    <w:right w:val="single" w:sz="4" w:space="0" w:color="auto"/>
                                  </w:tcBorders>
                                  <w:noWrap/>
                                  <w:vAlign w:val="center"/>
                                  <w:hideMark/>
                                </w:tcPr>
                                <w:p w14:paraId="0FF5D0BA"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708" w:type="dxa"/>
                                  <w:tcBorders>
                                    <w:top w:val="nil"/>
                                    <w:left w:val="nil"/>
                                    <w:bottom w:val="single" w:sz="4" w:space="0" w:color="auto"/>
                                    <w:right w:val="single" w:sz="4" w:space="0" w:color="auto"/>
                                  </w:tcBorders>
                                  <w:noWrap/>
                                  <w:vAlign w:val="center"/>
                                  <w:hideMark/>
                                </w:tcPr>
                                <w:p w14:paraId="6455170E"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2F6269BA"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50.00</w:t>
                                  </w:r>
                                </w:p>
                              </w:tc>
                            </w:tr>
                            <w:tr w:rsidR="00452FBC" w14:paraId="62F0ADB1"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326A2A65"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15.陸地生態</w:t>
                                  </w:r>
                                </w:p>
                              </w:tc>
                              <w:tc>
                                <w:tcPr>
                                  <w:tcW w:w="992" w:type="dxa"/>
                                  <w:tcBorders>
                                    <w:top w:val="nil"/>
                                    <w:left w:val="nil"/>
                                    <w:bottom w:val="single" w:sz="4" w:space="0" w:color="auto"/>
                                    <w:right w:val="single" w:sz="4" w:space="0" w:color="auto"/>
                                  </w:tcBorders>
                                  <w:noWrap/>
                                  <w:vAlign w:val="center"/>
                                  <w:hideMark/>
                                </w:tcPr>
                                <w:p w14:paraId="2DE9247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p>
                              </w:tc>
                              <w:tc>
                                <w:tcPr>
                                  <w:tcW w:w="708" w:type="dxa"/>
                                  <w:tcBorders>
                                    <w:top w:val="nil"/>
                                    <w:left w:val="nil"/>
                                    <w:bottom w:val="single" w:sz="4" w:space="0" w:color="auto"/>
                                    <w:right w:val="single" w:sz="4" w:space="0" w:color="auto"/>
                                  </w:tcBorders>
                                  <w:noWrap/>
                                  <w:vAlign w:val="center"/>
                                  <w:hideMark/>
                                </w:tcPr>
                                <w:p w14:paraId="6428661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7CE11BB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60.00</w:t>
                                  </w:r>
                                </w:p>
                              </w:tc>
                            </w:tr>
                            <w:tr w:rsidR="00452FBC" w14:paraId="317D7650"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46444F52"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r>
                                    <w:rPr>
                                      <w:rFonts w:ascii="標楷體" w:eastAsia="標楷體" w:hAnsi="標楷體" w:cs="新細明體" w:hint="eastAsia"/>
                                      <w:color w:val="000000"/>
                                      <w:spacing w:val="-14"/>
                                      <w:kern w:val="0"/>
                                      <w:sz w:val="20"/>
                                    </w:rPr>
                                    <w:t>和平與正義制度</w:t>
                                  </w:r>
                                </w:p>
                              </w:tc>
                              <w:tc>
                                <w:tcPr>
                                  <w:tcW w:w="992" w:type="dxa"/>
                                  <w:tcBorders>
                                    <w:top w:val="nil"/>
                                    <w:left w:val="nil"/>
                                    <w:bottom w:val="single" w:sz="4" w:space="0" w:color="auto"/>
                                    <w:right w:val="single" w:sz="4" w:space="0" w:color="auto"/>
                                  </w:tcBorders>
                                  <w:noWrap/>
                                  <w:vAlign w:val="center"/>
                                  <w:hideMark/>
                                </w:tcPr>
                                <w:p w14:paraId="45A3C578"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12</w:t>
                                  </w:r>
                                </w:p>
                              </w:tc>
                              <w:tc>
                                <w:tcPr>
                                  <w:tcW w:w="708" w:type="dxa"/>
                                  <w:tcBorders>
                                    <w:top w:val="nil"/>
                                    <w:left w:val="nil"/>
                                    <w:bottom w:val="single" w:sz="4" w:space="0" w:color="auto"/>
                                    <w:right w:val="single" w:sz="4" w:space="0" w:color="auto"/>
                                  </w:tcBorders>
                                  <w:noWrap/>
                                  <w:vAlign w:val="center"/>
                                  <w:hideMark/>
                                </w:tcPr>
                                <w:p w14:paraId="36DB6DC7"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709" w:type="dxa"/>
                                  <w:tcBorders>
                                    <w:top w:val="nil"/>
                                    <w:left w:val="nil"/>
                                    <w:bottom w:val="single" w:sz="4" w:space="0" w:color="auto"/>
                                    <w:right w:val="single" w:sz="4" w:space="0" w:color="auto"/>
                                  </w:tcBorders>
                                  <w:noWrap/>
                                  <w:vAlign w:val="center"/>
                                  <w:hideMark/>
                                </w:tcPr>
                                <w:p w14:paraId="1B0F355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50.00</w:t>
                                  </w:r>
                                </w:p>
                              </w:tc>
                            </w:tr>
                            <w:tr w:rsidR="00452FBC" w14:paraId="490C07FA"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3530A7A4"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17.全球夥伴</w:t>
                                  </w:r>
                                </w:p>
                              </w:tc>
                              <w:tc>
                                <w:tcPr>
                                  <w:tcW w:w="992" w:type="dxa"/>
                                  <w:tcBorders>
                                    <w:top w:val="nil"/>
                                    <w:left w:val="nil"/>
                                    <w:bottom w:val="single" w:sz="4" w:space="0" w:color="auto"/>
                                    <w:right w:val="single" w:sz="4" w:space="0" w:color="auto"/>
                                  </w:tcBorders>
                                  <w:noWrap/>
                                  <w:vAlign w:val="center"/>
                                  <w:hideMark/>
                                </w:tcPr>
                                <w:p w14:paraId="269C0A7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8" w:type="dxa"/>
                                  <w:tcBorders>
                                    <w:top w:val="nil"/>
                                    <w:left w:val="nil"/>
                                    <w:bottom w:val="single" w:sz="4" w:space="0" w:color="auto"/>
                                    <w:right w:val="single" w:sz="4" w:space="0" w:color="auto"/>
                                  </w:tcBorders>
                                  <w:noWrap/>
                                  <w:vAlign w:val="center"/>
                                  <w:hideMark/>
                                </w:tcPr>
                                <w:p w14:paraId="4B4AEA99"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noWrap/>
                                  <w:vAlign w:val="center"/>
                                  <w:hideMark/>
                                </w:tcPr>
                                <w:p w14:paraId="1416C83A"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25.00</w:t>
                                  </w:r>
                                </w:p>
                              </w:tc>
                            </w:tr>
                            <w:tr w:rsidR="00452FBC" w14:paraId="4B6BBDF7" w14:textId="77777777">
                              <w:trPr>
                                <w:trHeight w:val="20"/>
                              </w:trPr>
                              <w:tc>
                                <w:tcPr>
                                  <w:tcW w:w="4536" w:type="dxa"/>
                                  <w:gridSpan w:val="4"/>
                                  <w:tcBorders>
                                    <w:top w:val="single" w:sz="4" w:space="0" w:color="auto"/>
                                    <w:left w:val="nil"/>
                                    <w:bottom w:val="nil"/>
                                    <w:right w:val="nil"/>
                                  </w:tcBorders>
                                  <w:noWrap/>
                                  <w:vAlign w:val="bottom"/>
                                  <w:hideMark/>
                                </w:tcPr>
                                <w:p w14:paraId="6D9AD06B" w14:textId="77777777" w:rsidR="00452FBC" w:rsidRDefault="00452FBC">
                                  <w:pPr>
                                    <w:widowControl/>
                                    <w:spacing w:line="240" w:lineRule="exact"/>
                                    <w:ind w:left="864" w:rightChars="-7" w:right="-17" w:hangingChars="480" w:hanging="864"/>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：1.資料時間：114年4</w:t>
                                  </w:r>
                                  <w:r>
                                    <w:rPr>
                                      <w:rFonts w:ascii="標楷體" w:eastAsia="標楷體" w:hAnsi="標楷體" w:cs="新細明體" w:hint="eastAsia"/>
                                      <w:color w:val="000000" w:themeColor="text1"/>
                                      <w:kern w:val="0"/>
                                      <w:sz w:val="18"/>
                                      <w:szCs w:val="18"/>
                                    </w:rPr>
                                    <w:t>月22日</w:t>
                                  </w:r>
                                  <w:r>
                                    <w:rPr>
                                      <w:rFonts w:ascii="標楷體" w:eastAsia="標楷體" w:hAnsi="標楷體" w:cs="新細明體" w:hint="eastAsia"/>
                                      <w:kern w:val="0"/>
                                      <w:sz w:val="18"/>
                                      <w:szCs w:val="18"/>
                                    </w:rPr>
                                    <w:t>。</w:t>
                                  </w:r>
                                </w:p>
                                <w:p w14:paraId="673A8777" w14:textId="77777777" w:rsidR="00452FBC" w:rsidRDefault="00452FBC" w:rsidP="00446DB2">
                                  <w:pPr>
                                    <w:widowControl/>
                                    <w:spacing w:line="240" w:lineRule="exact"/>
                                    <w:ind w:leftChars="150" w:left="540" w:rightChars="-7" w:right="-17" w:hangingChars="100" w:hanging="18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2.資料來源：整理自「Sustainable Development Report 2024」及</w:t>
                                  </w:r>
                                  <w:r w:rsidRPr="005E601A">
                                    <w:rPr>
                                      <w:rFonts w:ascii="標楷體" w:eastAsia="標楷體" w:hAnsi="標楷體" w:cs="新細明體" w:hint="eastAsia"/>
                                      <w:color w:val="000000"/>
                                      <w:kern w:val="0"/>
                                      <w:sz w:val="18"/>
                                      <w:szCs w:val="18"/>
                                    </w:rPr>
                                    <w:t>行政院國家永續發展委員會</w:t>
                                  </w:r>
                                  <w:r>
                                    <w:rPr>
                                      <w:rFonts w:ascii="標楷體" w:eastAsia="標楷體" w:hAnsi="標楷體" w:cs="新細明體" w:hint="eastAsia"/>
                                      <w:color w:val="000000"/>
                                      <w:kern w:val="0"/>
                                      <w:sz w:val="18"/>
                                      <w:szCs w:val="18"/>
                                    </w:rPr>
                                    <w:t>國際連結專區資料</w:t>
                                  </w:r>
                                  <w:r>
                                    <w:rPr>
                                      <w:rFonts w:ascii="標楷體" w:eastAsia="標楷體" w:hAnsi="標楷體" w:cs="新細明體" w:hint="eastAsia"/>
                                      <w:color w:val="000000"/>
                                      <w:kern w:val="0"/>
                                      <w:sz w:val="16"/>
                                      <w:szCs w:val="16"/>
                                    </w:rPr>
                                    <w:t>。</w:t>
                                  </w:r>
                                </w:p>
                              </w:tc>
                            </w:tr>
                          </w:tbl>
                          <w:p w14:paraId="7F638F7B" w14:textId="77777777" w:rsidR="00452FBC" w:rsidRDefault="00452FBC" w:rsidP="00452FBC">
                            <w:pPr>
                              <w:spacing w:line="240" w:lineRule="exact"/>
                              <w:jc w:val="center"/>
                              <w:rPr>
                                <w:sz w:val="22"/>
                                <w:szCs w:val="18"/>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FC3892" id="文字方塊 1" o:spid="_x0000_s1028" type="#_x0000_t202" style="position:absolute;left:0;text-align:left;margin-left:248.8pt;margin-top:7.55pt;width:243pt;height:340.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" fillcolor="window" stroked="f" strokeweight=".5pt">
                <v:textbox>
                  <w:txbxContent>
                    <w:tbl>
                      <w:tblPr>
                        <w:tblW w:w="4536" w:type="dxa"/>
                        <w:tblCellMar>
                          <w:left w:w="28" w:type="dxa"/>
                          <w:right w:w="28" w:type="dxa"/>
                        </w:tblCellMar>
                        <w:tblLook w:val="04A0" w:firstRow="1" w:lastRow="0" w:firstColumn="1" w:lastColumn="0" w:noHBand="0" w:noVBand="1"/>
                      </w:tblPr>
                      <w:tblGrid>
                        <w:gridCol w:w="2127"/>
                        <w:gridCol w:w="992"/>
                        <w:gridCol w:w="708"/>
                        <w:gridCol w:w="709"/>
                      </w:tblGrid>
                      <w:tr w:rsidR="00452FBC" w14:paraId="1B2BD378" w14:textId="77777777">
                        <w:trPr>
                          <w:trHeight w:val="20"/>
                        </w:trPr>
                        <w:tc>
                          <w:tcPr>
                            <w:tcW w:w="4536" w:type="dxa"/>
                            <w:gridSpan w:val="4"/>
                            <w:vAlign w:val="center"/>
                            <w:hideMark/>
                          </w:tcPr>
                          <w:p w14:paraId="38A85695" w14:textId="77777777" w:rsidR="00452FBC" w:rsidRPr="009F1884" w:rsidRDefault="00452FBC" w:rsidP="009F1884">
                            <w:pPr>
                              <w:spacing w:line="240" w:lineRule="exact"/>
                              <w:ind w:leftChars="-10" w:left="661" w:rightChars="-25" w:right="-60" w:hangingChars="295" w:hanging="685"/>
                              <w:jc w:val="center"/>
                              <w:rPr>
                                <w:rFonts w:ascii="標楷體" w:eastAsia="標楷體" w:hAnsi="標楷體" w:cs="新細明體"/>
                                <w:b/>
                                <w:bCs/>
                                <w:color w:val="000000"/>
                                <w:spacing w:val="-4"/>
                                <w:kern w:val="0"/>
                                <w:szCs w:val="24"/>
                              </w:rPr>
                            </w:pPr>
                            <w:r w:rsidRPr="009F1884">
                              <w:rPr>
                                <w:rFonts w:ascii="標楷體" w:eastAsia="標楷體" w:hAnsi="標楷體" w:cs="新細明體" w:hint="eastAsia"/>
                                <w:b/>
                                <w:bCs/>
                                <w:color w:val="000000"/>
                                <w:spacing w:val="-4"/>
                                <w:kern w:val="0"/>
                                <w:szCs w:val="24"/>
                              </w:rPr>
                              <w:t>表</w:t>
                            </w:r>
                            <w:r>
                              <w:rPr>
                                <w:rFonts w:ascii="標楷體" w:eastAsia="標楷體" w:hAnsi="標楷體" w:cs="新細明體" w:hint="eastAsia"/>
                                <w:b/>
                                <w:bCs/>
                                <w:color w:val="000000"/>
                                <w:spacing w:val="-4"/>
                                <w:szCs w:val="24"/>
                              </w:rPr>
                              <w:t>3</w:t>
                            </w:r>
                            <w:r w:rsidRPr="009F1884">
                              <w:rPr>
                                <w:rFonts w:ascii="標楷體" w:eastAsia="標楷體" w:hAnsi="標楷體" w:cs="新細明體" w:hint="eastAsia"/>
                                <w:b/>
                                <w:bCs/>
                                <w:color w:val="000000"/>
                                <w:spacing w:val="-4"/>
                                <w:kern w:val="0"/>
                                <w:szCs w:val="24"/>
                              </w:rPr>
                              <w:t xml:space="preserve">　</w:t>
                            </w:r>
                            <w:r w:rsidRPr="009F1884">
                              <w:rPr>
                                <w:rFonts w:ascii="標楷體" w:eastAsia="標楷體" w:hAnsi="標楷體" w:cs="新細明體" w:hint="eastAsia"/>
                                <w:b/>
                                <w:bCs/>
                                <w:spacing w:val="-4"/>
                                <w:kern w:val="0"/>
                                <w:szCs w:val="24"/>
                              </w:rPr>
                              <w:t>我國相關數據</w:t>
                            </w:r>
                            <w:r w:rsidRPr="009F1884">
                              <w:rPr>
                                <w:rFonts w:ascii="標楷體" w:eastAsia="標楷體" w:hAnsi="標楷體" w:cs="新細明體" w:hint="eastAsia"/>
                                <w:b/>
                                <w:bCs/>
                                <w:color w:val="000000"/>
                                <w:spacing w:val="-4"/>
                                <w:kern w:val="0"/>
                                <w:szCs w:val="24"/>
                              </w:rPr>
                              <w:t>接軌SDSN國際指標情形</w:t>
                            </w:r>
                          </w:p>
                          <w:p w14:paraId="2D0E5DA8" w14:textId="77777777" w:rsidR="00452FBC" w:rsidRPr="009F1884" w:rsidRDefault="00452FBC" w:rsidP="009F1884">
                            <w:pPr>
                              <w:spacing w:line="240" w:lineRule="exact"/>
                              <w:ind w:leftChars="-10" w:left="601" w:rightChars="-7" w:right="-17" w:hangingChars="295" w:hanging="625"/>
                              <w:jc w:val="center"/>
                              <w:rPr>
                                <w:rFonts w:ascii="標楷體" w:eastAsia="標楷體" w:hAnsi="標楷體" w:cs="新細明體"/>
                                <w:color w:val="000000"/>
                                <w:spacing w:val="-4"/>
                                <w:kern w:val="0"/>
                                <w:sz w:val="22"/>
                              </w:rPr>
                            </w:pPr>
                          </w:p>
                        </w:tc>
                      </w:tr>
                      <w:tr w:rsidR="00452FBC" w14:paraId="234740B8" w14:textId="77777777">
                        <w:trPr>
                          <w:trHeight w:val="419"/>
                        </w:trPr>
                        <w:tc>
                          <w:tcPr>
                            <w:tcW w:w="4536" w:type="dxa"/>
                            <w:gridSpan w:val="4"/>
                            <w:tcBorders>
                              <w:top w:val="nil"/>
                              <w:left w:val="nil"/>
                              <w:bottom w:val="single" w:sz="4" w:space="0" w:color="auto"/>
                              <w:right w:val="nil"/>
                            </w:tcBorders>
                            <w:vAlign w:val="center"/>
                            <w:hideMark/>
                          </w:tcPr>
                          <w:p w14:paraId="7B5C6979" w14:textId="77777777" w:rsidR="00452FBC" w:rsidRDefault="00452FBC">
                            <w:pPr>
                              <w:spacing w:line="240" w:lineRule="exact"/>
                              <w:ind w:rightChars="-7" w:right="-17"/>
                              <w:jc w:val="right"/>
                              <w:rPr>
                                <w:rFonts w:ascii="標楷體" w:eastAsia="標楷體" w:hAnsi="標楷體" w:cs="新細明體"/>
                                <w:b/>
                                <w:bCs/>
                                <w:color w:val="000000"/>
                                <w:kern w:val="0"/>
                                <w:szCs w:val="24"/>
                              </w:rPr>
                            </w:pPr>
                            <w:r>
                              <w:rPr>
                                <w:rFonts w:ascii="標楷體" w:eastAsia="標楷體" w:hAnsi="標楷體" w:cs="新細明體" w:hint="eastAsia"/>
                                <w:color w:val="000000"/>
                                <w:kern w:val="0"/>
                                <w:sz w:val="20"/>
                              </w:rPr>
                              <w:t>單位：項、％</w:t>
                            </w:r>
                          </w:p>
                        </w:tc>
                      </w:tr>
                      <w:tr w:rsidR="00452FBC" w14:paraId="360ADCA4" w14:textId="77777777">
                        <w:trPr>
                          <w:trHeight w:val="20"/>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7F8A8CC3" w14:textId="77777777" w:rsidR="00452FBC" w:rsidRDefault="00452FBC">
                            <w:pPr>
                              <w:pStyle w:val="afffa"/>
                              <w:widowControl/>
                              <w:spacing w:line="240" w:lineRule="exact"/>
                              <w:ind w:leftChars="0" w:left="360" w:rightChars="-7" w:right="-17"/>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聯合國SDGs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146FE58" w14:textId="77777777" w:rsidR="00452FBC" w:rsidRDefault="00452FBC">
                            <w:pPr>
                              <w:widowControl/>
                              <w:spacing w:line="240" w:lineRule="exact"/>
                              <w:ind w:rightChars="-7" w:right="-17"/>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SDSN國際指標數</w:t>
                            </w:r>
                          </w:p>
                        </w:tc>
                        <w:tc>
                          <w:tcPr>
                            <w:tcW w:w="1417" w:type="dxa"/>
                            <w:gridSpan w:val="2"/>
                            <w:tcBorders>
                              <w:top w:val="single" w:sz="4" w:space="0" w:color="auto"/>
                              <w:left w:val="nil"/>
                              <w:bottom w:val="single" w:sz="4" w:space="0" w:color="auto"/>
                              <w:right w:val="single" w:sz="4" w:space="0" w:color="auto"/>
                            </w:tcBorders>
                            <w:vAlign w:val="center"/>
                            <w:hideMark/>
                          </w:tcPr>
                          <w:p w14:paraId="1B981FDB" w14:textId="77777777" w:rsidR="00452FBC" w:rsidRDefault="00452FBC">
                            <w:pPr>
                              <w:spacing w:line="240" w:lineRule="exact"/>
                              <w:ind w:rightChars="-7" w:right="-17"/>
                              <w:jc w:val="center"/>
                              <w:rPr>
                                <w:rFonts w:ascii="標楷體" w:eastAsia="標楷體" w:hAnsi="標楷體" w:cs="新細明體"/>
                                <w:kern w:val="0"/>
                                <w:sz w:val="20"/>
                              </w:rPr>
                            </w:pPr>
                            <w:r>
                              <w:rPr>
                                <w:rFonts w:ascii="標楷體" w:eastAsia="標楷體" w:hAnsi="標楷體" w:cs="新細明體" w:hint="eastAsia"/>
                                <w:kern w:val="0"/>
                                <w:sz w:val="20"/>
                              </w:rPr>
                              <w:t>可接軌指標</w:t>
                            </w:r>
                          </w:p>
                        </w:tc>
                      </w:tr>
                      <w:tr w:rsidR="00452FBC" w14:paraId="104CEBDA"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F5AE1" w14:textId="77777777" w:rsidR="00452FBC" w:rsidRDefault="00452FBC">
                            <w:pPr>
                              <w:widowControl/>
                              <w:spacing w:beforeAutospacing="1" w:afterAutospacing="1"/>
                              <w:rPr>
                                <w:rFonts w:ascii="標楷體" w:eastAsia="標楷體" w:hAnsi="標楷體" w:cs="新細明體"/>
                                <w:color w:val="000000"/>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E3D10" w14:textId="77777777" w:rsidR="00452FBC" w:rsidRDefault="00452FBC">
                            <w:pPr>
                              <w:widowControl/>
                              <w:spacing w:beforeAutospacing="1" w:afterAutospacing="1"/>
                              <w:rPr>
                                <w:rFonts w:ascii="標楷體" w:eastAsia="標楷體" w:hAnsi="標楷體" w:cs="新細明體"/>
                                <w:color w:val="000000"/>
                                <w:kern w:val="0"/>
                                <w:sz w:val="20"/>
                              </w:rPr>
                            </w:pPr>
                          </w:p>
                        </w:tc>
                        <w:tc>
                          <w:tcPr>
                            <w:tcW w:w="708" w:type="dxa"/>
                            <w:tcBorders>
                              <w:top w:val="single" w:sz="4" w:space="0" w:color="auto"/>
                              <w:left w:val="nil"/>
                              <w:bottom w:val="single" w:sz="4" w:space="0" w:color="auto"/>
                              <w:right w:val="single" w:sz="4" w:space="0" w:color="auto"/>
                            </w:tcBorders>
                            <w:noWrap/>
                            <w:vAlign w:val="center"/>
                            <w:hideMark/>
                          </w:tcPr>
                          <w:p w14:paraId="464941B0" w14:textId="77777777" w:rsidR="00452FBC" w:rsidRDefault="00452FBC">
                            <w:pPr>
                              <w:widowControl/>
                              <w:spacing w:line="240" w:lineRule="exact"/>
                              <w:ind w:rightChars="-7" w:right="-17"/>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69E398" w14:textId="77777777" w:rsidR="00452FBC" w:rsidRDefault="00452FBC">
                            <w:pPr>
                              <w:widowControl/>
                              <w:spacing w:line="240" w:lineRule="exact"/>
                              <w:ind w:rightChars="-7" w:right="-17"/>
                              <w:jc w:val="center"/>
                              <w:rPr>
                                <w:rFonts w:ascii="標楷體" w:eastAsia="標楷體" w:hAnsi="標楷體" w:cs="新細明體"/>
                                <w:kern w:val="0"/>
                                <w:sz w:val="20"/>
                              </w:rPr>
                            </w:pPr>
                            <w:r>
                              <w:rPr>
                                <w:rFonts w:ascii="標楷體" w:eastAsia="標楷體" w:hAnsi="標楷體" w:cs="新細明體" w:hint="eastAsia"/>
                                <w:kern w:val="0"/>
                                <w:sz w:val="20"/>
                              </w:rPr>
                              <w:t>占比</w:t>
                            </w:r>
                          </w:p>
                        </w:tc>
                      </w:tr>
                      <w:tr w:rsidR="00452FBC" w14:paraId="4E3075FB"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7200D56C" w14:textId="77777777" w:rsidR="00452FBC" w:rsidRDefault="00452FBC">
                            <w:pPr>
                              <w:widowControl/>
                              <w:spacing w:line="240" w:lineRule="exact"/>
                              <w:ind w:rightChars="-7" w:right="-17"/>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992" w:type="dxa"/>
                            <w:tcBorders>
                              <w:top w:val="nil"/>
                              <w:left w:val="nil"/>
                              <w:bottom w:val="single" w:sz="4" w:space="0" w:color="auto"/>
                              <w:right w:val="single" w:sz="4" w:space="0" w:color="auto"/>
                            </w:tcBorders>
                            <w:noWrap/>
                            <w:vAlign w:val="center"/>
                            <w:hideMark/>
                          </w:tcPr>
                          <w:p w14:paraId="25087829" w14:textId="77777777" w:rsidR="00452FBC" w:rsidRDefault="00452FBC">
                            <w:pPr>
                              <w:widowControl/>
                              <w:spacing w:line="24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125</w:t>
                            </w:r>
                          </w:p>
                        </w:tc>
                        <w:tc>
                          <w:tcPr>
                            <w:tcW w:w="708" w:type="dxa"/>
                            <w:tcBorders>
                              <w:top w:val="nil"/>
                              <w:left w:val="nil"/>
                              <w:bottom w:val="single" w:sz="4" w:space="0" w:color="auto"/>
                              <w:right w:val="single" w:sz="4" w:space="0" w:color="auto"/>
                            </w:tcBorders>
                            <w:noWrap/>
                            <w:vAlign w:val="center"/>
                            <w:hideMark/>
                          </w:tcPr>
                          <w:p w14:paraId="50F69456" w14:textId="77777777" w:rsidR="00452FBC" w:rsidRDefault="00452FBC">
                            <w:pPr>
                              <w:widowControl/>
                              <w:spacing w:line="24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70</w:t>
                            </w:r>
                          </w:p>
                        </w:tc>
                        <w:tc>
                          <w:tcPr>
                            <w:tcW w:w="709" w:type="dxa"/>
                            <w:tcBorders>
                              <w:top w:val="nil"/>
                              <w:left w:val="nil"/>
                              <w:bottom w:val="single" w:sz="4" w:space="0" w:color="auto"/>
                              <w:right w:val="single" w:sz="4" w:space="0" w:color="auto"/>
                            </w:tcBorders>
                            <w:noWrap/>
                            <w:vAlign w:val="center"/>
                            <w:hideMark/>
                          </w:tcPr>
                          <w:p w14:paraId="1EA5801C" w14:textId="77777777" w:rsidR="00452FBC" w:rsidRDefault="00452FBC">
                            <w:pPr>
                              <w:widowControl/>
                              <w:spacing w:line="240" w:lineRule="exact"/>
                              <w:ind w:rightChars="10" w:right="24"/>
                              <w:jc w:val="right"/>
                              <w:rPr>
                                <w:rFonts w:ascii="標楷體" w:eastAsia="標楷體" w:hAnsi="標楷體" w:cs="新細明體"/>
                                <w:b/>
                                <w:bCs/>
                                <w:kern w:val="0"/>
                                <w:sz w:val="20"/>
                              </w:rPr>
                            </w:pPr>
                            <w:r>
                              <w:rPr>
                                <w:rFonts w:ascii="標楷體" w:eastAsia="標楷體" w:hAnsi="標楷體" w:cs="新細明體" w:hint="eastAsia"/>
                                <w:b/>
                                <w:bCs/>
                                <w:kern w:val="0"/>
                                <w:sz w:val="20"/>
                              </w:rPr>
                              <w:t>56.00</w:t>
                            </w:r>
                          </w:p>
                        </w:tc>
                      </w:tr>
                      <w:tr w:rsidR="00452FBC" w14:paraId="2EBEB108"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342B06C9"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1.消除貧窮</w:t>
                            </w:r>
                          </w:p>
                        </w:tc>
                        <w:tc>
                          <w:tcPr>
                            <w:tcW w:w="992" w:type="dxa"/>
                            <w:tcBorders>
                              <w:top w:val="nil"/>
                              <w:left w:val="nil"/>
                              <w:bottom w:val="single" w:sz="4" w:space="0" w:color="auto"/>
                              <w:right w:val="single" w:sz="4" w:space="0" w:color="auto"/>
                            </w:tcBorders>
                            <w:noWrap/>
                            <w:vAlign w:val="center"/>
                            <w:hideMark/>
                          </w:tcPr>
                          <w:p w14:paraId="71B0165F"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8" w:type="dxa"/>
                            <w:tcBorders>
                              <w:top w:val="nil"/>
                              <w:left w:val="nil"/>
                              <w:bottom w:val="single" w:sz="4" w:space="0" w:color="auto"/>
                              <w:right w:val="single" w:sz="4" w:space="0" w:color="auto"/>
                            </w:tcBorders>
                            <w:noWrap/>
                            <w:vAlign w:val="center"/>
                            <w:hideMark/>
                          </w:tcPr>
                          <w:p w14:paraId="0B57340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709" w:type="dxa"/>
                            <w:tcBorders>
                              <w:top w:val="nil"/>
                              <w:left w:val="nil"/>
                              <w:bottom w:val="single" w:sz="4" w:space="0" w:color="auto"/>
                              <w:right w:val="single" w:sz="4" w:space="0" w:color="auto"/>
                            </w:tcBorders>
                            <w:noWrap/>
                            <w:vAlign w:val="center"/>
                            <w:hideMark/>
                          </w:tcPr>
                          <w:p w14:paraId="2B747BD0"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3B6CD992"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649A4AE8"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2.消除飢餓</w:t>
                            </w:r>
                          </w:p>
                        </w:tc>
                        <w:tc>
                          <w:tcPr>
                            <w:tcW w:w="992" w:type="dxa"/>
                            <w:tcBorders>
                              <w:top w:val="nil"/>
                              <w:left w:val="nil"/>
                              <w:bottom w:val="single" w:sz="4" w:space="0" w:color="auto"/>
                              <w:right w:val="single" w:sz="4" w:space="0" w:color="auto"/>
                            </w:tcBorders>
                            <w:noWrap/>
                            <w:vAlign w:val="center"/>
                            <w:hideMark/>
                          </w:tcPr>
                          <w:p w14:paraId="0E389FA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8" w:type="dxa"/>
                            <w:tcBorders>
                              <w:top w:val="nil"/>
                              <w:left w:val="nil"/>
                              <w:bottom w:val="single" w:sz="4" w:space="0" w:color="auto"/>
                              <w:right w:val="single" w:sz="4" w:space="0" w:color="auto"/>
                            </w:tcBorders>
                            <w:noWrap/>
                            <w:vAlign w:val="center"/>
                            <w:hideMark/>
                          </w:tcPr>
                          <w:p w14:paraId="2D52207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9" w:type="dxa"/>
                            <w:tcBorders>
                              <w:top w:val="nil"/>
                              <w:left w:val="nil"/>
                              <w:bottom w:val="single" w:sz="4" w:space="0" w:color="auto"/>
                              <w:right w:val="single" w:sz="4" w:space="0" w:color="auto"/>
                            </w:tcBorders>
                            <w:noWrap/>
                            <w:vAlign w:val="center"/>
                            <w:hideMark/>
                          </w:tcPr>
                          <w:p w14:paraId="42B52C2F"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44.44</w:t>
                            </w:r>
                          </w:p>
                        </w:tc>
                      </w:tr>
                      <w:tr w:rsidR="00452FBC" w14:paraId="683A68CE"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9E38F5A"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3.健康福祉</w:t>
                            </w:r>
                          </w:p>
                        </w:tc>
                        <w:tc>
                          <w:tcPr>
                            <w:tcW w:w="992" w:type="dxa"/>
                            <w:tcBorders>
                              <w:top w:val="nil"/>
                              <w:left w:val="nil"/>
                              <w:bottom w:val="single" w:sz="4" w:space="0" w:color="auto"/>
                              <w:right w:val="single" w:sz="4" w:space="0" w:color="auto"/>
                            </w:tcBorders>
                            <w:noWrap/>
                            <w:vAlign w:val="center"/>
                            <w:hideMark/>
                          </w:tcPr>
                          <w:p w14:paraId="09FF5D52"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17</w:t>
                            </w:r>
                          </w:p>
                        </w:tc>
                        <w:tc>
                          <w:tcPr>
                            <w:tcW w:w="708" w:type="dxa"/>
                            <w:tcBorders>
                              <w:top w:val="nil"/>
                              <w:left w:val="nil"/>
                              <w:bottom w:val="single" w:sz="4" w:space="0" w:color="auto"/>
                              <w:right w:val="single" w:sz="4" w:space="0" w:color="auto"/>
                            </w:tcBorders>
                            <w:noWrap/>
                            <w:vAlign w:val="center"/>
                            <w:hideMark/>
                          </w:tcPr>
                          <w:p w14:paraId="24ABBC4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14</w:t>
                            </w:r>
                          </w:p>
                        </w:tc>
                        <w:tc>
                          <w:tcPr>
                            <w:tcW w:w="709" w:type="dxa"/>
                            <w:tcBorders>
                              <w:top w:val="nil"/>
                              <w:left w:val="nil"/>
                              <w:bottom w:val="single" w:sz="4" w:space="0" w:color="auto"/>
                              <w:right w:val="single" w:sz="4" w:space="0" w:color="auto"/>
                            </w:tcBorders>
                            <w:noWrap/>
                            <w:vAlign w:val="center"/>
                            <w:hideMark/>
                          </w:tcPr>
                          <w:p w14:paraId="6B63A19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82.35</w:t>
                            </w:r>
                          </w:p>
                        </w:tc>
                      </w:tr>
                      <w:tr w:rsidR="00452FBC" w14:paraId="65119636"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23D38FF6"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4.教育品質</w:t>
                            </w:r>
                          </w:p>
                        </w:tc>
                        <w:tc>
                          <w:tcPr>
                            <w:tcW w:w="992" w:type="dxa"/>
                            <w:tcBorders>
                              <w:top w:val="nil"/>
                              <w:left w:val="nil"/>
                              <w:bottom w:val="single" w:sz="4" w:space="0" w:color="auto"/>
                              <w:right w:val="single" w:sz="4" w:space="0" w:color="auto"/>
                            </w:tcBorders>
                            <w:noWrap/>
                            <w:vAlign w:val="center"/>
                            <w:hideMark/>
                          </w:tcPr>
                          <w:p w14:paraId="0646A42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8" w:type="dxa"/>
                            <w:tcBorders>
                              <w:top w:val="nil"/>
                              <w:left w:val="nil"/>
                              <w:bottom w:val="single" w:sz="4" w:space="0" w:color="auto"/>
                              <w:right w:val="single" w:sz="4" w:space="0" w:color="auto"/>
                            </w:tcBorders>
                            <w:noWrap/>
                            <w:vAlign w:val="center"/>
                            <w:hideMark/>
                          </w:tcPr>
                          <w:p w14:paraId="5F13AF6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9" w:type="dxa"/>
                            <w:tcBorders>
                              <w:top w:val="nil"/>
                              <w:left w:val="nil"/>
                              <w:bottom w:val="single" w:sz="4" w:space="0" w:color="auto"/>
                              <w:right w:val="single" w:sz="4" w:space="0" w:color="auto"/>
                            </w:tcBorders>
                            <w:noWrap/>
                            <w:vAlign w:val="center"/>
                            <w:hideMark/>
                          </w:tcPr>
                          <w:p w14:paraId="113CD059"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100.00</w:t>
                            </w:r>
                          </w:p>
                        </w:tc>
                      </w:tr>
                      <w:tr w:rsidR="00452FBC" w14:paraId="50673C06"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6EBC7214"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5.性別平等</w:t>
                            </w:r>
                          </w:p>
                        </w:tc>
                        <w:tc>
                          <w:tcPr>
                            <w:tcW w:w="992" w:type="dxa"/>
                            <w:tcBorders>
                              <w:top w:val="nil"/>
                              <w:left w:val="nil"/>
                              <w:bottom w:val="single" w:sz="4" w:space="0" w:color="auto"/>
                              <w:right w:val="single" w:sz="4" w:space="0" w:color="auto"/>
                            </w:tcBorders>
                            <w:noWrap/>
                            <w:vAlign w:val="center"/>
                            <w:hideMark/>
                          </w:tcPr>
                          <w:p w14:paraId="4E7148A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p>
                        </w:tc>
                        <w:tc>
                          <w:tcPr>
                            <w:tcW w:w="708" w:type="dxa"/>
                            <w:tcBorders>
                              <w:top w:val="nil"/>
                              <w:left w:val="nil"/>
                              <w:bottom w:val="single" w:sz="4" w:space="0" w:color="auto"/>
                              <w:right w:val="single" w:sz="4" w:space="0" w:color="auto"/>
                            </w:tcBorders>
                            <w:noWrap/>
                            <w:vAlign w:val="center"/>
                            <w:hideMark/>
                          </w:tcPr>
                          <w:p w14:paraId="6AFCEAFC"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9" w:type="dxa"/>
                            <w:tcBorders>
                              <w:top w:val="nil"/>
                              <w:left w:val="nil"/>
                              <w:bottom w:val="single" w:sz="4" w:space="0" w:color="auto"/>
                              <w:right w:val="single" w:sz="4" w:space="0" w:color="auto"/>
                            </w:tcBorders>
                            <w:noWrap/>
                            <w:vAlign w:val="center"/>
                            <w:hideMark/>
                          </w:tcPr>
                          <w:p w14:paraId="03CFA7D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80.00</w:t>
                            </w:r>
                          </w:p>
                        </w:tc>
                      </w:tr>
                      <w:tr w:rsidR="00452FBC" w14:paraId="4331DA5E"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23768640"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6.環境品質</w:t>
                            </w:r>
                          </w:p>
                        </w:tc>
                        <w:tc>
                          <w:tcPr>
                            <w:tcW w:w="992" w:type="dxa"/>
                            <w:tcBorders>
                              <w:top w:val="nil"/>
                              <w:left w:val="nil"/>
                              <w:bottom w:val="single" w:sz="4" w:space="0" w:color="auto"/>
                              <w:right w:val="single" w:sz="4" w:space="0" w:color="auto"/>
                            </w:tcBorders>
                            <w:noWrap/>
                            <w:vAlign w:val="center"/>
                            <w:hideMark/>
                          </w:tcPr>
                          <w:p w14:paraId="1509177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7</w:t>
                            </w:r>
                          </w:p>
                        </w:tc>
                        <w:tc>
                          <w:tcPr>
                            <w:tcW w:w="708" w:type="dxa"/>
                            <w:tcBorders>
                              <w:top w:val="nil"/>
                              <w:left w:val="nil"/>
                              <w:bottom w:val="single" w:sz="4" w:space="0" w:color="auto"/>
                              <w:right w:val="single" w:sz="4" w:space="0" w:color="auto"/>
                            </w:tcBorders>
                            <w:noWrap/>
                            <w:vAlign w:val="center"/>
                            <w:hideMark/>
                          </w:tcPr>
                          <w:p w14:paraId="18D55439"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4B0CC01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42.86</w:t>
                            </w:r>
                          </w:p>
                        </w:tc>
                      </w:tr>
                      <w:tr w:rsidR="00452FBC" w14:paraId="3DFE2A83"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6A9321D6"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7.可負擔能源</w:t>
                            </w:r>
                          </w:p>
                        </w:tc>
                        <w:tc>
                          <w:tcPr>
                            <w:tcW w:w="992" w:type="dxa"/>
                            <w:tcBorders>
                              <w:top w:val="nil"/>
                              <w:left w:val="nil"/>
                              <w:bottom w:val="single" w:sz="4" w:space="0" w:color="auto"/>
                              <w:right w:val="single" w:sz="4" w:space="0" w:color="auto"/>
                            </w:tcBorders>
                            <w:noWrap/>
                            <w:vAlign w:val="center"/>
                            <w:hideMark/>
                          </w:tcPr>
                          <w:p w14:paraId="2985F8D8"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8" w:type="dxa"/>
                            <w:tcBorders>
                              <w:top w:val="nil"/>
                              <w:left w:val="nil"/>
                              <w:bottom w:val="single" w:sz="4" w:space="0" w:color="auto"/>
                              <w:right w:val="single" w:sz="4" w:space="0" w:color="auto"/>
                            </w:tcBorders>
                            <w:noWrap/>
                            <w:vAlign w:val="center"/>
                            <w:hideMark/>
                          </w:tcPr>
                          <w:p w14:paraId="13A831BD"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noWrap/>
                            <w:vAlign w:val="center"/>
                            <w:hideMark/>
                          </w:tcPr>
                          <w:p w14:paraId="3688ED2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50.00</w:t>
                            </w:r>
                          </w:p>
                        </w:tc>
                      </w:tr>
                      <w:tr w:rsidR="00452FBC" w14:paraId="15114C14"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AB1B26A"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8.就業與經濟成長</w:t>
                            </w:r>
                          </w:p>
                        </w:tc>
                        <w:tc>
                          <w:tcPr>
                            <w:tcW w:w="992" w:type="dxa"/>
                            <w:tcBorders>
                              <w:top w:val="nil"/>
                              <w:left w:val="nil"/>
                              <w:bottom w:val="single" w:sz="4" w:space="0" w:color="auto"/>
                              <w:right w:val="single" w:sz="4" w:space="0" w:color="auto"/>
                            </w:tcBorders>
                            <w:noWrap/>
                            <w:vAlign w:val="center"/>
                            <w:hideMark/>
                          </w:tcPr>
                          <w:p w14:paraId="6E1669A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8" w:type="dxa"/>
                            <w:tcBorders>
                              <w:top w:val="nil"/>
                              <w:left w:val="nil"/>
                              <w:bottom w:val="single" w:sz="4" w:space="0" w:color="auto"/>
                              <w:right w:val="single" w:sz="4" w:space="0" w:color="auto"/>
                            </w:tcBorders>
                            <w:noWrap/>
                            <w:vAlign w:val="center"/>
                            <w:hideMark/>
                          </w:tcPr>
                          <w:p w14:paraId="6CDFB050"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5C7BD117"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5AF47CCA"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3A0643F"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9.永續工業與基礎建設</w:t>
                            </w:r>
                          </w:p>
                        </w:tc>
                        <w:tc>
                          <w:tcPr>
                            <w:tcW w:w="992" w:type="dxa"/>
                            <w:tcBorders>
                              <w:top w:val="nil"/>
                              <w:left w:val="nil"/>
                              <w:bottom w:val="single" w:sz="4" w:space="0" w:color="auto"/>
                              <w:right w:val="single" w:sz="4" w:space="0" w:color="auto"/>
                            </w:tcBorders>
                            <w:noWrap/>
                            <w:vAlign w:val="center"/>
                            <w:hideMark/>
                          </w:tcPr>
                          <w:p w14:paraId="4B329B9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11</w:t>
                            </w:r>
                          </w:p>
                        </w:tc>
                        <w:tc>
                          <w:tcPr>
                            <w:tcW w:w="708" w:type="dxa"/>
                            <w:tcBorders>
                              <w:top w:val="nil"/>
                              <w:left w:val="nil"/>
                              <w:bottom w:val="single" w:sz="4" w:space="0" w:color="auto"/>
                              <w:right w:val="single" w:sz="4" w:space="0" w:color="auto"/>
                            </w:tcBorders>
                            <w:noWrap/>
                            <w:vAlign w:val="center"/>
                            <w:hideMark/>
                          </w:tcPr>
                          <w:p w14:paraId="6F875CAC"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9" w:type="dxa"/>
                            <w:tcBorders>
                              <w:top w:val="nil"/>
                              <w:left w:val="nil"/>
                              <w:bottom w:val="single" w:sz="4" w:space="0" w:color="auto"/>
                              <w:right w:val="single" w:sz="4" w:space="0" w:color="auto"/>
                            </w:tcBorders>
                            <w:noWrap/>
                            <w:vAlign w:val="center"/>
                            <w:hideMark/>
                          </w:tcPr>
                          <w:p w14:paraId="36FB1F82"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81.82</w:t>
                            </w:r>
                          </w:p>
                        </w:tc>
                      </w:tr>
                      <w:tr w:rsidR="00452FBC" w14:paraId="5AE680B0"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706444EB"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10.減少不平等</w:t>
                            </w:r>
                          </w:p>
                        </w:tc>
                        <w:tc>
                          <w:tcPr>
                            <w:tcW w:w="992" w:type="dxa"/>
                            <w:tcBorders>
                              <w:top w:val="nil"/>
                              <w:left w:val="nil"/>
                              <w:bottom w:val="single" w:sz="4" w:space="0" w:color="auto"/>
                              <w:right w:val="single" w:sz="4" w:space="0" w:color="auto"/>
                            </w:tcBorders>
                            <w:noWrap/>
                            <w:vAlign w:val="center"/>
                            <w:hideMark/>
                          </w:tcPr>
                          <w:p w14:paraId="51B4EF0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8" w:type="dxa"/>
                            <w:tcBorders>
                              <w:top w:val="nil"/>
                              <w:left w:val="nil"/>
                              <w:bottom w:val="single" w:sz="4" w:space="0" w:color="auto"/>
                              <w:right w:val="single" w:sz="4" w:space="0" w:color="auto"/>
                            </w:tcBorders>
                            <w:noWrap/>
                            <w:vAlign w:val="center"/>
                            <w:hideMark/>
                          </w:tcPr>
                          <w:p w14:paraId="2542723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709" w:type="dxa"/>
                            <w:tcBorders>
                              <w:top w:val="nil"/>
                              <w:left w:val="nil"/>
                              <w:bottom w:val="single" w:sz="4" w:space="0" w:color="auto"/>
                              <w:right w:val="single" w:sz="4" w:space="0" w:color="auto"/>
                            </w:tcBorders>
                            <w:noWrap/>
                            <w:vAlign w:val="center"/>
                            <w:hideMark/>
                          </w:tcPr>
                          <w:p w14:paraId="0123F12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4F0EDA85"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57E3C9E3"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11.永續城市</w:t>
                            </w:r>
                          </w:p>
                        </w:tc>
                        <w:tc>
                          <w:tcPr>
                            <w:tcW w:w="992" w:type="dxa"/>
                            <w:tcBorders>
                              <w:top w:val="nil"/>
                              <w:left w:val="nil"/>
                              <w:bottom w:val="single" w:sz="4" w:space="0" w:color="auto"/>
                              <w:right w:val="single" w:sz="4" w:space="0" w:color="auto"/>
                            </w:tcBorders>
                            <w:noWrap/>
                            <w:vAlign w:val="center"/>
                            <w:hideMark/>
                          </w:tcPr>
                          <w:p w14:paraId="58C4E89F"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708" w:type="dxa"/>
                            <w:tcBorders>
                              <w:top w:val="nil"/>
                              <w:left w:val="nil"/>
                              <w:bottom w:val="single" w:sz="4" w:space="0" w:color="auto"/>
                              <w:right w:val="single" w:sz="4" w:space="0" w:color="auto"/>
                            </w:tcBorders>
                            <w:noWrap/>
                            <w:vAlign w:val="center"/>
                            <w:hideMark/>
                          </w:tcPr>
                          <w:p w14:paraId="151D0FD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noWrap/>
                            <w:vAlign w:val="center"/>
                            <w:hideMark/>
                          </w:tcPr>
                          <w:p w14:paraId="16F4F95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33.33</w:t>
                            </w:r>
                          </w:p>
                        </w:tc>
                      </w:tr>
                      <w:tr w:rsidR="00452FBC" w14:paraId="1B894421"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07E1FE94"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12.責任消費與生產</w:t>
                            </w:r>
                          </w:p>
                        </w:tc>
                        <w:tc>
                          <w:tcPr>
                            <w:tcW w:w="992" w:type="dxa"/>
                            <w:tcBorders>
                              <w:top w:val="nil"/>
                              <w:left w:val="nil"/>
                              <w:bottom w:val="single" w:sz="4" w:space="0" w:color="auto"/>
                              <w:right w:val="single" w:sz="4" w:space="0" w:color="auto"/>
                            </w:tcBorders>
                            <w:noWrap/>
                            <w:vAlign w:val="center"/>
                            <w:hideMark/>
                          </w:tcPr>
                          <w:p w14:paraId="03F03A9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8" w:type="dxa"/>
                            <w:tcBorders>
                              <w:top w:val="nil"/>
                              <w:left w:val="nil"/>
                              <w:bottom w:val="single" w:sz="4" w:space="0" w:color="auto"/>
                              <w:right w:val="single" w:sz="4" w:space="0" w:color="auto"/>
                            </w:tcBorders>
                            <w:noWrap/>
                            <w:vAlign w:val="center"/>
                            <w:hideMark/>
                          </w:tcPr>
                          <w:p w14:paraId="3203E5D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p>
                        </w:tc>
                        <w:tc>
                          <w:tcPr>
                            <w:tcW w:w="709" w:type="dxa"/>
                            <w:tcBorders>
                              <w:top w:val="nil"/>
                              <w:left w:val="nil"/>
                              <w:bottom w:val="single" w:sz="4" w:space="0" w:color="auto"/>
                              <w:right w:val="single" w:sz="4" w:space="0" w:color="auto"/>
                            </w:tcBorders>
                            <w:noWrap/>
                            <w:vAlign w:val="center"/>
                            <w:hideMark/>
                          </w:tcPr>
                          <w:p w14:paraId="5A94DA58"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62.50</w:t>
                            </w:r>
                          </w:p>
                        </w:tc>
                      </w:tr>
                      <w:tr w:rsidR="00452FBC" w14:paraId="3D5D5A42"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7C075783"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13.氣候行動</w:t>
                            </w:r>
                          </w:p>
                        </w:tc>
                        <w:tc>
                          <w:tcPr>
                            <w:tcW w:w="992" w:type="dxa"/>
                            <w:tcBorders>
                              <w:top w:val="nil"/>
                              <w:left w:val="nil"/>
                              <w:bottom w:val="single" w:sz="4" w:space="0" w:color="auto"/>
                              <w:right w:val="single" w:sz="4" w:space="0" w:color="auto"/>
                            </w:tcBorders>
                            <w:noWrap/>
                            <w:vAlign w:val="center"/>
                            <w:hideMark/>
                          </w:tcPr>
                          <w:p w14:paraId="40B53F44"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4</w:t>
                            </w:r>
                          </w:p>
                        </w:tc>
                        <w:tc>
                          <w:tcPr>
                            <w:tcW w:w="708" w:type="dxa"/>
                            <w:tcBorders>
                              <w:top w:val="nil"/>
                              <w:left w:val="nil"/>
                              <w:bottom w:val="single" w:sz="4" w:space="0" w:color="auto"/>
                              <w:right w:val="single" w:sz="4" w:space="0" w:color="auto"/>
                            </w:tcBorders>
                            <w:noWrap/>
                            <w:vAlign w:val="center"/>
                            <w:hideMark/>
                          </w:tcPr>
                          <w:p w14:paraId="0448E527"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709" w:type="dxa"/>
                            <w:tcBorders>
                              <w:top w:val="nil"/>
                              <w:left w:val="nil"/>
                              <w:bottom w:val="single" w:sz="4" w:space="0" w:color="auto"/>
                              <w:right w:val="single" w:sz="4" w:space="0" w:color="auto"/>
                            </w:tcBorders>
                            <w:noWrap/>
                            <w:vAlign w:val="center"/>
                            <w:hideMark/>
                          </w:tcPr>
                          <w:p w14:paraId="7B8BCDA6"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w:t>
                            </w:r>
                          </w:p>
                        </w:tc>
                      </w:tr>
                      <w:tr w:rsidR="00452FBC" w14:paraId="6D7EBECA"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415C60AE"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14.海洋生態</w:t>
                            </w:r>
                          </w:p>
                        </w:tc>
                        <w:tc>
                          <w:tcPr>
                            <w:tcW w:w="992" w:type="dxa"/>
                            <w:tcBorders>
                              <w:top w:val="nil"/>
                              <w:left w:val="nil"/>
                              <w:bottom w:val="single" w:sz="4" w:space="0" w:color="auto"/>
                              <w:right w:val="single" w:sz="4" w:space="0" w:color="auto"/>
                            </w:tcBorders>
                            <w:noWrap/>
                            <w:vAlign w:val="center"/>
                            <w:hideMark/>
                          </w:tcPr>
                          <w:p w14:paraId="0FF5D0BA"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708" w:type="dxa"/>
                            <w:tcBorders>
                              <w:top w:val="nil"/>
                              <w:left w:val="nil"/>
                              <w:bottom w:val="single" w:sz="4" w:space="0" w:color="auto"/>
                              <w:right w:val="single" w:sz="4" w:space="0" w:color="auto"/>
                            </w:tcBorders>
                            <w:noWrap/>
                            <w:vAlign w:val="center"/>
                            <w:hideMark/>
                          </w:tcPr>
                          <w:p w14:paraId="6455170E"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2F6269BA"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50.00</w:t>
                            </w:r>
                          </w:p>
                        </w:tc>
                      </w:tr>
                      <w:tr w:rsidR="00452FBC" w14:paraId="62F0ADB1"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326A2A65"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15.陸地生態</w:t>
                            </w:r>
                          </w:p>
                        </w:tc>
                        <w:tc>
                          <w:tcPr>
                            <w:tcW w:w="992" w:type="dxa"/>
                            <w:tcBorders>
                              <w:top w:val="nil"/>
                              <w:left w:val="nil"/>
                              <w:bottom w:val="single" w:sz="4" w:space="0" w:color="auto"/>
                              <w:right w:val="single" w:sz="4" w:space="0" w:color="auto"/>
                            </w:tcBorders>
                            <w:noWrap/>
                            <w:vAlign w:val="center"/>
                            <w:hideMark/>
                          </w:tcPr>
                          <w:p w14:paraId="2DE9247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w:t>
                            </w:r>
                          </w:p>
                        </w:tc>
                        <w:tc>
                          <w:tcPr>
                            <w:tcW w:w="708" w:type="dxa"/>
                            <w:tcBorders>
                              <w:top w:val="nil"/>
                              <w:left w:val="nil"/>
                              <w:bottom w:val="single" w:sz="4" w:space="0" w:color="auto"/>
                              <w:right w:val="single" w:sz="4" w:space="0" w:color="auto"/>
                            </w:tcBorders>
                            <w:noWrap/>
                            <w:vAlign w:val="center"/>
                            <w:hideMark/>
                          </w:tcPr>
                          <w:p w14:paraId="64286615"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709" w:type="dxa"/>
                            <w:tcBorders>
                              <w:top w:val="nil"/>
                              <w:left w:val="nil"/>
                              <w:bottom w:val="single" w:sz="4" w:space="0" w:color="auto"/>
                              <w:right w:val="single" w:sz="4" w:space="0" w:color="auto"/>
                            </w:tcBorders>
                            <w:noWrap/>
                            <w:vAlign w:val="center"/>
                            <w:hideMark/>
                          </w:tcPr>
                          <w:p w14:paraId="7CE11BB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60.00</w:t>
                            </w:r>
                          </w:p>
                        </w:tc>
                      </w:tr>
                      <w:tr w:rsidR="00452FBC" w14:paraId="317D7650"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46444F52"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r>
                              <w:rPr>
                                <w:rFonts w:ascii="標楷體" w:eastAsia="標楷體" w:hAnsi="標楷體" w:cs="新細明體" w:hint="eastAsia"/>
                                <w:color w:val="000000"/>
                                <w:spacing w:val="-14"/>
                                <w:kern w:val="0"/>
                                <w:sz w:val="20"/>
                              </w:rPr>
                              <w:t>和平與正義制度</w:t>
                            </w:r>
                          </w:p>
                        </w:tc>
                        <w:tc>
                          <w:tcPr>
                            <w:tcW w:w="992" w:type="dxa"/>
                            <w:tcBorders>
                              <w:top w:val="nil"/>
                              <w:left w:val="nil"/>
                              <w:bottom w:val="single" w:sz="4" w:space="0" w:color="auto"/>
                              <w:right w:val="single" w:sz="4" w:space="0" w:color="auto"/>
                            </w:tcBorders>
                            <w:noWrap/>
                            <w:vAlign w:val="center"/>
                            <w:hideMark/>
                          </w:tcPr>
                          <w:p w14:paraId="45A3C578"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12</w:t>
                            </w:r>
                          </w:p>
                        </w:tc>
                        <w:tc>
                          <w:tcPr>
                            <w:tcW w:w="708" w:type="dxa"/>
                            <w:tcBorders>
                              <w:top w:val="nil"/>
                              <w:left w:val="nil"/>
                              <w:bottom w:val="single" w:sz="4" w:space="0" w:color="auto"/>
                              <w:right w:val="single" w:sz="4" w:space="0" w:color="auto"/>
                            </w:tcBorders>
                            <w:noWrap/>
                            <w:vAlign w:val="center"/>
                            <w:hideMark/>
                          </w:tcPr>
                          <w:p w14:paraId="36DB6DC7"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709" w:type="dxa"/>
                            <w:tcBorders>
                              <w:top w:val="nil"/>
                              <w:left w:val="nil"/>
                              <w:bottom w:val="single" w:sz="4" w:space="0" w:color="auto"/>
                              <w:right w:val="single" w:sz="4" w:space="0" w:color="auto"/>
                            </w:tcBorders>
                            <w:noWrap/>
                            <w:vAlign w:val="center"/>
                            <w:hideMark/>
                          </w:tcPr>
                          <w:p w14:paraId="1B0F3553"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50.00</w:t>
                            </w:r>
                          </w:p>
                        </w:tc>
                      </w:tr>
                      <w:tr w:rsidR="00452FBC" w14:paraId="490C07FA" w14:textId="77777777">
                        <w:trPr>
                          <w:trHeight w:val="20"/>
                        </w:trPr>
                        <w:tc>
                          <w:tcPr>
                            <w:tcW w:w="2127" w:type="dxa"/>
                            <w:tcBorders>
                              <w:top w:val="nil"/>
                              <w:left w:val="single" w:sz="4" w:space="0" w:color="auto"/>
                              <w:bottom w:val="single" w:sz="4" w:space="0" w:color="auto"/>
                              <w:right w:val="single" w:sz="4" w:space="0" w:color="auto"/>
                            </w:tcBorders>
                            <w:noWrap/>
                            <w:vAlign w:val="center"/>
                            <w:hideMark/>
                          </w:tcPr>
                          <w:p w14:paraId="3530A7A4" w14:textId="77777777" w:rsidR="00452FBC" w:rsidRDefault="00452FBC">
                            <w:pPr>
                              <w:widowControl/>
                              <w:spacing w:line="240" w:lineRule="exact"/>
                              <w:ind w:left="328" w:rightChars="-7" w:right="-17" w:hangingChars="164" w:hanging="328"/>
                              <w:rPr>
                                <w:rFonts w:ascii="標楷體" w:eastAsia="標楷體" w:hAnsi="標楷體" w:cs="新細明體"/>
                                <w:color w:val="000000"/>
                                <w:kern w:val="0"/>
                                <w:sz w:val="20"/>
                              </w:rPr>
                            </w:pPr>
                            <w:r>
                              <w:rPr>
                                <w:rFonts w:ascii="標楷體" w:eastAsia="標楷體" w:hAnsi="標楷體" w:cs="新細明體" w:hint="eastAsia"/>
                                <w:color w:val="000000"/>
                                <w:kern w:val="0"/>
                                <w:sz w:val="20"/>
                              </w:rPr>
                              <w:t>17.全球夥伴</w:t>
                            </w:r>
                          </w:p>
                        </w:tc>
                        <w:tc>
                          <w:tcPr>
                            <w:tcW w:w="992" w:type="dxa"/>
                            <w:tcBorders>
                              <w:top w:val="nil"/>
                              <w:left w:val="nil"/>
                              <w:bottom w:val="single" w:sz="4" w:space="0" w:color="auto"/>
                              <w:right w:val="single" w:sz="4" w:space="0" w:color="auto"/>
                            </w:tcBorders>
                            <w:noWrap/>
                            <w:vAlign w:val="center"/>
                            <w:hideMark/>
                          </w:tcPr>
                          <w:p w14:paraId="269C0A7B"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8" w:type="dxa"/>
                            <w:tcBorders>
                              <w:top w:val="nil"/>
                              <w:left w:val="nil"/>
                              <w:bottom w:val="single" w:sz="4" w:space="0" w:color="auto"/>
                              <w:right w:val="single" w:sz="4" w:space="0" w:color="auto"/>
                            </w:tcBorders>
                            <w:noWrap/>
                            <w:vAlign w:val="center"/>
                            <w:hideMark/>
                          </w:tcPr>
                          <w:p w14:paraId="4B4AEA99"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709" w:type="dxa"/>
                            <w:tcBorders>
                              <w:top w:val="nil"/>
                              <w:left w:val="nil"/>
                              <w:bottom w:val="single" w:sz="4" w:space="0" w:color="auto"/>
                              <w:right w:val="single" w:sz="4" w:space="0" w:color="auto"/>
                            </w:tcBorders>
                            <w:noWrap/>
                            <w:vAlign w:val="center"/>
                            <w:hideMark/>
                          </w:tcPr>
                          <w:p w14:paraId="1416C83A" w14:textId="77777777" w:rsidR="00452FBC" w:rsidRDefault="00452FBC">
                            <w:pPr>
                              <w:widowControl/>
                              <w:spacing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25.00</w:t>
                            </w:r>
                          </w:p>
                        </w:tc>
                      </w:tr>
                      <w:tr w:rsidR="00452FBC" w14:paraId="4B6BBDF7" w14:textId="77777777">
                        <w:trPr>
                          <w:trHeight w:val="20"/>
                        </w:trPr>
                        <w:tc>
                          <w:tcPr>
                            <w:tcW w:w="4536" w:type="dxa"/>
                            <w:gridSpan w:val="4"/>
                            <w:tcBorders>
                              <w:top w:val="single" w:sz="4" w:space="0" w:color="auto"/>
                              <w:left w:val="nil"/>
                              <w:bottom w:val="nil"/>
                              <w:right w:val="nil"/>
                            </w:tcBorders>
                            <w:noWrap/>
                            <w:vAlign w:val="bottom"/>
                            <w:hideMark/>
                          </w:tcPr>
                          <w:p w14:paraId="6D9AD06B" w14:textId="77777777" w:rsidR="00452FBC" w:rsidRDefault="00452FBC">
                            <w:pPr>
                              <w:widowControl/>
                              <w:spacing w:line="240" w:lineRule="exact"/>
                              <w:ind w:left="864" w:rightChars="-7" w:right="-17" w:hangingChars="480" w:hanging="864"/>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：1.資料時間：114年4</w:t>
                            </w:r>
                            <w:r>
                              <w:rPr>
                                <w:rFonts w:ascii="標楷體" w:eastAsia="標楷體" w:hAnsi="標楷體" w:cs="新細明體" w:hint="eastAsia"/>
                                <w:color w:val="000000" w:themeColor="text1"/>
                                <w:kern w:val="0"/>
                                <w:sz w:val="18"/>
                                <w:szCs w:val="18"/>
                              </w:rPr>
                              <w:t>月22日</w:t>
                            </w:r>
                            <w:r>
                              <w:rPr>
                                <w:rFonts w:ascii="標楷體" w:eastAsia="標楷體" w:hAnsi="標楷體" w:cs="新細明體" w:hint="eastAsia"/>
                                <w:kern w:val="0"/>
                                <w:sz w:val="18"/>
                                <w:szCs w:val="18"/>
                              </w:rPr>
                              <w:t>。</w:t>
                            </w:r>
                          </w:p>
                          <w:p w14:paraId="673A8777" w14:textId="77777777" w:rsidR="00452FBC" w:rsidRDefault="00452FBC" w:rsidP="00446DB2">
                            <w:pPr>
                              <w:widowControl/>
                              <w:spacing w:line="240" w:lineRule="exact"/>
                              <w:ind w:leftChars="150" w:left="540" w:rightChars="-7" w:right="-17" w:hangingChars="100" w:hanging="18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2.資料來源：整理自「Sustainable Development Report 2024」及</w:t>
                            </w:r>
                            <w:r w:rsidRPr="005E601A">
                              <w:rPr>
                                <w:rFonts w:ascii="標楷體" w:eastAsia="標楷體" w:hAnsi="標楷體" w:cs="新細明體" w:hint="eastAsia"/>
                                <w:color w:val="000000"/>
                                <w:kern w:val="0"/>
                                <w:sz w:val="18"/>
                                <w:szCs w:val="18"/>
                              </w:rPr>
                              <w:t>行政院國家永續發展委員會</w:t>
                            </w:r>
                            <w:r>
                              <w:rPr>
                                <w:rFonts w:ascii="標楷體" w:eastAsia="標楷體" w:hAnsi="標楷體" w:cs="新細明體" w:hint="eastAsia"/>
                                <w:color w:val="000000"/>
                                <w:kern w:val="0"/>
                                <w:sz w:val="18"/>
                                <w:szCs w:val="18"/>
                              </w:rPr>
                              <w:t>國際連結專區資料</w:t>
                            </w:r>
                            <w:r>
                              <w:rPr>
                                <w:rFonts w:ascii="標楷體" w:eastAsia="標楷體" w:hAnsi="標楷體" w:cs="新細明體" w:hint="eastAsia"/>
                                <w:color w:val="000000"/>
                                <w:kern w:val="0"/>
                                <w:sz w:val="16"/>
                                <w:szCs w:val="16"/>
                              </w:rPr>
                              <w:t>。</w:t>
                            </w:r>
                          </w:p>
                        </w:tc>
                      </w:tr>
                    </w:tbl>
                    <w:p w14:paraId="7F638F7B" w14:textId="77777777" w:rsidR="00452FBC" w:rsidRDefault="00452FBC" w:rsidP="00452FBC">
                      <w:pPr>
                        <w:spacing w:line="240" w:lineRule="exact"/>
                        <w:jc w:val="center"/>
                        <w:rPr>
                          <w:sz w:val="22"/>
                          <w:szCs w:val="18"/>
                        </w:rPr>
                      </w:pPr>
                    </w:p>
                  </w:txbxContent>
                </v:textbox>
                <w10:wrap type="tight" anchorx="margin"/>
              </v:shape>
            </w:pict>
          </mc:Fallback>
        </mc:AlternateContent>
      </w:r>
      <w:r>
        <w:rPr>
          <w:rFonts w:ascii="標楷體" w:eastAsia="標楷體" w:hAnsi="標楷體" w:cs="標楷體" w:hint="eastAsia"/>
          <w:kern w:val="52"/>
          <w:szCs w:val="32"/>
        </w:rPr>
        <w:t>等7項SDGs（表3），各SDGs可接軌指標比率</w:t>
      </w:r>
      <w:proofErr w:type="gramStart"/>
      <w:r>
        <w:rPr>
          <w:rFonts w:ascii="標楷體" w:eastAsia="標楷體" w:hAnsi="標楷體" w:cs="標楷體" w:hint="eastAsia"/>
          <w:kern w:val="52"/>
          <w:szCs w:val="32"/>
        </w:rPr>
        <w:t>差異頗巨</w:t>
      </w:r>
      <w:proofErr w:type="gramEnd"/>
      <w:r>
        <w:rPr>
          <w:rFonts w:ascii="標楷體" w:eastAsia="標楷體" w:hAnsi="標楷體" w:cs="標楷體" w:hint="eastAsia"/>
          <w:kern w:val="52"/>
          <w:szCs w:val="32"/>
        </w:rPr>
        <w:t>，不利政府推動永續發展執行成果之國際比較等情事，經</w:t>
      </w:r>
      <w:proofErr w:type="gramStart"/>
      <w:r>
        <w:rPr>
          <w:rFonts w:ascii="標楷體" w:eastAsia="標楷體" w:hAnsi="標楷體" w:cs="標楷體" w:hint="eastAsia"/>
          <w:kern w:val="52"/>
          <w:szCs w:val="32"/>
        </w:rPr>
        <w:t>函請永續會</w:t>
      </w:r>
      <w:proofErr w:type="gramEnd"/>
      <w:r>
        <w:rPr>
          <w:rFonts w:ascii="標楷體" w:eastAsia="標楷體" w:hAnsi="標楷體" w:cs="標楷體" w:hint="eastAsia"/>
          <w:kern w:val="52"/>
          <w:szCs w:val="32"/>
        </w:rPr>
        <w:t>督促各目標之主辦單位，參酌鄰近先進國家改善數據經驗，</w:t>
      </w:r>
      <w:proofErr w:type="gramStart"/>
      <w:r>
        <w:rPr>
          <w:rFonts w:ascii="標楷體" w:eastAsia="標楷體" w:hAnsi="標楷體" w:cs="標楷體" w:hint="eastAsia"/>
          <w:kern w:val="52"/>
          <w:szCs w:val="32"/>
        </w:rPr>
        <w:t>賡續精</w:t>
      </w:r>
      <w:proofErr w:type="gramEnd"/>
      <w:r>
        <w:rPr>
          <w:rFonts w:ascii="標楷體" w:eastAsia="標楷體" w:hAnsi="標楷體" w:cs="標楷體" w:hint="eastAsia"/>
          <w:kern w:val="52"/>
          <w:szCs w:val="32"/>
        </w:rPr>
        <w:t>進我國相關數據接軌SDSN國際指標之數據蒐集統計作業，提升可接軌指標比率，以接軌國際推動進程並聚焦執行成效。據復：（1）永續會已於2025年啟動臺灣永續發展核心目標、具體目標及對應指標修正作業，刻正由各核心目標主政部會進行檢討作業，其中接軌國際指標方面，包括接軌聯合國SDGs或SDSN指標，有助提升國際指標</w:t>
      </w:r>
      <w:proofErr w:type="gramStart"/>
      <w:r>
        <w:rPr>
          <w:rFonts w:ascii="標楷體" w:eastAsia="標楷體" w:hAnsi="標楷體" w:cs="標楷體" w:hint="eastAsia"/>
          <w:kern w:val="52"/>
          <w:szCs w:val="32"/>
        </w:rPr>
        <w:t>接軌率</w:t>
      </w:r>
      <w:proofErr w:type="gramEnd"/>
      <w:r>
        <w:rPr>
          <w:rFonts w:ascii="標楷體" w:eastAsia="標楷體" w:hAnsi="標楷體" w:cs="標楷體" w:hint="eastAsia"/>
          <w:kern w:val="52"/>
          <w:szCs w:val="32"/>
        </w:rPr>
        <w:t>；（2）檢討作業將依「參考聯合國永續發展精神，提升國際可比性」、「扣合政策方向與我國國情，落實政策連結性」與「目標值設定須具挑戰性與可衡量性」3大原則進行全面檢視，並邀請學者專家共同參與，以利我國永續發展推動成果與國際接軌。</w:t>
      </w:r>
    </w:p>
    <w:p w14:paraId="10CF0EAF" w14:textId="0BD567DE" w:rsidR="00FD3E36" w:rsidRPr="00A70EF2" w:rsidRDefault="00FD3E36" w:rsidP="00DB403E">
      <w:pPr>
        <w:kinsoku w:val="0"/>
        <w:overflowPunct w:val="0"/>
        <w:spacing w:beforeLines="20" w:before="72" w:afterLines="20" w:after="72" w:line="440" w:lineRule="exact"/>
        <w:ind w:firstLineChars="200" w:firstLine="561"/>
        <w:jc w:val="both"/>
        <w:outlineLvl w:val="1"/>
        <w:rPr>
          <w:rFonts w:ascii="標楷體" w:eastAsia="標楷體" w:hAnsi="標楷體"/>
          <w:b/>
          <w:bCs/>
          <w:snapToGrid w:val="0"/>
          <w:kern w:val="0"/>
          <w:sz w:val="28"/>
          <w:szCs w:val="32"/>
        </w:rPr>
      </w:pPr>
      <w:r w:rsidRPr="00A70EF2">
        <w:rPr>
          <w:rFonts w:ascii="標楷體" w:eastAsia="標楷體" w:hAnsi="標楷體" w:hint="eastAsia"/>
          <w:b/>
          <w:bCs/>
          <w:snapToGrid w:val="0"/>
          <w:kern w:val="0"/>
          <w:sz w:val="28"/>
          <w:szCs w:val="32"/>
        </w:rPr>
        <w:t>（二）</w:t>
      </w:r>
      <w:r w:rsidRPr="00A70EF2">
        <w:rPr>
          <w:rFonts w:ascii="標楷體" w:eastAsia="標楷體" w:hAnsi="標楷體" w:hint="eastAsia"/>
          <w:b/>
          <w:bCs/>
          <w:snapToGrid w:val="0"/>
          <w:kern w:val="0"/>
          <w:szCs w:val="28"/>
        </w:rPr>
        <w:t xml:space="preserve">　</w:t>
      </w:r>
      <w:r w:rsidRPr="00A70EF2">
        <w:rPr>
          <w:rFonts w:ascii="標楷體" w:eastAsia="標楷體" w:hAnsi="標楷體" w:hint="eastAsia"/>
          <w:b/>
          <w:color w:val="000000" w:themeColor="text1"/>
          <w:sz w:val="28"/>
          <w:szCs w:val="28"/>
        </w:rPr>
        <w:t>政府為回應聯合國</w:t>
      </w:r>
      <w:r w:rsidR="008574C9">
        <w:rPr>
          <w:rFonts w:ascii="標楷體" w:eastAsia="標楷體" w:hAnsi="標楷體" w:hint="eastAsia"/>
          <w:b/>
          <w:color w:val="000000" w:themeColor="text1"/>
          <w:sz w:val="28"/>
          <w:szCs w:val="28"/>
        </w:rPr>
        <w:t>永續發展</w:t>
      </w:r>
      <w:r w:rsidRPr="00A70EF2">
        <w:rPr>
          <w:rFonts w:ascii="標楷體" w:eastAsia="標楷體" w:hAnsi="標楷體" w:hint="eastAsia"/>
          <w:b/>
          <w:color w:val="000000" w:themeColor="text1"/>
          <w:sz w:val="28"/>
          <w:szCs w:val="28"/>
        </w:rPr>
        <w:t>倡議，提出2次國家自願檢視報告，惟第2次國家自願檢視報告呈現指標</w:t>
      </w:r>
      <w:r w:rsidR="008574C9">
        <w:rPr>
          <w:rFonts w:ascii="標楷體" w:eastAsia="標楷體" w:hAnsi="標楷體" w:hint="eastAsia"/>
          <w:b/>
          <w:color w:val="000000" w:themeColor="text1"/>
          <w:sz w:val="28"/>
          <w:szCs w:val="28"/>
        </w:rPr>
        <w:t>比率</w:t>
      </w:r>
      <w:r w:rsidRPr="00A70EF2">
        <w:rPr>
          <w:rFonts w:ascii="標楷體" w:eastAsia="標楷體" w:hAnsi="標楷體" w:hint="eastAsia"/>
          <w:b/>
          <w:color w:val="000000" w:themeColor="text1"/>
          <w:sz w:val="28"/>
          <w:szCs w:val="28"/>
        </w:rPr>
        <w:t>較先進國家尚有努力提升空間，</w:t>
      </w:r>
      <w:r w:rsidRPr="0061200D">
        <w:rPr>
          <w:rFonts w:ascii="標楷體" w:eastAsia="標楷體" w:hAnsi="標楷體" w:hint="eastAsia"/>
          <w:b/>
          <w:color w:val="000000" w:themeColor="text1"/>
          <w:sz w:val="28"/>
          <w:szCs w:val="28"/>
        </w:rPr>
        <w:t>另</w:t>
      </w:r>
      <w:r w:rsidR="009C5D44" w:rsidRPr="0061200D">
        <w:rPr>
          <w:rFonts w:ascii="標楷體" w:eastAsia="標楷體" w:hAnsi="標楷體" w:hint="eastAsia"/>
          <w:b/>
          <w:color w:val="000000" w:themeColor="text1"/>
          <w:sz w:val="28"/>
          <w:szCs w:val="28"/>
        </w:rPr>
        <w:t>中央部會</w:t>
      </w:r>
      <w:r w:rsidRPr="0061200D">
        <w:rPr>
          <w:rFonts w:ascii="標楷體" w:eastAsia="標楷體" w:hAnsi="標楷體" w:hint="eastAsia"/>
          <w:b/>
          <w:color w:val="000000" w:themeColor="text1"/>
          <w:sz w:val="28"/>
          <w:szCs w:val="28"/>
        </w:rPr>
        <w:t>自</w:t>
      </w:r>
      <w:proofErr w:type="gramStart"/>
      <w:r w:rsidRPr="0061200D">
        <w:rPr>
          <w:rFonts w:ascii="標楷體" w:eastAsia="標楷體" w:hAnsi="標楷體" w:hint="eastAsia"/>
          <w:b/>
          <w:color w:val="000000" w:themeColor="text1"/>
          <w:sz w:val="28"/>
          <w:szCs w:val="28"/>
        </w:rPr>
        <w:t>110</w:t>
      </w:r>
      <w:proofErr w:type="gramEnd"/>
      <w:r w:rsidRPr="0061200D">
        <w:rPr>
          <w:rFonts w:ascii="標楷體" w:eastAsia="標楷體" w:hAnsi="標楷體" w:hint="eastAsia"/>
          <w:b/>
          <w:color w:val="000000" w:themeColor="text1"/>
          <w:sz w:val="28"/>
          <w:szCs w:val="28"/>
        </w:rPr>
        <w:t>年度起推動檢視永續發展推動情形，提出自願檢視報告，惟部分機關尚未編製、揭露內容存有不一或揭露永續發展目標辦理項目過於簡略等情，</w:t>
      </w:r>
      <w:r w:rsidRPr="00A70EF2">
        <w:rPr>
          <w:rFonts w:ascii="標楷體" w:eastAsia="標楷體" w:hAnsi="標楷體" w:hint="eastAsia"/>
          <w:b/>
          <w:color w:val="000000" w:themeColor="text1"/>
          <w:sz w:val="28"/>
          <w:szCs w:val="28"/>
        </w:rPr>
        <w:t>允宜</w:t>
      </w:r>
      <w:proofErr w:type="gramStart"/>
      <w:r w:rsidRPr="00A70EF2">
        <w:rPr>
          <w:rFonts w:ascii="標楷體" w:eastAsia="標楷體" w:hAnsi="標楷體" w:hint="eastAsia"/>
          <w:b/>
          <w:color w:val="000000" w:themeColor="text1"/>
          <w:sz w:val="28"/>
          <w:szCs w:val="28"/>
        </w:rPr>
        <w:t>研</w:t>
      </w:r>
      <w:proofErr w:type="gramEnd"/>
      <w:r w:rsidRPr="00A70EF2">
        <w:rPr>
          <w:rFonts w:ascii="標楷體" w:eastAsia="標楷體" w:hAnsi="標楷體" w:hint="eastAsia"/>
          <w:b/>
          <w:color w:val="000000" w:themeColor="text1"/>
          <w:sz w:val="28"/>
          <w:szCs w:val="28"/>
        </w:rPr>
        <w:t>謀借</w:t>
      </w:r>
      <w:proofErr w:type="gramStart"/>
      <w:r w:rsidRPr="00A70EF2">
        <w:rPr>
          <w:rFonts w:ascii="標楷體" w:eastAsia="標楷體" w:hAnsi="標楷體" w:hint="eastAsia"/>
          <w:b/>
          <w:color w:val="000000" w:themeColor="text1"/>
          <w:sz w:val="28"/>
          <w:szCs w:val="28"/>
        </w:rPr>
        <w:t>鑑</w:t>
      </w:r>
      <w:proofErr w:type="gramEnd"/>
      <w:r w:rsidRPr="00A70EF2">
        <w:rPr>
          <w:rFonts w:ascii="標楷體" w:eastAsia="標楷體" w:hAnsi="標楷體" w:hint="eastAsia"/>
          <w:b/>
          <w:color w:val="000000" w:themeColor="text1"/>
          <w:sz w:val="28"/>
          <w:szCs w:val="28"/>
        </w:rPr>
        <w:t>先進國家作法，</w:t>
      </w:r>
      <w:r w:rsidR="009C5D44">
        <w:rPr>
          <w:rFonts w:ascii="標楷體" w:eastAsia="標楷體" w:hAnsi="標楷體" w:hint="eastAsia"/>
          <w:b/>
          <w:color w:val="000000" w:themeColor="text1"/>
          <w:sz w:val="28"/>
          <w:szCs w:val="28"/>
        </w:rPr>
        <w:t>並督促中央部會妥善編製自願檢視報告，</w:t>
      </w:r>
      <w:r w:rsidRPr="00A70EF2">
        <w:rPr>
          <w:rFonts w:ascii="標楷體" w:eastAsia="標楷體" w:hAnsi="標楷體" w:hint="eastAsia"/>
          <w:b/>
          <w:color w:val="000000" w:themeColor="text1"/>
          <w:sz w:val="28"/>
          <w:szCs w:val="28"/>
        </w:rPr>
        <w:t>以展現政府推動永續發展執行成果。</w:t>
      </w:r>
    </w:p>
    <w:p w14:paraId="249579AD" w14:textId="21E81D31" w:rsidR="002D4020" w:rsidRDefault="009C5D44" w:rsidP="00BD5EF0">
      <w:pPr>
        <w:overflowPunct w:val="0"/>
        <w:adjustRightInd w:val="0"/>
        <w:snapToGrid w:val="0"/>
        <w:spacing w:line="430" w:lineRule="exact"/>
        <w:ind w:firstLineChars="200" w:firstLine="480"/>
        <w:jc w:val="both"/>
        <w:rPr>
          <w:rFonts w:ascii="標楷體" w:eastAsia="標楷體" w:hAnsi="標楷體"/>
          <w:szCs w:val="32"/>
        </w:rPr>
      </w:pPr>
      <w:r w:rsidRPr="008017B6">
        <w:rPr>
          <w:rFonts w:ascii="標楷體" w:eastAsia="標楷體" w:hAnsi="標楷體" w:hint="eastAsia"/>
          <w:szCs w:val="32"/>
        </w:rPr>
        <w:t>行政院國家永續發展委員會（下稱永續會）</w:t>
      </w:r>
      <w:r w:rsidR="00207478" w:rsidRPr="00BD5EF0">
        <w:rPr>
          <w:rFonts w:ascii="標楷體" w:eastAsia="標楷體" w:hAnsi="標楷體" w:hint="eastAsia"/>
          <w:szCs w:val="32"/>
        </w:rPr>
        <w:t>為呼應聯合國2030永續發展議程第47點及第84點鼓勵各國與各級政府積極進行永續發展執行情形之自願檢視與分享，於第32次委員會議決議，行政院自</w:t>
      </w:r>
      <w:proofErr w:type="gramStart"/>
      <w:r w:rsidR="00207478" w:rsidRPr="00BD5EF0">
        <w:rPr>
          <w:rFonts w:ascii="標楷體" w:eastAsia="標楷體" w:hAnsi="標楷體" w:hint="eastAsia"/>
          <w:szCs w:val="32"/>
        </w:rPr>
        <w:t>111</w:t>
      </w:r>
      <w:proofErr w:type="gramEnd"/>
      <w:r w:rsidR="00207478" w:rsidRPr="00BD5EF0">
        <w:rPr>
          <w:rFonts w:ascii="標楷體" w:eastAsia="標楷體" w:hAnsi="標楷體" w:hint="eastAsia"/>
          <w:szCs w:val="32"/>
        </w:rPr>
        <w:t xml:space="preserve">年度起，每4年提出國家自願檢視報告（Voluntary National </w:t>
      </w:r>
      <w:proofErr w:type="spellStart"/>
      <w:r w:rsidR="00207478" w:rsidRPr="00BD5EF0">
        <w:rPr>
          <w:rFonts w:ascii="標楷體" w:eastAsia="標楷體" w:hAnsi="標楷體" w:hint="eastAsia"/>
          <w:szCs w:val="32"/>
        </w:rPr>
        <w:t>Review,VNR</w:t>
      </w:r>
      <w:proofErr w:type="spellEnd"/>
      <w:r w:rsidR="00207478" w:rsidRPr="00BD5EF0">
        <w:rPr>
          <w:rFonts w:ascii="標楷體" w:eastAsia="標楷體" w:hAnsi="標楷體" w:hint="eastAsia"/>
          <w:szCs w:val="32"/>
        </w:rPr>
        <w:t xml:space="preserve">），永續會並推動行政院所屬二級機關試編政府部會自願檢視報告（Voluntary Department </w:t>
      </w:r>
      <w:proofErr w:type="spellStart"/>
      <w:r w:rsidR="00207478" w:rsidRPr="00BD5EF0">
        <w:rPr>
          <w:rFonts w:ascii="標楷體" w:eastAsia="標楷體" w:hAnsi="標楷體" w:hint="eastAsia"/>
          <w:szCs w:val="32"/>
        </w:rPr>
        <w:t>Reviews,VDR</w:t>
      </w:r>
      <w:proofErr w:type="spellEnd"/>
      <w:r w:rsidR="00207478" w:rsidRPr="00BD5EF0">
        <w:rPr>
          <w:rFonts w:ascii="標楷體" w:eastAsia="標楷體" w:hAnsi="標楷體" w:hint="eastAsia"/>
          <w:szCs w:val="32"/>
        </w:rPr>
        <w:t>），作為編製國家自願檢視報告之參考資料，地方政府亦</w:t>
      </w:r>
      <w:proofErr w:type="gramStart"/>
      <w:r w:rsidR="00207478" w:rsidRPr="00BD5EF0">
        <w:rPr>
          <w:rFonts w:ascii="標楷體" w:eastAsia="標楷體" w:hAnsi="標楷體" w:hint="eastAsia"/>
          <w:szCs w:val="32"/>
        </w:rPr>
        <w:t>自願性編製</w:t>
      </w:r>
      <w:proofErr w:type="gramEnd"/>
      <w:r w:rsidR="00207478" w:rsidRPr="00BD5EF0">
        <w:rPr>
          <w:rFonts w:ascii="標楷體" w:eastAsia="標楷體" w:hAnsi="標楷體" w:hint="eastAsia"/>
          <w:szCs w:val="32"/>
        </w:rPr>
        <w:t>地方自願檢視報告，</w:t>
      </w:r>
      <w:r w:rsidRPr="008017B6">
        <w:rPr>
          <w:rFonts w:ascii="標楷體" w:eastAsia="標楷體" w:hAnsi="標楷體" w:hint="eastAsia"/>
          <w:szCs w:val="32"/>
        </w:rPr>
        <w:t>以回應聯合國倡議。經查我國編製VNR及</w:t>
      </w:r>
      <w:r w:rsidR="00732667">
        <w:rPr>
          <w:rFonts w:ascii="標楷體" w:eastAsia="標楷體" w:hAnsi="標楷體" w:hint="eastAsia"/>
          <w:szCs w:val="32"/>
        </w:rPr>
        <w:t>行政院所屬二級機關</w:t>
      </w:r>
      <w:r w:rsidR="00732667">
        <w:rPr>
          <w:rFonts w:ascii="標楷體" w:eastAsia="標楷體" w:hAnsi="標楷體"/>
          <w:szCs w:val="32"/>
        </w:rPr>
        <w:t>VDR</w:t>
      </w:r>
      <w:r w:rsidR="00732667">
        <w:rPr>
          <w:rFonts w:ascii="標楷體" w:eastAsia="標楷體" w:hAnsi="標楷體" w:hint="eastAsia"/>
          <w:szCs w:val="32"/>
        </w:rPr>
        <w:t>編製</w:t>
      </w:r>
      <w:r w:rsidRPr="008017B6">
        <w:rPr>
          <w:rFonts w:ascii="標楷體" w:eastAsia="標楷體" w:hAnsi="標楷體" w:hint="eastAsia"/>
          <w:szCs w:val="32"/>
        </w:rPr>
        <w:t>情形，核有下列事項：</w:t>
      </w:r>
    </w:p>
    <w:p w14:paraId="1551169F" w14:textId="454A1C36" w:rsidR="00A45436" w:rsidRPr="00013457" w:rsidRDefault="00975A5D" w:rsidP="001D3959">
      <w:pPr>
        <w:overflowPunct w:val="0"/>
        <w:adjustRightInd w:val="0"/>
        <w:snapToGrid w:val="0"/>
        <w:spacing w:line="420" w:lineRule="exact"/>
        <w:ind w:firstLineChars="450" w:firstLine="1081"/>
        <w:jc w:val="both"/>
        <w:rPr>
          <w:rFonts w:ascii="標楷體" w:eastAsia="標楷體" w:hAnsi="標楷體"/>
          <w:b/>
          <w:bCs/>
          <w:snapToGrid w:val="0"/>
          <w:kern w:val="0"/>
          <w:sz w:val="28"/>
          <w:szCs w:val="32"/>
        </w:rPr>
      </w:pPr>
      <w:r>
        <w:rPr>
          <w:rFonts w:ascii="標楷體" w:eastAsia="標楷體" w:hAnsi="標楷體" w:cs="標楷體" w:hint="eastAsia"/>
          <w:b/>
          <w:kern w:val="52"/>
          <w:szCs w:val="32"/>
        </w:rPr>
        <w:t>1.　政府已提出2次VNR，惟第2次VNR呈現指標比率約</w:t>
      </w:r>
      <w:proofErr w:type="gramStart"/>
      <w:r>
        <w:rPr>
          <w:rFonts w:ascii="標楷體" w:eastAsia="標楷體" w:hAnsi="標楷體" w:cs="標楷體" w:hint="eastAsia"/>
          <w:b/>
          <w:kern w:val="52"/>
          <w:szCs w:val="32"/>
        </w:rPr>
        <w:t>2成</w:t>
      </w:r>
      <w:proofErr w:type="gramEnd"/>
      <w:r>
        <w:rPr>
          <w:rFonts w:ascii="標楷體" w:eastAsia="標楷體" w:hAnsi="標楷體" w:cs="標楷體" w:hint="eastAsia"/>
          <w:b/>
          <w:kern w:val="52"/>
          <w:szCs w:val="32"/>
        </w:rPr>
        <w:t>餘，較先進國家尚有努</w:t>
      </w:r>
      <w:r>
        <w:rPr>
          <w:rFonts w:ascii="標楷體" w:eastAsia="標楷體" w:hAnsi="標楷體" w:cs="標楷體" w:hint="eastAsia"/>
          <w:b/>
          <w:kern w:val="52"/>
          <w:szCs w:val="32"/>
        </w:rPr>
        <w:lastRenderedPageBreak/>
        <w:t>力提升空間，且相關文宣不利直接瞭解與閱讀：</w:t>
      </w:r>
      <w:r>
        <w:rPr>
          <w:rFonts w:ascii="標楷體" w:eastAsia="標楷體" w:hAnsi="標楷體" w:cs="標楷體" w:hint="eastAsia"/>
          <w:kern w:val="52"/>
          <w:szCs w:val="32"/>
        </w:rPr>
        <w:t>我國為接軌國際，經參考聯合國高階政治論壇（High-level Political Forum, HLPF）自願性國家檢視準備手冊</w:t>
      </w:r>
      <w:r w:rsidR="000A70C4">
        <w:rPr>
          <w:rFonts w:ascii="標楷體" w:eastAsia="標楷體" w:hAnsi="標楷體" w:cs="標楷體" w:hint="eastAsia"/>
          <w:kern w:val="52"/>
          <w:szCs w:val="32"/>
        </w:rPr>
        <w:t>（</w:t>
      </w:r>
      <w:r>
        <w:rPr>
          <w:rFonts w:ascii="標楷體" w:eastAsia="標楷體" w:hAnsi="標楷體" w:cs="標楷體" w:hint="eastAsia"/>
          <w:kern w:val="52"/>
          <w:szCs w:val="32"/>
        </w:rPr>
        <w:t>Handbook for the Preparation of Voluntary National Reviews</w:t>
      </w:r>
      <w:r w:rsidR="000A70C4">
        <w:rPr>
          <w:rFonts w:ascii="標楷體" w:eastAsia="標楷體" w:hAnsi="標楷體" w:cs="標楷體" w:hint="eastAsia"/>
          <w:kern w:val="52"/>
          <w:szCs w:val="32"/>
        </w:rPr>
        <w:t>）</w:t>
      </w:r>
      <w:r>
        <w:rPr>
          <w:rFonts w:ascii="標楷體" w:eastAsia="標楷體" w:hAnsi="標楷體" w:cs="標楷體" w:hint="eastAsia"/>
          <w:kern w:val="52"/>
          <w:szCs w:val="32"/>
        </w:rPr>
        <w:t>，於106年9月首次提出VNR，復為檢視政府落實臺灣永續發展目標進程，永續會於第32次委員會議</w:t>
      </w:r>
      <w:r w:rsidR="00D364F8">
        <w:rPr>
          <w:rFonts w:ascii="標楷體" w:eastAsia="標楷體" w:hAnsi="標楷體" w:cs="標楷體" w:hint="eastAsia"/>
          <w:kern w:val="52"/>
          <w:szCs w:val="32"/>
        </w:rPr>
        <w:t>（</w:t>
      </w:r>
      <w:r>
        <w:rPr>
          <w:rFonts w:ascii="標楷體" w:eastAsia="標楷體" w:hAnsi="標楷體" w:cs="標楷體" w:hint="eastAsia"/>
          <w:kern w:val="52"/>
          <w:szCs w:val="32"/>
        </w:rPr>
        <w:t>109年11月19日）決議自111年起每4年提出VNR。經查VNR編製情形，核有：（1）我國111年間提出第2次VNR，係參考聯合國、德國及日本等國家VNR架構，訂定指標篩選原則，惟為協助國際瞭解我國永續發展進程之執行成果，尚另訂國際關注之補充指標，且呈現階段性成果之指標比率約</w:t>
      </w:r>
      <w:proofErr w:type="gramStart"/>
      <w:r>
        <w:rPr>
          <w:rFonts w:ascii="標楷體" w:eastAsia="標楷體" w:hAnsi="標楷體" w:cs="標楷體" w:hint="eastAsia"/>
          <w:kern w:val="52"/>
          <w:szCs w:val="32"/>
        </w:rPr>
        <w:t>2成</w:t>
      </w:r>
      <w:proofErr w:type="gramEnd"/>
      <w:r>
        <w:rPr>
          <w:rFonts w:ascii="標楷體" w:eastAsia="標楷體" w:hAnsi="標楷體" w:cs="標楷體" w:hint="eastAsia"/>
          <w:kern w:val="52"/>
          <w:szCs w:val="32"/>
        </w:rPr>
        <w:t>餘，經檢視芬蘭（2020年）、德國（2021年）、日本（2021年）及新加坡</w:t>
      </w:r>
      <w:r w:rsidR="000A70C4">
        <w:rPr>
          <w:rFonts w:ascii="標楷體" w:eastAsia="標楷體" w:hAnsi="標楷體" w:cs="標楷體" w:hint="eastAsia"/>
          <w:kern w:val="52"/>
          <w:szCs w:val="32"/>
        </w:rPr>
        <w:t>（</w:t>
      </w:r>
      <w:r>
        <w:rPr>
          <w:rFonts w:ascii="標楷體" w:eastAsia="標楷體" w:hAnsi="標楷體" w:cs="標楷體" w:hint="eastAsia"/>
          <w:kern w:val="52"/>
          <w:szCs w:val="32"/>
        </w:rPr>
        <w:t>2023年</w:t>
      </w:r>
      <w:r w:rsidR="000A70C4">
        <w:rPr>
          <w:rFonts w:ascii="標楷體" w:eastAsia="標楷體" w:hAnsi="標楷體" w:cs="標楷體" w:hint="eastAsia"/>
          <w:kern w:val="52"/>
          <w:szCs w:val="32"/>
        </w:rPr>
        <w:t>）</w:t>
      </w:r>
      <w:r>
        <w:rPr>
          <w:rFonts w:ascii="標楷體" w:eastAsia="標楷體" w:hAnsi="標楷體" w:cs="標楷體" w:hint="eastAsia"/>
          <w:kern w:val="52"/>
          <w:szCs w:val="32"/>
        </w:rPr>
        <w:t>等國家提交之VNR，發現其中芬蘭2020年VNR及新加坡2023年VNR係直接採取聯合國SDGs之指標進行全面檢視，日本2021年VNR及德國2021年VNR則採取部分檢視聯合國SDGs指標，比率分別為55.87％及30.24％，我國第2次VNR檢視指標比率尚屬偏低，仍有努力提升空間；</w:t>
      </w:r>
      <w:r w:rsidR="00D364F8">
        <w:rPr>
          <w:rFonts w:ascii="標楷體" w:eastAsia="標楷體" w:hAnsi="標楷體" w:cs="標楷體" w:hint="eastAsia"/>
          <w:kern w:val="52"/>
          <w:szCs w:val="32"/>
        </w:rPr>
        <w:t>（</w:t>
      </w:r>
      <w:r>
        <w:rPr>
          <w:rFonts w:ascii="標楷體" w:eastAsia="標楷體" w:hAnsi="標楷體" w:cs="標楷體" w:hint="eastAsia"/>
          <w:kern w:val="52"/>
          <w:szCs w:val="32"/>
        </w:rPr>
        <w:t>2</w:t>
      </w:r>
      <w:r w:rsidR="00D364F8">
        <w:rPr>
          <w:rFonts w:ascii="標楷體" w:eastAsia="標楷體" w:hAnsi="標楷體" w:cs="標楷體" w:hint="eastAsia"/>
          <w:kern w:val="52"/>
          <w:szCs w:val="32"/>
        </w:rPr>
        <w:t>）</w:t>
      </w:r>
      <w:r>
        <w:rPr>
          <w:rFonts w:ascii="標楷體" w:eastAsia="標楷體" w:hAnsi="標楷體" w:cs="標楷體" w:hint="eastAsia"/>
          <w:kern w:val="52"/>
          <w:szCs w:val="32"/>
        </w:rPr>
        <w:t>永續會網站登載第2次VNR相關文宣，並設有QR Code連結，惟經掃描結果，尚須逐一搜尋檢視，不利直接瞭解與閱讀臺灣永續發展目標對應指標之整體階段成果等情事，</w:t>
      </w:r>
      <w:proofErr w:type="gramStart"/>
      <w:r>
        <w:rPr>
          <w:rFonts w:ascii="標楷體" w:eastAsia="標楷體" w:hAnsi="標楷體" w:cs="標楷體" w:hint="eastAsia"/>
          <w:kern w:val="52"/>
          <w:szCs w:val="32"/>
        </w:rPr>
        <w:t>鑑</w:t>
      </w:r>
      <w:proofErr w:type="gramEnd"/>
      <w:r>
        <w:rPr>
          <w:rFonts w:ascii="標楷體" w:eastAsia="標楷體" w:hAnsi="標楷體" w:cs="標楷體" w:hint="eastAsia"/>
          <w:kern w:val="52"/>
          <w:szCs w:val="32"/>
        </w:rPr>
        <w:t>於第3次VNR預計於115年間提出，經</w:t>
      </w:r>
      <w:proofErr w:type="gramStart"/>
      <w:r>
        <w:rPr>
          <w:rFonts w:ascii="標楷體" w:eastAsia="標楷體" w:hAnsi="標楷體" w:cs="標楷體" w:hint="eastAsia"/>
          <w:kern w:val="52"/>
          <w:szCs w:val="32"/>
        </w:rPr>
        <w:t>函請永續會賡</w:t>
      </w:r>
      <w:proofErr w:type="gramEnd"/>
      <w:r>
        <w:rPr>
          <w:rFonts w:ascii="標楷體" w:eastAsia="標楷體" w:hAnsi="標楷體" w:cs="標楷體" w:hint="eastAsia"/>
          <w:kern w:val="52"/>
          <w:szCs w:val="32"/>
        </w:rPr>
        <w:t>續借</w:t>
      </w:r>
      <w:proofErr w:type="gramStart"/>
      <w:r>
        <w:rPr>
          <w:rFonts w:ascii="標楷體" w:eastAsia="標楷體" w:hAnsi="標楷體" w:cs="標楷體" w:hint="eastAsia"/>
          <w:kern w:val="52"/>
          <w:szCs w:val="32"/>
        </w:rPr>
        <w:t>鑑</w:t>
      </w:r>
      <w:proofErr w:type="gramEnd"/>
      <w:r>
        <w:rPr>
          <w:rFonts w:ascii="標楷體" w:eastAsia="標楷體" w:hAnsi="標楷體" w:cs="標楷體" w:hint="eastAsia"/>
          <w:kern w:val="52"/>
          <w:szCs w:val="32"/>
        </w:rPr>
        <w:t>先進國家提交VNR之內涵及優良實務作法，</w:t>
      </w:r>
      <w:proofErr w:type="gramStart"/>
      <w:r>
        <w:rPr>
          <w:rFonts w:ascii="標楷體" w:eastAsia="標楷體" w:hAnsi="標楷體" w:cs="標楷體" w:hint="eastAsia"/>
          <w:kern w:val="52"/>
          <w:szCs w:val="32"/>
        </w:rPr>
        <w:t>並參據</w:t>
      </w:r>
      <w:proofErr w:type="gramEnd"/>
      <w:r>
        <w:rPr>
          <w:rFonts w:ascii="標楷體" w:eastAsia="標楷體" w:hAnsi="標楷體" w:cs="標楷體" w:hint="eastAsia"/>
          <w:kern w:val="52"/>
          <w:szCs w:val="32"/>
        </w:rPr>
        <w:t>我國推動臺灣永續發展目標情形，適時於VNR提升對應指標呈現比率，及評估精進宣傳資料之揭露方式，以利國際揭露我國推動永續發展階段性成果。據復：（1）我國第2次VNR係參考德國、日本等國架構，以「參考主要國家或國際組織評比指標或具對外夥伴關係者」、「考量與核心目標之關聯性」、「成果型指標」、「加入補充指標」等原則篩選指標，呈現我國永續發展核心目標推動成果，以兼顧國內在地特性及接軌國際。永續會刻正規劃我國第3次VNR報告</w:t>
      </w:r>
      <w:r w:rsidR="00D364F8">
        <w:rPr>
          <w:rFonts w:ascii="標楷體" w:eastAsia="標楷體" w:hAnsi="標楷體" w:cs="標楷體" w:hint="eastAsia"/>
          <w:kern w:val="52"/>
          <w:szCs w:val="32"/>
        </w:rPr>
        <w:t>（</w:t>
      </w:r>
      <w:r>
        <w:rPr>
          <w:rFonts w:ascii="標楷體" w:eastAsia="標楷體" w:hAnsi="標楷體" w:cs="標楷體" w:hint="eastAsia"/>
          <w:kern w:val="52"/>
          <w:szCs w:val="32"/>
        </w:rPr>
        <w:t>預計</w:t>
      </w:r>
      <w:r w:rsidR="00CB3CF6">
        <w:rPr>
          <w:rFonts w:ascii="標楷體" w:eastAsia="標楷體" w:hAnsi="標楷體" w:cs="標楷體" w:hint="eastAsia"/>
          <w:kern w:val="52"/>
          <w:szCs w:val="32"/>
        </w:rPr>
        <w:t>115</w:t>
      </w:r>
      <w:r>
        <w:rPr>
          <w:rFonts w:ascii="標楷體" w:eastAsia="標楷體" w:hAnsi="標楷體" w:cs="標楷體" w:hint="eastAsia"/>
          <w:kern w:val="52"/>
          <w:szCs w:val="32"/>
        </w:rPr>
        <w:t>年公布</w:t>
      </w:r>
      <w:r w:rsidR="00D364F8">
        <w:rPr>
          <w:rFonts w:ascii="標楷體" w:eastAsia="標楷體" w:hAnsi="標楷體" w:cs="標楷體" w:hint="eastAsia"/>
          <w:kern w:val="52"/>
          <w:szCs w:val="32"/>
        </w:rPr>
        <w:t>）</w:t>
      </w:r>
      <w:r>
        <w:rPr>
          <w:rFonts w:ascii="標楷體" w:eastAsia="標楷體" w:hAnsi="標楷體" w:cs="標楷體" w:hint="eastAsia"/>
          <w:kern w:val="52"/>
          <w:szCs w:val="32"/>
        </w:rPr>
        <w:t>，將參考聯合國永續發展報告及各國VNR報告檢視方式進行規劃，加強國際</w:t>
      </w:r>
      <w:proofErr w:type="gramStart"/>
      <w:r>
        <w:rPr>
          <w:rFonts w:ascii="標楷體" w:eastAsia="標楷體" w:hAnsi="標楷體" w:cs="標楷體" w:hint="eastAsia"/>
          <w:kern w:val="52"/>
          <w:szCs w:val="32"/>
        </w:rPr>
        <w:t>接軌並完整</w:t>
      </w:r>
      <w:proofErr w:type="gramEnd"/>
      <w:r>
        <w:rPr>
          <w:rFonts w:ascii="標楷體" w:eastAsia="標楷體" w:hAnsi="標楷體" w:cs="標楷體" w:hint="eastAsia"/>
          <w:kern w:val="52"/>
          <w:szCs w:val="32"/>
        </w:rPr>
        <w:t>呈現我國永續發展成果；</w:t>
      </w:r>
      <w:r w:rsidR="00A653F6">
        <w:rPr>
          <w:rFonts w:ascii="標楷體" w:eastAsia="標楷體" w:hAnsi="標楷體" w:cs="標楷體" w:hint="eastAsia"/>
          <w:kern w:val="52"/>
          <w:szCs w:val="32"/>
        </w:rPr>
        <w:t>（</w:t>
      </w:r>
      <w:r>
        <w:rPr>
          <w:rFonts w:ascii="標楷體" w:eastAsia="標楷體" w:hAnsi="標楷體" w:cs="標楷體" w:hint="eastAsia"/>
          <w:kern w:val="52"/>
          <w:szCs w:val="32"/>
        </w:rPr>
        <w:t>2</w:t>
      </w:r>
      <w:r w:rsidR="00A653F6">
        <w:rPr>
          <w:rFonts w:ascii="標楷體" w:eastAsia="標楷體" w:hAnsi="標楷體" w:cs="標楷體" w:hint="eastAsia"/>
          <w:kern w:val="52"/>
          <w:szCs w:val="32"/>
        </w:rPr>
        <w:t>）</w:t>
      </w:r>
      <w:r>
        <w:rPr>
          <w:rFonts w:ascii="標楷體" w:eastAsia="標楷體" w:hAnsi="標楷體" w:cs="標楷體" w:hint="eastAsia"/>
          <w:kern w:val="52"/>
          <w:szCs w:val="32"/>
        </w:rPr>
        <w:t>永</w:t>
      </w:r>
      <w:proofErr w:type="gramStart"/>
      <w:r>
        <w:rPr>
          <w:rFonts w:ascii="標楷體" w:eastAsia="標楷體" w:hAnsi="標楷體" w:cs="標楷體" w:hint="eastAsia"/>
          <w:kern w:val="52"/>
          <w:szCs w:val="32"/>
        </w:rPr>
        <w:t>續會官網已</w:t>
      </w:r>
      <w:proofErr w:type="gramEnd"/>
      <w:r>
        <w:rPr>
          <w:rFonts w:ascii="標楷體" w:eastAsia="標楷體" w:hAnsi="標楷體" w:cs="標楷體" w:hint="eastAsia"/>
          <w:kern w:val="52"/>
          <w:szCs w:val="32"/>
        </w:rPr>
        <w:t>建置「臺灣永續發展目標」專區，系統化呈現臺灣永續發展目標執行情形，另設有國際連結專區，以圖表呈現國際SDGs指標之國內推動狀況，以利各界瞭解與閱讀。</w:t>
      </w:r>
    </w:p>
    <w:p w14:paraId="62DD9FAF" w14:textId="5BA9B5F4" w:rsidR="00A45436" w:rsidRPr="00867A54" w:rsidRDefault="00A45436" w:rsidP="002E1714">
      <w:pPr>
        <w:overflowPunct w:val="0"/>
        <w:spacing w:line="434" w:lineRule="exact"/>
        <w:ind w:firstLineChars="450" w:firstLine="1081"/>
        <w:jc w:val="both"/>
        <w:rPr>
          <w:rFonts w:ascii="標楷體" w:eastAsia="標楷體" w:hAnsi="標楷體"/>
          <w:szCs w:val="24"/>
        </w:rPr>
      </w:pPr>
      <w:r>
        <w:rPr>
          <w:rFonts w:ascii="標楷體" w:eastAsia="標楷體" w:hAnsi="標楷體" w:hint="eastAsia"/>
          <w:b/>
          <w:szCs w:val="24"/>
        </w:rPr>
        <w:t xml:space="preserve">2.　</w:t>
      </w:r>
      <w:r w:rsidRPr="00E86F19">
        <w:rPr>
          <w:rFonts w:ascii="標楷體" w:eastAsia="標楷體" w:hAnsi="標楷體" w:hint="eastAsia"/>
          <w:b/>
          <w:szCs w:val="24"/>
        </w:rPr>
        <w:t>部分中央</w:t>
      </w:r>
      <w:r>
        <w:rPr>
          <w:rFonts w:ascii="標楷體" w:eastAsia="標楷體" w:hAnsi="標楷體" w:hint="eastAsia"/>
          <w:b/>
          <w:szCs w:val="24"/>
        </w:rPr>
        <w:t>部會或</w:t>
      </w:r>
      <w:r w:rsidRPr="00E86F19">
        <w:rPr>
          <w:rFonts w:ascii="標楷體" w:eastAsia="標楷體" w:hAnsi="標楷體" w:hint="eastAsia"/>
          <w:b/>
          <w:szCs w:val="24"/>
        </w:rPr>
        <w:t>尚未編製</w:t>
      </w:r>
      <w:r>
        <w:rPr>
          <w:rFonts w:ascii="標楷體" w:eastAsia="標楷體" w:hAnsi="標楷體" w:hint="eastAsia"/>
          <w:b/>
          <w:szCs w:val="24"/>
        </w:rPr>
        <w:t>自願檢視報告，或</w:t>
      </w:r>
      <w:r w:rsidRPr="00E86F19">
        <w:rPr>
          <w:rFonts w:ascii="標楷體" w:eastAsia="標楷體" w:hAnsi="標楷體" w:hint="eastAsia"/>
          <w:b/>
          <w:szCs w:val="24"/>
        </w:rPr>
        <w:t>揭露內容存有不一</w:t>
      </w:r>
      <w:r>
        <w:rPr>
          <w:rFonts w:ascii="標楷體" w:eastAsia="標楷體" w:hAnsi="標楷體" w:hint="eastAsia"/>
          <w:b/>
          <w:szCs w:val="24"/>
        </w:rPr>
        <w:t>，</w:t>
      </w:r>
      <w:r w:rsidRPr="00E86F19">
        <w:rPr>
          <w:rFonts w:ascii="標楷體" w:eastAsia="標楷體" w:hAnsi="標楷體" w:hint="eastAsia"/>
          <w:b/>
          <w:szCs w:val="24"/>
        </w:rPr>
        <w:t>或揭露</w:t>
      </w:r>
      <w:r>
        <w:rPr>
          <w:rFonts w:ascii="標楷體" w:eastAsia="標楷體" w:hAnsi="標楷體"/>
          <w:b/>
          <w:szCs w:val="24"/>
        </w:rPr>
        <w:t>臺灣永續發展目標</w:t>
      </w:r>
      <w:r w:rsidRPr="00E86F19">
        <w:rPr>
          <w:rFonts w:ascii="標楷體" w:eastAsia="標楷體" w:hAnsi="標楷體" w:hint="eastAsia"/>
          <w:b/>
          <w:szCs w:val="24"/>
        </w:rPr>
        <w:t>辦理項目過於簡略</w:t>
      </w:r>
      <w:r w:rsidRPr="002E059F">
        <w:rPr>
          <w:rFonts w:ascii="標楷體" w:eastAsia="標楷體" w:hAnsi="標楷體" w:hint="eastAsia"/>
          <w:b/>
          <w:szCs w:val="24"/>
        </w:rPr>
        <w:t>，恐影響國家自願檢視報告推動成果整體展現</w:t>
      </w:r>
      <w:r w:rsidRPr="00E86F19">
        <w:rPr>
          <w:rFonts w:ascii="標楷體" w:eastAsia="標楷體" w:hAnsi="標楷體" w:hint="eastAsia"/>
          <w:b/>
          <w:szCs w:val="24"/>
        </w:rPr>
        <w:t>：</w:t>
      </w:r>
      <w:r>
        <w:rPr>
          <w:rFonts w:ascii="標楷體" w:eastAsia="標楷體" w:hAnsi="標楷體" w:hint="eastAsia"/>
          <w:bCs/>
          <w:szCs w:val="24"/>
        </w:rPr>
        <w:t>永續</w:t>
      </w:r>
      <w:r w:rsidRPr="004F732E">
        <w:rPr>
          <w:rFonts w:ascii="標楷體" w:eastAsia="標楷體" w:hAnsi="標楷體" w:hint="eastAsia"/>
          <w:bCs/>
          <w:szCs w:val="24"/>
        </w:rPr>
        <w:t>會為編製第2次VNR，前於110年間函請中央部會於110年底前完成試編VDR，並於2022年提出第2次VNR。</w:t>
      </w:r>
      <w:r>
        <w:rPr>
          <w:rFonts w:ascii="標楷體" w:eastAsia="標楷體" w:hAnsi="標楷體" w:hint="eastAsia"/>
          <w:bCs/>
          <w:szCs w:val="24"/>
        </w:rPr>
        <w:t>經查</w:t>
      </w:r>
      <w:r w:rsidR="002B7B45">
        <w:rPr>
          <w:rFonts w:ascii="標楷體" w:eastAsia="標楷體" w:hAnsi="標楷體" w:hint="eastAsia"/>
          <w:bCs/>
          <w:szCs w:val="24"/>
        </w:rPr>
        <w:t>，</w:t>
      </w:r>
      <w:r>
        <w:rPr>
          <w:rFonts w:ascii="標楷體" w:eastAsia="標楷體" w:hAnsi="標楷體" w:hint="eastAsia"/>
          <w:bCs/>
          <w:szCs w:val="24"/>
        </w:rPr>
        <w:t>永續會</w:t>
      </w:r>
      <w:r w:rsidRPr="004F732E">
        <w:rPr>
          <w:rFonts w:ascii="標楷體" w:eastAsia="標楷體" w:hAnsi="標楷體" w:hint="eastAsia"/>
          <w:bCs/>
          <w:szCs w:val="24"/>
        </w:rPr>
        <w:t>網站資料顯示，計有內政部、外交部、國防部等29個中央部會提出2021年VDR，另外</w:t>
      </w:r>
      <w:proofErr w:type="gramStart"/>
      <w:r w:rsidRPr="004F732E">
        <w:rPr>
          <w:rFonts w:ascii="標楷體" w:eastAsia="標楷體" w:hAnsi="標楷體" w:hint="eastAsia"/>
          <w:bCs/>
          <w:szCs w:val="24"/>
        </w:rPr>
        <w:t>環境部因112年8月22日</w:t>
      </w:r>
      <w:proofErr w:type="gramEnd"/>
      <w:r w:rsidRPr="004F732E">
        <w:rPr>
          <w:rFonts w:ascii="標楷體" w:eastAsia="標楷體" w:hAnsi="標楷體" w:hint="eastAsia"/>
          <w:bCs/>
          <w:szCs w:val="24"/>
        </w:rPr>
        <w:t>改制成立，</w:t>
      </w:r>
      <w:proofErr w:type="gramStart"/>
      <w:r w:rsidRPr="004F732E">
        <w:rPr>
          <w:rFonts w:ascii="標楷體" w:eastAsia="標楷體" w:hAnsi="標楷體" w:hint="eastAsia"/>
          <w:bCs/>
          <w:szCs w:val="24"/>
        </w:rPr>
        <w:t>爰</w:t>
      </w:r>
      <w:proofErr w:type="gramEnd"/>
      <w:r w:rsidRPr="004F732E">
        <w:rPr>
          <w:rFonts w:ascii="標楷體" w:eastAsia="標楷體" w:hAnsi="標楷體" w:hint="eastAsia"/>
          <w:bCs/>
          <w:szCs w:val="24"/>
        </w:rPr>
        <w:t>再提出2023年VDR，截至114年4月底止，尚有數位發展部、大陸委員會及中央選舉委員會等3個中央部會尚未編製VDR</w:t>
      </w:r>
      <w:r>
        <w:rPr>
          <w:rFonts w:ascii="標楷體" w:eastAsia="標楷體" w:hAnsi="標楷體" w:hint="eastAsia"/>
          <w:bCs/>
          <w:szCs w:val="24"/>
        </w:rPr>
        <w:t>；</w:t>
      </w:r>
      <w:r w:rsidRPr="004F732E">
        <w:rPr>
          <w:rFonts w:ascii="標楷體" w:eastAsia="標楷體" w:hAnsi="標楷體" w:hint="eastAsia"/>
          <w:bCs/>
          <w:szCs w:val="24"/>
        </w:rPr>
        <w:t>又查</w:t>
      </w:r>
      <w:r>
        <w:rPr>
          <w:rFonts w:ascii="標楷體" w:eastAsia="標楷體" w:hAnsi="標楷體" w:hint="eastAsia"/>
          <w:bCs/>
          <w:szCs w:val="24"/>
        </w:rPr>
        <w:t>，</w:t>
      </w:r>
      <w:r w:rsidRPr="004F732E">
        <w:rPr>
          <w:rFonts w:ascii="標楷體" w:eastAsia="標楷體" w:hAnsi="標楷體" w:hint="eastAsia"/>
          <w:bCs/>
          <w:szCs w:val="24"/>
        </w:rPr>
        <w:t>各VDR主要係揭露部會業務推動及落實3至6個</w:t>
      </w:r>
      <w:r>
        <w:rPr>
          <w:rFonts w:ascii="標楷體" w:eastAsia="標楷體" w:hAnsi="標楷體" w:hint="eastAsia"/>
          <w:bCs/>
          <w:szCs w:val="24"/>
        </w:rPr>
        <w:t>臺灣永續發展目標</w:t>
      </w:r>
      <w:r w:rsidRPr="004F732E">
        <w:rPr>
          <w:rFonts w:ascii="標楷體" w:eastAsia="標楷體" w:hAnsi="標楷體" w:hint="eastAsia"/>
          <w:bCs/>
          <w:szCs w:val="24"/>
        </w:rPr>
        <w:t>亮點成果情形，暨下一階段之展望等自願檢視情形，揭露內容存有不一致或揭露</w:t>
      </w:r>
      <w:r>
        <w:rPr>
          <w:rFonts w:ascii="標楷體" w:eastAsia="標楷體" w:hAnsi="標楷體" w:hint="eastAsia"/>
          <w:bCs/>
          <w:szCs w:val="24"/>
        </w:rPr>
        <w:t>臺灣永續發展目標</w:t>
      </w:r>
      <w:r w:rsidRPr="004F732E">
        <w:rPr>
          <w:rFonts w:ascii="標楷體" w:eastAsia="標楷體" w:hAnsi="標楷體" w:hint="eastAsia"/>
          <w:bCs/>
          <w:szCs w:val="24"/>
        </w:rPr>
        <w:t>辦理項目過於簡略情事</w:t>
      </w:r>
      <w:r>
        <w:rPr>
          <w:rFonts w:ascii="標楷體" w:eastAsia="標楷體" w:hAnsi="標楷體" w:hint="eastAsia"/>
          <w:bCs/>
          <w:szCs w:val="24"/>
        </w:rPr>
        <w:t>；</w:t>
      </w:r>
      <w:r w:rsidRPr="004F732E">
        <w:rPr>
          <w:rFonts w:ascii="標楷體" w:eastAsia="標楷體" w:hAnsi="標楷體" w:hint="eastAsia"/>
          <w:bCs/>
          <w:szCs w:val="24"/>
        </w:rPr>
        <w:t>另國立政治大學綠色能源財經研究中心113年11月出版之</w:t>
      </w:r>
      <w:r>
        <w:rPr>
          <w:rFonts w:ascii="新細明體" w:hAnsi="新細明體" w:hint="eastAsia"/>
          <w:bCs/>
          <w:szCs w:val="24"/>
        </w:rPr>
        <w:t>「</w:t>
      </w:r>
      <w:r w:rsidRPr="004F732E">
        <w:rPr>
          <w:rFonts w:ascii="標楷體" w:eastAsia="標楷體" w:hAnsi="標楷體" w:hint="eastAsia"/>
          <w:bCs/>
          <w:szCs w:val="24"/>
        </w:rPr>
        <w:t>政府部會自願檢視報告之</w:t>
      </w:r>
      <w:r>
        <w:rPr>
          <w:rFonts w:ascii="標楷體" w:eastAsia="標楷體" w:hAnsi="標楷體" w:hint="eastAsia"/>
          <w:bCs/>
          <w:szCs w:val="24"/>
        </w:rPr>
        <w:t>臺灣永續發展</w:t>
      </w:r>
      <w:proofErr w:type="gramStart"/>
      <w:r>
        <w:rPr>
          <w:rFonts w:ascii="標楷體" w:eastAsia="標楷體" w:hAnsi="標楷體" w:hint="eastAsia"/>
          <w:bCs/>
          <w:szCs w:val="24"/>
        </w:rPr>
        <w:t>目標</w:t>
      </w:r>
      <w:r w:rsidRPr="004F732E">
        <w:rPr>
          <w:rFonts w:ascii="標楷體" w:eastAsia="標楷體" w:hAnsi="標楷體" w:hint="eastAsia"/>
          <w:bCs/>
          <w:szCs w:val="24"/>
        </w:rPr>
        <w:t>全攻略</w:t>
      </w:r>
      <w:proofErr w:type="gramEnd"/>
      <w:r w:rsidRPr="004F732E">
        <w:rPr>
          <w:rFonts w:ascii="標楷體" w:eastAsia="標楷體" w:hAnsi="標楷體" w:hint="eastAsia"/>
          <w:bCs/>
          <w:szCs w:val="24"/>
        </w:rPr>
        <w:t>解析</w:t>
      </w:r>
      <w:r>
        <w:rPr>
          <w:rFonts w:ascii="新細明體" w:hAnsi="新細明體" w:hint="eastAsia"/>
          <w:bCs/>
          <w:szCs w:val="24"/>
        </w:rPr>
        <w:t>」</w:t>
      </w:r>
      <w:r w:rsidRPr="004F732E">
        <w:rPr>
          <w:rFonts w:ascii="標楷體" w:eastAsia="標楷體" w:hAnsi="標楷體" w:hint="eastAsia"/>
          <w:bCs/>
          <w:szCs w:val="24"/>
        </w:rPr>
        <w:t>亦指出，各部會VDR更新速率待提升，且各部會</w:t>
      </w:r>
      <w:proofErr w:type="gramStart"/>
      <w:r w:rsidRPr="004F732E">
        <w:rPr>
          <w:rFonts w:ascii="標楷體" w:eastAsia="標楷體" w:hAnsi="標楷體" w:hint="eastAsia"/>
          <w:bCs/>
          <w:szCs w:val="24"/>
        </w:rPr>
        <w:t>雖均已揭露</w:t>
      </w:r>
      <w:proofErr w:type="gramEnd"/>
      <w:r>
        <w:rPr>
          <w:rFonts w:ascii="標楷體" w:eastAsia="標楷體" w:hAnsi="標楷體" w:hint="eastAsia"/>
          <w:bCs/>
          <w:szCs w:val="24"/>
        </w:rPr>
        <w:t>臺灣永續發展目標</w:t>
      </w:r>
      <w:r w:rsidRPr="004F732E">
        <w:rPr>
          <w:rFonts w:ascii="標楷體" w:eastAsia="標楷體" w:hAnsi="標楷體" w:hint="eastAsia"/>
          <w:bCs/>
          <w:szCs w:val="24"/>
        </w:rPr>
        <w:t>核心目</w:t>
      </w:r>
      <w:r w:rsidRPr="004F732E">
        <w:rPr>
          <w:rFonts w:ascii="標楷體" w:eastAsia="標楷體" w:hAnsi="標楷體" w:hint="eastAsia"/>
          <w:bCs/>
          <w:szCs w:val="24"/>
        </w:rPr>
        <w:lastRenderedPageBreak/>
        <w:t>標，惟僅17個部會揭露關聯性具體目標，顯示中央部會是否應編製VDR，編製內容及頻率等尚無一致之規範</w:t>
      </w:r>
      <w:r>
        <w:rPr>
          <w:rFonts w:ascii="標楷體" w:eastAsia="標楷體" w:hAnsi="標楷體" w:hint="eastAsia"/>
          <w:bCs/>
          <w:szCs w:val="24"/>
        </w:rPr>
        <w:t>。</w:t>
      </w:r>
      <w:r w:rsidRPr="00A437C4">
        <w:rPr>
          <w:rFonts w:ascii="標楷體" w:eastAsia="標楷體" w:hAnsi="標楷體" w:hint="eastAsia"/>
          <w:bCs/>
          <w:szCs w:val="24"/>
        </w:rPr>
        <w:t>經</w:t>
      </w:r>
      <w:proofErr w:type="gramStart"/>
      <w:r w:rsidRPr="00A437C4">
        <w:rPr>
          <w:rFonts w:ascii="標楷體" w:eastAsia="標楷體" w:hAnsi="標楷體" w:hint="eastAsia"/>
          <w:bCs/>
          <w:szCs w:val="24"/>
        </w:rPr>
        <w:t>函請永續會</w:t>
      </w:r>
      <w:proofErr w:type="gramEnd"/>
      <w:r w:rsidRPr="00A437C4">
        <w:rPr>
          <w:rFonts w:ascii="標楷體" w:eastAsia="標楷體" w:hAnsi="標楷體" w:hint="eastAsia"/>
          <w:bCs/>
          <w:szCs w:val="24"/>
        </w:rPr>
        <w:t>督促中央部會確實盤點永續業務推動成果</w:t>
      </w:r>
      <w:r>
        <w:rPr>
          <w:rFonts w:ascii="標楷體" w:eastAsia="標楷體" w:hAnsi="標楷體" w:hint="eastAsia"/>
          <w:bCs/>
          <w:szCs w:val="24"/>
        </w:rPr>
        <w:t>，妥善</w:t>
      </w:r>
      <w:r w:rsidRPr="00A437C4">
        <w:rPr>
          <w:rFonts w:ascii="標楷體" w:eastAsia="標楷體" w:hAnsi="標楷體" w:hint="eastAsia"/>
          <w:bCs/>
          <w:szCs w:val="24"/>
        </w:rPr>
        <w:t>編製2025年VDR。</w:t>
      </w:r>
      <w:r w:rsidRPr="00007067">
        <w:rPr>
          <w:rFonts w:ascii="標楷體" w:eastAsia="標楷體" w:hAnsi="標楷體" w:hint="eastAsia"/>
          <w:szCs w:val="24"/>
        </w:rPr>
        <w:t>據復：</w:t>
      </w:r>
      <w:r>
        <w:rPr>
          <w:rFonts w:ascii="標楷體" w:eastAsia="標楷體" w:hAnsi="標楷體" w:hint="eastAsia"/>
          <w:szCs w:val="24"/>
        </w:rPr>
        <w:t>已參酌聯合國發布之國家自願檢視報告指引，</w:t>
      </w:r>
      <w:proofErr w:type="gramStart"/>
      <w:r w:rsidRPr="00857A21">
        <w:rPr>
          <w:rFonts w:ascii="標楷體" w:eastAsia="標楷體" w:hAnsi="標楷體" w:hint="eastAsia"/>
          <w:szCs w:val="24"/>
        </w:rPr>
        <w:t>研</w:t>
      </w:r>
      <w:proofErr w:type="gramEnd"/>
      <w:r w:rsidRPr="00857A21">
        <w:rPr>
          <w:rFonts w:ascii="標楷體" w:eastAsia="標楷體" w:hAnsi="標楷體" w:hint="eastAsia"/>
          <w:szCs w:val="24"/>
        </w:rPr>
        <w:t>擬政府部會自願檢視報告撰寫指引，</w:t>
      </w:r>
      <w:r>
        <w:rPr>
          <w:rFonts w:ascii="標楷體" w:eastAsia="標楷體" w:hAnsi="標楷體" w:hint="eastAsia"/>
          <w:szCs w:val="24"/>
        </w:rPr>
        <w:t>於</w:t>
      </w:r>
      <w:r w:rsidRPr="00857A21">
        <w:rPr>
          <w:rFonts w:ascii="標楷體" w:eastAsia="標楷體" w:hAnsi="標楷體" w:hint="eastAsia"/>
          <w:szCs w:val="24"/>
        </w:rPr>
        <w:t>114年3月</w:t>
      </w:r>
      <w:r>
        <w:rPr>
          <w:rFonts w:ascii="標楷體" w:eastAsia="標楷體" w:hAnsi="標楷體" w:hint="eastAsia"/>
          <w:szCs w:val="24"/>
        </w:rPr>
        <w:t>函請中央部會</w:t>
      </w:r>
      <w:r w:rsidRPr="00857A21">
        <w:rPr>
          <w:rFonts w:ascii="標楷體" w:eastAsia="標楷體" w:hAnsi="標楷體" w:hint="eastAsia"/>
          <w:szCs w:val="24"/>
        </w:rPr>
        <w:t>參考，</w:t>
      </w:r>
      <w:r>
        <w:rPr>
          <w:rFonts w:ascii="標楷體" w:eastAsia="標楷體" w:hAnsi="標楷體" w:hint="eastAsia"/>
          <w:szCs w:val="24"/>
        </w:rPr>
        <w:t>以協助各機關自我檢視永續發展目標執行情形，預計114年第4季將中央部會提交之V</w:t>
      </w:r>
      <w:r>
        <w:rPr>
          <w:rFonts w:ascii="標楷體" w:eastAsia="標楷體" w:hAnsi="標楷體"/>
          <w:szCs w:val="24"/>
        </w:rPr>
        <w:t>DR</w:t>
      </w:r>
      <w:r>
        <w:rPr>
          <w:rFonts w:ascii="標楷體" w:eastAsia="標楷體" w:hAnsi="標楷體" w:hint="eastAsia"/>
          <w:szCs w:val="24"/>
        </w:rPr>
        <w:t>，公開於永</w:t>
      </w:r>
      <w:proofErr w:type="gramStart"/>
      <w:r>
        <w:rPr>
          <w:rFonts w:ascii="標楷體" w:eastAsia="標楷體" w:hAnsi="標楷體" w:hint="eastAsia"/>
          <w:szCs w:val="24"/>
        </w:rPr>
        <w:t>續會官網</w:t>
      </w:r>
      <w:proofErr w:type="gramEnd"/>
      <w:r>
        <w:rPr>
          <w:rFonts w:ascii="標楷體" w:eastAsia="標楷體" w:hAnsi="標楷體" w:hint="eastAsia"/>
          <w:szCs w:val="24"/>
        </w:rPr>
        <w:t>，供外界查閱政府機關推動永續亮點成果；又113年8月29日行政院會決議建立政府永續長制度，以提升政府機關永續治理能力，並應定期揭露永續發展推動成果</w:t>
      </w:r>
      <w:r w:rsidRPr="00857A21">
        <w:rPr>
          <w:rFonts w:ascii="標楷體" w:eastAsia="標楷體" w:hAnsi="標楷體" w:hint="eastAsia"/>
          <w:szCs w:val="24"/>
        </w:rPr>
        <w:t>，</w:t>
      </w:r>
      <w:r>
        <w:rPr>
          <w:rFonts w:ascii="標楷體" w:eastAsia="標楷體" w:hAnsi="標楷體" w:hint="eastAsia"/>
          <w:szCs w:val="24"/>
        </w:rPr>
        <w:t>有助提升編製V</w:t>
      </w:r>
      <w:r>
        <w:rPr>
          <w:rFonts w:ascii="標楷體" w:eastAsia="標楷體" w:hAnsi="標楷體"/>
          <w:szCs w:val="24"/>
        </w:rPr>
        <w:t>DR</w:t>
      </w:r>
      <w:r>
        <w:rPr>
          <w:rFonts w:ascii="標楷體" w:eastAsia="標楷體" w:hAnsi="標楷體" w:hint="eastAsia"/>
          <w:szCs w:val="24"/>
        </w:rPr>
        <w:t>之數量及品質</w:t>
      </w:r>
      <w:r w:rsidRPr="00857A21">
        <w:rPr>
          <w:rFonts w:ascii="標楷體" w:eastAsia="標楷體" w:hAnsi="標楷體" w:hint="eastAsia"/>
          <w:szCs w:val="24"/>
        </w:rPr>
        <w:t>。</w:t>
      </w:r>
    </w:p>
    <w:p w14:paraId="7C114E1A" w14:textId="77777777" w:rsidR="004A5EDD" w:rsidRPr="004A5EDD" w:rsidRDefault="00CE759A" w:rsidP="004A2C86">
      <w:pPr>
        <w:kinsoku w:val="0"/>
        <w:overflowPunct w:val="0"/>
        <w:spacing w:beforeLines="20" w:before="72" w:afterLines="20" w:after="72" w:line="460" w:lineRule="exact"/>
        <w:ind w:firstLineChars="200" w:firstLine="561"/>
        <w:jc w:val="both"/>
        <w:outlineLvl w:val="1"/>
        <w:rPr>
          <w:rFonts w:ascii="標楷體" w:eastAsia="標楷體" w:hAnsi="標楷體" w:cstheme="minorBidi"/>
          <w:b/>
          <w:snapToGrid w:val="0"/>
          <w:kern w:val="0"/>
          <w:sz w:val="28"/>
          <w:szCs w:val="28"/>
        </w:rPr>
      </w:pPr>
      <w:r w:rsidRPr="005B596A">
        <w:rPr>
          <w:rFonts w:ascii="標楷體" w:eastAsia="標楷體" w:hAnsi="標楷體" w:hint="eastAsia"/>
          <w:b/>
          <w:color w:val="000000" w:themeColor="text1"/>
          <w:sz w:val="28"/>
          <w:szCs w:val="28"/>
        </w:rPr>
        <w:t>（</w:t>
      </w:r>
      <w:r w:rsidR="00E87AEE">
        <w:rPr>
          <w:rFonts w:ascii="標楷體" w:eastAsia="標楷體" w:hAnsi="標楷體" w:hint="eastAsia"/>
          <w:b/>
          <w:color w:val="000000" w:themeColor="text1"/>
          <w:sz w:val="28"/>
          <w:szCs w:val="28"/>
        </w:rPr>
        <w:t>三</w:t>
      </w:r>
      <w:r w:rsidRPr="005B596A">
        <w:rPr>
          <w:rFonts w:ascii="標楷體" w:eastAsia="標楷體" w:hAnsi="標楷體" w:hint="eastAsia"/>
          <w:b/>
          <w:color w:val="000000" w:themeColor="text1"/>
          <w:sz w:val="28"/>
          <w:szCs w:val="28"/>
        </w:rPr>
        <w:t xml:space="preserve">）　</w:t>
      </w:r>
      <w:r w:rsidR="004A5EDD" w:rsidRPr="004A5EDD">
        <w:rPr>
          <w:rFonts w:ascii="標楷體" w:eastAsia="標楷體" w:hAnsi="標楷體" w:cstheme="minorBidi" w:hint="eastAsia"/>
          <w:b/>
          <w:snapToGrid w:val="0"/>
          <w:color w:val="000000" w:themeColor="text1"/>
          <w:kern w:val="0"/>
          <w:sz w:val="28"/>
          <w:szCs w:val="28"/>
        </w:rPr>
        <w:t>政府推動改善所得分配措施多年，所得</w:t>
      </w:r>
      <w:r w:rsidR="004A5EDD" w:rsidRPr="004A5EDD">
        <w:rPr>
          <w:rFonts w:ascii="標楷體" w:eastAsia="標楷體" w:hAnsi="標楷體" w:cstheme="minorBidi" w:hint="eastAsia"/>
          <w:b/>
          <w:bCs/>
          <w:snapToGrid w:val="0"/>
          <w:color w:val="000000" w:themeColor="text1"/>
          <w:kern w:val="0"/>
          <w:sz w:val="28"/>
          <w:szCs w:val="28"/>
        </w:rPr>
        <w:t>差距已略有趨緩，惟分配不均現象持續，臺灣永續發展目標中與</w:t>
      </w:r>
      <w:r w:rsidR="004A5EDD" w:rsidRPr="004A5EDD">
        <w:rPr>
          <w:rFonts w:ascii="標楷體" w:eastAsia="標楷體" w:hAnsi="標楷體" w:cstheme="minorBidi" w:hint="eastAsia"/>
          <w:b/>
          <w:snapToGrid w:val="0"/>
          <w:color w:val="000000" w:themeColor="text1"/>
          <w:kern w:val="0"/>
          <w:sz w:val="28"/>
          <w:szCs w:val="28"/>
        </w:rPr>
        <w:t>改善所得分配</w:t>
      </w:r>
      <w:proofErr w:type="gramStart"/>
      <w:r w:rsidR="004A5EDD" w:rsidRPr="004A5EDD">
        <w:rPr>
          <w:rFonts w:ascii="標楷體" w:eastAsia="標楷體" w:hAnsi="標楷體" w:cstheme="minorBidi" w:hint="eastAsia"/>
          <w:b/>
          <w:snapToGrid w:val="0"/>
          <w:color w:val="000000" w:themeColor="text1"/>
          <w:kern w:val="0"/>
          <w:sz w:val="28"/>
          <w:szCs w:val="28"/>
        </w:rPr>
        <w:t>攸</w:t>
      </w:r>
      <w:proofErr w:type="gramEnd"/>
      <w:r w:rsidR="004A5EDD" w:rsidRPr="004A5EDD">
        <w:rPr>
          <w:rFonts w:ascii="標楷體" w:eastAsia="標楷體" w:hAnsi="標楷體" w:cstheme="minorBidi" w:hint="eastAsia"/>
          <w:b/>
          <w:snapToGrid w:val="0"/>
          <w:color w:val="000000" w:themeColor="text1"/>
          <w:kern w:val="0"/>
          <w:sz w:val="28"/>
          <w:szCs w:val="28"/>
        </w:rPr>
        <w:t>關之對應</w:t>
      </w:r>
      <w:r w:rsidR="004A5EDD" w:rsidRPr="004A5EDD">
        <w:rPr>
          <w:rFonts w:ascii="標楷體" w:eastAsia="標楷體" w:hAnsi="標楷體" w:hint="eastAsia"/>
          <w:b/>
          <w:snapToGrid w:val="0"/>
          <w:color w:val="000000" w:themeColor="text1"/>
          <w:kern w:val="0"/>
          <w:sz w:val="28"/>
          <w:szCs w:val="28"/>
        </w:rPr>
        <w:t>指標</w:t>
      </w:r>
      <w:r w:rsidR="004A5EDD" w:rsidRPr="004A5EDD">
        <w:rPr>
          <w:rFonts w:ascii="標楷體" w:eastAsia="標楷體" w:hAnsi="標楷體" w:cstheme="minorBidi" w:hint="eastAsia"/>
          <w:b/>
          <w:snapToGrid w:val="0"/>
          <w:color w:val="000000" w:themeColor="text1"/>
          <w:kern w:val="0"/>
          <w:sz w:val="28"/>
          <w:szCs w:val="28"/>
        </w:rPr>
        <w:t>，部分連續2至4年未達標或數據不足或目標值不具挑戰性，且未</w:t>
      </w:r>
      <w:r w:rsidR="004A5EDD" w:rsidRPr="004A5EDD">
        <w:rPr>
          <w:rFonts w:ascii="標楷體" w:eastAsia="標楷體" w:hAnsi="標楷體" w:cstheme="minorBidi" w:hint="eastAsia"/>
          <w:b/>
          <w:bCs/>
          <w:snapToGrid w:val="0"/>
          <w:color w:val="000000" w:themeColor="text1"/>
          <w:kern w:val="0"/>
          <w:sz w:val="28"/>
          <w:szCs w:val="28"/>
        </w:rPr>
        <w:t>標示關鍵</w:t>
      </w:r>
      <w:r w:rsidR="004A5EDD" w:rsidRPr="004A5EDD">
        <w:rPr>
          <w:rFonts w:ascii="標楷體" w:eastAsia="標楷體" w:hAnsi="標楷體" w:cstheme="minorBidi" w:hint="eastAsia"/>
          <w:b/>
          <w:bCs/>
          <w:snapToGrid w:val="0"/>
          <w:kern w:val="0"/>
          <w:sz w:val="28"/>
          <w:szCs w:val="28"/>
        </w:rPr>
        <w:t>指標項目，</w:t>
      </w:r>
      <w:r w:rsidR="004A5EDD" w:rsidRPr="004A5EDD">
        <w:rPr>
          <w:rFonts w:ascii="標楷體" w:eastAsia="標楷體" w:hAnsi="標楷體" w:cstheme="minorBidi" w:hint="eastAsia"/>
          <w:b/>
          <w:snapToGrid w:val="0"/>
          <w:kern w:val="0"/>
          <w:sz w:val="28"/>
          <w:szCs w:val="28"/>
        </w:rPr>
        <w:t>允宜督促</w:t>
      </w:r>
      <w:r w:rsidR="004A5EDD" w:rsidRPr="004A5EDD">
        <w:rPr>
          <w:rFonts w:ascii="標楷體" w:eastAsia="標楷體" w:hAnsi="標楷體" w:cstheme="minorBidi"/>
          <w:b/>
          <w:snapToGrid w:val="0"/>
          <w:kern w:val="0"/>
          <w:sz w:val="28"/>
          <w:szCs w:val="28"/>
        </w:rPr>
        <w:t>核心目標</w:t>
      </w:r>
      <w:r w:rsidR="004A5EDD" w:rsidRPr="004A5EDD">
        <w:rPr>
          <w:rFonts w:ascii="標楷體" w:eastAsia="標楷體" w:hAnsi="標楷體" w:cstheme="minorBidi" w:hint="eastAsia"/>
          <w:b/>
          <w:snapToGrid w:val="0"/>
          <w:kern w:val="0"/>
          <w:sz w:val="28"/>
          <w:szCs w:val="28"/>
        </w:rPr>
        <w:t>之</w:t>
      </w:r>
      <w:r w:rsidR="004A5EDD" w:rsidRPr="004A5EDD">
        <w:rPr>
          <w:rFonts w:ascii="標楷體" w:eastAsia="標楷體" w:hAnsi="標楷體" w:cstheme="minorBidi" w:hint="eastAsia"/>
          <w:b/>
          <w:bCs/>
          <w:snapToGrid w:val="0"/>
          <w:kern w:val="0"/>
          <w:sz w:val="28"/>
          <w:szCs w:val="28"/>
        </w:rPr>
        <w:t>主政部會，洽相關主（協）辦機關</w:t>
      </w:r>
      <w:proofErr w:type="gramStart"/>
      <w:r w:rsidR="004A5EDD" w:rsidRPr="004A5EDD">
        <w:rPr>
          <w:rFonts w:ascii="標楷體" w:eastAsia="標楷體" w:hAnsi="標楷體" w:cstheme="minorBidi" w:hint="eastAsia"/>
          <w:b/>
          <w:snapToGrid w:val="0"/>
          <w:kern w:val="0"/>
          <w:sz w:val="28"/>
          <w:szCs w:val="28"/>
        </w:rPr>
        <w:t>研提精</w:t>
      </w:r>
      <w:proofErr w:type="gramEnd"/>
      <w:r w:rsidR="004A5EDD" w:rsidRPr="004A5EDD">
        <w:rPr>
          <w:rFonts w:ascii="標楷體" w:eastAsia="標楷體" w:hAnsi="標楷體" w:cstheme="minorBidi" w:hint="eastAsia"/>
          <w:b/>
          <w:snapToGrid w:val="0"/>
          <w:kern w:val="0"/>
          <w:sz w:val="28"/>
          <w:szCs w:val="28"/>
        </w:rPr>
        <w:t>進作法及檢修目標值，以強化管考機制，</w:t>
      </w:r>
      <w:proofErr w:type="gramStart"/>
      <w:r w:rsidR="004A5EDD" w:rsidRPr="004A5EDD">
        <w:rPr>
          <w:rFonts w:ascii="標楷體" w:eastAsia="標楷體" w:hAnsi="標楷體" w:cstheme="minorBidi" w:hint="eastAsia"/>
          <w:b/>
          <w:snapToGrid w:val="0"/>
          <w:kern w:val="0"/>
          <w:sz w:val="28"/>
          <w:szCs w:val="28"/>
        </w:rPr>
        <w:t>俾</w:t>
      </w:r>
      <w:proofErr w:type="gramEnd"/>
      <w:r w:rsidR="004A5EDD" w:rsidRPr="004A5EDD">
        <w:rPr>
          <w:rFonts w:ascii="標楷體" w:eastAsia="標楷體" w:hAnsi="標楷體" w:cstheme="minorBidi" w:hint="eastAsia"/>
          <w:b/>
          <w:snapToGrid w:val="0"/>
          <w:kern w:val="0"/>
          <w:sz w:val="28"/>
          <w:szCs w:val="28"/>
        </w:rPr>
        <w:t>利政策整體綜效評估，確保弱勢群體權益獲得社會公平與包容性支持。</w:t>
      </w:r>
    </w:p>
    <w:p w14:paraId="3EEE37FA" w14:textId="1E09A08B" w:rsidR="004A5EDD" w:rsidRPr="004A5EDD" w:rsidRDefault="004A5EDD" w:rsidP="004A2C86">
      <w:pPr>
        <w:overflowPunct w:val="0"/>
        <w:spacing w:line="446" w:lineRule="exact"/>
        <w:ind w:firstLineChars="200" w:firstLine="480"/>
        <w:jc w:val="both"/>
        <w:rPr>
          <w:rFonts w:ascii="標楷體" w:eastAsia="標楷體" w:hAnsi="標楷體" w:cstheme="minorBidi"/>
          <w:snapToGrid w:val="0"/>
          <w:kern w:val="0"/>
          <w:szCs w:val="24"/>
        </w:rPr>
      </w:pPr>
      <w:r w:rsidRPr="004A5EDD">
        <w:rPr>
          <w:rFonts w:ascii="標楷體" w:eastAsia="標楷體" w:hAnsi="標楷體" w:cstheme="minorBidi" w:hint="eastAsia"/>
          <w:snapToGrid w:val="0"/>
          <w:kern w:val="0"/>
          <w:szCs w:val="24"/>
        </w:rPr>
        <w:t>隨著知識經濟發展、全球專業分工、人口高齡化及家庭小型化，多數國家皆面臨所得</w:t>
      </w:r>
      <w:proofErr w:type="gramStart"/>
      <w:r w:rsidRPr="004A5EDD">
        <w:rPr>
          <w:rFonts w:ascii="標楷體" w:eastAsia="標楷體" w:hAnsi="標楷體" w:cstheme="minorBidi" w:hint="eastAsia"/>
          <w:snapToGrid w:val="0"/>
          <w:kern w:val="0"/>
          <w:szCs w:val="24"/>
        </w:rPr>
        <w:t>不均度擴大</w:t>
      </w:r>
      <w:proofErr w:type="gramEnd"/>
      <w:r w:rsidRPr="004A5EDD">
        <w:rPr>
          <w:rFonts w:ascii="標楷體" w:eastAsia="標楷體" w:hAnsi="標楷體" w:cstheme="minorBidi" w:hint="eastAsia"/>
          <w:snapToGrid w:val="0"/>
          <w:kern w:val="0"/>
          <w:szCs w:val="24"/>
        </w:rPr>
        <w:t>之趨勢。經濟</w:t>
      </w:r>
      <w:r w:rsidRPr="004A5EDD">
        <w:rPr>
          <w:rFonts w:ascii="標楷體" w:eastAsia="標楷體" w:hAnsi="標楷體" w:cs="微軟正黑體" w:hint="eastAsia"/>
          <w:snapToGrid w:val="0"/>
          <w:kern w:val="0"/>
          <w:szCs w:val="24"/>
        </w:rPr>
        <w:t>合作</w:t>
      </w:r>
      <w:r w:rsidRPr="004A5EDD">
        <w:rPr>
          <w:rFonts w:ascii="標楷體" w:eastAsia="標楷體" w:hAnsi="標楷體" w:cstheme="minorBidi" w:hint="eastAsia"/>
          <w:snapToGrid w:val="0"/>
          <w:kern w:val="0"/>
          <w:szCs w:val="24"/>
        </w:rPr>
        <w:t>暨發展組織（</w:t>
      </w:r>
      <w:r w:rsidRPr="004A5EDD">
        <w:rPr>
          <w:rFonts w:ascii="標楷體" w:eastAsia="標楷體" w:hAnsi="標楷體"/>
          <w:szCs w:val="24"/>
        </w:rPr>
        <w:t>OECD</w:t>
      </w:r>
      <w:r w:rsidRPr="004A5EDD">
        <w:rPr>
          <w:rFonts w:ascii="標楷體" w:eastAsia="標楷體" w:hAnsi="標楷體" w:cstheme="minorBidi"/>
          <w:snapToGrid w:val="0"/>
          <w:kern w:val="0"/>
          <w:szCs w:val="24"/>
        </w:rPr>
        <w:t>）</w:t>
      </w:r>
      <w:r w:rsidRPr="004A5EDD">
        <w:rPr>
          <w:rFonts w:ascii="標楷體" w:eastAsia="標楷體" w:hAnsi="標楷體" w:cstheme="minorBidi" w:hint="eastAsia"/>
          <w:snapToGrid w:val="0"/>
          <w:kern w:val="0"/>
          <w:szCs w:val="24"/>
        </w:rPr>
        <w:t>、美國聯邦審計署（</w:t>
      </w:r>
      <w:r w:rsidRPr="004A5EDD">
        <w:rPr>
          <w:rFonts w:ascii="標楷體" w:eastAsia="標楷體" w:hAnsi="標楷體" w:cstheme="minorBidi"/>
          <w:snapToGrid w:val="0"/>
          <w:kern w:val="0"/>
          <w:szCs w:val="24"/>
        </w:rPr>
        <w:t>GAO</w:t>
      </w:r>
      <w:r w:rsidRPr="004A5EDD">
        <w:rPr>
          <w:rFonts w:ascii="標楷體" w:eastAsia="標楷體" w:hAnsi="標楷體" w:cstheme="minorBidi" w:hint="eastAsia"/>
          <w:snapToGrid w:val="0"/>
          <w:kern w:val="0"/>
          <w:szCs w:val="24"/>
        </w:rPr>
        <w:t>）及世界經濟論壇</w:t>
      </w:r>
      <w:r w:rsidRPr="004A5EDD">
        <w:rPr>
          <w:rFonts w:ascii="標楷體" w:eastAsia="標楷體" w:hAnsi="標楷體" w:cstheme="minorBidi"/>
          <w:snapToGrid w:val="0"/>
          <w:kern w:val="0"/>
          <w:szCs w:val="24"/>
        </w:rPr>
        <w:t>（WEF</w:t>
      </w:r>
      <w:r w:rsidRPr="004A5EDD">
        <w:rPr>
          <w:rFonts w:ascii="標楷體" w:eastAsia="標楷體" w:hAnsi="標楷體" w:cstheme="minorBidi" w:hint="eastAsia"/>
          <w:snapToGrid w:val="0"/>
          <w:kern w:val="0"/>
          <w:szCs w:val="24"/>
        </w:rPr>
        <w:t>）於2021至2025年間發布之未來幾年全球情境（趨勢、風險）報告，亦提及全球社會兩極化風險加劇，財富與收入之差距擴大與社會不平等係核心問題，為各國政府共同面臨之重要挑戰</w:t>
      </w:r>
      <w:r w:rsidRPr="004A5EDD">
        <w:rPr>
          <w:rFonts w:ascii="標楷體" w:eastAsia="標楷體" w:hAnsi="標楷體" w:cstheme="minorBidi"/>
          <w:snapToGrid w:val="0"/>
          <w:kern w:val="0"/>
          <w:szCs w:val="24"/>
        </w:rPr>
        <w:t>。</w:t>
      </w:r>
      <w:r w:rsidRPr="004A5EDD">
        <w:rPr>
          <w:rFonts w:ascii="標楷體" w:eastAsia="標楷體" w:hAnsi="標楷體" w:cstheme="minorBidi" w:hint="eastAsia"/>
          <w:snapToGrid w:val="0"/>
          <w:kern w:val="0"/>
          <w:szCs w:val="24"/>
        </w:rPr>
        <w:t>我國政府歷年於社會福利、協助就學、強化就業能力、促進薪資合理、建構租稅公平環境等多元面向，持續推動相關措施，以改善所得分配不均、縮小貧富差距與社會不平等之現象與趨勢，並由行政</w:t>
      </w:r>
      <w:r w:rsidRPr="004A5EDD">
        <w:rPr>
          <w:rFonts w:ascii="標楷體" w:eastAsia="標楷體" w:hAnsi="標楷體" w:cstheme="minorBidi"/>
          <w:bCs/>
          <w:snapToGrid w:val="0"/>
          <w:kern w:val="0"/>
          <w:szCs w:val="24"/>
        </w:rPr>
        <w:t>院國家永續發展委員會</w:t>
      </w:r>
      <w:r w:rsidRPr="004A5EDD">
        <w:rPr>
          <w:rFonts w:ascii="標楷體" w:eastAsia="標楷體" w:hAnsi="標楷體" w:cstheme="minorBidi"/>
          <w:snapToGrid w:val="0"/>
          <w:kern w:val="0"/>
          <w:szCs w:val="24"/>
        </w:rPr>
        <w:t>（下稱永續會）</w:t>
      </w:r>
      <w:r w:rsidRPr="004A5EDD">
        <w:rPr>
          <w:rFonts w:ascii="標楷體" w:eastAsia="標楷體" w:hAnsi="標楷體" w:cstheme="minorBidi" w:hint="eastAsia"/>
          <w:snapToGrid w:val="0"/>
          <w:kern w:val="0"/>
          <w:szCs w:val="24"/>
        </w:rPr>
        <w:t>定期追蹤管考相關部會於</w:t>
      </w:r>
      <w:r w:rsidRPr="004A5EDD">
        <w:rPr>
          <w:rFonts w:ascii="標楷體" w:eastAsia="標楷體" w:hAnsi="標楷體" w:cstheme="minorBidi"/>
          <w:bCs/>
          <w:snapToGrid w:val="0"/>
          <w:kern w:val="0"/>
          <w:szCs w:val="24"/>
        </w:rPr>
        <w:t>臺灣永續發展目標</w:t>
      </w:r>
      <w:r w:rsidRPr="004A5EDD">
        <w:rPr>
          <w:rFonts w:ascii="標楷體" w:eastAsia="標楷體" w:hAnsi="標楷體" w:cstheme="minorBidi" w:hint="eastAsia"/>
          <w:bCs/>
          <w:snapToGrid w:val="0"/>
          <w:kern w:val="0"/>
          <w:szCs w:val="24"/>
        </w:rPr>
        <w:t>納入之相關指標推動成效</w:t>
      </w:r>
      <w:r w:rsidRPr="004A5EDD">
        <w:rPr>
          <w:rFonts w:ascii="標楷體" w:eastAsia="標楷體" w:hAnsi="標楷體" w:cstheme="minorBidi"/>
          <w:snapToGrid w:val="0"/>
          <w:kern w:val="0"/>
          <w:szCs w:val="24"/>
        </w:rPr>
        <w:t>，</w:t>
      </w:r>
      <w:r w:rsidRPr="004A5EDD">
        <w:rPr>
          <w:rFonts w:ascii="標楷體" w:eastAsia="標楷體" w:hAnsi="標楷體" w:cstheme="minorBidi" w:hint="eastAsia"/>
          <w:snapToGrid w:val="0"/>
          <w:kern w:val="0"/>
          <w:szCs w:val="24"/>
        </w:rPr>
        <w:t>以</w:t>
      </w:r>
      <w:r w:rsidRPr="004A5EDD">
        <w:rPr>
          <w:rFonts w:ascii="標楷體" w:eastAsia="標楷體" w:hAnsi="標楷體" w:cstheme="minorBidi"/>
          <w:snapToGrid w:val="0"/>
          <w:kern w:val="0"/>
          <w:szCs w:val="24"/>
        </w:rPr>
        <w:t>共同推動改善所得分配各項工作</w:t>
      </w:r>
      <w:r w:rsidRPr="004A5EDD">
        <w:rPr>
          <w:rFonts w:ascii="標楷體" w:eastAsia="標楷體" w:hAnsi="標楷體" w:cstheme="minorBidi" w:hint="eastAsia"/>
          <w:snapToGrid w:val="0"/>
          <w:kern w:val="0"/>
          <w:szCs w:val="24"/>
        </w:rPr>
        <w:t>。經查以</w:t>
      </w:r>
      <w:r w:rsidRPr="004A5EDD">
        <w:rPr>
          <w:rFonts w:ascii="標楷體" w:eastAsia="標楷體" w:hAnsi="標楷體" w:cstheme="minorBidi"/>
          <w:snapToGrid w:val="0"/>
          <w:kern w:val="0"/>
          <w:szCs w:val="24"/>
        </w:rPr>
        <w:t>永續會</w:t>
      </w:r>
      <w:r w:rsidRPr="004A5EDD">
        <w:rPr>
          <w:rFonts w:ascii="標楷體" w:eastAsia="標楷體" w:hAnsi="標楷體" w:cstheme="minorBidi" w:hint="eastAsia"/>
          <w:snapToGrid w:val="0"/>
          <w:kern w:val="0"/>
          <w:szCs w:val="24"/>
        </w:rPr>
        <w:t>臺灣永續發展目標追蹤管考改善所得分配相關措施推動成效，核有下列事項，</w:t>
      </w:r>
      <w:r w:rsidRPr="004A5EDD">
        <w:rPr>
          <w:rFonts w:ascii="標楷體" w:eastAsia="標楷體" w:hAnsi="標楷體" w:cstheme="minorBidi" w:hint="eastAsia"/>
          <w:snapToGrid w:val="0"/>
          <w:kern w:val="0"/>
          <w:szCs w:val="18"/>
        </w:rPr>
        <w:t>經函請行政院督促臺灣永續發展目標與</w:t>
      </w:r>
      <w:r w:rsidRPr="004A5EDD">
        <w:rPr>
          <w:rFonts w:ascii="標楷體" w:eastAsia="標楷體" w:hAnsi="標楷體" w:cstheme="minorBidi"/>
          <w:snapToGrid w:val="0"/>
          <w:kern w:val="0"/>
          <w:szCs w:val="18"/>
        </w:rPr>
        <w:t>改善所得分配</w:t>
      </w:r>
      <w:proofErr w:type="gramStart"/>
      <w:r w:rsidRPr="004A5EDD">
        <w:rPr>
          <w:rFonts w:ascii="標楷體" w:eastAsia="標楷體" w:hAnsi="標楷體" w:cstheme="minorBidi"/>
          <w:snapToGrid w:val="0"/>
          <w:kern w:val="0"/>
          <w:szCs w:val="18"/>
        </w:rPr>
        <w:t>攸</w:t>
      </w:r>
      <w:proofErr w:type="gramEnd"/>
      <w:r w:rsidRPr="004A5EDD">
        <w:rPr>
          <w:rFonts w:ascii="標楷體" w:eastAsia="標楷體" w:hAnsi="標楷體" w:cstheme="minorBidi"/>
          <w:snapToGrid w:val="0"/>
          <w:kern w:val="0"/>
          <w:szCs w:val="18"/>
        </w:rPr>
        <w:t>關核心目標</w:t>
      </w:r>
      <w:r w:rsidRPr="004A5EDD">
        <w:rPr>
          <w:rFonts w:ascii="標楷體" w:eastAsia="標楷體" w:hAnsi="標楷體" w:cstheme="minorBidi" w:hint="eastAsia"/>
          <w:snapToGrid w:val="0"/>
          <w:kern w:val="0"/>
          <w:szCs w:val="18"/>
        </w:rPr>
        <w:t>之主政部會，洽相關主（協）機關</w:t>
      </w:r>
      <w:proofErr w:type="gramStart"/>
      <w:r w:rsidRPr="004A5EDD">
        <w:rPr>
          <w:rFonts w:ascii="標楷體" w:eastAsia="標楷體" w:hAnsi="標楷體" w:cstheme="minorBidi" w:hint="eastAsia"/>
          <w:snapToGrid w:val="0"/>
          <w:kern w:val="0"/>
          <w:szCs w:val="18"/>
        </w:rPr>
        <w:t>研提精</w:t>
      </w:r>
      <w:proofErr w:type="gramEnd"/>
      <w:r w:rsidRPr="004A5EDD">
        <w:rPr>
          <w:rFonts w:ascii="標楷體" w:eastAsia="標楷體" w:hAnsi="標楷體" w:cstheme="minorBidi" w:hint="eastAsia"/>
          <w:snapToGrid w:val="0"/>
          <w:kern w:val="0"/>
          <w:szCs w:val="18"/>
        </w:rPr>
        <w:t>進作法及檢修對應指標目標值，並具體標示出與改善所得分配相關之關鍵指標項目，由永</w:t>
      </w:r>
      <w:proofErr w:type="gramStart"/>
      <w:r w:rsidRPr="004A5EDD">
        <w:rPr>
          <w:rFonts w:ascii="標楷體" w:eastAsia="標楷體" w:hAnsi="標楷體" w:cstheme="minorBidi" w:hint="eastAsia"/>
          <w:snapToGrid w:val="0"/>
          <w:kern w:val="0"/>
          <w:szCs w:val="18"/>
        </w:rPr>
        <w:t>續會作整體性</w:t>
      </w:r>
      <w:proofErr w:type="gramEnd"/>
      <w:r w:rsidRPr="004A5EDD">
        <w:rPr>
          <w:rFonts w:ascii="標楷體" w:eastAsia="標楷體" w:hAnsi="標楷體" w:cstheme="minorBidi" w:hint="eastAsia"/>
          <w:snapToGrid w:val="0"/>
          <w:kern w:val="0"/>
          <w:szCs w:val="18"/>
        </w:rPr>
        <w:t>監測追蹤進展，以強化管考機制，</w:t>
      </w:r>
      <w:proofErr w:type="gramStart"/>
      <w:r w:rsidRPr="004A5EDD">
        <w:rPr>
          <w:rFonts w:ascii="標楷體" w:eastAsia="標楷體" w:hAnsi="標楷體" w:cstheme="minorBidi" w:hint="eastAsia"/>
          <w:snapToGrid w:val="0"/>
          <w:kern w:val="0"/>
          <w:szCs w:val="18"/>
        </w:rPr>
        <w:t>俾</w:t>
      </w:r>
      <w:proofErr w:type="gramEnd"/>
      <w:r w:rsidRPr="004A5EDD">
        <w:rPr>
          <w:rFonts w:ascii="標楷體" w:eastAsia="標楷體" w:hAnsi="標楷體" w:cstheme="minorBidi" w:hint="eastAsia"/>
          <w:snapToGrid w:val="0"/>
          <w:kern w:val="0"/>
          <w:szCs w:val="18"/>
        </w:rPr>
        <w:t>利適時檢討調整改善所得分配相關措施及評估政策綜效，確保弱勢群體權益不被遺漏，在永續發展過程中獲得社會公平與包容性支持。</w:t>
      </w:r>
      <w:r w:rsidRPr="004A5EDD">
        <w:rPr>
          <w:rFonts w:ascii="標楷體" w:eastAsia="標楷體" w:hAnsi="標楷體" w:cstheme="minorBidi"/>
          <w:snapToGrid w:val="0"/>
          <w:kern w:val="0"/>
          <w:szCs w:val="24"/>
        </w:rPr>
        <w:t>據復：</w:t>
      </w:r>
      <w:r w:rsidRPr="004A5EDD">
        <w:rPr>
          <w:rFonts w:ascii="標楷體" w:eastAsia="標楷體" w:hAnsi="標楷體" w:cstheme="minorBidi" w:hint="eastAsia"/>
          <w:snapToGrid w:val="0"/>
          <w:kern w:val="0"/>
          <w:szCs w:val="24"/>
        </w:rPr>
        <w:t>1.</w:t>
      </w:r>
      <w:r w:rsidRPr="004A5EDD">
        <w:rPr>
          <w:rFonts w:ascii="標楷體" w:eastAsia="標楷體" w:hAnsi="標楷體" w:cstheme="minorBidi"/>
          <w:snapToGrid w:val="0"/>
          <w:kern w:val="0"/>
          <w:szCs w:val="24"/>
        </w:rPr>
        <w:t>臺灣永續發展目標中，強化弱勢照顧、減少不平等、促進包容成長等項目，涉及所得分配議題</w:t>
      </w:r>
      <w:r w:rsidRPr="004A5EDD">
        <w:rPr>
          <w:rFonts w:ascii="標楷體" w:eastAsia="標楷體" w:hAnsi="標楷體" w:cstheme="minorBidi" w:hint="eastAsia"/>
          <w:snapToGrid w:val="0"/>
          <w:kern w:val="0"/>
          <w:szCs w:val="24"/>
        </w:rPr>
        <w:t>，</w:t>
      </w:r>
      <w:r w:rsidRPr="004A5EDD">
        <w:rPr>
          <w:rFonts w:ascii="標楷體" w:eastAsia="標楷體" w:hAnsi="標楷體" w:cstheme="minorBidi"/>
          <w:snapToGrid w:val="0"/>
          <w:kern w:val="0"/>
          <w:szCs w:val="24"/>
        </w:rPr>
        <w:t>各項目標及指標皆有主政機關，負責相關政策之評估、擬訂與執行；國家發展委員會擔任永續會秘書處幕僚，訂有追蹤管考作業原則，每年與各工作分組合作監測及追蹤對應指標推動進展，</w:t>
      </w:r>
      <w:r w:rsidRPr="004A5EDD">
        <w:rPr>
          <w:rFonts w:ascii="標楷體" w:eastAsia="標楷體" w:hAnsi="標楷體" w:cstheme="minorBidi" w:hint="eastAsia"/>
          <w:snapToGrid w:val="0"/>
          <w:color w:val="000000"/>
          <w:kern w:val="0"/>
          <w:szCs w:val="18"/>
        </w:rPr>
        <w:t>有關部分對應指標未達標、數據不足或目標值不具挑戰性，經相關主辦機關檢討結果，或2024年已達標、或將（已）</w:t>
      </w:r>
      <w:proofErr w:type="gramStart"/>
      <w:r w:rsidRPr="004A5EDD">
        <w:rPr>
          <w:rFonts w:ascii="標楷體" w:eastAsia="標楷體" w:hAnsi="標楷體" w:cstheme="minorBidi" w:hint="eastAsia"/>
          <w:snapToGrid w:val="0"/>
          <w:color w:val="000000"/>
          <w:kern w:val="0"/>
          <w:szCs w:val="18"/>
        </w:rPr>
        <w:t>研</w:t>
      </w:r>
      <w:proofErr w:type="gramEnd"/>
      <w:r w:rsidRPr="004A5EDD">
        <w:rPr>
          <w:rFonts w:ascii="標楷體" w:eastAsia="標楷體" w:hAnsi="標楷體" w:cstheme="minorBidi" w:hint="eastAsia"/>
          <w:snapToGrid w:val="0"/>
          <w:color w:val="000000"/>
          <w:kern w:val="0"/>
          <w:szCs w:val="18"/>
        </w:rPr>
        <w:t>擬修正指標或目標值、或已積極</w:t>
      </w:r>
      <w:proofErr w:type="gramStart"/>
      <w:r w:rsidRPr="004A5EDD">
        <w:rPr>
          <w:rFonts w:ascii="標楷體" w:eastAsia="標楷體" w:hAnsi="標楷體" w:cstheme="minorBidi" w:hint="eastAsia"/>
          <w:snapToGrid w:val="0"/>
          <w:color w:val="000000"/>
          <w:kern w:val="0"/>
          <w:szCs w:val="18"/>
        </w:rPr>
        <w:t>研提精</w:t>
      </w:r>
      <w:proofErr w:type="gramEnd"/>
      <w:r w:rsidRPr="004A5EDD">
        <w:rPr>
          <w:rFonts w:ascii="標楷體" w:eastAsia="標楷體" w:hAnsi="標楷體" w:cstheme="minorBidi" w:hint="eastAsia"/>
          <w:snapToGrid w:val="0"/>
          <w:color w:val="000000"/>
          <w:kern w:val="0"/>
          <w:szCs w:val="18"/>
        </w:rPr>
        <w:t>進作法；2.</w:t>
      </w:r>
      <w:r w:rsidRPr="004A5EDD">
        <w:rPr>
          <w:rFonts w:ascii="標楷體" w:eastAsia="標楷體" w:hAnsi="標楷體" w:cstheme="minorBidi"/>
          <w:snapToGrid w:val="0"/>
          <w:kern w:val="0"/>
          <w:szCs w:val="24"/>
        </w:rPr>
        <w:t>為利國際</w:t>
      </w:r>
      <w:proofErr w:type="gramStart"/>
      <w:r w:rsidRPr="004A5EDD">
        <w:rPr>
          <w:rFonts w:ascii="標楷體" w:eastAsia="標楷體" w:hAnsi="標楷體" w:cstheme="minorBidi"/>
          <w:snapToGrid w:val="0"/>
          <w:kern w:val="0"/>
          <w:szCs w:val="24"/>
        </w:rPr>
        <w:t>接軌並有效</w:t>
      </w:r>
      <w:proofErr w:type="gramEnd"/>
      <w:r w:rsidRPr="004A5EDD">
        <w:rPr>
          <w:rFonts w:ascii="標楷體" w:eastAsia="標楷體" w:hAnsi="標楷體" w:cstheme="minorBidi"/>
          <w:snapToGrid w:val="0"/>
          <w:kern w:val="0"/>
          <w:szCs w:val="24"/>
        </w:rPr>
        <w:t>推動臺灣永</w:t>
      </w:r>
      <w:r w:rsidRPr="004A5EDD">
        <w:rPr>
          <w:rFonts w:ascii="標楷體" w:eastAsia="標楷體" w:hAnsi="標楷體" w:cstheme="minorBidi"/>
          <w:snapToGrid w:val="0"/>
          <w:kern w:val="0"/>
          <w:szCs w:val="24"/>
        </w:rPr>
        <w:lastRenderedPageBreak/>
        <w:t>續發展</w:t>
      </w:r>
      <w:r w:rsidRPr="004A5EDD">
        <w:rPr>
          <w:rFonts w:ascii="標楷體" w:eastAsia="標楷體" w:hAnsi="標楷體" w:cstheme="minorBidi" w:hint="eastAsia"/>
          <w:snapToGrid w:val="0"/>
          <w:kern w:val="0"/>
          <w:szCs w:val="24"/>
        </w:rPr>
        <w:t>目標</w:t>
      </w:r>
      <w:r w:rsidRPr="004A5EDD">
        <w:rPr>
          <w:rFonts w:ascii="標楷體" w:eastAsia="標楷體" w:hAnsi="標楷體" w:cstheme="minorBidi"/>
          <w:snapToGrid w:val="0"/>
          <w:kern w:val="0"/>
          <w:szCs w:val="24"/>
        </w:rPr>
        <w:t>，以4年為週期進行階段性檢視，永續會秘書處業於114年初函請各部會啟動永續發展目標檢討修正作業，未來將持續與涉及所得分配指標之主政機關共同努力，提升永續發展目標之達成率，進而改善所得分配，促進國家永續發展。</w:t>
      </w:r>
    </w:p>
    <w:p w14:paraId="09E6AB2D" w14:textId="67B9249D" w:rsidR="00946614" w:rsidRDefault="008B457B" w:rsidP="002514F6">
      <w:pPr>
        <w:overflowPunct w:val="0"/>
        <w:spacing w:line="452" w:lineRule="exact"/>
        <w:ind w:firstLineChars="550" w:firstLine="1101"/>
        <w:jc w:val="distribute"/>
        <w:rPr>
          <w:rFonts w:ascii="標楷體" w:eastAsia="標楷體" w:hAnsi="標楷體" w:cstheme="minorBidi"/>
          <w:snapToGrid w:val="0"/>
          <w:kern w:val="0"/>
          <w:szCs w:val="24"/>
        </w:rPr>
      </w:pPr>
      <w:r>
        <w:rPr>
          <w:rFonts w:ascii="標楷體" w:eastAsia="標楷體" w:hAnsi="標楷體" w:cs="新細明體"/>
          <w:b/>
          <w:bCs/>
          <w:noProof/>
          <w:kern w:val="0"/>
          <w:sz w:val="20"/>
        </w:rPr>
        <mc:AlternateContent>
          <mc:Choice Requires="wps">
            <w:drawing>
              <wp:anchor distT="0" distB="0" distL="114300" distR="114300" simplePos="0" relativeHeight="251700224" behindDoc="0" locked="0" layoutInCell="1" allowOverlap="1" wp14:anchorId="44BE855C" wp14:editId="7F094878">
                <wp:simplePos x="0" y="0"/>
                <wp:positionH relativeFrom="column">
                  <wp:posOffset>5919833</wp:posOffset>
                </wp:positionH>
                <wp:positionV relativeFrom="paragraph">
                  <wp:posOffset>6886575</wp:posOffset>
                </wp:positionV>
                <wp:extent cx="288290" cy="269875"/>
                <wp:effectExtent l="0" t="0" r="0" b="0"/>
                <wp:wrapThrough wrapText="bothSides">
                  <wp:wrapPolygon edited="0">
                    <wp:start x="0" y="0"/>
                    <wp:lineTo x="0" y="19821"/>
                    <wp:lineTo x="19982" y="19821"/>
                    <wp:lineTo x="19982" y="0"/>
                    <wp:lineTo x="0" y="0"/>
                  </wp:wrapPolygon>
                </wp:wrapThrough>
                <wp:docPr id="58" name="文字方塊 58"/>
                <wp:cNvGraphicFramePr/>
                <a:graphic xmlns:a="http://schemas.openxmlformats.org/drawingml/2006/main">
                  <a:graphicData uri="http://schemas.microsoft.com/office/word/2010/wordprocessingShape">
                    <wps:wsp>
                      <wps:cNvSpPr txBox="1"/>
                      <wps:spPr>
                        <a:xfrm>
                          <a:off x="0" y="0"/>
                          <a:ext cx="288290" cy="269875"/>
                        </a:xfrm>
                        <a:prstGeom prst="rect">
                          <a:avLst/>
                        </a:prstGeom>
                        <a:solidFill>
                          <a:sysClr val="window" lastClr="FFFFFF"/>
                        </a:solidFill>
                        <a:ln w="6350">
                          <a:noFill/>
                        </a:ln>
                      </wps:spPr>
                      <wps:txbx>
                        <w:txbxContent>
                          <w:p w14:paraId="3EF42C88" w14:textId="77777777" w:rsidR="008B457B" w:rsidRPr="00945570" w:rsidRDefault="008B457B" w:rsidP="008B457B">
                            <w:pPr>
                              <w:ind w:leftChars="-59" w:left="-142"/>
                              <w:jc w:val="both"/>
                              <w:rPr>
                                <w:rFonts w:ascii="標楷體" w:eastAsia="標楷體" w:hAnsi="標楷體"/>
                                <w:sz w:val="20"/>
                              </w:rPr>
                            </w:pPr>
                            <w:r w:rsidRPr="00945570">
                              <w:rPr>
                                <w:rFonts w:ascii="標楷體" w:eastAsia="標楷體" w:hAnsi="標楷體" w:hint="eastAsia"/>
                                <w:sz w:val="20"/>
                              </w:rPr>
                              <w:t>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E855C" id="文字方塊 58" o:spid="_x0000_s1029" type="#_x0000_t202" style="position:absolute;left:0;text-align:left;margin-left:466.15pt;margin-top:542.25pt;width:22.7pt;height:2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" fillcolor="window" stroked="f" strokeweight=".5pt">
                <v:textbox>
                  <w:txbxContent>
                    <w:p w14:paraId="3EF42C88" w14:textId="77777777" w:rsidR="008B457B" w:rsidRPr="00945570" w:rsidRDefault="008B457B" w:rsidP="008B457B">
                      <w:pPr>
                        <w:ind w:leftChars="-59" w:left="-142"/>
                        <w:jc w:val="both"/>
                        <w:rPr>
                          <w:rFonts w:ascii="標楷體" w:eastAsia="標楷體" w:hAnsi="標楷體"/>
                          <w:sz w:val="20"/>
                        </w:rPr>
                      </w:pPr>
                      <w:r w:rsidRPr="00945570">
                        <w:rPr>
                          <w:rFonts w:ascii="標楷體" w:eastAsia="標楷體" w:hAnsi="標楷體" w:hint="eastAsia"/>
                          <w:sz w:val="20"/>
                        </w:rPr>
                        <w:t>年</w:t>
                      </w:r>
                    </w:p>
                  </w:txbxContent>
                </v:textbox>
                <w10:wrap type="through"/>
              </v:shape>
            </w:pict>
          </mc:Fallback>
        </mc:AlternateContent>
      </w:r>
      <w:r w:rsidR="00945570">
        <w:rPr>
          <w:rFonts w:ascii="標楷體" w:eastAsia="標楷體" w:hAnsi="標楷體" w:cs="新細明體"/>
          <w:b/>
          <w:bCs/>
          <w:noProof/>
          <w:kern w:val="0"/>
          <w:sz w:val="20"/>
        </w:rPr>
        <mc:AlternateContent>
          <mc:Choice Requires="wps">
            <w:drawing>
              <wp:anchor distT="0" distB="0" distL="114300" distR="114300" simplePos="0" relativeHeight="251634175" behindDoc="0" locked="0" layoutInCell="1" allowOverlap="1" wp14:anchorId="33CADAEA" wp14:editId="70225452">
                <wp:simplePos x="0" y="0"/>
                <wp:positionH relativeFrom="column">
                  <wp:posOffset>5831205</wp:posOffset>
                </wp:positionH>
                <wp:positionV relativeFrom="paragraph">
                  <wp:posOffset>3985623</wp:posOffset>
                </wp:positionV>
                <wp:extent cx="288290" cy="275590"/>
                <wp:effectExtent l="0" t="0" r="0" b="0"/>
                <wp:wrapThrough wrapText="bothSides">
                  <wp:wrapPolygon edited="0">
                    <wp:start x="0" y="0"/>
                    <wp:lineTo x="0" y="19410"/>
                    <wp:lineTo x="19982" y="19410"/>
                    <wp:lineTo x="19982" y="0"/>
                    <wp:lineTo x="0" y="0"/>
                  </wp:wrapPolygon>
                </wp:wrapThrough>
                <wp:docPr id="25" name="文字方塊 25"/>
                <wp:cNvGraphicFramePr/>
                <a:graphic xmlns:a="http://schemas.openxmlformats.org/drawingml/2006/main">
                  <a:graphicData uri="http://schemas.microsoft.com/office/word/2010/wordprocessingShape">
                    <wps:wsp>
                      <wps:cNvSpPr txBox="1"/>
                      <wps:spPr>
                        <a:xfrm>
                          <a:off x="0" y="0"/>
                          <a:ext cx="288290" cy="275590"/>
                        </a:xfrm>
                        <a:prstGeom prst="rect">
                          <a:avLst/>
                        </a:prstGeom>
                        <a:solidFill>
                          <a:schemeClr val="lt1"/>
                        </a:solidFill>
                        <a:ln w="6350">
                          <a:noFill/>
                        </a:ln>
                      </wps:spPr>
                      <wps:txbx>
                        <w:txbxContent>
                          <w:p w14:paraId="2CDE49FA" w14:textId="162F921B" w:rsidR="00945570" w:rsidRPr="00945570" w:rsidRDefault="00945570" w:rsidP="00945570">
                            <w:pPr>
                              <w:ind w:leftChars="-59" w:left="-142"/>
                              <w:jc w:val="both"/>
                              <w:rPr>
                                <w:rFonts w:ascii="標楷體" w:eastAsia="標楷體" w:hAnsi="標楷體"/>
                                <w:sz w:val="20"/>
                              </w:rPr>
                            </w:pPr>
                            <w:r w:rsidRPr="00945570">
                              <w:rPr>
                                <w:rFonts w:ascii="標楷體" w:eastAsia="標楷體" w:hAnsi="標楷體" w:hint="eastAsia"/>
                                <w:sz w:val="20"/>
                              </w:rPr>
                              <w:t>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ADAEA" id="文字方塊 25" o:spid="_x0000_s1030" type="#_x0000_t202" style="position:absolute;left:0;text-align:left;margin-left:459.15pt;margin-top:313.85pt;width:22.7pt;height:21.7pt;z-index:2516341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" fillcolor="white [3201]" stroked="f" strokeweight=".5pt">
                <v:textbox>
                  <w:txbxContent>
                    <w:p w14:paraId="2CDE49FA" w14:textId="162F921B" w:rsidR="00945570" w:rsidRPr="00945570" w:rsidRDefault="00945570" w:rsidP="00945570">
                      <w:pPr>
                        <w:ind w:leftChars="-59" w:left="-142"/>
                        <w:jc w:val="both"/>
                        <w:rPr>
                          <w:rFonts w:ascii="標楷體" w:eastAsia="標楷體" w:hAnsi="標楷體"/>
                          <w:sz w:val="20"/>
                        </w:rPr>
                      </w:pPr>
                      <w:r w:rsidRPr="00945570">
                        <w:rPr>
                          <w:rFonts w:ascii="標楷體" w:eastAsia="標楷體" w:hAnsi="標楷體" w:hint="eastAsia"/>
                          <w:sz w:val="20"/>
                        </w:rPr>
                        <w:t>年</w:t>
                      </w:r>
                    </w:p>
                  </w:txbxContent>
                </v:textbox>
                <w10:wrap type="through"/>
              </v:shape>
            </w:pict>
          </mc:Fallback>
        </mc:AlternateContent>
      </w:r>
      <w:r w:rsidR="00C349E7" w:rsidRPr="00DF1F62">
        <w:rPr>
          <w:rFonts w:ascii="標楷體" w:eastAsia="標楷體" w:hAnsi="標楷體" w:cs="新細明體"/>
          <w:b/>
          <w:bCs/>
          <w:noProof/>
          <w:kern w:val="0"/>
          <w:sz w:val="20"/>
        </w:rPr>
        <mc:AlternateContent>
          <mc:Choice Requires="wpg">
            <w:drawing>
              <wp:anchor distT="0" distB="0" distL="114300" distR="114300" simplePos="0" relativeHeight="251642880" behindDoc="1" locked="0" layoutInCell="1" allowOverlap="1" wp14:anchorId="5F9DCF22" wp14:editId="1700119B">
                <wp:simplePos x="0" y="0"/>
                <wp:positionH relativeFrom="column">
                  <wp:posOffset>1873250</wp:posOffset>
                </wp:positionH>
                <wp:positionV relativeFrom="paragraph">
                  <wp:posOffset>1950085</wp:posOffset>
                </wp:positionV>
                <wp:extent cx="4362450" cy="2884624"/>
                <wp:effectExtent l="0" t="0" r="0" b="0"/>
                <wp:wrapTight wrapText="bothSides">
                  <wp:wrapPolygon edited="0">
                    <wp:start x="2830" y="0"/>
                    <wp:lineTo x="189" y="285"/>
                    <wp:lineTo x="0" y="428"/>
                    <wp:lineTo x="0" y="19688"/>
                    <wp:lineTo x="1132" y="20830"/>
                    <wp:lineTo x="2169" y="20830"/>
                    <wp:lineTo x="2169" y="21400"/>
                    <wp:lineTo x="18299" y="21400"/>
                    <wp:lineTo x="18299" y="20830"/>
                    <wp:lineTo x="21506" y="19831"/>
                    <wp:lineTo x="21506" y="285"/>
                    <wp:lineTo x="17827" y="0"/>
                    <wp:lineTo x="2830" y="0"/>
                  </wp:wrapPolygon>
                </wp:wrapTight>
                <wp:docPr id="1537749607" name="群組 14"/>
                <wp:cNvGraphicFramePr/>
                <a:graphic xmlns:a="http://schemas.openxmlformats.org/drawingml/2006/main">
                  <a:graphicData uri="http://schemas.microsoft.com/office/word/2010/wordprocessingGroup">
                    <wpg:wgp>
                      <wpg:cNvGrpSpPr/>
                      <wpg:grpSpPr>
                        <a:xfrm>
                          <a:off x="0" y="0"/>
                          <a:ext cx="4362451" cy="2884624"/>
                          <a:chOff x="67734" y="-54622"/>
                          <a:chExt cx="4608406" cy="2894864"/>
                        </a:xfrm>
                      </wpg:grpSpPr>
                      <wps:wsp>
                        <wps:cNvPr id="1259424380" name="文字方塊 2"/>
                        <wps:cNvSpPr txBox="1">
                          <a:spLocks noChangeArrowheads="1"/>
                        </wps:cNvSpPr>
                        <wps:spPr bwMode="auto">
                          <a:xfrm>
                            <a:off x="567266" y="2548467"/>
                            <a:ext cx="3375575" cy="291775"/>
                          </a:xfrm>
                          <a:prstGeom prst="rect">
                            <a:avLst/>
                          </a:prstGeom>
                          <a:solidFill>
                            <a:srgbClr val="FFFFFF"/>
                          </a:solidFill>
                          <a:ln w="9525">
                            <a:noFill/>
                            <a:miter lim="800000"/>
                            <a:headEnd/>
                            <a:tailEnd/>
                          </a:ln>
                        </wps:spPr>
                        <wps:txbx>
                          <w:txbxContent>
                            <w:p w14:paraId="279B099C" w14:textId="77777777" w:rsidR="00DF1F62" w:rsidRPr="001A07AF" w:rsidRDefault="00DF1F62" w:rsidP="00DF1F62">
                              <w:pPr>
                                <w:spacing w:line="240" w:lineRule="exact"/>
                                <w:ind w:left="900" w:hangingChars="500" w:hanging="900"/>
                                <w:rPr>
                                  <w:rFonts w:ascii="標楷體" w:eastAsia="標楷體" w:hAnsi="標楷體"/>
                                  <w:sz w:val="18"/>
                                  <w:szCs w:val="18"/>
                                </w:rPr>
                              </w:pPr>
                              <w:r w:rsidRPr="001A07AF">
                                <w:rPr>
                                  <w:rFonts w:ascii="標楷體" w:eastAsia="標楷體" w:hAnsi="標楷體" w:hint="eastAsia"/>
                                  <w:sz w:val="18"/>
                                  <w:szCs w:val="18"/>
                                </w:rPr>
                                <w:t>資料來源：整理自</w:t>
                              </w:r>
                              <w:r w:rsidRPr="001A07AF">
                                <w:rPr>
                                  <w:rFonts w:ascii="標楷體" w:eastAsia="標楷體" w:hAnsi="標楷體" w:cs="DFKaiShu-SB-Estd-BF" w:hint="eastAsia"/>
                                  <w:bCs/>
                                  <w:snapToGrid w:val="0"/>
                                  <w:kern w:val="0"/>
                                  <w:sz w:val="18"/>
                                  <w:szCs w:val="18"/>
                                </w:rPr>
                                <w:t>「</w:t>
                              </w:r>
                              <w:r w:rsidRPr="001A07AF">
                                <w:rPr>
                                  <w:rFonts w:ascii="標楷體" w:eastAsia="標楷體" w:hAnsi="標楷體" w:cs="DFKaiShu-SB-Estd-BF"/>
                                  <w:bCs/>
                                  <w:snapToGrid w:val="0"/>
                                  <w:kern w:val="0"/>
                                  <w:sz w:val="18"/>
                                  <w:szCs w:val="18"/>
                                </w:rPr>
                                <w:t>11</w:t>
                              </w:r>
                              <w:r w:rsidRPr="001A07AF">
                                <w:rPr>
                                  <w:rFonts w:ascii="標楷體" w:eastAsia="標楷體" w:hAnsi="標楷體" w:cs="DFKaiShu-SB-Estd-BF" w:hint="eastAsia"/>
                                  <w:bCs/>
                                  <w:snapToGrid w:val="0"/>
                                  <w:kern w:val="0"/>
                                  <w:sz w:val="18"/>
                                  <w:szCs w:val="18"/>
                                </w:rPr>
                                <w:t>2年家庭收支調查報告」資料。</w:t>
                              </w:r>
                            </w:p>
                          </w:txbxContent>
                        </wps:txbx>
                        <wps:bodyPr rot="0" vert="horz" wrap="square" lIns="91440" tIns="45720" rIns="91440" bIns="45720" anchor="t" anchorCtr="0">
                          <a:noAutofit/>
                        </wps:bodyPr>
                      </wps:wsp>
                      <wpg:grpSp>
                        <wpg:cNvPr id="2008327077" name="群組 13"/>
                        <wpg:cNvGrpSpPr/>
                        <wpg:grpSpPr>
                          <a:xfrm>
                            <a:off x="67734" y="-54622"/>
                            <a:ext cx="4608406" cy="2662354"/>
                            <a:chOff x="67734" y="-57459"/>
                            <a:chExt cx="4608406" cy="2800659"/>
                          </a:xfrm>
                        </wpg:grpSpPr>
                        <pic:pic xmlns:pic="http://schemas.openxmlformats.org/drawingml/2006/picture">
                          <pic:nvPicPr>
                            <pic:cNvPr id="30836790" name="圖片 4"/>
                            <pic:cNvPicPr>
                              <a:picLocks noChangeAspect="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67734" y="0"/>
                              <a:ext cx="4608406" cy="2743200"/>
                            </a:xfrm>
                            <a:prstGeom prst="rect">
                              <a:avLst/>
                            </a:prstGeom>
                            <a:noFill/>
                          </pic:spPr>
                        </pic:pic>
                        <wps:wsp>
                          <wps:cNvPr id="197031847" name="文字方塊 27"/>
                          <wps:cNvSpPr txBox="1"/>
                          <wps:spPr>
                            <a:xfrm>
                              <a:off x="621695" y="-57459"/>
                              <a:ext cx="3321148" cy="353886"/>
                            </a:xfrm>
                            <a:prstGeom prst="rect">
                              <a:avLst/>
                            </a:prstGeom>
                            <a:noFill/>
                            <a:ln w="9525" cmpd="sng">
                              <a:noFill/>
                            </a:ln>
                            <a:effectLst/>
                          </wps:spPr>
                          <wps:txbx>
                            <w:txbxContent>
                              <w:p w14:paraId="01CC7912" w14:textId="35B4A238" w:rsidR="00DF1F62" w:rsidRDefault="00DF1F62" w:rsidP="00DF1F62">
                                <w:pPr>
                                  <w:jc w:val="center"/>
                                  <w:textAlignment w:val="baseline"/>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sidR="00F45A82">
                                  <w:rPr>
                                    <w:rFonts w:ascii="標楷體" w:eastAsia="標楷體" w:hAnsi="標楷體"/>
                                    <w:b/>
                                    <w:bCs/>
                                    <w:color w:val="000000" w:themeColor="dark1"/>
                                  </w:rPr>
                                  <w:t>1</w:t>
                                </w:r>
                                <w:r>
                                  <w:rPr>
                                    <w:rFonts w:ascii="標楷體" w:eastAsia="標楷體" w:hAnsi="標楷體" w:hint="eastAsia"/>
                                    <w:b/>
                                    <w:bCs/>
                                    <w:color w:val="000000" w:themeColor="dark1"/>
                                  </w:rPr>
                                  <w:t xml:space="preserve">　每戶及每人所得吉尼係數變動趨勢</w:t>
                                </w:r>
                              </w:p>
                            </w:txbxContent>
                          </wps:txbx>
                          <wps:bodyPr vertOverflow="clip" horzOverflow="clip" wrap="square" rtlCol="0" anchor="t"/>
                        </wps:wsp>
                      </wpg:grpSp>
                    </wpg:wgp>
                  </a:graphicData>
                </a:graphic>
                <wp14:sizeRelH relativeFrom="margin">
                  <wp14:pctWidth>0</wp14:pctWidth>
                </wp14:sizeRelH>
                <wp14:sizeRelV relativeFrom="margin">
                  <wp14:pctHeight>0</wp14:pctHeight>
                </wp14:sizeRelV>
              </wp:anchor>
            </w:drawing>
          </mc:Choice>
          <mc:Fallback>
            <w:pict>
              <v:group w14:anchorId="5F9DCF22" id="群組 14" o:spid="_x0000_s1031" style="position:absolute;left:0;text-align:left;margin-left:147.5pt;margin-top:153.55pt;width:343.5pt;height:227.15pt;z-index:-251673600;mso-width-relative:margin;mso-height-relative:margin" coordorigin="677,-546" coordsize="46084,289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">
                <v:shape id="_x0000_s1032" type="#_x0000_t202" style="position:absolute;left:5672;top:25484;width:33756;height:2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" stroked="f">
                  <v:textbox>
                    <w:txbxContent>
                      <w:p w14:paraId="279B099C" w14:textId="77777777" w:rsidR="00DF1F62" w:rsidRPr="001A07AF" w:rsidRDefault="00DF1F62" w:rsidP="00DF1F62">
                        <w:pPr>
                          <w:spacing w:line="240" w:lineRule="exact"/>
                          <w:ind w:left="900" w:hangingChars="500" w:hanging="900"/>
                          <w:rPr>
                            <w:rFonts w:ascii="標楷體" w:eastAsia="標楷體" w:hAnsi="標楷體"/>
                            <w:sz w:val="18"/>
                            <w:szCs w:val="18"/>
                          </w:rPr>
                        </w:pPr>
                        <w:r w:rsidRPr="001A07AF">
                          <w:rPr>
                            <w:rFonts w:ascii="標楷體" w:eastAsia="標楷體" w:hAnsi="標楷體" w:hint="eastAsia"/>
                            <w:sz w:val="18"/>
                            <w:szCs w:val="18"/>
                          </w:rPr>
                          <w:t>資料來源：整理自</w:t>
                        </w:r>
                        <w:r w:rsidRPr="001A07AF">
                          <w:rPr>
                            <w:rFonts w:ascii="標楷體" w:eastAsia="標楷體" w:hAnsi="標楷體" w:cs="DFKaiShu-SB-Estd-BF" w:hint="eastAsia"/>
                            <w:bCs/>
                            <w:snapToGrid w:val="0"/>
                            <w:kern w:val="0"/>
                            <w:sz w:val="18"/>
                            <w:szCs w:val="18"/>
                          </w:rPr>
                          <w:t>「</w:t>
                        </w:r>
                        <w:r w:rsidRPr="001A07AF">
                          <w:rPr>
                            <w:rFonts w:ascii="標楷體" w:eastAsia="標楷體" w:hAnsi="標楷體" w:cs="DFKaiShu-SB-Estd-BF"/>
                            <w:bCs/>
                            <w:snapToGrid w:val="0"/>
                            <w:kern w:val="0"/>
                            <w:sz w:val="18"/>
                            <w:szCs w:val="18"/>
                          </w:rPr>
                          <w:t>11</w:t>
                        </w:r>
                        <w:r w:rsidRPr="001A07AF">
                          <w:rPr>
                            <w:rFonts w:ascii="標楷體" w:eastAsia="標楷體" w:hAnsi="標楷體" w:cs="DFKaiShu-SB-Estd-BF" w:hint="eastAsia"/>
                            <w:bCs/>
                            <w:snapToGrid w:val="0"/>
                            <w:kern w:val="0"/>
                            <w:sz w:val="18"/>
                            <w:szCs w:val="18"/>
                          </w:rPr>
                          <w:t>2年家庭收支調查報告」資料。</w:t>
                        </w:r>
                      </w:p>
                    </w:txbxContent>
                  </v:textbox>
                </v:shape>
                <v:group id="群組 13" o:spid="_x0000_s1033" style="position:absolute;left:677;top:-546;width:46084;height:26623" coordorigin="677,-574" coordsize="46084,2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4" o:spid="_x0000_s1034" type="#_x0000_t75" style="position:absolute;left:677;width:46084;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">
                    <v:imagedata r:id="rId11" o:title="" grayscale="t"/>
                  </v:shape>
                  <v:shape id="文字方塊 27" o:spid="_x0000_s1035" type="#_x0000_t202" style="position:absolute;left:6216;top:-574;width:33212;height:3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" filled="f" stroked="f">
                    <v:textbox>
                      <w:txbxContent>
                        <w:p w14:paraId="01CC7912" w14:textId="35B4A238" w:rsidR="00DF1F62" w:rsidRDefault="00DF1F62" w:rsidP="00DF1F62">
                          <w:pPr>
                            <w:jc w:val="center"/>
                            <w:textAlignment w:val="baseline"/>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sidR="00F45A82">
                            <w:rPr>
                              <w:rFonts w:ascii="標楷體" w:eastAsia="標楷體" w:hAnsi="標楷體"/>
                              <w:b/>
                              <w:bCs/>
                              <w:color w:val="000000" w:themeColor="dark1"/>
                            </w:rPr>
                            <w:t>1</w:t>
                          </w:r>
                          <w:r>
                            <w:rPr>
                              <w:rFonts w:ascii="標楷體" w:eastAsia="標楷體" w:hAnsi="標楷體" w:hint="eastAsia"/>
                              <w:b/>
                              <w:bCs/>
                              <w:color w:val="000000" w:themeColor="dark1"/>
                            </w:rPr>
                            <w:t xml:space="preserve">　每戶及每人所得吉尼係數變動趨勢</w:t>
                          </w:r>
                        </w:p>
                      </w:txbxContent>
                    </v:textbox>
                  </v:shape>
                </v:group>
                <w10:wrap type="tight"/>
              </v:group>
            </w:pict>
          </mc:Fallback>
        </mc:AlternateContent>
      </w:r>
      <w:r w:rsidR="00C349E7" w:rsidRPr="00946614">
        <w:rPr>
          <w:rFonts w:ascii="標楷體" w:eastAsia="標楷體" w:hAnsi="標楷體" w:cs="新細明體" w:hint="eastAsia"/>
          <w:b/>
          <w:bCs/>
          <w:noProof/>
          <w:kern w:val="0"/>
          <w:sz w:val="20"/>
          <w:szCs w:val="22"/>
        </w:rPr>
        <mc:AlternateContent>
          <mc:Choice Requires="wpg">
            <w:drawing>
              <wp:anchor distT="0" distB="0" distL="114300" distR="114300" simplePos="0" relativeHeight="251654144" behindDoc="1" locked="0" layoutInCell="1" allowOverlap="1" wp14:anchorId="3A3EB842" wp14:editId="5E8C8636">
                <wp:simplePos x="0" y="0"/>
                <wp:positionH relativeFrom="column">
                  <wp:posOffset>1878330</wp:posOffset>
                </wp:positionH>
                <wp:positionV relativeFrom="paragraph">
                  <wp:posOffset>4899660</wp:posOffset>
                </wp:positionV>
                <wp:extent cx="4417695" cy="2819400"/>
                <wp:effectExtent l="0" t="0" r="1905" b="0"/>
                <wp:wrapTight wrapText="bothSides">
                  <wp:wrapPolygon edited="0">
                    <wp:start x="0" y="0"/>
                    <wp:lineTo x="0" y="19995"/>
                    <wp:lineTo x="2235" y="21016"/>
                    <wp:lineTo x="2235" y="21454"/>
                    <wp:lineTo x="18070" y="21454"/>
                    <wp:lineTo x="18070" y="21016"/>
                    <wp:lineTo x="21516" y="19995"/>
                    <wp:lineTo x="21516" y="0"/>
                    <wp:lineTo x="0" y="0"/>
                  </wp:wrapPolygon>
                </wp:wrapTight>
                <wp:docPr id="1574902640" name="群組 12"/>
                <wp:cNvGraphicFramePr/>
                <a:graphic xmlns:a="http://schemas.openxmlformats.org/drawingml/2006/main">
                  <a:graphicData uri="http://schemas.microsoft.com/office/word/2010/wordprocessingGroup">
                    <wpg:wgp>
                      <wpg:cNvGrpSpPr/>
                      <wpg:grpSpPr>
                        <a:xfrm>
                          <a:off x="0" y="0"/>
                          <a:ext cx="4417695" cy="2819400"/>
                          <a:chOff x="0" y="0"/>
                          <a:chExt cx="4620895" cy="2969705"/>
                        </a:xfrm>
                      </wpg:grpSpPr>
                      <wpg:grpSp>
                        <wpg:cNvPr id="1249982662" name="群組 11"/>
                        <wpg:cNvGrpSpPr/>
                        <wpg:grpSpPr>
                          <a:xfrm>
                            <a:off x="0" y="0"/>
                            <a:ext cx="4620895" cy="2743200"/>
                            <a:chOff x="0" y="0"/>
                            <a:chExt cx="4620895" cy="2743200"/>
                          </a:xfrm>
                        </wpg:grpSpPr>
                        <pic:pic xmlns:pic="http://schemas.openxmlformats.org/drawingml/2006/picture">
                          <pic:nvPicPr>
                            <pic:cNvPr id="1361774657" name="圖片 3"/>
                            <pic:cNvPicPr>
                              <a:picLocks noChangeAspect="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4620895" cy="2743200"/>
                            </a:xfrm>
                            <a:prstGeom prst="rect">
                              <a:avLst/>
                            </a:prstGeom>
                            <a:noFill/>
                          </pic:spPr>
                        </pic:pic>
                        <wps:wsp>
                          <wps:cNvPr id="1099342216" name="文字方塊 26"/>
                          <wps:cNvSpPr txBox="1"/>
                          <wps:spPr>
                            <a:xfrm>
                              <a:off x="511628" y="0"/>
                              <a:ext cx="3876040" cy="299357"/>
                            </a:xfrm>
                            <a:prstGeom prst="rect">
                              <a:avLst/>
                            </a:prstGeom>
                            <a:noFill/>
                            <a:ln w="9525" cmpd="sng">
                              <a:noFill/>
                            </a:ln>
                            <a:effectLst/>
                          </wps:spPr>
                          <wps:txbx>
                            <w:txbxContent>
                              <w:p w14:paraId="3B607506" w14:textId="7334C594" w:rsidR="0064250F" w:rsidRDefault="0064250F" w:rsidP="0064250F">
                                <w:pPr>
                                  <w:jc w:val="center"/>
                                  <w:textAlignment w:val="baseline"/>
                                  <w:rPr>
                                    <w:rFonts w:ascii="標楷體" w:eastAsia="標楷體" w:hAnsi="標楷體" w:cs="+mn-cs"/>
                                    <w:b/>
                                    <w:bCs/>
                                    <w:color w:val="000000"/>
                                    <w:kern w:val="0"/>
                                    <w:szCs w:val="24"/>
                                  </w:rPr>
                                </w:pPr>
                                <w:r>
                                  <w:rPr>
                                    <w:rFonts w:ascii="標楷體" w:eastAsia="標楷體" w:hAnsi="標楷體" w:cs="+mn-cs" w:hint="eastAsia"/>
                                    <w:b/>
                                    <w:bCs/>
                                    <w:color w:val="000000"/>
                                  </w:rPr>
                                  <w:t>圖</w:t>
                                </w:r>
                                <w:r w:rsidR="00351B5B">
                                  <w:rPr>
                                    <w:rFonts w:ascii="標楷體" w:eastAsia="標楷體" w:hAnsi="標楷體" w:cs="+mn-cs"/>
                                    <w:b/>
                                    <w:bCs/>
                                    <w:color w:val="000000"/>
                                  </w:rPr>
                                  <w:t>2</w:t>
                                </w:r>
                                <w:r>
                                  <w:rPr>
                                    <w:rFonts w:ascii="標楷體" w:eastAsia="標楷體" w:hAnsi="標楷體" w:cs="+mn-cs" w:hint="eastAsia"/>
                                    <w:b/>
                                    <w:bCs/>
                                    <w:color w:val="000000"/>
                                  </w:rPr>
                                  <w:t xml:space="preserve">　每戶及每人五等分位所得差距倍數變動趨勢</w:t>
                                </w:r>
                              </w:p>
                            </w:txbxContent>
                          </wps:txbx>
                          <wps:bodyPr vertOverflow="clip" horzOverflow="clip" wrap="square" rtlCol="0" anchor="t"/>
                        </wps:wsp>
                      </wpg:grpSp>
                      <wps:wsp>
                        <wps:cNvPr id="135140613" name="文字方塊 2"/>
                        <wps:cNvSpPr txBox="1">
                          <a:spLocks noChangeArrowheads="1"/>
                        </wps:cNvSpPr>
                        <wps:spPr bwMode="auto">
                          <a:xfrm>
                            <a:off x="511627" y="2677886"/>
                            <a:ext cx="3325390" cy="291819"/>
                          </a:xfrm>
                          <a:prstGeom prst="rect">
                            <a:avLst/>
                          </a:prstGeom>
                          <a:solidFill>
                            <a:srgbClr val="FFFFFF"/>
                          </a:solidFill>
                          <a:ln w="9525">
                            <a:noFill/>
                            <a:miter lim="800000"/>
                            <a:headEnd/>
                            <a:tailEnd/>
                          </a:ln>
                        </wps:spPr>
                        <wps:txbx>
                          <w:txbxContent>
                            <w:p w14:paraId="7E762A16" w14:textId="77777777" w:rsidR="0064250F" w:rsidRPr="001A07AF" w:rsidRDefault="0064250F" w:rsidP="0064250F">
                              <w:pPr>
                                <w:spacing w:line="240" w:lineRule="exact"/>
                                <w:ind w:left="900" w:hangingChars="500" w:hanging="900"/>
                                <w:rPr>
                                  <w:rFonts w:ascii="標楷體" w:eastAsia="標楷體" w:hAnsi="標楷體"/>
                                  <w:sz w:val="18"/>
                                  <w:szCs w:val="18"/>
                                </w:rPr>
                              </w:pPr>
                              <w:r w:rsidRPr="001A07AF">
                                <w:rPr>
                                  <w:rFonts w:ascii="標楷體" w:eastAsia="標楷體" w:hAnsi="標楷體" w:hint="eastAsia"/>
                                  <w:sz w:val="18"/>
                                  <w:szCs w:val="18"/>
                                </w:rPr>
                                <w:t>資料來源：整理自</w:t>
                              </w:r>
                              <w:r w:rsidRPr="001A07AF">
                                <w:rPr>
                                  <w:rFonts w:ascii="標楷體" w:eastAsia="標楷體" w:hAnsi="標楷體" w:cs="DFKaiShu-SB-Estd-BF" w:hint="eastAsia"/>
                                  <w:bCs/>
                                  <w:snapToGrid w:val="0"/>
                                  <w:kern w:val="0"/>
                                  <w:sz w:val="18"/>
                                  <w:szCs w:val="18"/>
                                </w:rPr>
                                <w:t>「</w:t>
                              </w:r>
                              <w:r w:rsidRPr="001A07AF">
                                <w:rPr>
                                  <w:rFonts w:ascii="標楷體" w:eastAsia="標楷體" w:hAnsi="標楷體" w:cs="DFKaiShu-SB-Estd-BF"/>
                                  <w:bCs/>
                                  <w:snapToGrid w:val="0"/>
                                  <w:kern w:val="0"/>
                                  <w:sz w:val="18"/>
                                  <w:szCs w:val="18"/>
                                </w:rPr>
                                <w:t>11</w:t>
                              </w:r>
                              <w:r w:rsidRPr="001A07AF">
                                <w:rPr>
                                  <w:rFonts w:ascii="標楷體" w:eastAsia="標楷體" w:hAnsi="標楷體" w:cs="DFKaiShu-SB-Estd-BF" w:hint="eastAsia"/>
                                  <w:bCs/>
                                  <w:snapToGrid w:val="0"/>
                                  <w:kern w:val="0"/>
                                  <w:sz w:val="18"/>
                                  <w:szCs w:val="18"/>
                                </w:rPr>
                                <w:t>2年家庭收支調查報告」資料。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A3EB842" id="群組 12" o:spid="_x0000_s1036" style="position:absolute;left:0;text-align:left;margin-left:147.9pt;margin-top:385.8pt;width:347.85pt;height:222pt;z-index:-251662336;mso-width-relative:margin;mso-height-relative:margin" coordsize="46208,296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">
                <v:group id="群組 11" o:spid="_x0000_s1037" style="position:absolute;width:46208;height:27432" coordsize="46208,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">
                  <v:shape id="圖片 3" o:spid="_x0000_s1038" type="#_x0000_t75" style="position:absolute;width:46208;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">
                    <v:imagedata r:id="rId13" o:title="" grayscale="t"/>
                  </v:shape>
                  <v:shape id="文字方塊 26" o:spid="_x0000_s1039" type="#_x0000_t202" style="position:absolute;left:5116;width:38760;height:2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" filled="f" stroked="f">
                    <v:textbox>
                      <w:txbxContent>
                        <w:p w14:paraId="3B607506" w14:textId="7334C594" w:rsidR="0064250F" w:rsidRDefault="0064250F" w:rsidP="0064250F">
                          <w:pPr>
                            <w:jc w:val="center"/>
                            <w:textAlignment w:val="baseline"/>
                            <w:rPr>
                              <w:rFonts w:ascii="標楷體" w:eastAsia="標楷體" w:hAnsi="標楷體" w:cs="+mn-cs"/>
                              <w:b/>
                              <w:bCs/>
                              <w:color w:val="000000"/>
                              <w:kern w:val="0"/>
                              <w:szCs w:val="24"/>
                            </w:rPr>
                          </w:pPr>
                          <w:r>
                            <w:rPr>
                              <w:rFonts w:ascii="標楷體" w:eastAsia="標楷體" w:hAnsi="標楷體" w:cs="+mn-cs" w:hint="eastAsia"/>
                              <w:b/>
                              <w:bCs/>
                              <w:color w:val="000000"/>
                            </w:rPr>
                            <w:t>圖</w:t>
                          </w:r>
                          <w:r w:rsidR="00351B5B">
                            <w:rPr>
                              <w:rFonts w:ascii="標楷體" w:eastAsia="標楷體" w:hAnsi="標楷體" w:cs="+mn-cs"/>
                              <w:b/>
                              <w:bCs/>
                              <w:color w:val="000000"/>
                            </w:rPr>
                            <w:t>2</w:t>
                          </w:r>
                          <w:r>
                            <w:rPr>
                              <w:rFonts w:ascii="標楷體" w:eastAsia="標楷體" w:hAnsi="標楷體" w:cs="+mn-cs" w:hint="eastAsia"/>
                              <w:b/>
                              <w:bCs/>
                              <w:color w:val="000000"/>
                            </w:rPr>
                            <w:t xml:space="preserve">　每戶及每人五等分位所得差距倍數變動趨勢</w:t>
                          </w:r>
                        </w:p>
                      </w:txbxContent>
                    </v:textbox>
                  </v:shape>
                </v:group>
                <v:shape id="_x0000_s1040" type="#_x0000_t202" style="position:absolute;left:5116;top:26778;width:33254;height:2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" stroked="f">
                  <v:textbox>
                    <w:txbxContent>
                      <w:p w14:paraId="7E762A16" w14:textId="77777777" w:rsidR="0064250F" w:rsidRPr="001A07AF" w:rsidRDefault="0064250F" w:rsidP="0064250F">
                        <w:pPr>
                          <w:spacing w:line="240" w:lineRule="exact"/>
                          <w:ind w:left="900" w:hangingChars="500" w:hanging="900"/>
                          <w:rPr>
                            <w:rFonts w:ascii="標楷體" w:eastAsia="標楷體" w:hAnsi="標楷體"/>
                            <w:sz w:val="18"/>
                            <w:szCs w:val="18"/>
                          </w:rPr>
                        </w:pPr>
                        <w:r w:rsidRPr="001A07AF">
                          <w:rPr>
                            <w:rFonts w:ascii="標楷體" w:eastAsia="標楷體" w:hAnsi="標楷體" w:hint="eastAsia"/>
                            <w:sz w:val="18"/>
                            <w:szCs w:val="18"/>
                          </w:rPr>
                          <w:t>資料來源：整理自</w:t>
                        </w:r>
                        <w:r w:rsidRPr="001A07AF">
                          <w:rPr>
                            <w:rFonts w:ascii="標楷體" w:eastAsia="標楷體" w:hAnsi="標楷體" w:cs="DFKaiShu-SB-Estd-BF" w:hint="eastAsia"/>
                            <w:bCs/>
                            <w:snapToGrid w:val="0"/>
                            <w:kern w:val="0"/>
                            <w:sz w:val="18"/>
                            <w:szCs w:val="18"/>
                          </w:rPr>
                          <w:t>「</w:t>
                        </w:r>
                        <w:r w:rsidRPr="001A07AF">
                          <w:rPr>
                            <w:rFonts w:ascii="標楷體" w:eastAsia="標楷體" w:hAnsi="標楷體" w:cs="DFKaiShu-SB-Estd-BF"/>
                            <w:bCs/>
                            <w:snapToGrid w:val="0"/>
                            <w:kern w:val="0"/>
                            <w:sz w:val="18"/>
                            <w:szCs w:val="18"/>
                          </w:rPr>
                          <w:t>11</w:t>
                        </w:r>
                        <w:r w:rsidRPr="001A07AF">
                          <w:rPr>
                            <w:rFonts w:ascii="標楷體" w:eastAsia="標楷體" w:hAnsi="標楷體" w:cs="DFKaiShu-SB-Estd-BF" w:hint="eastAsia"/>
                            <w:bCs/>
                            <w:snapToGrid w:val="0"/>
                            <w:kern w:val="0"/>
                            <w:sz w:val="18"/>
                            <w:szCs w:val="18"/>
                          </w:rPr>
                          <w:t>2年家庭收支調查報告」資料。</w:t>
                        </w:r>
                      </w:p>
                    </w:txbxContent>
                  </v:textbox>
                </v:shape>
                <w10:wrap type="tight"/>
              </v:group>
            </w:pict>
          </mc:Fallback>
        </mc:AlternateContent>
      </w:r>
      <w:r w:rsidR="004A5EDD" w:rsidRPr="004A5EDD">
        <w:rPr>
          <w:rFonts w:ascii="標楷體" w:eastAsia="標楷體" w:hAnsi="標楷體" w:cstheme="minorBidi" w:hint="eastAsia"/>
          <w:b/>
          <w:snapToGrid w:val="0"/>
          <w:kern w:val="0"/>
          <w:szCs w:val="24"/>
        </w:rPr>
        <w:t>1.　臺灣永續發展目標與改善所得分配密切相關之對應指標，分散在不同核心目標下，未</w:t>
      </w:r>
      <w:r w:rsidR="004A5EDD" w:rsidRPr="004A5EDD">
        <w:rPr>
          <w:rFonts w:ascii="標楷體" w:eastAsia="標楷體" w:hAnsi="標楷體" w:cstheme="minorBidi" w:hint="eastAsia"/>
          <w:b/>
          <w:bCs/>
          <w:snapToGrid w:val="0"/>
          <w:kern w:val="0"/>
          <w:szCs w:val="24"/>
        </w:rPr>
        <w:t>具體標示</w:t>
      </w:r>
      <w:r w:rsidR="004A5EDD" w:rsidRPr="004A5EDD">
        <w:rPr>
          <w:rFonts w:ascii="標楷體" w:eastAsia="標楷體" w:hAnsi="標楷體" w:cstheme="minorBidi" w:hint="eastAsia"/>
          <w:b/>
          <w:snapToGrid w:val="0"/>
          <w:kern w:val="0"/>
          <w:szCs w:val="24"/>
        </w:rPr>
        <w:t>關鍵對應指標項目，難以整體監測追蹤進展，且部分指標</w:t>
      </w:r>
      <w:r w:rsidR="004A5EDD" w:rsidRPr="004A5EDD">
        <w:rPr>
          <w:rFonts w:ascii="標楷體" w:eastAsia="標楷體" w:hAnsi="標楷體" w:cstheme="minorBidi" w:hint="eastAsia"/>
          <w:b/>
          <w:bCs/>
          <w:snapToGrid w:val="0"/>
          <w:kern w:val="0"/>
          <w:szCs w:val="24"/>
        </w:rPr>
        <w:t>連</w:t>
      </w:r>
      <w:r w:rsidR="004A5EDD" w:rsidRPr="004A5EDD">
        <w:rPr>
          <w:rFonts w:ascii="標楷體" w:eastAsia="標楷體" w:hAnsi="標楷體" w:cstheme="minorBidi" w:hint="eastAsia"/>
          <w:b/>
          <w:snapToGrid w:val="0"/>
          <w:kern w:val="0"/>
          <w:szCs w:val="24"/>
        </w:rPr>
        <w:t>續2至4年未達標或數據不足</w:t>
      </w:r>
      <w:r w:rsidR="004A5EDD" w:rsidRPr="004A5EDD">
        <w:rPr>
          <w:rFonts w:ascii="標楷體" w:eastAsia="標楷體" w:hAnsi="標楷體" w:cstheme="minorBidi" w:hint="eastAsia"/>
          <w:b/>
          <w:bCs/>
          <w:snapToGrid w:val="0"/>
          <w:kern w:val="0"/>
          <w:szCs w:val="24"/>
        </w:rPr>
        <w:t>，</w:t>
      </w:r>
      <w:r w:rsidR="004A5EDD" w:rsidRPr="004A5EDD">
        <w:rPr>
          <w:rFonts w:ascii="標楷體" w:eastAsia="標楷體" w:hAnsi="標楷體" w:hint="eastAsia"/>
          <w:b/>
          <w:snapToGrid w:val="0"/>
          <w:kern w:val="0"/>
          <w:szCs w:val="24"/>
        </w:rPr>
        <w:t>尚未</w:t>
      </w:r>
      <w:r w:rsidR="004A5EDD" w:rsidRPr="004A5EDD">
        <w:rPr>
          <w:rFonts w:ascii="標楷體" w:eastAsia="標楷體" w:hAnsi="標楷體" w:cstheme="minorBidi" w:hint="eastAsia"/>
          <w:b/>
          <w:snapToGrid w:val="0"/>
          <w:kern w:val="0"/>
          <w:szCs w:val="24"/>
        </w:rPr>
        <w:t>積極</w:t>
      </w:r>
      <w:proofErr w:type="gramStart"/>
      <w:r w:rsidR="004A5EDD" w:rsidRPr="004A5EDD">
        <w:rPr>
          <w:rFonts w:ascii="標楷體" w:eastAsia="標楷體" w:hAnsi="標楷體" w:cstheme="minorBidi" w:hint="eastAsia"/>
          <w:b/>
          <w:snapToGrid w:val="0"/>
          <w:kern w:val="0"/>
          <w:szCs w:val="24"/>
        </w:rPr>
        <w:t>研提精</w:t>
      </w:r>
      <w:proofErr w:type="gramEnd"/>
      <w:r w:rsidR="004A5EDD" w:rsidRPr="004A5EDD">
        <w:rPr>
          <w:rFonts w:ascii="標楷體" w:eastAsia="標楷體" w:hAnsi="標楷體" w:cstheme="minorBidi" w:hint="eastAsia"/>
          <w:b/>
          <w:snapToGrid w:val="0"/>
          <w:kern w:val="0"/>
          <w:szCs w:val="24"/>
        </w:rPr>
        <w:t>進作法，允宜強化管考機制，以利政策綜效評估：</w:t>
      </w:r>
      <w:r w:rsidR="004A5EDD" w:rsidRPr="004A5EDD">
        <w:rPr>
          <w:rFonts w:ascii="標楷體" w:eastAsia="標楷體" w:hAnsi="標楷體" w:cstheme="minorBidi" w:hint="eastAsia"/>
          <w:bCs/>
          <w:snapToGrid w:val="0"/>
          <w:kern w:val="0"/>
          <w:szCs w:val="24"/>
        </w:rPr>
        <w:t>依</w:t>
      </w:r>
      <w:r w:rsidR="004A5EDD" w:rsidRPr="004A5EDD">
        <w:rPr>
          <w:rFonts w:ascii="標楷體" w:eastAsia="標楷體" w:hAnsi="標楷體" w:cs="DFKaiShu-SB-Estd-BF" w:hint="eastAsia"/>
          <w:bCs/>
          <w:snapToGrid w:val="0"/>
          <w:kern w:val="0"/>
          <w:szCs w:val="24"/>
        </w:rPr>
        <w:t>據行政院主計總處（下稱主計總處）</w:t>
      </w:r>
      <w:r w:rsidR="004A5EDD" w:rsidRPr="004A5EDD">
        <w:rPr>
          <w:rFonts w:ascii="標楷體" w:eastAsia="標楷體" w:hAnsi="標楷體" w:cs="DFKaiShu-SB-Estd-BF"/>
          <w:bCs/>
          <w:snapToGrid w:val="0"/>
          <w:kern w:val="0"/>
          <w:szCs w:val="24"/>
        </w:rPr>
        <w:t>11</w:t>
      </w:r>
      <w:r w:rsidR="004A5EDD" w:rsidRPr="004A5EDD">
        <w:rPr>
          <w:rFonts w:ascii="標楷體" w:eastAsia="標楷體" w:hAnsi="標楷體" w:cs="DFKaiShu-SB-Estd-BF" w:hint="eastAsia"/>
          <w:bCs/>
          <w:snapToGrid w:val="0"/>
          <w:kern w:val="0"/>
          <w:szCs w:val="24"/>
        </w:rPr>
        <w:t>3年10月編印之「</w:t>
      </w:r>
      <w:r w:rsidR="004A5EDD" w:rsidRPr="004A5EDD">
        <w:rPr>
          <w:rFonts w:ascii="標楷體" w:eastAsia="標楷體" w:hAnsi="標楷體" w:cs="DFKaiShu-SB-Estd-BF"/>
          <w:bCs/>
          <w:snapToGrid w:val="0"/>
          <w:kern w:val="0"/>
          <w:szCs w:val="24"/>
        </w:rPr>
        <w:t>11</w:t>
      </w:r>
      <w:r w:rsidR="004A5EDD" w:rsidRPr="004A5EDD">
        <w:rPr>
          <w:rFonts w:ascii="標楷體" w:eastAsia="標楷體" w:hAnsi="標楷體" w:cs="DFKaiShu-SB-Estd-BF" w:hint="eastAsia"/>
          <w:bCs/>
          <w:snapToGrid w:val="0"/>
          <w:kern w:val="0"/>
          <w:szCs w:val="24"/>
        </w:rPr>
        <w:t>2年家庭收支調查報告」分析結果，</w:t>
      </w:r>
      <w:r w:rsidR="004A5EDD" w:rsidRPr="004A5EDD">
        <w:rPr>
          <w:rFonts w:ascii="標楷體" w:eastAsia="標楷體" w:hAnsi="標楷體" w:cstheme="minorBidi" w:hint="eastAsia"/>
          <w:bCs/>
          <w:snapToGrid w:val="0"/>
          <w:kern w:val="0"/>
          <w:szCs w:val="24"/>
        </w:rPr>
        <w:t>將每</w:t>
      </w:r>
      <w:proofErr w:type="gramStart"/>
      <w:r w:rsidR="004A5EDD" w:rsidRPr="004A5EDD">
        <w:rPr>
          <w:rFonts w:ascii="標楷體" w:eastAsia="標楷體" w:hAnsi="標楷體" w:cstheme="minorBidi" w:hint="eastAsia"/>
          <w:bCs/>
          <w:snapToGrid w:val="0"/>
          <w:kern w:val="0"/>
          <w:szCs w:val="24"/>
        </w:rPr>
        <w:t>個</w:t>
      </w:r>
      <w:proofErr w:type="gramEnd"/>
      <w:r w:rsidR="004A5EDD" w:rsidRPr="004A5EDD">
        <w:rPr>
          <w:rFonts w:ascii="標楷體" w:eastAsia="標楷體" w:hAnsi="標楷體" w:cstheme="minorBidi" w:hint="eastAsia"/>
          <w:bCs/>
          <w:snapToGrid w:val="0"/>
          <w:kern w:val="0"/>
          <w:szCs w:val="24"/>
        </w:rPr>
        <w:t>家庭之可支配所得兩兩互相比較，計算全體家庭之所得</w:t>
      </w:r>
      <w:proofErr w:type="gramStart"/>
      <w:r w:rsidR="004A5EDD" w:rsidRPr="004A5EDD">
        <w:rPr>
          <w:rFonts w:ascii="標楷體" w:eastAsia="標楷體" w:hAnsi="標楷體" w:cstheme="minorBidi" w:hint="eastAsia"/>
          <w:bCs/>
          <w:snapToGrid w:val="0"/>
          <w:kern w:val="0"/>
          <w:szCs w:val="24"/>
        </w:rPr>
        <w:t>不</w:t>
      </w:r>
      <w:r w:rsidR="004A5EDD" w:rsidRPr="004A5EDD">
        <w:rPr>
          <w:rFonts w:ascii="標楷體" w:eastAsia="標楷體" w:hAnsi="標楷體" w:cstheme="minorBidi" w:hint="eastAsia"/>
          <w:snapToGrid w:val="0"/>
          <w:kern w:val="0"/>
          <w:szCs w:val="24"/>
        </w:rPr>
        <w:t>均度</w:t>
      </w:r>
      <w:proofErr w:type="gramEnd"/>
      <w:r w:rsidR="004A5EDD" w:rsidRPr="004A5EDD">
        <w:rPr>
          <w:rFonts w:ascii="標楷體" w:eastAsia="標楷體" w:hAnsi="標楷體" w:cstheme="minorBidi" w:hint="eastAsia"/>
          <w:snapToGrid w:val="0"/>
          <w:kern w:val="0"/>
          <w:szCs w:val="24"/>
        </w:rPr>
        <w:t>，112年「每戶」吉尼係數為0.339【與</w:t>
      </w:r>
      <w:r w:rsidR="004A5EDD" w:rsidRPr="004A5EDD">
        <w:rPr>
          <w:rFonts w:ascii="標楷體" w:eastAsia="標楷體" w:hAnsi="標楷體" w:cs="DFKaiShu-SB-Estd-BF" w:hint="eastAsia"/>
          <w:bCs/>
          <w:snapToGrid w:val="0"/>
          <w:kern w:val="0"/>
          <w:szCs w:val="24"/>
        </w:rPr>
        <w:t>近10年（103-112年）平均數同】</w:t>
      </w:r>
      <w:r w:rsidR="004A5EDD" w:rsidRPr="004A5EDD">
        <w:rPr>
          <w:rFonts w:ascii="標楷體" w:eastAsia="標楷體" w:hAnsi="標楷體" w:cstheme="minorBidi" w:hint="eastAsia"/>
          <w:snapToGrid w:val="0"/>
          <w:kern w:val="0"/>
          <w:szCs w:val="24"/>
        </w:rPr>
        <w:t>，略低於111年之0.342、「每人」可支配所得之吉尼係數0.272（較</w:t>
      </w:r>
      <w:r w:rsidR="004A5EDD" w:rsidRPr="004A5EDD">
        <w:rPr>
          <w:rFonts w:ascii="標楷體" w:eastAsia="標楷體" w:hAnsi="標楷體" w:cs="DFKaiShu-SB-Estd-BF" w:hint="eastAsia"/>
          <w:bCs/>
          <w:snapToGrid w:val="0"/>
          <w:kern w:val="0"/>
          <w:szCs w:val="24"/>
        </w:rPr>
        <w:t>近10年平均數0.277為低）</w:t>
      </w:r>
      <w:r w:rsidR="004A5EDD" w:rsidRPr="004A5EDD">
        <w:rPr>
          <w:rFonts w:ascii="標楷體" w:eastAsia="標楷體" w:hAnsi="標楷體" w:cstheme="minorBidi" w:hint="eastAsia"/>
          <w:snapToGrid w:val="0"/>
          <w:kern w:val="0"/>
          <w:szCs w:val="24"/>
        </w:rPr>
        <w:t>，亦</w:t>
      </w:r>
      <w:r w:rsidR="004A5EDD" w:rsidRPr="004A5EDD">
        <w:rPr>
          <w:rFonts w:ascii="標楷體" w:eastAsia="標楷體" w:hAnsi="標楷體" w:hint="eastAsia"/>
          <w:snapToGrid w:val="0"/>
          <w:kern w:val="0"/>
          <w:szCs w:val="24"/>
        </w:rPr>
        <w:t>低於</w:t>
      </w:r>
      <w:r w:rsidR="004A5EDD" w:rsidRPr="004A5EDD">
        <w:rPr>
          <w:rFonts w:ascii="標楷體" w:eastAsia="標楷體" w:hAnsi="標楷體" w:cstheme="minorBidi" w:hint="eastAsia"/>
          <w:snapToGrid w:val="0"/>
          <w:kern w:val="0"/>
          <w:szCs w:val="24"/>
        </w:rPr>
        <w:t>111年之0.279（圖</w:t>
      </w:r>
      <w:r w:rsidR="00F45A82">
        <w:rPr>
          <w:rFonts w:ascii="標楷體" w:eastAsia="標楷體" w:hAnsi="標楷體" w:cstheme="minorBidi" w:hint="eastAsia"/>
          <w:snapToGrid w:val="0"/>
          <w:kern w:val="0"/>
          <w:szCs w:val="24"/>
        </w:rPr>
        <w:t>1</w:t>
      </w:r>
      <w:r w:rsidR="004A5EDD" w:rsidRPr="004A5EDD">
        <w:rPr>
          <w:rFonts w:ascii="標楷體" w:eastAsia="標楷體" w:hAnsi="標楷體" w:cstheme="minorBidi" w:hint="eastAsia"/>
          <w:snapToGrid w:val="0"/>
          <w:kern w:val="0"/>
          <w:szCs w:val="24"/>
        </w:rPr>
        <w:t>）；另將家庭可支配所得由小至大排列，並按戶數分成5等分，最高20％家庭「每戶」可支配所得為230.2萬元，較111年增2.6％，最低20％家庭為37.6萬元，增3.0％，高低所得差距6.12倍（較</w:t>
      </w:r>
      <w:r w:rsidR="004A5EDD" w:rsidRPr="004A5EDD">
        <w:rPr>
          <w:rFonts w:ascii="標楷體" w:eastAsia="標楷體" w:hAnsi="標楷體" w:cs="DFKaiShu-SB-Estd-BF" w:hint="eastAsia"/>
          <w:bCs/>
          <w:snapToGrid w:val="0"/>
          <w:kern w:val="0"/>
          <w:szCs w:val="24"/>
        </w:rPr>
        <w:t>近10年平均數6.10倍為高）</w:t>
      </w:r>
      <w:r w:rsidR="004A5EDD" w:rsidRPr="004A5EDD">
        <w:rPr>
          <w:rFonts w:ascii="標楷體" w:eastAsia="標楷體" w:hAnsi="標楷體" w:cstheme="minorBidi" w:hint="eastAsia"/>
          <w:snapToGrid w:val="0"/>
          <w:kern w:val="0"/>
          <w:szCs w:val="24"/>
        </w:rPr>
        <w:t>，較111年之6.15倍，減0.03倍、若依「每人」可支配所得重新排序後計算之所得差距，112年為3.81倍（較</w:t>
      </w:r>
      <w:r w:rsidR="004A5EDD" w:rsidRPr="004A5EDD">
        <w:rPr>
          <w:rFonts w:ascii="標楷體" w:eastAsia="標楷體" w:hAnsi="標楷體" w:cs="DFKaiShu-SB-Estd-BF" w:hint="eastAsia"/>
          <w:bCs/>
          <w:snapToGrid w:val="0"/>
          <w:kern w:val="0"/>
          <w:szCs w:val="24"/>
        </w:rPr>
        <w:t>近10年平均數3.90倍為低）</w:t>
      </w:r>
      <w:r w:rsidR="004A5EDD" w:rsidRPr="004A5EDD">
        <w:rPr>
          <w:rFonts w:ascii="標楷體" w:eastAsia="標楷體" w:hAnsi="標楷體" w:cstheme="minorBidi" w:hint="eastAsia"/>
          <w:snapToGrid w:val="0"/>
          <w:kern w:val="0"/>
          <w:szCs w:val="24"/>
        </w:rPr>
        <w:t>，較111年之3.93倍，減0.13倍（圖</w:t>
      </w:r>
      <w:r w:rsidR="00351B5B">
        <w:rPr>
          <w:rFonts w:ascii="標楷體" w:eastAsia="標楷體" w:hAnsi="標楷體" w:cstheme="minorBidi" w:hint="eastAsia"/>
          <w:snapToGrid w:val="0"/>
          <w:kern w:val="0"/>
          <w:szCs w:val="24"/>
        </w:rPr>
        <w:t>2</w:t>
      </w:r>
      <w:r w:rsidR="004A5EDD" w:rsidRPr="004A5EDD">
        <w:rPr>
          <w:rFonts w:ascii="標楷體" w:eastAsia="標楷體" w:hAnsi="標楷體" w:cstheme="minorBidi" w:hint="eastAsia"/>
          <w:snapToGrid w:val="0"/>
          <w:kern w:val="0"/>
          <w:szCs w:val="24"/>
        </w:rPr>
        <w:t>）等，顯示</w:t>
      </w:r>
      <w:r w:rsidR="004A5EDD" w:rsidRPr="004A5EDD">
        <w:rPr>
          <w:rFonts w:ascii="標楷體" w:eastAsia="標楷體" w:hAnsi="標楷體" w:cstheme="minorBidi"/>
          <w:snapToGrid w:val="0"/>
          <w:kern w:val="0"/>
          <w:szCs w:val="24"/>
        </w:rPr>
        <w:t>我國112年</w:t>
      </w:r>
      <w:r w:rsidR="004A5EDD" w:rsidRPr="008B457B">
        <w:rPr>
          <w:rFonts w:ascii="標楷體" w:eastAsia="標楷體" w:hAnsi="標楷體" w:cstheme="minorBidi"/>
          <w:snapToGrid w:val="0"/>
          <w:kern w:val="0"/>
          <w:szCs w:val="24"/>
        </w:rPr>
        <w:t>「每戶」</w:t>
      </w:r>
      <w:r w:rsidR="004A5EDD" w:rsidRPr="004A5EDD">
        <w:rPr>
          <w:rFonts w:ascii="標楷體" w:eastAsia="標楷體" w:hAnsi="標楷體" w:cstheme="minorBidi"/>
          <w:snapToGrid w:val="0"/>
          <w:kern w:val="0"/>
          <w:szCs w:val="24"/>
        </w:rPr>
        <w:t>及「每人」可支配所得吉尼係數及五等分位所得差距倍數，</w:t>
      </w:r>
      <w:r w:rsidR="004A5EDD" w:rsidRPr="004A5EDD">
        <w:rPr>
          <w:rFonts w:ascii="標楷體" w:eastAsia="標楷體" w:hAnsi="標楷體" w:cstheme="minorBidi" w:hint="eastAsia"/>
          <w:snapToGrid w:val="0"/>
          <w:kern w:val="0"/>
          <w:szCs w:val="24"/>
        </w:rPr>
        <w:t>大致</w:t>
      </w:r>
      <w:r w:rsidR="004A5EDD" w:rsidRPr="004A5EDD">
        <w:rPr>
          <w:rFonts w:ascii="標楷體" w:eastAsia="標楷體" w:hAnsi="標楷體" w:cstheme="minorBidi"/>
          <w:snapToGrid w:val="0"/>
          <w:kern w:val="0"/>
          <w:szCs w:val="24"/>
        </w:rPr>
        <w:t>較近10年（103-112年）平均數為低或相同，且略低於111年</w:t>
      </w:r>
      <w:r w:rsidR="004A5EDD" w:rsidRPr="004A5EDD">
        <w:rPr>
          <w:rFonts w:ascii="標楷體" w:eastAsia="標楷體" w:hAnsi="標楷體" w:cstheme="minorBidi" w:hint="eastAsia"/>
          <w:snapToGrid w:val="0"/>
          <w:kern w:val="0"/>
          <w:szCs w:val="24"/>
        </w:rPr>
        <w:t>，</w:t>
      </w:r>
    </w:p>
    <w:p w14:paraId="53E64776" w14:textId="7A9C9E12" w:rsidR="004A5EDD" w:rsidRPr="00A86E2C" w:rsidRDefault="00DC74C7" w:rsidP="00DE1BA6">
      <w:pPr>
        <w:overflowPunct w:val="0"/>
        <w:spacing w:line="424" w:lineRule="exact"/>
        <w:jc w:val="both"/>
        <w:rPr>
          <w:rFonts w:ascii="標楷體" w:eastAsia="標楷體" w:hAnsi="標楷體" w:cstheme="minorBidi"/>
          <w:snapToGrid w:val="0"/>
          <w:kern w:val="0"/>
          <w:szCs w:val="18"/>
        </w:rPr>
      </w:pPr>
      <w:r w:rsidRPr="00DC74C7">
        <w:rPr>
          <w:rFonts w:ascii="標楷體" w:eastAsia="標楷體" w:hAnsi="標楷體" w:cstheme="minorBidi" w:hint="eastAsia"/>
          <w:snapToGrid w:val="0"/>
          <w:kern w:val="0"/>
          <w:szCs w:val="24"/>
        </w:rPr>
        <w:lastRenderedPageBreak/>
        <w:t>所得分配差距已略有趨緩，惟分配不均現象</w:t>
      </w:r>
      <w:r w:rsidR="004C5802" w:rsidRPr="004A5EDD">
        <w:rPr>
          <w:rFonts w:ascii="標楷體" w:eastAsia="標楷體" w:hAnsi="標楷體" w:hint="eastAsia"/>
          <w:noProof/>
          <w:color w:val="000000"/>
          <w:szCs w:val="24"/>
        </w:rPr>
        <mc:AlternateContent>
          <mc:Choice Requires="wps">
            <w:drawing>
              <wp:anchor distT="0" distB="0" distL="114300" distR="114300" simplePos="0" relativeHeight="251636736" behindDoc="1" locked="0" layoutInCell="1" allowOverlap="1" wp14:anchorId="34590B25" wp14:editId="5005BEDA">
                <wp:simplePos x="0" y="0"/>
                <wp:positionH relativeFrom="margin">
                  <wp:posOffset>1593215</wp:posOffset>
                </wp:positionH>
                <wp:positionV relativeFrom="paragraph">
                  <wp:posOffset>4153535</wp:posOffset>
                </wp:positionV>
                <wp:extent cx="4580255" cy="4712335"/>
                <wp:effectExtent l="0" t="0" r="0" b="0"/>
                <wp:wrapSquare wrapText="bothSides"/>
                <wp:docPr id="1235552871" name="文字方塊 1235552871"/>
                <wp:cNvGraphicFramePr/>
                <a:graphic xmlns:a="http://schemas.openxmlformats.org/drawingml/2006/main">
                  <a:graphicData uri="http://schemas.microsoft.com/office/word/2010/wordprocessingShape">
                    <wps:wsp>
                      <wps:cNvSpPr txBox="1"/>
                      <wps:spPr>
                        <a:xfrm>
                          <a:off x="0" y="0"/>
                          <a:ext cx="4580255" cy="4712335"/>
                        </a:xfrm>
                        <a:prstGeom prst="rect">
                          <a:avLst/>
                        </a:prstGeom>
                        <a:noFill/>
                        <a:ln w="6350">
                          <a:noFill/>
                        </a:ln>
                      </wps:spPr>
                      <wps:txbx>
                        <w:txbxContent>
                          <w:p w14:paraId="6480DFF2" w14:textId="593C2863" w:rsidR="004A5EDD" w:rsidRPr="00123571" w:rsidRDefault="004A5EDD" w:rsidP="004A5EDD">
                            <w:pPr>
                              <w:spacing w:afterLines="20" w:after="72" w:line="360" w:lineRule="exact"/>
                              <w:jc w:val="center"/>
                              <w:rPr>
                                <w:rFonts w:ascii="標楷體" w:eastAsia="標楷體" w:hAnsi="標楷體"/>
                                <w:b/>
                                <w:bCs/>
                                <w:spacing w:val="-12"/>
                                <w:sz w:val="28"/>
                                <w:szCs w:val="28"/>
                              </w:rPr>
                            </w:pPr>
                            <w:r w:rsidRPr="00123571">
                              <w:rPr>
                                <w:rFonts w:ascii="標楷體" w:eastAsia="標楷體" w:hAnsi="標楷體" w:cs="新細明體" w:hint="eastAsia"/>
                                <w:b/>
                                <w:bCs/>
                                <w:color w:val="000000"/>
                                <w:spacing w:val="-12"/>
                                <w:kern w:val="0"/>
                                <w:szCs w:val="28"/>
                              </w:rPr>
                              <w:t>表</w:t>
                            </w:r>
                            <w:r w:rsidR="005E476A">
                              <w:rPr>
                                <w:rFonts w:ascii="標楷體" w:eastAsia="標楷體" w:hAnsi="標楷體" w:cs="新細明體"/>
                                <w:b/>
                                <w:bCs/>
                                <w:color w:val="000000"/>
                                <w:spacing w:val="-12"/>
                                <w:kern w:val="0"/>
                                <w:szCs w:val="28"/>
                              </w:rPr>
                              <w:t>4</w:t>
                            </w:r>
                            <w:r w:rsidRPr="00123571">
                              <w:rPr>
                                <w:rFonts w:ascii="標楷體" w:eastAsia="標楷體" w:hAnsi="標楷體" w:cs="新細明體" w:hint="eastAsia"/>
                                <w:b/>
                                <w:bCs/>
                                <w:color w:val="000000"/>
                                <w:spacing w:val="-12"/>
                                <w:kern w:val="0"/>
                                <w:szCs w:val="28"/>
                              </w:rPr>
                              <w:t xml:space="preserve">　臺灣永續發展目標</w:t>
                            </w:r>
                            <w:r w:rsidRPr="00400ABE">
                              <w:rPr>
                                <w:rFonts w:ascii="標楷體" w:eastAsia="標楷體" w:hAnsi="標楷體" w:cs="新細明體" w:hint="eastAsia"/>
                                <w:b/>
                                <w:bCs/>
                                <w:color w:val="000000"/>
                                <w:spacing w:val="-4"/>
                                <w:kern w:val="0"/>
                                <w:szCs w:val="28"/>
                              </w:rPr>
                              <w:t>與改善所得分配相關之對應指標</w:t>
                            </w:r>
                            <w:r w:rsidRPr="00123571">
                              <w:rPr>
                                <w:rFonts w:ascii="標楷體" w:eastAsia="標楷體" w:hAnsi="標楷體" w:cs="新細明體" w:hint="eastAsia"/>
                                <w:b/>
                                <w:bCs/>
                                <w:color w:val="000000"/>
                                <w:spacing w:val="-12"/>
                                <w:kern w:val="0"/>
                                <w:szCs w:val="28"/>
                              </w:rPr>
                              <w:t>未達標</w:t>
                            </w:r>
                            <w:r>
                              <w:rPr>
                                <w:rFonts w:ascii="標楷體" w:eastAsia="標楷體" w:hAnsi="標楷體" w:cs="新細明體" w:hint="eastAsia"/>
                                <w:b/>
                                <w:bCs/>
                                <w:color w:val="000000"/>
                                <w:spacing w:val="-12"/>
                                <w:kern w:val="0"/>
                                <w:szCs w:val="28"/>
                              </w:rPr>
                              <w:t>情形</w:t>
                            </w:r>
                          </w:p>
                          <w:tbl>
                            <w:tblPr>
                              <w:tblStyle w:val="122"/>
                              <w:tblW w:w="6804" w:type="dxa"/>
                              <w:tblInd w:w="137" w:type="dxa"/>
                              <w:tblLayout w:type="fixed"/>
                              <w:tblLook w:val="04A0" w:firstRow="1" w:lastRow="0" w:firstColumn="1" w:lastColumn="0" w:noHBand="0" w:noVBand="1"/>
                            </w:tblPr>
                            <w:tblGrid>
                              <w:gridCol w:w="709"/>
                              <w:gridCol w:w="1984"/>
                              <w:gridCol w:w="764"/>
                              <w:gridCol w:w="796"/>
                              <w:gridCol w:w="800"/>
                              <w:gridCol w:w="759"/>
                              <w:gridCol w:w="992"/>
                            </w:tblGrid>
                            <w:tr w:rsidR="004A5EDD" w:rsidRPr="00925A63" w14:paraId="6D4205F6" w14:textId="77777777" w:rsidTr="00206476">
                              <w:tc>
                                <w:tcPr>
                                  <w:tcW w:w="709" w:type="dxa"/>
                                  <w:vAlign w:val="center"/>
                                </w:tcPr>
                                <w:p w14:paraId="3F1C42D9"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核心</w:t>
                                  </w:r>
                                </w:p>
                                <w:p w14:paraId="3A3D42F1"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目標</w:t>
                                  </w:r>
                                </w:p>
                              </w:tc>
                              <w:tc>
                                <w:tcPr>
                                  <w:tcW w:w="1984" w:type="dxa"/>
                                  <w:vAlign w:val="center"/>
                                </w:tcPr>
                                <w:p w14:paraId="5B3DF5A9"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對應指標</w:t>
                                  </w:r>
                                </w:p>
                              </w:tc>
                              <w:tc>
                                <w:tcPr>
                                  <w:tcW w:w="764" w:type="dxa"/>
                                  <w:vAlign w:val="center"/>
                                </w:tcPr>
                                <w:p w14:paraId="730633A0" w14:textId="7BE5765F" w:rsidR="004A5EDD" w:rsidRPr="00925A63" w:rsidRDefault="004A5EDD" w:rsidP="00206476">
                                  <w:pPr>
                                    <w:spacing w:line="220" w:lineRule="exact"/>
                                    <w:ind w:leftChars="-57" w:left="-137"/>
                                    <w:jc w:val="right"/>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2020</w:t>
                                  </w:r>
                                  <w:r w:rsidR="00206476">
                                    <w:rPr>
                                      <w:rFonts w:ascii="標楷體" w:eastAsia="標楷體" w:hAnsi="標楷體" w:hint="eastAsia"/>
                                      <w:snapToGrid w:val="0"/>
                                      <w:color w:val="000000"/>
                                      <w:spacing w:val="-6"/>
                                      <w:sz w:val="20"/>
                                    </w:rPr>
                                    <w:t>年</w:t>
                                  </w:r>
                                </w:p>
                              </w:tc>
                              <w:tc>
                                <w:tcPr>
                                  <w:tcW w:w="796" w:type="dxa"/>
                                  <w:vAlign w:val="center"/>
                                </w:tcPr>
                                <w:p w14:paraId="4FF77C28" w14:textId="547D9061" w:rsidR="004A5EDD" w:rsidRPr="00925A63" w:rsidRDefault="004A5EDD" w:rsidP="00206476">
                                  <w:pPr>
                                    <w:spacing w:line="220" w:lineRule="exact"/>
                                    <w:ind w:leftChars="-23" w:hangingChars="29" w:hanging="55"/>
                                    <w:jc w:val="center"/>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2021</w:t>
                                  </w:r>
                                  <w:r w:rsidR="00206476">
                                    <w:rPr>
                                      <w:rFonts w:ascii="標楷體" w:eastAsia="標楷體" w:hAnsi="標楷體" w:hint="eastAsia"/>
                                      <w:snapToGrid w:val="0"/>
                                      <w:color w:val="000000"/>
                                      <w:spacing w:val="-6"/>
                                      <w:sz w:val="20"/>
                                    </w:rPr>
                                    <w:t>年</w:t>
                                  </w:r>
                                </w:p>
                              </w:tc>
                              <w:tc>
                                <w:tcPr>
                                  <w:tcW w:w="800" w:type="dxa"/>
                                  <w:vAlign w:val="center"/>
                                </w:tcPr>
                                <w:p w14:paraId="6462EE42" w14:textId="6BFEAE1B" w:rsidR="004A5EDD" w:rsidRPr="00925A63" w:rsidRDefault="004A5EDD" w:rsidP="00206476">
                                  <w:pPr>
                                    <w:spacing w:line="220" w:lineRule="exact"/>
                                    <w:ind w:leftChars="-57" w:left="-137"/>
                                    <w:jc w:val="right"/>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2022</w:t>
                                  </w:r>
                                  <w:r w:rsidR="00206476">
                                    <w:rPr>
                                      <w:rFonts w:ascii="標楷體" w:eastAsia="標楷體" w:hAnsi="標楷體" w:hint="eastAsia"/>
                                      <w:snapToGrid w:val="0"/>
                                      <w:color w:val="000000"/>
                                      <w:spacing w:val="-6"/>
                                      <w:sz w:val="20"/>
                                    </w:rPr>
                                    <w:t>年</w:t>
                                  </w:r>
                                </w:p>
                              </w:tc>
                              <w:tc>
                                <w:tcPr>
                                  <w:tcW w:w="759" w:type="dxa"/>
                                  <w:vAlign w:val="center"/>
                                </w:tcPr>
                                <w:p w14:paraId="425B511D" w14:textId="30698947" w:rsidR="004A5EDD" w:rsidRPr="00925A63" w:rsidRDefault="004A5EDD" w:rsidP="00206476">
                                  <w:pPr>
                                    <w:spacing w:line="220" w:lineRule="exact"/>
                                    <w:ind w:leftChars="-38" w:left="-91"/>
                                    <w:jc w:val="right"/>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2023</w:t>
                                  </w:r>
                                  <w:r w:rsidR="00206476">
                                    <w:rPr>
                                      <w:rFonts w:ascii="標楷體" w:eastAsia="標楷體" w:hAnsi="標楷體" w:hint="eastAsia"/>
                                      <w:snapToGrid w:val="0"/>
                                      <w:color w:val="000000"/>
                                      <w:spacing w:val="-6"/>
                                      <w:sz w:val="20"/>
                                    </w:rPr>
                                    <w:t>年</w:t>
                                  </w:r>
                                </w:p>
                              </w:tc>
                              <w:tc>
                                <w:tcPr>
                                  <w:tcW w:w="992" w:type="dxa"/>
                                  <w:vAlign w:val="center"/>
                                </w:tcPr>
                                <w:p w14:paraId="44439808" w14:textId="77777777" w:rsidR="004A5EDD" w:rsidRPr="00925A63" w:rsidRDefault="004A5EDD" w:rsidP="007B4022">
                                  <w:pPr>
                                    <w:spacing w:line="220" w:lineRule="exact"/>
                                    <w:jc w:val="center"/>
                                    <w:rPr>
                                      <w:rFonts w:ascii="標楷體" w:eastAsia="標楷體" w:hAnsi="標楷體" w:cs="新細明體"/>
                                      <w:snapToGrid w:val="0"/>
                                      <w:color w:val="000000"/>
                                      <w:spacing w:val="-6"/>
                                      <w:sz w:val="20"/>
                                    </w:rPr>
                                  </w:pPr>
                                  <w:r w:rsidRPr="00925A63">
                                    <w:rPr>
                                      <w:rFonts w:ascii="標楷體" w:eastAsia="標楷體" w:hAnsi="標楷體" w:cs="新細明體" w:hint="eastAsia"/>
                                      <w:snapToGrid w:val="0"/>
                                      <w:color w:val="000000"/>
                                      <w:spacing w:val="-6"/>
                                      <w:sz w:val="20"/>
                                    </w:rPr>
                                    <w:t>主(協)</w:t>
                                  </w:r>
                                </w:p>
                                <w:p w14:paraId="702C4438"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cs="新細明體" w:hint="eastAsia"/>
                                      <w:snapToGrid w:val="0"/>
                                      <w:color w:val="000000"/>
                                      <w:spacing w:val="-6"/>
                                      <w:sz w:val="20"/>
                                    </w:rPr>
                                    <w:t>辦機關</w:t>
                                  </w:r>
                                </w:p>
                              </w:tc>
                            </w:tr>
                            <w:tr w:rsidR="004A5EDD" w:rsidRPr="00925A63" w14:paraId="0F7FADAD" w14:textId="77777777" w:rsidTr="00206476">
                              <w:tc>
                                <w:tcPr>
                                  <w:tcW w:w="709" w:type="dxa"/>
                                  <w:vMerge w:val="restart"/>
                                  <w:vAlign w:val="center"/>
                                </w:tcPr>
                                <w:p w14:paraId="18EBA4AF"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SDG1</w:t>
                                  </w:r>
                                </w:p>
                              </w:tc>
                              <w:tc>
                                <w:tcPr>
                                  <w:tcW w:w="1984" w:type="dxa"/>
                                  <w:vAlign w:val="center"/>
                                </w:tcPr>
                                <w:p w14:paraId="231979DC"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1.3.5健保給付之醫師至醫療資源不足地區提供巡迴醫療之鄉鎮（市/區）覆蓋率。</w:t>
                                  </w:r>
                                </w:p>
                              </w:tc>
                              <w:tc>
                                <w:tcPr>
                                  <w:tcW w:w="764" w:type="dxa"/>
                                  <w:vAlign w:val="center"/>
                                </w:tcPr>
                                <w:p w14:paraId="2364ADD0" w14:textId="48A0B478"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shd w:val="clear" w:color="auto" w:fill="F2F2F2" w:themeFill="background1" w:themeFillShade="F2"/>
                                  <w:vAlign w:val="center"/>
                                </w:tcPr>
                                <w:p w14:paraId="686CC393" w14:textId="56E067AC"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2F97D564" w14:textId="78C7791F"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6EE221E3" w14:textId="02C68494"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restart"/>
                                  <w:vAlign w:val="center"/>
                                </w:tcPr>
                                <w:p w14:paraId="743AE30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衛生</w:t>
                                  </w:r>
                                </w:p>
                                <w:p w14:paraId="122423D7"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福利部</w:t>
                                  </w:r>
                                </w:p>
                              </w:tc>
                            </w:tr>
                            <w:tr w:rsidR="004A5EDD" w:rsidRPr="00925A63" w14:paraId="04FF9637" w14:textId="77777777" w:rsidTr="00206476">
                              <w:tc>
                                <w:tcPr>
                                  <w:tcW w:w="709" w:type="dxa"/>
                                  <w:vMerge/>
                                  <w:vAlign w:val="center"/>
                                </w:tcPr>
                                <w:p w14:paraId="30366CA9"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32F36CAE"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1.3.8弱勢兒童及少年生活扶助受益</w:t>
                                  </w:r>
                                  <w:proofErr w:type="gramStart"/>
                                  <w:r w:rsidRPr="00925A63">
                                    <w:rPr>
                                      <w:rFonts w:ascii="標楷體" w:eastAsia="標楷體" w:hAnsi="標楷體" w:hint="eastAsia"/>
                                      <w:snapToGrid w:val="0"/>
                                      <w:color w:val="000000"/>
                                      <w:spacing w:val="-6"/>
                                      <w:sz w:val="20"/>
                                    </w:rPr>
                                    <w:t>人數占兒少</w:t>
                                  </w:r>
                                  <w:proofErr w:type="gramEnd"/>
                                  <w:r w:rsidRPr="00925A63">
                                    <w:rPr>
                                      <w:rFonts w:ascii="標楷體" w:eastAsia="標楷體" w:hAnsi="標楷體" w:hint="eastAsia"/>
                                      <w:snapToGrid w:val="0"/>
                                      <w:color w:val="000000"/>
                                      <w:spacing w:val="-6"/>
                                      <w:sz w:val="20"/>
                                    </w:rPr>
                                    <w:t>人口比率。</w:t>
                                  </w:r>
                                </w:p>
                              </w:tc>
                              <w:tc>
                                <w:tcPr>
                                  <w:tcW w:w="764" w:type="dxa"/>
                                  <w:shd w:val="clear" w:color="auto" w:fill="F2F2F2" w:themeFill="background1" w:themeFillShade="F2"/>
                                  <w:vAlign w:val="center"/>
                                </w:tcPr>
                                <w:p w14:paraId="3F9D2E85" w14:textId="45FD4534"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0C0E7FF5" w14:textId="1C4EAE28"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vAlign w:val="center"/>
                                </w:tcPr>
                                <w:p w14:paraId="234F931A" w14:textId="093BB0E1"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59" w:type="dxa"/>
                                  <w:shd w:val="clear" w:color="auto" w:fill="F2F2F2" w:themeFill="background1" w:themeFillShade="F2"/>
                                  <w:vAlign w:val="center"/>
                                </w:tcPr>
                                <w:p w14:paraId="3ECB0FA8" w14:textId="3FEF4ABD"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ign w:val="center"/>
                                </w:tcPr>
                                <w:p w14:paraId="0F247740"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r>
                            <w:tr w:rsidR="004A5EDD" w:rsidRPr="00925A63" w14:paraId="09F132FB" w14:textId="77777777" w:rsidTr="00206476">
                              <w:tc>
                                <w:tcPr>
                                  <w:tcW w:w="709" w:type="dxa"/>
                                  <w:vMerge/>
                                  <w:vAlign w:val="center"/>
                                </w:tcPr>
                                <w:p w14:paraId="5C3265CA"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1477DDDD"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1.3.12國民年金保險原住民給付。</w:t>
                                  </w:r>
                                </w:p>
                              </w:tc>
                              <w:tc>
                                <w:tcPr>
                                  <w:tcW w:w="764" w:type="dxa"/>
                                  <w:vAlign w:val="center"/>
                                </w:tcPr>
                                <w:p w14:paraId="558714D7" w14:textId="4CC346F9"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vAlign w:val="center"/>
                                </w:tcPr>
                                <w:p w14:paraId="3A3766BB" w14:textId="1E9B6EC8"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800" w:type="dxa"/>
                                  <w:shd w:val="clear" w:color="auto" w:fill="F2F2F2" w:themeFill="background1" w:themeFillShade="F2"/>
                                  <w:vAlign w:val="center"/>
                                </w:tcPr>
                                <w:p w14:paraId="7A6CD99D" w14:textId="1BD777E2"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3CE55964" w14:textId="083B3C2E"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Align w:val="center"/>
                                </w:tcPr>
                                <w:p w14:paraId="45A326D2"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原住民族委員會</w:t>
                                  </w:r>
                                </w:p>
                                <w:p w14:paraId="1F1529CC"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(衛生福利部)</w:t>
                                  </w:r>
                                </w:p>
                              </w:tc>
                            </w:tr>
                            <w:tr w:rsidR="004A5EDD" w:rsidRPr="00925A63" w14:paraId="1544A52B" w14:textId="77777777" w:rsidTr="00206476">
                              <w:tc>
                                <w:tcPr>
                                  <w:tcW w:w="709" w:type="dxa"/>
                                  <w:vMerge w:val="restart"/>
                                  <w:vAlign w:val="center"/>
                                </w:tcPr>
                                <w:p w14:paraId="053D7FAF"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SDG4</w:t>
                                  </w:r>
                                </w:p>
                              </w:tc>
                              <w:tc>
                                <w:tcPr>
                                  <w:tcW w:w="1984" w:type="dxa"/>
                                  <w:vAlign w:val="center"/>
                                </w:tcPr>
                                <w:p w14:paraId="23580E67"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4.2.1未滿2歲兒童使用公共及</w:t>
                                  </w:r>
                                  <w:proofErr w:type="gramStart"/>
                                  <w:r w:rsidRPr="00925A63">
                                    <w:rPr>
                                      <w:rFonts w:ascii="標楷體" w:eastAsia="標楷體" w:hAnsi="標楷體" w:hint="eastAsia"/>
                                      <w:snapToGrid w:val="0"/>
                                      <w:color w:val="000000"/>
                                      <w:spacing w:val="-6"/>
                                      <w:sz w:val="20"/>
                                    </w:rPr>
                                    <w:t>準</w:t>
                                  </w:r>
                                  <w:proofErr w:type="gramEnd"/>
                                  <w:r w:rsidRPr="00925A63">
                                    <w:rPr>
                                      <w:rFonts w:ascii="標楷體" w:eastAsia="標楷體" w:hAnsi="標楷體" w:hint="eastAsia"/>
                                      <w:snapToGrid w:val="0"/>
                                      <w:color w:val="000000"/>
                                      <w:spacing w:val="-6"/>
                                      <w:sz w:val="20"/>
                                    </w:rPr>
                                    <w:t>公共托育情形。</w:t>
                                  </w:r>
                                </w:p>
                              </w:tc>
                              <w:tc>
                                <w:tcPr>
                                  <w:tcW w:w="764" w:type="dxa"/>
                                  <w:vAlign w:val="center"/>
                                </w:tcPr>
                                <w:p w14:paraId="042D573E" w14:textId="5A9D1B9C"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shd w:val="clear" w:color="auto" w:fill="F2F2F2" w:themeFill="background1" w:themeFillShade="F2"/>
                                  <w:vAlign w:val="center"/>
                                </w:tcPr>
                                <w:p w14:paraId="5A78A67C" w14:textId="2F3C440B"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6197CF64" w14:textId="63F0C7CF"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17FC2232" w14:textId="4F6C0CE0"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Align w:val="center"/>
                                </w:tcPr>
                                <w:p w14:paraId="3EB89D19"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衛生</w:t>
                                  </w:r>
                                </w:p>
                                <w:p w14:paraId="4B6FA61E"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福利部</w:t>
                                  </w:r>
                                </w:p>
                              </w:tc>
                            </w:tr>
                            <w:tr w:rsidR="004A5EDD" w:rsidRPr="00925A63" w14:paraId="0443A96E" w14:textId="77777777" w:rsidTr="00206476">
                              <w:tc>
                                <w:tcPr>
                                  <w:tcW w:w="709" w:type="dxa"/>
                                  <w:vMerge/>
                                  <w:vAlign w:val="center"/>
                                </w:tcPr>
                                <w:p w14:paraId="0581150D"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44115091"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4.5.6身心障礙學生適性輔導安置率。</w:t>
                                  </w:r>
                                </w:p>
                              </w:tc>
                              <w:tc>
                                <w:tcPr>
                                  <w:tcW w:w="764" w:type="dxa"/>
                                  <w:shd w:val="clear" w:color="auto" w:fill="F2F2F2" w:themeFill="background1" w:themeFillShade="F2"/>
                                  <w:vAlign w:val="center"/>
                                </w:tcPr>
                                <w:p w14:paraId="674C9108" w14:textId="48942650"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7F64CF3F" w14:textId="6AC81DC5"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596FA0F1" w14:textId="119404C3"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2A7E1D89" w14:textId="04A55737"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restart"/>
                                  <w:vAlign w:val="center"/>
                                </w:tcPr>
                                <w:p w14:paraId="433FDE6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教育部</w:t>
                                  </w:r>
                                </w:p>
                              </w:tc>
                            </w:tr>
                            <w:tr w:rsidR="004A5EDD" w:rsidRPr="00925A63" w14:paraId="68615CDB" w14:textId="77777777" w:rsidTr="00206476">
                              <w:tc>
                                <w:tcPr>
                                  <w:tcW w:w="709" w:type="dxa"/>
                                  <w:vMerge/>
                                  <w:vAlign w:val="center"/>
                                </w:tcPr>
                                <w:p w14:paraId="32C7812E"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2AB39F99"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4.5.7職業轉銜與輔導服務中心服務身心障礙學生概況。</w:t>
                                  </w:r>
                                </w:p>
                              </w:tc>
                              <w:tc>
                                <w:tcPr>
                                  <w:tcW w:w="764" w:type="dxa"/>
                                  <w:shd w:val="clear" w:color="auto" w:fill="F2F2F2" w:themeFill="background1" w:themeFillShade="F2"/>
                                  <w:vAlign w:val="center"/>
                                </w:tcPr>
                                <w:p w14:paraId="47FE7AE9" w14:textId="0E77D4E0"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08BE1DAE" w14:textId="1576D914"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vAlign w:val="center"/>
                                </w:tcPr>
                                <w:p w14:paraId="0085584F" w14:textId="2C0FFBE6"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59" w:type="dxa"/>
                                  <w:shd w:val="clear" w:color="auto" w:fill="F2F2F2" w:themeFill="background1" w:themeFillShade="F2"/>
                                  <w:vAlign w:val="center"/>
                                </w:tcPr>
                                <w:p w14:paraId="169975BD" w14:textId="5D957AD3"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ign w:val="center"/>
                                </w:tcPr>
                                <w:p w14:paraId="18469F7E"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r>
                            <w:tr w:rsidR="004A5EDD" w:rsidRPr="00925A63" w14:paraId="518C9EFA" w14:textId="77777777" w:rsidTr="00206476">
                              <w:tc>
                                <w:tcPr>
                                  <w:tcW w:w="709" w:type="dxa"/>
                                  <w:vAlign w:val="center"/>
                                </w:tcPr>
                                <w:p w14:paraId="7A3428F7"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SDG8</w:t>
                                  </w:r>
                                </w:p>
                              </w:tc>
                              <w:tc>
                                <w:tcPr>
                                  <w:tcW w:w="1984" w:type="dxa"/>
                                  <w:vAlign w:val="center"/>
                                </w:tcPr>
                                <w:p w14:paraId="3E14875D"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8.2.1工業GDP實質成長率。</w:t>
                                  </w:r>
                                </w:p>
                              </w:tc>
                              <w:tc>
                                <w:tcPr>
                                  <w:tcW w:w="764" w:type="dxa"/>
                                  <w:vAlign w:val="center"/>
                                </w:tcPr>
                                <w:p w14:paraId="3499C989" w14:textId="39242AEB"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vAlign w:val="center"/>
                                </w:tcPr>
                                <w:p w14:paraId="0AD562F1" w14:textId="29077D0F"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800" w:type="dxa"/>
                                  <w:shd w:val="clear" w:color="auto" w:fill="F2F2F2" w:themeFill="background1" w:themeFillShade="F2"/>
                                  <w:vAlign w:val="center"/>
                                </w:tcPr>
                                <w:p w14:paraId="374166AE" w14:textId="4663F13E"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630D04B7" w14:textId="6DD5CB5A"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Align w:val="center"/>
                                </w:tcPr>
                                <w:p w14:paraId="057AC2B7"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經濟部</w:t>
                                  </w:r>
                                </w:p>
                              </w:tc>
                            </w:tr>
                            <w:tr w:rsidR="004A5EDD" w:rsidRPr="00925A63" w14:paraId="145A4AD0" w14:textId="77777777" w:rsidTr="00206476">
                              <w:tc>
                                <w:tcPr>
                                  <w:tcW w:w="709" w:type="dxa"/>
                                  <w:vAlign w:val="center"/>
                                </w:tcPr>
                                <w:p w14:paraId="1ABBB503"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SDG10</w:t>
                                  </w:r>
                                </w:p>
                              </w:tc>
                              <w:tc>
                                <w:tcPr>
                                  <w:tcW w:w="1984" w:type="dxa"/>
                                  <w:vAlign w:val="center"/>
                                </w:tcPr>
                                <w:p w14:paraId="2E1C05EA"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10.4.2受</w:t>
                                  </w:r>
                                  <w:proofErr w:type="gramStart"/>
                                  <w:r w:rsidRPr="00925A63">
                                    <w:rPr>
                                      <w:rFonts w:ascii="標楷體" w:eastAsia="標楷體" w:hAnsi="標楷體" w:hint="eastAsia"/>
                                      <w:snapToGrid w:val="0"/>
                                      <w:color w:val="000000"/>
                                      <w:spacing w:val="-6"/>
                                      <w:sz w:val="20"/>
                                    </w:rPr>
                                    <w:t>僱</w:t>
                                  </w:r>
                                  <w:proofErr w:type="gramEnd"/>
                                  <w:r w:rsidRPr="00925A63">
                                    <w:rPr>
                                      <w:rFonts w:ascii="標楷體" w:eastAsia="標楷體" w:hAnsi="標楷體" w:hint="eastAsia"/>
                                      <w:snapToGrid w:val="0"/>
                                      <w:color w:val="000000"/>
                                      <w:spacing w:val="-6"/>
                                      <w:sz w:val="20"/>
                                    </w:rPr>
                                    <w:t>人員勞動報酬占GDP份額。</w:t>
                                  </w:r>
                                </w:p>
                              </w:tc>
                              <w:tc>
                                <w:tcPr>
                                  <w:tcW w:w="764" w:type="dxa"/>
                                  <w:shd w:val="clear" w:color="auto" w:fill="F2F2F2" w:themeFill="background1" w:themeFillShade="F2"/>
                                  <w:vAlign w:val="center"/>
                                </w:tcPr>
                                <w:p w14:paraId="041BA2FA" w14:textId="1BD53671"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3347F071" w14:textId="519601A1"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69DFEB8D" w14:textId="06C7C606"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4E5C6B8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數據</w:t>
                                  </w:r>
                                </w:p>
                                <w:p w14:paraId="4A95AB5A" w14:textId="77777777" w:rsidR="004A5EDD" w:rsidRPr="00925A63" w:rsidRDefault="004A5EDD" w:rsidP="007B4022">
                                  <w:pPr>
                                    <w:spacing w:line="220" w:lineRule="exact"/>
                                    <w:jc w:val="center"/>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不足</w:t>
                                  </w:r>
                                </w:p>
                              </w:tc>
                              <w:tc>
                                <w:tcPr>
                                  <w:tcW w:w="992" w:type="dxa"/>
                                  <w:vAlign w:val="center"/>
                                </w:tcPr>
                                <w:p w14:paraId="6ADB73F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snapToGrid w:val="0"/>
                                      <w:color w:val="000000"/>
                                      <w:spacing w:val="-6"/>
                                      <w:sz w:val="20"/>
                                    </w:rPr>
                                    <w:t>國家</w:t>
                                  </w:r>
                                  <w:r w:rsidRPr="00925A63">
                                    <w:rPr>
                                      <w:rFonts w:ascii="標楷體" w:eastAsia="標楷體" w:hAnsi="標楷體" w:hint="eastAsia"/>
                                      <w:snapToGrid w:val="0"/>
                                      <w:color w:val="000000"/>
                                      <w:spacing w:val="-6"/>
                                      <w:sz w:val="20"/>
                                    </w:rPr>
                                    <w:t>發展委員會</w:t>
                                  </w:r>
                                </w:p>
                                <w:p w14:paraId="7FFC7D27" w14:textId="77777777" w:rsidR="004A5EDD" w:rsidRPr="00925A63" w:rsidRDefault="004A5EDD" w:rsidP="00BA15E0">
                                  <w:pPr>
                                    <w:spacing w:line="220" w:lineRule="exact"/>
                                    <w:ind w:leftChars="-55" w:left="-132" w:rightChars="-30" w:right="-72"/>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28"/>
                                      <w:sz w:val="20"/>
                                    </w:rPr>
                                    <w:t>（</w:t>
                                  </w:r>
                                  <w:r w:rsidRPr="00BA15E0">
                                    <w:rPr>
                                      <w:rFonts w:ascii="標楷體" w:eastAsia="標楷體" w:hAnsi="標楷體" w:hint="eastAsia"/>
                                      <w:snapToGrid w:val="0"/>
                                      <w:color w:val="000000"/>
                                      <w:sz w:val="20"/>
                                    </w:rPr>
                                    <w:t>經濟部、勞動部）</w:t>
                                  </w:r>
                                </w:p>
                              </w:tc>
                            </w:tr>
                          </w:tbl>
                          <w:p w14:paraId="66F4DAF6" w14:textId="2CCA8079" w:rsidR="004A5EDD" w:rsidRPr="008762A2" w:rsidRDefault="004A5EDD" w:rsidP="00D7360E">
                            <w:pPr>
                              <w:widowControl/>
                              <w:spacing w:line="260" w:lineRule="exact"/>
                              <w:rPr>
                                <w:rFonts w:ascii="標楷體" w:eastAsia="標楷體" w:hAnsi="標楷體"/>
                                <w:snapToGrid w:val="0"/>
                                <w:kern w:val="0"/>
                                <w:sz w:val="18"/>
                              </w:rPr>
                            </w:pPr>
                            <w:r w:rsidRPr="008762A2">
                              <w:rPr>
                                <w:rFonts w:ascii="標楷體" w:eastAsia="標楷體" w:hAnsi="標楷體" w:cs="新細明體" w:hint="eastAsia"/>
                                <w:color w:val="000000"/>
                                <w:kern w:val="0"/>
                                <w:sz w:val="18"/>
                              </w:rPr>
                              <w:t xml:space="preserve">　</w:t>
                            </w:r>
                            <w:proofErr w:type="gramStart"/>
                            <w:r w:rsidRPr="008762A2">
                              <w:rPr>
                                <w:rFonts w:ascii="標楷體" w:eastAsia="標楷體" w:hAnsi="標楷體" w:cs="新細明體" w:hint="eastAsia"/>
                                <w:color w:val="000000"/>
                                <w:kern w:val="0"/>
                                <w:sz w:val="18"/>
                              </w:rPr>
                              <w:t>註</w:t>
                            </w:r>
                            <w:proofErr w:type="gramEnd"/>
                            <w:r w:rsidRPr="008762A2">
                              <w:rPr>
                                <w:rFonts w:ascii="標楷體" w:eastAsia="標楷體" w:hAnsi="標楷體" w:cs="新細明體" w:hint="eastAsia"/>
                                <w:color w:val="000000"/>
                                <w:kern w:val="0"/>
                                <w:sz w:val="18"/>
                              </w:rPr>
                              <w:t>：1.</w:t>
                            </w:r>
                            <w:r w:rsidRPr="008762A2">
                              <w:rPr>
                                <w:rFonts w:ascii="標楷體" w:eastAsia="標楷體" w:hAnsi="標楷體" w:hint="eastAsia"/>
                                <w:snapToGrid w:val="0"/>
                                <w:kern w:val="0"/>
                                <w:sz w:val="18"/>
                              </w:rPr>
                              <w:t>「</w:t>
                            </w:r>
                            <w:r w:rsidR="008A697D" w:rsidRPr="00800EAB">
                              <w:rPr>
                                <w:rFonts w:ascii="標楷體" w:eastAsia="標楷體" w:hAnsi="標楷體" w:cs="標楷體" w:hint="eastAsia"/>
                                <w:sz w:val="28"/>
                                <w:szCs w:val="28"/>
                              </w:rPr>
                              <w:sym w:font="Wingdings 2" w:char="F050"/>
                            </w:r>
                            <w:r w:rsidRPr="008762A2">
                              <w:rPr>
                                <w:rFonts w:ascii="標楷體" w:eastAsia="標楷體" w:hAnsi="標楷體" w:hint="eastAsia"/>
                                <w:snapToGrid w:val="0"/>
                                <w:kern w:val="0"/>
                                <w:sz w:val="18"/>
                              </w:rPr>
                              <w:t>」表示「達標」</w:t>
                            </w:r>
                            <w:r>
                              <w:rPr>
                                <w:rFonts w:ascii="標楷體" w:eastAsia="標楷體" w:hAnsi="標楷體" w:hint="eastAsia"/>
                                <w:snapToGrid w:val="0"/>
                                <w:kern w:val="0"/>
                                <w:sz w:val="18"/>
                              </w:rPr>
                              <w:t>、</w:t>
                            </w:r>
                            <w:r w:rsidRPr="008762A2">
                              <w:rPr>
                                <w:rFonts w:ascii="標楷體" w:eastAsia="標楷體" w:hAnsi="標楷體" w:hint="eastAsia"/>
                                <w:snapToGrid w:val="0"/>
                                <w:kern w:val="0"/>
                                <w:sz w:val="18"/>
                              </w:rPr>
                              <w:t>「</w:t>
                            </w:r>
                            <w:r w:rsidR="008A697D" w:rsidRPr="00800EAB">
                              <w:rPr>
                                <w:rFonts w:ascii="標楷體" w:eastAsia="標楷體" w:hAnsi="標楷體" w:cs="標楷體" w:hint="eastAsia"/>
                                <w:sz w:val="28"/>
                                <w:szCs w:val="28"/>
                              </w:rPr>
                              <w:sym w:font="Wingdings 2" w:char="F04F"/>
                            </w:r>
                            <w:r w:rsidRPr="008762A2">
                              <w:rPr>
                                <w:rFonts w:ascii="標楷體" w:eastAsia="標楷體" w:hAnsi="標楷體" w:hint="eastAsia"/>
                                <w:snapToGrid w:val="0"/>
                                <w:kern w:val="0"/>
                                <w:sz w:val="18"/>
                              </w:rPr>
                              <w:t>」表</w:t>
                            </w:r>
                            <w:r>
                              <w:rPr>
                                <w:rFonts w:ascii="標楷體" w:eastAsia="標楷體" w:hAnsi="標楷體" w:hint="eastAsia"/>
                                <w:snapToGrid w:val="0"/>
                                <w:kern w:val="0"/>
                                <w:sz w:val="18"/>
                              </w:rPr>
                              <w:t>示</w:t>
                            </w:r>
                            <w:r w:rsidRPr="008762A2">
                              <w:rPr>
                                <w:rFonts w:ascii="標楷體" w:eastAsia="標楷體" w:hAnsi="標楷體" w:hint="eastAsia"/>
                                <w:snapToGrid w:val="0"/>
                                <w:kern w:val="0"/>
                                <w:sz w:val="18"/>
                              </w:rPr>
                              <w:t>「</w:t>
                            </w:r>
                            <w:r>
                              <w:rPr>
                                <w:rFonts w:ascii="標楷體" w:eastAsia="標楷體" w:hAnsi="標楷體" w:hint="eastAsia"/>
                                <w:snapToGrid w:val="0"/>
                                <w:kern w:val="0"/>
                                <w:sz w:val="18"/>
                              </w:rPr>
                              <w:t>未</w:t>
                            </w:r>
                            <w:r w:rsidRPr="008762A2">
                              <w:rPr>
                                <w:rFonts w:ascii="標楷體" w:eastAsia="標楷體" w:hAnsi="標楷體" w:hint="eastAsia"/>
                                <w:snapToGrid w:val="0"/>
                                <w:kern w:val="0"/>
                                <w:sz w:val="18"/>
                              </w:rPr>
                              <w:t>達標」。</w:t>
                            </w:r>
                          </w:p>
                          <w:p w14:paraId="5A81018E" w14:textId="77777777" w:rsidR="004A5EDD" w:rsidRPr="008762A2" w:rsidRDefault="004A5EDD" w:rsidP="00BA15E0">
                            <w:pPr>
                              <w:widowControl/>
                              <w:spacing w:line="260" w:lineRule="exact"/>
                              <w:ind w:left="720" w:rightChars="45" w:right="108" w:hangingChars="400" w:hanging="720"/>
                              <w:rPr>
                                <w:rFonts w:ascii="標楷體" w:eastAsia="標楷體" w:hAnsi="標楷體"/>
                                <w:snapToGrid w:val="0"/>
                                <w:kern w:val="0"/>
                                <w:sz w:val="18"/>
                              </w:rPr>
                            </w:pPr>
                            <w:r w:rsidRPr="008762A2">
                              <w:rPr>
                                <w:rFonts w:ascii="標楷體" w:eastAsia="標楷體" w:hAnsi="標楷體" w:hint="eastAsia"/>
                                <w:snapToGrid w:val="0"/>
                                <w:kern w:val="0"/>
                                <w:sz w:val="18"/>
                              </w:rPr>
                              <w:t xml:space="preserve">　　　2.</w:t>
                            </w:r>
                            <w:r w:rsidRPr="008762A2">
                              <w:rPr>
                                <w:rFonts w:ascii="標楷體" w:eastAsia="標楷體" w:hAnsi="標楷體" w:hint="eastAsia"/>
                                <w:sz w:val="18"/>
                              </w:rPr>
                              <w:t>整</w:t>
                            </w:r>
                            <w:r w:rsidRPr="008762A2">
                              <w:rPr>
                                <w:rFonts w:ascii="標楷體" w:eastAsia="標楷體" w:hAnsi="標楷體" w:hint="eastAsia"/>
                                <w:snapToGrid w:val="0"/>
                                <w:kern w:val="0"/>
                                <w:sz w:val="18"/>
                              </w:rPr>
                              <w:t>理自行政院國家永續發展委員會2024年12月編印之「2020至2023年臺灣永續發展目標階段性檢討報告」。</w:t>
                            </w:r>
                          </w:p>
                          <w:p w14:paraId="22259DE6" w14:textId="77777777" w:rsidR="004A5EDD" w:rsidRPr="007B4022" w:rsidRDefault="004A5EDD" w:rsidP="004A5EDD">
                            <w:pPr>
                              <w:widowControl/>
                              <w:spacing w:line="220" w:lineRule="exact"/>
                              <w:ind w:left="720" w:hangingChars="400" w:hanging="720"/>
                              <w:rPr>
                                <w:rFonts w:ascii="標楷體" w:eastAsia="標楷體" w:hAnsi="標楷體"/>
                                <w:snapToGrid w:val="0"/>
                                <w:kern w:val="0"/>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90B25" id="文字方塊 1235552871" o:spid="_x0000_s1041" type="#_x0000_t202" style="position:absolute;left:0;text-align:left;margin-left:125.45pt;margin-top:327.05pt;width:360.65pt;height:371.0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" filled="f" stroked="f" strokeweight=".5pt">
                <v:textbox>
                  <w:txbxContent>
                    <w:p w14:paraId="6480DFF2" w14:textId="593C2863" w:rsidR="004A5EDD" w:rsidRPr="00123571" w:rsidRDefault="004A5EDD" w:rsidP="004A5EDD">
                      <w:pPr>
                        <w:spacing w:afterLines="20" w:after="72" w:line="360" w:lineRule="exact"/>
                        <w:jc w:val="center"/>
                        <w:rPr>
                          <w:rFonts w:ascii="標楷體" w:eastAsia="標楷體" w:hAnsi="標楷體"/>
                          <w:b/>
                          <w:bCs/>
                          <w:spacing w:val="-12"/>
                          <w:sz w:val="28"/>
                          <w:szCs w:val="28"/>
                        </w:rPr>
                      </w:pPr>
                      <w:r w:rsidRPr="00123571">
                        <w:rPr>
                          <w:rFonts w:ascii="標楷體" w:eastAsia="標楷體" w:hAnsi="標楷體" w:cs="新細明體" w:hint="eastAsia"/>
                          <w:b/>
                          <w:bCs/>
                          <w:color w:val="000000"/>
                          <w:spacing w:val="-12"/>
                          <w:kern w:val="0"/>
                          <w:szCs w:val="28"/>
                        </w:rPr>
                        <w:t>表</w:t>
                      </w:r>
                      <w:r w:rsidR="005E476A">
                        <w:rPr>
                          <w:rFonts w:ascii="標楷體" w:eastAsia="標楷體" w:hAnsi="標楷體" w:cs="新細明體"/>
                          <w:b/>
                          <w:bCs/>
                          <w:color w:val="000000"/>
                          <w:spacing w:val="-12"/>
                          <w:kern w:val="0"/>
                          <w:szCs w:val="28"/>
                        </w:rPr>
                        <w:t>4</w:t>
                      </w:r>
                      <w:r w:rsidRPr="00123571">
                        <w:rPr>
                          <w:rFonts w:ascii="標楷體" w:eastAsia="標楷體" w:hAnsi="標楷體" w:cs="新細明體" w:hint="eastAsia"/>
                          <w:b/>
                          <w:bCs/>
                          <w:color w:val="000000"/>
                          <w:spacing w:val="-12"/>
                          <w:kern w:val="0"/>
                          <w:szCs w:val="28"/>
                        </w:rPr>
                        <w:t xml:space="preserve">　臺灣永續發展目標</w:t>
                      </w:r>
                      <w:r w:rsidRPr="00400ABE">
                        <w:rPr>
                          <w:rFonts w:ascii="標楷體" w:eastAsia="標楷體" w:hAnsi="標楷體" w:cs="新細明體" w:hint="eastAsia"/>
                          <w:b/>
                          <w:bCs/>
                          <w:color w:val="000000"/>
                          <w:spacing w:val="-4"/>
                          <w:kern w:val="0"/>
                          <w:szCs w:val="28"/>
                        </w:rPr>
                        <w:t>與改善所得分配相關之對應指標</w:t>
                      </w:r>
                      <w:r w:rsidRPr="00123571">
                        <w:rPr>
                          <w:rFonts w:ascii="標楷體" w:eastAsia="標楷體" w:hAnsi="標楷體" w:cs="新細明體" w:hint="eastAsia"/>
                          <w:b/>
                          <w:bCs/>
                          <w:color w:val="000000"/>
                          <w:spacing w:val="-12"/>
                          <w:kern w:val="0"/>
                          <w:szCs w:val="28"/>
                        </w:rPr>
                        <w:t>未達標</w:t>
                      </w:r>
                      <w:r>
                        <w:rPr>
                          <w:rFonts w:ascii="標楷體" w:eastAsia="標楷體" w:hAnsi="標楷體" w:cs="新細明體" w:hint="eastAsia"/>
                          <w:b/>
                          <w:bCs/>
                          <w:color w:val="000000"/>
                          <w:spacing w:val="-12"/>
                          <w:kern w:val="0"/>
                          <w:szCs w:val="28"/>
                        </w:rPr>
                        <w:t>情形</w:t>
                      </w:r>
                    </w:p>
                    <w:tbl>
                      <w:tblPr>
                        <w:tblStyle w:val="122"/>
                        <w:tblW w:w="6804" w:type="dxa"/>
                        <w:tblInd w:w="137" w:type="dxa"/>
                        <w:tblLayout w:type="fixed"/>
                        <w:tblLook w:val="04A0" w:firstRow="1" w:lastRow="0" w:firstColumn="1" w:lastColumn="0" w:noHBand="0" w:noVBand="1"/>
                      </w:tblPr>
                      <w:tblGrid>
                        <w:gridCol w:w="709"/>
                        <w:gridCol w:w="1984"/>
                        <w:gridCol w:w="764"/>
                        <w:gridCol w:w="796"/>
                        <w:gridCol w:w="800"/>
                        <w:gridCol w:w="759"/>
                        <w:gridCol w:w="992"/>
                      </w:tblGrid>
                      <w:tr w:rsidR="004A5EDD" w:rsidRPr="00925A63" w14:paraId="6D4205F6" w14:textId="77777777" w:rsidTr="00206476">
                        <w:tc>
                          <w:tcPr>
                            <w:tcW w:w="709" w:type="dxa"/>
                            <w:vAlign w:val="center"/>
                          </w:tcPr>
                          <w:p w14:paraId="3F1C42D9"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核心</w:t>
                            </w:r>
                          </w:p>
                          <w:p w14:paraId="3A3D42F1"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目標</w:t>
                            </w:r>
                          </w:p>
                        </w:tc>
                        <w:tc>
                          <w:tcPr>
                            <w:tcW w:w="1984" w:type="dxa"/>
                            <w:vAlign w:val="center"/>
                          </w:tcPr>
                          <w:p w14:paraId="5B3DF5A9"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對應指標</w:t>
                            </w:r>
                          </w:p>
                        </w:tc>
                        <w:tc>
                          <w:tcPr>
                            <w:tcW w:w="764" w:type="dxa"/>
                            <w:vAlign w:val="center"/>
                          </w:tcPr>
                          <w:p w14:paraId="730633A0" w14:textId="7BE5765F" w:rsidR="004A5EDD" w:rsidRPr="00925A63" w:rsidRDefault="004A5EDD" w:rsidP="00206476">
                            <w:pPr>
                              <w:spacing w:line="220" w:lineRule="exact"/>
                              <w:ind w:leftChars="-57" w:left="-137"/>
                              <w:jc w:val="right"/>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2020</w:t>
                            </w:r>
                            <w:r w:rsidR="00206476">
                              <w:rPr>
                                <w:rFonts w:ascii="標楷體" w:eastAsia="標楷體" w:hAnsi="標楷體" w:hint="eastAsia"/>
                                <w:snapToGrid w:val="0"/>
                                <w:color w:val="000000"/>
                                <w:spacing w:val="-6"/>
                                <w:sz w:val="20"/>
                              </w:rPr>
                              <w:t>年</w:t>
                            </w:r>
                          </w:p>
                        </w:tc>
                        <w:tc>
                          <w:tcPr>
                            <w:tcW w:w="796" w:type="dxa"/>
                            <w:vAlign w:val="center"/>
                          </w:tcPr>
                          <w:p w14:paraId="4FF77C28" w14:textId="547D9061" w:rsidR="004A5EDD" w:rsidRPr="00925A63" w:rsidRDefault="004A5EDD" w:rsidP="00206476">
                            <w:pPr>
                              <w:spacing w:line="220" w:lineRule="exact"/>
                              <w:ind w:leftChars="-23" w:hangingChars="29" w:hanging="55"/>
                              <w:jc w:val="center"/>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2021</w:t>
                            </w:r>
                            <w:r w:rsidR="00206476">
                              <w:rPr>
                                <w:rFonts w:ascii="標楷體" w:eastAsia="標楷體" w:hAnsi="標楷體" w:hint="eastAsia"/>
                                <w:snapToGrid w:val="0"/>
                                <w:color w:val="000000"/>
                                <w:spacing w:val="-6"/>
                                <w:sz w:val="20"/>
                              </w:rPr>
                              <w:t>年</w:t>
                            </w:r>
                          </w:p>
                        </w:tc>
                        <w:tc>
                          <w:tcPr>
                            <w:tcW w:w="800" w:type="dxa"/>
                            <w:vAlign w:val="center"/>
                          </w:tcPr>
                          <w:p w14:paraId="6462EE42" w14:textId="6BFEAE1B" w:rsidR="004A5EDD" w:rsidRPr="00925A63" w:rsidRDefault="004A5EDD" w:rsidP="00206476">
                            <w:pPr>
                              <w:spacing w:line="220" w:lineRule="exact"/>
                              <w:ind w:leftChars="-57" w:left="-137"/>
                              <w:jc w:val="right"/>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2022</w:t>
                            </w:r>
                            <w:r w:rsidR="00206476">
                              <w:rPr>
                                <w:rFonts w:ascii="標楷體" w:eastAsia="標楷體" w:hAnsi="標楷體" w:hint="eastAsia"/>
                                <w:snapToGrid w:val="0"/>
                                <w:color w:val="000000"/>
                                <w:spacing w:val="-6"/>
                                <w:sz w:val="20"/>
                              </w:rPr>
                              <w:t>年</w:t>
                            </w:r>
                          </w:p>
                        </w:tc>
                        <w:tc>
                          <w:tcPr>
                            <w:tcW w:w="759" w:type="dxa"/>
                            <w:vAlign w:val="center"/>
                          </w:tcPr>
                          <w:p w14:paraId="425B511D" w14:textId="30698947" w:rsidR="004A5EDD" w:rsidRPr="00925A63" w:rsidRDefault="004A5EDD" w:rsidP="00206476">
                            <w:pPr>
                              <w:spacing w:line="220" w:lineRule="exact"/>
                              <w:ind w:leftChars="-38" w:left="-91"/>
                              <w:jc w:val="right"/>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2023</w:t>
                            </w:r>
                            <w:r w:rsidR="00206476">
                              <w:rPr>
                                <w:rFonts w:ascii="標楷體" w:eastAsia="標楷體" w:hAnsi="標楷體" w:hint="eastAsia"/>
                                <w:snapToGrid w:val="0"/>
                                <w:color w:val="000000"/>
                                <w:spacing w:val="-6"/>
                                <w:sz w:val="20"/>
                              </w:rPr>
                              <w:t>年</w:t>
                            </w:r>
                          </w:p>
                        </w:tc>
                        <w:tc>
                          <w:tcPr>
                            <w:tcW w:w="992" w:type="dxa"/>
                            <w:vAlign w:val="center"/>
                          </w:tcPr>
                          <w:p w14:paraId="44439808" w14:textId="77777777" w:rsidR="004A5EDD" w:rsidRPr="00925A63" w:rsidRDefault="004A5EDD" w:rsidP="007B4022">
                            <w:pPr>
                              <w:spacing w:line="220" w:lineRule="exact"/>
                              <w:jc w:val="center"/>
                              <w:rPr>
                                <w:rFonts w:ascii="標楷體" w:eastAsia="標楷體" w:hAnsi="標楷體" w:cs="新細明體"/>
                                <w:snapToGrid w:val="0"/>
                                <w:color w:val="000000"/>
                                <w:spacing w:val="-6"/>
                                <w:sz w:val="20"/>
                              </w:rPr>
                            </w:pPr>
                            <w:r w:rsidRPr="00925A63">
                              <w:rPr>
                                <w:rFonts w:ascii="標楷體" w:eastAsia="標楷體" w:hAnsi="標楷體" w:cs="新細明體" w:hint="eastAsia"/>
                                <w:snapToGrid w:val="0"/>
                                <w:color w:val="000000"/>
                                <w:spacing w:val="-6"/>
                                <w:sz w:val="20"/>
                              </w:rPr>
                              <w:t>主(協)</w:t>
                            </w:r>
                          </w:p>
                          <w:p w14:paraId="702C4438"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cs="新細明體" w:hint="eastAsia"/>
                                <w:snapToGrid w:val="0"/>
                                <w:color w:val="000000"/>
                                <w:spacing w:val="-6"/>
                                <w:sz w:val="20"/>
                              </w:rPr>
                              <w:t>辦機關</w:t>
                            </w:r>
                          </w:p>
                        </w:tc>
                      </w:tr>
                      <w:tr w:rsidR="004A5EDD" w:rsidRPr="00925A63" w14:paraId="0F7FADAD" w14:textId="77777777" w:rsidTr="00206476">
                        <w:tc>
                          <w:tcPr>
                            <w:tcW w:w="709" w:type="dxa"/>
                            <w:vMerge w:val="restart"/>
                            <w:vAlign w:val="center"/>
                          </w:tcPr>
                          <w:p w14:paraId="18EBA4AF"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SDG1</w:t>
                            </w:r>
                          </w:p>
                        </w:tc>
                        <w:tc>
                          <w:tcPr>
                            <w:tcW w:w="1984" w:type="dxa"/>
                            <w:vAlign w:val="center"/>
                          </w:tcPr>
                          <w:p w14:paraId="231979DC"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1.3.5健保給付之醫師至醫療資源不足地區提供巡迴醫療之鄉鎮（市/區）覆蓋率。</w:t>
                            </w:r>
                          </w:p>
                        </w:tc>
                        <w:tc>
                          <w:tcPr>
                            <w:tcW w:w="764" w:type="dxa"/>
                            <w:vAlign w:val="center"/>
                          </w:tcPr>
                          <w:p w14:paraId="2364ADD0" w14:textId="48A0B478"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shd w:val="clear" w:color="auto" w:fill="F2F2F2" w:themeFill="background1" w:themeFillShade="F2"/>
                            <w:vAlign w:val="center"/>
                          </w:tcPr>
                          <w:p w14:paraId="686CC393" w14:textId="56E067AC"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2F97D564" w14:textId="78C7791F"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6EE221E3" w14:textId="02C68494"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restart"/>
                            <w:vAlign w:val="center"/>
                          </w:tcPr>
                          <w:p w14:paraId="743AE30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衛生</w:t>
                            </w:r>
                          </w:p>
                          <w:p w14:paraId="122423D7"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福利部</w:t>
                            </w:r>
                          </w:p>
                        </w:tc>
                      </w:tr>
                      <w:tr w:rsidR="004A5EDD" w:rsidRPr="00925A63" w14:paraId="04FF9637" w14:textId="77777777" w:rsidTr="00206476">
                        <w:tc>
                          <w:tcPr>
                            <w:tcW w:w="709" w:type="dxa"/>
                            <w:vMerge/>
                            <w:vAlign w:val="center"/>
                          </w:tcPr>
                          <w:p w14:paraId="30366CA9"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32F36CAE"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1.3.8弱勢兒童及少年生活扶助受益</w:t>
                            </w:r>
                            <w:proofErr w:type="gramStart"/>
                            <w:r w:rsidRPr="00925A63">
                              <w:rPr>
                                <w:rFonts w:ascii="標楷體" w:eastAsia="標楷體" w:hAnsi="標楷體" w:hint="eastAsia"/>
                                <w:snapToGrid w:val="0"/>
                                <w:color w:val="000000"/>
                                <w:spacing w:val="-6"/>
                                <w:sz w:val="20"/>
                              </w:rPr>
                              <w:t>人數占兒少</w:t>
                            </w:r>
                            <w:proofErr w:type="gramEnd"/>
                            <w:r w:rsidRPr="00925A63">
                              <w:rPr>
                                <w:rFonts w:ascii="標楷體" w:eastAsia="標楷體" w:hAnsi="標楷體" w:hint="eastAsia"/>
                                <w:snapToGrid w:val="0"/>
                                <w:color w:val="000000"/>
                                <w:spacing w:val="-6"/>
                                <w:sz w:val="20"/>
                              </w:rPr>
                              <w:t>人口比率。</w:t>
                            </w:r>
                          </w:p>
                        </w:tc>
                        <w:tc>
                          <w:tcPr>
                            <w:tcW w:w="764" w:type="dxa"/>
                            <w:shd w:val="clear" w:color="auto" w:fill="F2F2F2" w:themeFill="background1" w:themeFillShade="F2"/>
                            <w:vAlign w:val="center"/>
                          </w:tcPr>
                          <w:p w14:paraId="3F9D2E85" w14:textId="45FD4534"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0C0E7FF5" w14:textId="1C4EAE28"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vAlign w:val="center"/>
                          </w:tcPr>
                          <w:p w14:paraId="234F931A" w14:textId="093BB0E1"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59" w:type="dxa"/>
                            <w:shd w:val="clear" w:color="auto" w:fill="F2F2F2" w:themeFill="background1" w:themeFillShade="F2"/>
                            <w:vAlign w:val="center"/>
                          </w:tcPr>
                          <w:p w14:paraId="3ECB0FA8" w14:textId="3FEF4ABD"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ign w:val="center"/>
                          </w:tcPr>
                          <w:p w14:paraId="0F247740"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r>
                      <w:tr w:rsidR="004A5EDD" w:rsidRPr="00925A63" w14:paraId="09F132FB" w14:textId="77777777" w:rsidTr="00206476">
                        <w:tc>
                          <w:tcPr>
                            <w:tcW w:w="709" w:type="dxa"/>
                            <w:vMerge/>
                            <w:vAlign w:val="center"/>
                          </w:tcPr>
                          <w:p w14:paraId="5C3265CA"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1477DDDD"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1.3.12國民年金保險原住民給付。</w:t>
                            </w:r>
                          </w:p>
                        </w:tc>
                        <w:tc>
                          <w:tcPr>
                            <w:tcW w:w="764" w:type="dxa"/>
                            <w:vAlign w:val="center"/>
                          </w:tcPr>
                          <w:p w14:paraId="558714D7" w14:textId="4CC346F9"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vAlign w:val="center"/>
                          </w:tcPr>
                          <w:p w14:paraId="3A3766BB" w14:textId="1E9B6EC8"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800" w:type="dxa"/>
                            <w:shd w:val="clear" w:color="auto" w:fill="F2F2F2" w:themeFill="background1" w:themeFillShade="F2"/>
                            <w:vAlign w:val="center"/>
                          </w:tcPr>
                          <w:p w14:paraId="7A6CD99D" w14:textId="1BD777E2"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3CE55964" w14:textId="083B3C2E"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Align w:val="center"/>
                          </w:tcPr>
                          <w:p w14:paraId="45A326D2"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原住民族委員會</w:t>
                            </w:r>
                          </w:p>
                          <w:p w14:paraId="1F1529CC"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(衛生福利部)</w:t>
                            </w:r>
                          </w:p>
                        </w:tc>
                      </w:tr>
                      <w:tr w:rsidR="004A5EDD" w:rsidRPr="00925A63" w14:paraId="1544A52B" w14:textId="77777777" w:rsidTr="00206476">
                        <w:tc>
                          <w:tcPr>
                            <w:tcW w:w="709" w:type="dxa"/>
                            <w:vMerge w:val="restart"/>
                            <w:vAlign w:val="center"/>
                          </w:tcPr>
                          <w:p w14:paraId="053D7FAF"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SDG4</w:t>
                            </w:r>
                          </w:p>
                        </w:tc>
                        <w:tc>
                          <w:tcPr>
                            <w:tcW w:w="1984" w:type="dxa"/>
                            <w:vAlign w:val="center"/>
                          </w:tcPr>
                          <w:p w14:paraId="23580E67"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4.2.1未滿2歲兒童使用公共及</w:t>
                            </w:r>
                            <w:proofErr w:type="gramStart"/>
                            <w:r w:rsidRPr="00925A63">
                              <w:rPr>
                                <w:rFonts w:ascii="標楷體" w:eastAsia="標楷體" w:hAnsi="標楷體" w:hint="eastAsia"/>
                                <w:snapToGrid w:val="0"/>
                                <w:color w:val="000000"/>
                                <w:spacing w:val="-6"/>
                                <w:sz w:val="20"/>
                              </w:rPr>
                              <w:t>準</w:t>
                            </w:r>
                            <w:proofErr w:type="gramEnd"/>
                            <w:r w:rsidRPr="00925A63">
                              <w:rPr>
                                <w:rFonts w:ascii="標楷體" w:eastAsia="標楷體" w:hAnsi="標楷體" w:hint="eastAsia"/>
                                <w:snapToGrid w:val="0"/>
                                <w:color w:val="000000"/>
                                <w:spacing w:val="-6"/>
                                <w:sz w:val="20"/>
                              </w:rPr>
                              <w:t>公共托育情形。</w:t>
                            </w:r>
                          </w:p>
                        </w:tc>
                        <w:tc>
                          <w:tcPr>
                            <w:tcW w:w="764" w:type="dxa"/>
                            <w:vAlign w:val="center"/>
                          </w:tcPr>
                          <w:p w14:paraId="042D573E" w14:textId="5A9D1B9C"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shd w:val="clear" w:color="auto" w:fill="F2F2F2" w:themeFill="background1" w:themeFillShade="F2"/>
                            <w:vAlign w:val="center"/>
                          </w:tcPr>
                          <w:p w14:paraId="5A78A67C" w14:textId="2F3C440B"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6197CF64" w14:textId="63F0C7CF"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17FC2232" w14:textId="4F6C0CE0"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Align w:val="center"/>
                          </w:tcPr>
                          <w:p w14:paraId="3EB89D19"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衛生</w:t>
                            </w:r>
                          </w:p>
                          <w:p w14:paraId="4B6FA61E"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福利部</w:t>
                            </w:r>
                          </w:p>
                        </w:tc>
                      </w:tr>
                      <w:tr w:rsidR="004A5EDD" w:rsidRPr="00925A63" w14:paraId="0443A96E" w14:textId="77777777" w:rsidTr="00206476">
                        <w:tc>
                          <w:tcPr>
                            <w:tcW w:w="709" w:type="dxa"/>
                            <w:vMerge/>
                            <w:vAlign w:val="center"/>
                          </w:tcPr>
                          <w:p w14:paraId="0581150D"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44115091"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4.5.6身心障礙學生適性輔導安置率。</w:t>
                            </w:r>
                          </w:p>
                        </w:tc>
                        <w:tc>
                          <w:tcPr>
                            <w:tcW w:w="764" w:type="dxa"/>
                            <w:shd w:val="clear" w:color="auto" w:fill="F2F2F2" w:themeFill="background1" w:themeFillShade="F2"/>
                            <w:vAlign w:val="center"/>
                          </w:tcPr>
                          <w:p w14:paraId="674C9108" w14:textId="48942650"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7F64CF3F" w14:textId="6AC81DC5"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596FA0F1" w14:textId="119404C3"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2A7E1D89" w14:textId="04A55737"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restart"/>
                            <w:vAlign w:val="center"/>
                          </w:tcPr>
                          <w:p w14:paraId="433FDE6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教育部</w:t>
                            </w:r>
                          </w:p>
                        </w:tc>
                      </w:tr>
                      <w:tr w:rsidR="004A5EDD" w:rsidRPr="00925A63" w14:paraId="68615CDB" w14:textId="77777777" w:rsidTr="00206476">
                        <w:tc>
                          <w:tcPr>
                            <w:tcW w:w="709" w:type="dxa"/>
                            <w:vMerge/>
                            <w:vAlign w:val="center"/>
                          </w:tcPr>
                          <w:p w14:paraId="32C7812E"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c>
                          <w:tcPr>
                            <w:tcW w:w="1984" w:type="dxa"/>
                            <w:vAlign w:val="center"/>
                          </w:tcPr>
                          <w:p w14:paraId="2AB39F99"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4.5.7職業轉銜與輔導服務中心服務身心障礙學生概況。</w:t>
                            </w:r>
                          </w:p>
                        </w:tc>
                        <w:tc>
                          <w:tcPr>
                            <w:tcW w:w="764" w:type="dxa"/>
                            <w:shd w:val="clear" w:color="auto" w:fill="F2F2F2" w:themeFill="background1" w:themeFillShade="F2"/>
                            <w:vAlign w:val="center"/>
                          </w:tcPr>
                          <w:p w14:paraId="47FE7AE9" w14:textId="0E77D4E0"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08BE1DAE" w14:textId="1576D914"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vAlign w:val="center"/>
                          </w:tcPr>
                          <w:p w14:paraId="0085584F" w14:textId="2C0FFBE6"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59" w:type="dxa"/>
                            <w:shd w:val="clear" w:color="auto" w:fill="F2F2F2" w:themeFill="background1" w:themeFillShade="F2"/>
                            <w:vAlign w:val="center"/>
                          </w:tcPr>
                          <w:p w14:paraId="169975BD" w14:textId="5D957AD3"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Merge/>
                            <w:vAlign w:val="center"/>
                          </w:tcPr>
                          <w:p w14:paraId="18469F7E" w14:textId="77777777" w:rsidR="004A5EDD" w:rsidRPr="00925A63" w:rsidRDefault="004A5EDD" w:rsidP="007B4022">
                            <w:pPr>
                              <w:spacing w:line="220" w:lineRule="exact"/>
                              <w:jc w:val="center"/>
                              <w:rPr>
                                <w:rFonts w:ascii="標楷體" w:eastAsia="標楷體" w:hAnsi="標楷體"/>
                                <w:snapToGrid w:val="0"/>
                                <w:color w:val="000000"/>
                                <w:spacing w:val="-6"/>
                                <w:sz w:val="20"/>
                              </w:rPr>
                            </w:pPr>
                          </w:p>
                        </w:tc>
                      </w:tr>
                      <w:tr w:rsidR="004A5EDD" w:rsidRPr="00925A63" w14:paraId="518C9EFA" w14:textId="77777777" w:rsidTr="00206476">
                        <w:tc>
                          <w:tcPr>
                            <w:tcW w:w="709" w:type="dxa"/>
                            <w:vAlign w:val="center"/>
                          </w:tcPr>
                          <w:p w14:paraId="7A3428F7"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SDG8</w:t>
                            </w:r>
                          </w:p>
                        </w:tc>
                        <w:tc>
                          <w:tcPr>
                            <w:tcW w:w="1984" w:type="dxa"/>
                            <w:vAlign w:val="center"/>
                          </w:tcPr>
                          <w:p w14:paraId="3E14875D"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8.2.1工業GDP實質成長率。</w:t>
                            </w:r>
                          </w:p>
                        </w:tc>
                        <w:tc>
                          <w:tcPr>
                            <w:tcW w:w="764" w:type="dxa"/>
                            <w:vAlign w:val="center"/>
                          </w:tcPr>
                          <w:p w14:paraId="3499C989" w14:textId="39242AEB"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796" w:type="dxa"/>
                            <w:vAlign w:val="center"/>
                          </w:tcPr>
                          <w:p w14:paraId="0AD562F1" w14:textId="29077D0F" w:rsidR="004A5EDD" w:rsidRPr="00925A63" w:rsidRDefault="00B41B0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50"/>
                            </w:r>
                          </w:p>
                        </w:tc>
                        <w:tc>
                          <w:tcPr>
                            <w:tcW w:w="800" w:type="dxa"/>
                            <w:shd w:val="clear" w:color="auto" w:fill="F2F2F2" w:themeFill="background1" w:themeFillShade="F2"/>
                            <w:vAlign w:val="center"/>
                          </w:tcPr>
                          <w:p w14:paraId="374166AE" w14:textId="4663F13E"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630D04B7" w14:textId="6DD5CB5A"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992" w:type="dxa"/>
                            <w:vAlign w:val="center"/>
                          </w:tcPr>
                          <w:p w14:paraId="057AC2B7"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經濟部</w:t>
                            </w:r>
                          </w:p>
                        </w:tc>
                      </w:tr>
                      <w:tr w:rsidR="004A5EDD" w:rsidRPr="00925A63" w14:paraId="145A4AD0" w14:textId="77777777" w:rsidTr="00206476">
                        <w:tc>
                          <w:tcPr>
                            <w:tcW w:w="709" w:type="dxa"/>
                            <w:vAlign w:val="center"/>
                          </w:tcPr>
                          <w:p w14:paraId="1ABBB503"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SDG10</w:t>
                            </w:r>
                          </w:p>
                        </w:tc>
                        <w:tc>
                          <w:tcPr>
                            <w:tcW w:w="1984" w:type="dxa"/>
                            <w:vAlign w:val="center"/>
                          </w:tcPr>
                          <w:p w14:paraId="2E1C05EA" w14:textId="77777777" w:rsidR="004A5EDD" w:rsidRPr="00925A63" w:rsidRDefault="004A5EDD" w:rsidP="007B4022">
                            <w:pPr>
                              <w:spacing w:line="220" w:lineRule="exact"/>
                              <w:jc w:val="both"/>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10.4.2受</w:t>
                            </w:r>
                            <w:proofErr w:type="gramStart"/>
                            <w:r w:rsidRPr="00925A63">
                              <w:rPr>
                                <w:rFonts w:ascii="標楷體" w:eastAsia="標楷體" w:hAnsi="標楷體" w:hint="eastAsia"/>
                                <w:snapToGrid w:val="0"/>
                                <w:color w:val="000000"/>
                                <w:spacing w:val="-6"/>
                                <w:sz w:val="20"/>
                              </w:rPr>
                              <w:t>僱</w:t>
                            </w:r>
                            <w:proofErr w:type="gramEnd"/>
                            <w:r w:rsidRPr="00925A63">
                              <w:rPr>
                                <w:rFonts w:ascii="標楷體" w:eastAsia="標楷體" w:hAnsi="標楷體" w:hint="eastAsia"/>
                                <w:snapToGrid w:val="0"/>
                                <w:color w:val="000000"/>
                                <w:spacing w:val="-6"/>
                                <w:sz w:val="20"/>
                              </w:rPr>
                              <w:t>人員勞動報酬占GDP份額。</w:t>
                            </w:r>
                          </w:p>
                        </w:tc>
                        <w:tc>
                          <w:tcPr>
                            <w:tcW w:w="764" w:type="dxa"/>
                            <w:shd w:val="clear" w:color="auto" w:fill="F2F2F2" w:themeFill="background1" w:themeFillShade="F2"/>
                            <w:vAlign w:val="center"/>
                          </w:tcPr>
                          <w:p w14:paraId="041BA2FA" w14:textId="1BD53671"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96" w:type="dxa"/>
                            <w:shd w:val="clear" w:color="auto" w:fill="F2F2F2" w:themeFill="background1" w:themeFillShade="F2"/>
                            <w:vAlign w:val="center"/>
                          </w:tcPr>
                          <w:p w14:paraId="3347F071" w14:textId="519601A1"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800" w:type="dxa"/>
                            <w:shd w:val="clear" w:color="auto" w:fill="F2F2F2" w:themeFill="background1" w:themeFillShade="F2"/>
                            <w:vAlign w:val="center"/>
                          </w:tcPr>
                          <w:p w14:paraId="69DFEB8D" w14:textId="06C7C606" w:rsidR="004A5EDD" w:rsidRPr="00925A63" w:rsidRDefault="008A697D" w:rsidP="007B4022">
                            <w:pPr>
                              <w:spacing w:line="220" w:lineRule="exact"/>
                              <w:jc w:val="center"/>
                              <w:rPr>
                                <w:rFonts w:ascii="標楷體" w:eastAsia="標楷體" w:hAnsi="標楷體" w:cs="新細明體"/>
                                <w:snapToGrid w:val="0"/>
                                <w:color w:val="000000"/>
                                <w:spacing w:val="-6"/>
                                <w:sz w:val="20"/>
                              </w:rPr>
                            </w:pPr>
                            <w:r w:rsidRPr="00800EAB">
                              <w:rPr>
                                <w:rFonts w:ascii="標楷體" w:eastAsia="標楷體" w:hAnsi="標楷體" w:cs="標楷體" w:hint="eastAsia"/>
                                <w:sz w:val="28"/>
                                <w:szCs w:val="28"/>
                              </w:rPr>
                              <w:sym w:font="Wingdings 2" w:char="F04F"/>
                            </w:r>
                          </w:p>
                        </w:tc>
                        <w:tc>
                          <w:tcPr>
                            <w:tcW w:w="759" w:type="dxa"/>
                            <w:shd w:val="clear" w:color="auto" w:fill="F2F2F2" w:themeFill="background1" w:themeFillShade="F2"/>
                            <w:vAlign w:val="center"/>
                          </w:tcPr>
                          <w:p w14:paraId="4E5C6B8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6"/>
                                <w:sz w:val="20"/>
                              </w:rPr>
                              <w:t>數據</w:t>
                            </w:r>
                          </w:p>
                          <w:p w14:paraId="4A95AB5A" w14:textId="77777777" w:rsidR="004A5EDD" w:rsidRPr="00925A63" w:rsidRDefault="004A5EDD" w:rsidP="007B4022">
                            <w:pPr>
                              <w:spacing w:line="220" w:lineRule="exact"/>
                              <w:jc w:val="center"/>
                              <w:rPr>
                                <w:rFonts w:ascii="標楷體" w:eastAsia="標楷體" w:hAnsi="標楷體" w:cs="新細明體"/>
                                <w:snapToGrid w:val="0"/>
                                <w:color w:val="000000"/>
                                <w:spacing w:val="-6"/>
                                <w:sz w:val="20"/>
                              </w:rPr>
                            </w:pPr>
                            <w:r w:rsidRPr="00925A63">
                              <w:rPr>
                                <w:rFonts w:ascii="標楷體" w:eastAsia="標楷體" w:hAnsi="標楷體" w:hint="eastAsia"/>
                                <w:snapToGrid w:val="0"/>
                                <w:color w:val="000000"/>
                                <w:spacing w:val="-6"/>
                                <w:sz w:val="20"/>
                              </w:rPr>
                              <w:t>不足</w:t>
                            </w:r>
                          </w:p>
                        </w:tc>
                        <w:tc>
                          <w:tcPr>
                            <w:tcW w:w="992" w:type="dxa"/>
                            <w:vAlign w:val="center"/>
                          </w:tcPr>
                          <w:p w14:paraId="6ADB73F5" w14:textId="77777777" w:rsidR="004A5EDD" w:rsidRPr="00925A63" w:rsidRDefault="004A5EDD" w:rsidP="007B4022">
                            <w:pPr>
                              <w:spacing w:line="220" w:lineRule="exact"/>
                              <w:jc w:val="center"/>
                              <w:rPr>
                                <w:rFonts w:ascii="標楷體" w:eastAsia="標楷體" w:hAnsi="標楷體"/>
                                <w:snapToGrid w:val="0"/>
                                <w:color w:val="000000"/>
                                <w:spacing w:val="-6"/>
                                <w:sz w:val="20"/>
                              </w:rPr>
                            </w:pPr>
                            <w:r w:rsidRPr="00925A63">
                              <w:rPr>
                                <w:rFonts w:ascii="標楷體" w:eastAsia="標楷體" w:hAnsi="標楷體"/>
                                <w:snapToGrid w:val="0"/>
                                <w:color w:val="000000"/>
                                <w:spacing w:val="-6"/>
                                <w:sz w:val="20"/>
                              </w:rPr>
                              <w:t>國家</w:t>
                            </w:r>
                            <w:r w:rsidRPr="00925A63">
                              <w:rPr>
                                <w:rFonts w:ascii="標楷體" w:eastAsia="標楷體" w:hAnsi="標楷體" w:hint="eastAsia"/>
                                <w:snapToGrid w:val="0"/>
                                <w:color w:val="000000"/>
                                <w:spacing w:val="-6"/>
                                <w:sz w:val="20"/>
                              </w:rPr>
                              <w:t>發展委員會</w:t>
                            </w:r>
                          </w:p>
                          <w:p w14:paraId="7FFC7D27" w14:textId="77777777" w:rsidR="004A5EDD" w:rsidRPr="00925A63" w:rsidRDefault="004A5EDD" w:rsidP="00BA15E0">
                            <w:pPr>
                              <w:spacing w:line="220" w:lineRule="exact"/>
                              <w:ind w:leftChars="-55" w:left="-132" w:rightChars="-30" w:right="-72"/>
                              <w:jc w:val="center"/>
                              <w:rPr>
                                <w:rFonts w:ascii="標楷體" w:eastAsia="標楷體" w:hAnsi="標楷體"/>
                                <w:snapToGrid w:val="0"/>
                                <w:color w:val="000000"/>
                                <w:spacing w:val="-6"/>
                                <w:sz w:val="20"/>
                              </w:rPr>
                            </w:pPr>
                            <w:r w:rsidRPr="00925A63">
                              <w:rPr>
                                <w:rFonts w:ascii="標楷體" w:eastAsia="標楷體" w:hAnsi="標楷體" w:hint="eastAsia"/>
                                <w:snapToGrid w:val="0"/>
                                <w:color w:val="000000"/>
                                <w:spacing w:val="-28"/>
                                <w:sz w:val="20"/>
                              </w:rPr>
                              <w:t>（</w:t>
                            </w:r>
                            <w:r w:rsidRPr="00BA15E0">
                              <w:rPr>
                                <w:rFonts w:ascii="標楷體" w:eastAsia="標楷體" w:hAnsi="標楷體" w:hint="eastAsia"/>
                                <w:snapToGrid w:val="0"/>
                                <w:color w:val="000000"/>
                                <w:sz w:val="20"/>
                              </w:rPr>
                              <w:t>經濟部、勞動部）</w:t>
                            </w:r>
                          </w:p>
                        </w:tc>
                      </w:tr>
                    </w:tbl>
                    <w:p w14:paraId="66F4DAF6" w14:textId="2CCA8079" w:rsidR="004A5EDD" w:rsidRPr="008762A2" w:rsidRDefault="004A5EDD" w:rsidP="00D7360E">
                      <w:pPr>
                        <w:widowControl/>
                        <w:spacing w:line="260" w:lineRule="exact"/>
                        <w:rPr>
                          <w:rFonts w:ascii="標楷體" w:eastAsia="標楷體" w:hAnsi="標楷體"/>
                          <w:snapToGrid w:val="0"/>
                          <w:kern w:val="0"/>
                          <w:sz w:val="18"/>
                        </w:rPr>
                      </w:pPr>
                      <w:r w:rsidRPr="008762A2">
                        <w:rPr>
                          <w:rFonts w:ascii="標楷體" w:eastAsia="標楷體" w:hAnsi="標楷體" w:cs="新細明體" w:hint="eastAsia"/>
                          <w:color w:val="000000"/>
                          <w:kern w:val="0"/>
                          <w:sz w:val="18"/>
                        </w:rPr>
                        <w:t xml:space="preserve">　</w:t>
                      </w:r>
                      <w:proofErr w:type="gramStart"/>
                      <w:r w:rsidRPr="008762A2">
                        <w:rPr>
                          <w:rFonts w:ascii="標楷體" w:eastAsia="標楷體" w:hAnsi="標楷體" w:cs="新細明體" w:hint="eastAsia"/>
                          <w:color w:val="000000"/>
                          <w:kern w:val="0"/>
                          <w:sz w:val="18"/>
                        </w:rPr>
                        <w:t>註</w:t>
                      </w:r>
                      <w:proofErr w:type="gramEnd"/>
                      <w:r w:rsidRPr="008762A2">
                        <w:rPr>
                          <w:rFonts w:ascii="標楷體" w:eastAsia="標楷體" w:hAnsi="標楷體" w:cs="新細明體" w:hint="eastAsia"/>
                          <w:color w:val="000000"/>
                          <w:kern w:val="0"/>
                          <w:sz w:val="18"/>
                        </w:rPr>
                        <w:t>：1.</w:t>
                      </w:r>
                      <w:r w:rsidRPr="008762A2">
                        <w:rPr>
                          <w:rFonts w:ascii="標楷體" w:eastAsia="標楷體" w:hAnsi="標楷體" w:hint="eastAsia"/>
                          <w:snapToGrid w:val="0"/>
                          <w:kern w:val="0"/>
                          <w:sz w:val="18"/>
                        </w:rPr>
                        <w:t>「</w:t>
                      </w:r>
                      <w:r w:rsidR="008A697D" w:rsidRPr="00800EAB">
                        <w:rPr>
                          <w:rFonts w:ascii="標楷體" w:eastAsia="標楷體" w:hAnsi="標楷體" w:cs="標楷體" w:hint="eastAsia"/>
                          <w:sz w:val="28"/>
                          <w:szCs w:val="28"/>
                        </w:rPr>
                        <w:sym w:font="Wingdings 2" w:char="F050"/>
                      </w:r>
                      <w:r w:rsidRPr="008762A2">
                        <w:rPr>
                          <w:rFonts w:ascii="標楷體" w:eastAsia="標楷體" w:hAnsi="標楷體" w:hint="eastAsia"/>
                          <w:snapToGrid w:val="0"/>
                          <w:kern w:val="0"/>
                          <w:sz w:val="18"/>
                        </w:rPr>
                        <w:t>」表示「達標」</w:t>
                      </w:r>
                      <w:r>
                        <w:rPr>
                          <w:rFonts w:ascii="標楷體" w:eastAsia="標楷體" w:hAnsi="標楷體" w:hint="eastAsia"/>
                          <w:snapToGrid w:val="0"/>
                          <w:kern w:val="0"/>
                          <w:sz w:val="18"/>
                        </w:rPr>
                        <w:t>、</w:t>
                      </w:r>
                      <w:r w:rsidRPr="008762A2">
                        <w:rPr>
                          <w:rFonts w:ascii="標楷體" w:eastAsia="標楷體" w:hAnsi="標楷體" w:hint="eastAsia"/>
                          <w:snapToGrid w:val="0"/>
                          <w:kern w:val="0"/>
                          <w:sz w:val="18"/>
                        </w:rPr>
                        <w:t>「</w:t>
                      </w:r>
                      <w:r w:rsidR="008A697D" w:rsidRPr="00800EAB">
                        <w:rPr>
                          <w:rFonts w:ascii="標楷體" w:eastAsia="標楷體" w:hAnsi="標楷體" w:cs="標楷體" w:hint="eastAsia"/>
                          <w:sz w:val="28"/>
                          <w:szCs w:val="28"/>
                        </w:rPr>
                        <w:sym w:font="Wingdings 2" w:char="F04F"/>
                      </w:r>
                      <w:r w:rsidRPr="008762A2">
                        <w:rPr>
                          <w:rFonts w:ascii="標楷體" w:eastAsia="標楷體" w:hAnsi="標楷體" w:hint="eastAsia"/>
                          <w:snapToGrid w:val="0"/>
                          <w:kern w:val="0"/>
                          <w:sz w:val="18"/>
                        </w:rPr>
                        <w:t>」表</w:t>
                      </w:r>
                      <w:r>
                        <w:rPr>
                          <w:rFonts w:ascii="標楷體" w:eastAsia="標楷體" w:hAnsi="標楷體" w:hint="eastAsia"/>
                          <w:snapToGrid w:val="0"/>
                          <w:kern w:val="0"/>
                          <w:sz w:val="18"/>
                        </w:rPr>
                        <w:t>示</w:t>
                      </w:r>
                      <w:r w:rsidRPr="008762A2">
                        <w:rPr>
                          <w:rFonts w:ascii="標楷體" w:eastAsia="標楷體" w:hAnsi="標楷體" w:hint="eastAsia"/>
                          <w:snapToGrid w:val="0"/>
                          <w:kern w:val="0"/>
                          <w:sz w:val="18"/>
                        </w:rPr>
                        <w:t>「</w:t>
                      </w:r>
                      <w:r>
                        <w:rPr>
                          <w:rFonts w:ascii="標楷體" w:eastAsia="標楷體" w:hAnsi="標楷體" w:hint="eastAsia"/>
                          <w:snapToGrid w:val="0"/>
                          <w:kern w:val="0"/>
                          <w:sz w:val="18"/>
                        </w:rPr>
                        <w:t>未</w:t>
                      </w:r>
                      <w:r w:rsidRPr="008762A2">
                        <w:rPr>
                          <w:rFonts w:ascii="標楷體" w:eastAsia="標楷體" w:hAnsi="標楷體" w:hint="eastAsia"/>
                          <w:snapToGrid w:val="0"/>
                          <w:kern w:val="0"/>
                          <w:sz w:val="18"/>
                        </w:rPr>
                        <w:t>達標」。</w:t>
                      </w:r>
                    </w:p>
                    <w:p w14:paraId="5A81018E" w14:textId="77777777" w:rsidR="004A5EDD" w:rsidRPr="008762A2" w:rsidRDefault="004A5EDD" w:rsidP="00BA15E0">
                      <w:pPr>
                        <w:widowControl/>
                        <w:spacing w:line="260" w:lineRule="exact"/>
                        <w:ind w:left="720" w:rightChars="45" w:right="108" w:hangingChars="400" w:hanging="720"/>
                        <w:rPr>
                          <w:rFonts w:ascii="標楷體" w:eastAsia="標楷體" w:hAnsi="標楷體"/>
                          <w:snapToGrid w:val="0"/>
                          <w:kern w:val="0"/>
                          <w:sz w:val="18"/>
                        </w:rPr>
                      </w:pPr>
                      <w:r w:rsidRPr="008762A2">
                        <w:rPr>
                          <w:rFonts w:ascii="標楷體" w:eastAsia="標楷體" w:hAnsi="標楷體" w:hint="eastAsia"/>
                          <w:snapToGrid w:val="0"/>
                          <w:kern w:val="0"/>
                          <w:sz w:val="18"/>
                        </w:rPr>
                        <w:t xml:space="preserve">　　　2.</w:t>
                      </w:r>
                      <w:r w:rsidRPr="008762A2">
                        <w:rPr>
                          <w:rFonts w:ascii="標楷體" w:eastAsia="標楷體" w:hAnsi="標楷體" w:hint="eastAsia"/>
                          <w:sz w:val="18"/>
                        </w:rPr>
                        <w:t>整</w:t>
                      </w:r>
                      <w:r w:rsidRPr="008762A2">
                        <w:rPr>
                          <w:rFonts w:ascii="標楷體" w:eastAsia="標楷體" w:hAnsi="標楷體" w:hint="eastAsia"/>
                          <w:snapToGrid w:val="0"/>
                          <w:kern w:val="0"/>
                          <w:sz w:val="18"/>
                        </w:rPr>
                        <w:t>理自行政院國家永續發展委員會2024年12月編印之「2020至2023年臺灣永續發展目標階段性檢討報告」。</w:t>
                      </w:r>
                    </w:p>
                    <w:p w14:paraId="22259DE6" w14:textId="77777777" w:rsidR="004A5EDD" w:rsidRPr="007B4022" w:rsidRDefault="004A5EDD" w:rsidP="004A5EDD">
                      <w:pPr>
                        <w:widowControl/>
                        <w:spacing w:line="220" w:lineRule="exact"/>
                        <w:ind w:left="720" w:hangingChars="400" w:hanging="720"/>
                        <w:rPr>
                          <w:rFonts w:ascii="標楷體" w:eastAsia="標楷體" w:hAnsi="標楷體"/>
                          <w:snapToGrid w:val="0"/>
                          <w:kern w:val="0"/>
                          <w:sz w:val="18"/>
                        </w:rPr>
                      </w:pPr>
                    </w:p>
                  </w:txbxContent>
                </v:textbox>
                <w10:wrap type="square" anchorx="margin"/>
              </v:shape>
            </w:pict>
          </mc:Fallback>
        </mc:AlternateContent>
      </w:r>
      <w:r w:rsidR="00CE5CCC" w:rsidRPr="00CE5CCC">
        <w:rPr>
          <w:rFonts w:ascii="標楷體" w:eastAsia="標楷體" w:hAnsi="標楷體" w:cstheme="minorBidi" w:hint="eastAsia"/>
          <w:snapToGrid w:val="0"/>
          <w:kern w:val="0"/>
          <w:szCs w:val="24"/>
        </w:rPr>
        <w:t>依然持續。本部前於</w:t>
      </w:r>
      <w:proofErr w:type="gramStart"/>
      <w:r w:rsidR="00CE5CCC" w:rsidRPr="00CE5CCC">
        <w:rPr>
          <w:rFonts w:ascii="標楷體" w:eastAsia="標楷體" w:hAnsi="標楷體" w:cstheme="minorBidi" w:hint="eastAsia"/>
          <w:snapToGrid w:val="0"/>
          <w:kern w:val="0"/>
          <w:szCs w:val="24"/>
        </w:rPr>
        <w:t>113年5月間建請</w:t>
      </w:r>
      <w:proofErr w:type="gramEnd"/>
      <w:r w:rsidR="00CE5CCC" w:rsidRPr="00CE5CCC">
        <w:rPr>
          <w:rFonts w:ascii="標楷體" w:eastAsia="標楷體" w:hAnsi="標楷體" w:cstheme="minorBidi" w:hint="eastAsia"/>
          <w:snapToGrid w:val="0"/>
          <w:kern w:val="0"/>
          <w:szCs w:val="24"/>
        </w:rPr>
        <w:t>行政院</w:t>
      </w:r>
      <w:proofErr w:type="gramStart"/>
      <w:r w:rsidR="00CE5CCC" w:rsidRPr="00CE5CCC">
        <w:rPr>
          <w:rFonts w:ascii="標楷體" w:eastAsia="標楷體" w:hAnsi="標楷體" w:cstheme="minorBidi" w:hint="eastAsia"/>
          <w:snapToGrid w:val="0"/>
          <w:kern w:val="0"/>
          <w:szCs w:val="24"/>
        </w:rPr>
        <w:t>研</w:t>
      </w:r>
      <w:proofErr w:type="gramEnd"/>
      <w:r w:rsidR="00CE5CCC" w:rsidRPr="00CE5CCC">
        <w:rPr>
          <w:rFonts w:ascii="標楷體" w:eastAsia="標楷體" w:hAnsi="標楷體" w:cstheme="minorBidi" w:hint="eastAsia"/>
          <w:snapToGrid w:val="0"/>
          <w:kern w:val="0"/>
          <w:szCs w:val="24"/>
        </w:rPr>
        <w:t>議配合113年5月20日內閣重新改組後之政</w:t>
      </w:r>
      <w:r w:rsidR="0064250F" w:rsidRPr="0064250F">
        <w:rPr>
          <w:rFonts w:ascii="標楷體" w:eastAsia="標楷體" w:hAnsi="標楷體" w:cstheme="minorBidi" w:hint="eastAsia"/>
          <w:snapToGrid w:val="0"/>
          <w:kern w:val="0"/>
          <w:szCs w:val="24"/>
        </w:rPr>
        <w:t>策需要，衡酌重新恢復改善所得分配專案小組運作之可行性，以強化協調</w:t>
      </w:r>
      <w:r w:rsidR="00C05F7E" w:rsidRPr="00C05F7E">
        <w:rPr>
          <w:rFonts w:ascii="標楷體" w:eastAsia="標楷體" w:hAnsi="標楷體" w:cstheme="minorBidi" w:hint="eastAsia"/>
          <w:snapToGrid w:val="0"/>
          <w:kern w:val="0"/>
          <w:szCs w:val="24"/>
        </w:rPr>
        <w:t>及督導各部會落實執行</w:t>
      </w:r>
      <w:r w:rsidR="004A5EDD" w:rsidRPr="004A5EDD">
        <w:rPr>
          <w:rFonts w:ascii="標楷體" w:eastAsia="標楷體" w:hAnsi="標楷體" w:cstheme="minorBidi" w:hint="eastAsia"/>
          <w:snapToGrid w:val="0"/>
          <w:kern w:val="0"/>
          <w:szCs w:val="24"/>
        </w:rPr>
        <w:t>改善所得分配相關計畫</w:t>
      </w:r>
      <w:r w:rsidR="00A92957">
        <w:rPr>
          <w:rFonts w:ascii="標楷體" w:eastAsia="標楷體" w:hAnsi="標楷體" w:cstheme="minorBidi" w:hint="eastAsia"/>
          <w:snapToGrid w:val="0"/>
          <w:kern w:val="0"/>
          <w:szCs w:val="24"/>
        </w:rPr>
        <w:t>，</w:t>
      </w:r>
      <w:r w:rsidR="004A5EDD" w:rsidRPr="004A5EDD">
        <w:rPr>
          <w:rFonts w:ascii="標楷體" w:eastAsia="標楷體" w:hAnsi="標楷體" w:cstheme="minorBidi" w:hint="eastAsia"/>
          <w:snapToGrid w:val="0"/>
          <w:kern w:val="0"/>
          <w:szCs w:val="24"/>
        </w:rPr>
        <w:t>據</w:t>
      </w:r>
      <w:r w:rsidR="004A5EDD" w:rsidRPr="004A5EDD">
        <w:rPr>
          <w:rFonts w:ascii="標楷體" w:eastAsia="標楷體" w:hAnsi="標楷體" w:cstheme="minorBidi"/>
          <w:snapToGrid w:val="0"/>
          <w:kern w:val="0"/>
          <w:szCs w:val="24"/>
        </w:rPr>
        <w:t>復</w:t>
      </w:r>
      <w:r w:rsidR="004A5EDD" w:rsidRPr="004A5EDD">
        <w:rPr>
          <w:rFonts w:ascii="標楷體" w:eastAsia="標楷體" w:hAnsi="標楷體" w:cstheme="minorBidi" w:hint="eastAsia"/>
          <w:snapToGrid w:val="0"/>
          <w:kern w:val="0"/>
          <w:szCs w:val="24"/>
        </w:rPr>
        <w:t>現行由</w:t>
      </w:r>
      <w:r w:rsidR="004A5EDD" w:rsidRPr="004A5EDD">
        <w:rPr>
          <w:rFonts w:ascii="標楷體" w:eastAsia="標楷體" w:hAnsi="標楷體" w:cstheme="minorBidi"/>
          <w:snapToGrid w:val="0"/>
          <w:kern w:val="0"/>
          <w:szCs w:val="24"/>
        </w:rPr>
        <w:t>永續會訂定之臺灣永續發展目標，已分別於核心目標8</w:t>
      </w:r>
      <w:r w:rsidR="004A5EDD" w:rsidRPr="004A5EDD">
        <w:rPr>
          <w:rFonts w:ascii="標楷體" w:eastAsia="標楷體" w:hAnsi="標楷體" w:cstheme="minorBidi" w:hint="eastAsia"/>
          <w:snapToGrid w:val="0"/>
          <w:kern w:val="0"/>
          <w:szCs w:val="24"/>
        </w:rPr>
        <w:t>（就業與經濟成長）</w:t>
      </w:r>
      <w:r w:rsidR="004A5EDD" w:rsidRPr="004A5EDD">
        <w:rPr>
          <w:rFonts w:ascii="標楷體" w:eastAsia="標楷體" w:hAnsi="標楷體" w:cstheme="minorBidi"/>
          <w:snapToGrid w:val="0"/>
          <w:kern w:val="0"/>
          <w:szCs w:val="24"/>
        </w:rPr>
        <w:t>及10</w:t>
      </w:r>
      <w:r w:rsidR="004A5EDD" w:rsidRPr="004A5EDD">
        <w:rPr>
          <w:rFonts w:ascii="標楷體" w:eastAsia="標楷體" w:hAnsi="標楷體" w:cstheme="minorBidi" w:hint="eastAsia"/>
          <w:snapToGrid w:val="0"/>
          <w:kern w:val="0"/>
          <w:szCs w:val="24"/>
        </w:rPr>
        <w:t>（減少不平等）</w:t>
      </w:r>
      <w:r w:rsidR="004A5EDD" w:rsidRPr="004A5EDD">
        <w:rPr>
          <w:rFonts w:ascii="標楷體" w:eastAsia="標楷體" w:hAnsi="標楷體" w:cstheme="minorBidi"/>
          <w:snapToGrid w:val="0"/>
          <w:kern w:val="0"/>
          <w:szCs w:val="24"/>
        </w:rPr>
        <w:t>中，納入所得分配相關指標（如指標8.1.2及10.4.1「每戶可支配所得吉尼係數」），由相關部會共同推動改善所得分配各項工作</w:t>
      </w:r>
      <w:r w:rsidR="004A5EDD" w:rsidRPr="004A5EDD">
        <w:rPr>
          <w:rFonts w:ascii="標楷體" w:eastAsia="標楷體" w:hAnsi="標楷體" w:cstheme="minorBidi" w:hint="eastAsia"/>
          <w:snapToGrid w:val="0"/>
          <w:kern w:val="0"/>
          <w:szCs w:val="24"/>
        </w:rPr>
        <w:t>，</w:t>
      </w:r>
      <w:r w:rsidR="004A5EDD" w:rsidRPr="004A5EDD">
        <w:rPr>
          <w:rFonts w:ascii="標楷體" w:eastAsia="標楷體" w:hAnsi="標楷體" w:cstheme="minorBidi"/>
          <w:snapToGrid w:val="0"/>
          <w:kern w:val="0"/>
          <w:szCs w:val="24"/>
        </w:rPr>
        <w:t>永續會並訂有「臺灣永續發展目標追蹤管考作業原則」，定期檢視分析各指標之推動成效，亦適時滾動修正目標與指標，確保各項</w:t>
      </w:r>
      <w:proofErr w:type="gramStart"/>
      <w:r w:rsidR="004A5EDD" w:rsidRPr="004A5EDD">
        <w:rPr>
          <w:rFonts w:ascii="標楷體" w:eastAsia="標楷體" w:hAnsi="標楷體" w:cstheme="minorBidi"/>
          <w:snapToGrid w:val="0"/>
          <w:kern w:val="0"/>
          <w:szCs w:val="24"/>
        </w:rPr>
        <w:t>指標均能落實</w:t>
      </w:r>
      <w:proofErr w:type="gramEnd"/>
      <w:r w:rsidR="004A5EDD" w:rsidRPr="004A5EDD">
        <w:rPr>
          <w:rFonts w:ascii="標楷體" w:eastAsia="標楷體" w:hAnsi="標楷體" w:cstheme="minorBidi"/>
          <w:snapToGrid w:val="0"/>
          <w:kern w:val="0"/>
          <w:szCs w:val="24"/>
        </w:rPr>
        <w:t>檢討與推動。</w:t>
      </w:r>
      <w:proofErr w:type="gramStart"/>
      <w:r w:rsidR="004A5EDD" w:rsidRPr="004A5EDD">
        <w:rPr>
          <w:rFonts w:ascii="標楷體" w:eastAsia="標楷體" w:hAnsi="標楷體" w:cstheme="minorBidi" w:hint="eastAsia"/>
          <w:snapToGrid w:val="0"/>
          <w:spacing w:val="-4"/>
          <w:kern w:val="0"/>
          <w:szCs w:val="24"/>
        </w:rPr>
        <w:t>惟查</w:t>
      </w:r>
      <w:proofErr w:type="gramEnd"/>
      <w:r w:rsidR="004627CD">
        <w:rPr>
          <w:rFonts w:ascii="標楷體" w:eastAsia="標楷體" w:hAnsi="標楷體" w:cstheme="minorBidi" w:hint="eastAsia"/>
          <w:snapToGrid w:val="0"/>
          <w:spacing w:val="-4"/>
          <w:kern w:val="0"/>
          <w:szCs w:val="24"/>
        </w:rPr>
        <w:t>，</w:t>
      </w:r>
      <w:r w:rsidR="004A5EDD" w:rsidRPr="004A5EDD">
        <w:rPr>
          <w:rFonts w:ascii="標楷體" w:eastAsia="標楷體" w:hAnsi="標楷體" w:cstheme="minorBidi" w:hint="eastAsia"/>
          <w:snapToGrid w:val="0"/>
          <w:spacing w:val="-4"/>
          <w:kern w:val="0"/>
          <w:szCs w:val="24"/>
        </w:rPr>
        <w:t>臺灣永續發展目標包括18項核心目標、143項</w:t>
      </w:r>
      <w:r w:rsidR="004A5EDD" w:rsidRPr="004A5EDD">
        <w:rPr>
          <w:rFonts w:ascii="標楷體" w:eastAsia="標楷體" w:hAnsi="標楷體" w:cstheme="minorBidi" w:hint="eastAsia"/>
          <w:spacing w:val="-4"/>
          <w:kern w:val="0"/>
          <w:szCs w:val="24"/>
        </w:rPr>
        <w:t>具體</w:t>
      </w:r>
      <w:r w:rsidR="004A5EDD" w:rsidRPr="004A5EDD">
        <w:rPr>
          <w:rFonts w:ascii="標楷體" w:eastAsia="標楷體" w:hAnsi="標楷體" w:cstheme="minorBidi" w:hint="eastAsia"/>
          <w:snapToGrid w:val="0"/>
          <w:spacing w:val="-4"/>
          <w:kern w:val="0"/>
          <w:szCs w:val="24"/>
        </w:rPr>
        <w:t>目</w:t>
      </w:r>
      <w:r w:rsidR="004A5EDD" w:rsidRPr="00A86E2C">
        <w:rPr>
          <w:rFonts w:ascii="標楷體" w:eastAsia="標楷體" w:hAnsi="標楷體" w:cstheme="minorBidi" w:hint="eastAsia"/>
          <w:snapToGrid w:val="0"/>
          <w:kern w:val="0"/>
          <w:szCs w:val="24"/>
        </w:rPr>
        <w:t>標及337項對應指標，係由各對應指標之主（協）辦機關負責推動、執行，各核心目標工作分組之主政部會召集相關機關進行指標管考及檢討推動情形，由於與改善所得分配</w:t>
      </w:r>
      <w:proofErr w:type="gramStart"/>
      <w:r w:rsidR="004A5EDD" w:rsidRPr="00A86E2C">
        <w:rPr>
          <w:rFonts w:ascii="標楷體" w:eastAsia="標楷體" w:hAnsi="標楷體" w:cstheme="minorBidi" w:hint="eastAsia"/>
          <w:snapToGrid w:val="0"/>
          <w:kern w:val="0"/>
          <w:szCs w:val="24"/>
        </w:rPr>
        <w:t>攸</w:t>
      </w:r>
      <w:proofErr w:type="gramEnd"/>
      <w:r w:rsidR="004A5EDD" w:rsidRPr="00A86E2C">
        <w:rPr>
          <w:rFonts w:ascii="標楷體" w:eastAsia="標楷體" w:hAnsi="標楷體" w:cstheme="minorBidi" w:hint="eastAsia"/>
          <w:snapToGrid w:val="0"/>
          <w:kern w:val="0"/>
          <w:szCs w:val="24"/>
        </w:rPr>
        <w:t>關之對應指標係分散在不同核心目標下，且未具體標示出相關之關鍵對應指標項目，難以整體性監測追蹤進展。經</w:t>
      </w:r>
      <w:proofErr w:type="gramStart"/>
      <w:r w:rsidR="004A5EDD" w:rsidRPr="00A86E2C">
        <w:rPr>
          <w:rFonts w:ascii="標楷體" w:eastAsia="標楷體" w:hAnsi="標楷體" w:cstheme="minorBidi" w:hint="eastAsia"/>
          <w:snapToGrid w:val="0"/>
          <w:kern w:val="0"/>
          <w:szCs w:val="24"/>
        </w:rPr>
        <w:t>研析永</w:t>
      </w:r>
      <w:proofErr w:type="gramEnd"/>
      <w:r w:rsidR="004A5EDD" w:rsidRPr="00A86E2C">
        <w:rPr>
          <w:rFonts w:ascii="標楷體" w:eastAsia="標楷體" w:hAnsi="標楷體" w:cstheme="minorBidi" w:hint="eastAsia"/>
          <w:snapToGrid w:val="0"/>
          <w:kern w:val="0"/>
          <w:szCs w:val="24"/>
        </w:rPr>
        <w:t>續會2024年12月編印之「2020至2023年臺灣永續發展目標階段性</w:t>
      </w:r>
      <w:r w:rsidR="004A5EDD" w:rsidRPr="00A86E2C">
        <w:rPr>
          <w:rFonts w:ascii="標楷體" w:eastAsia="標楷體" w:hAnsi="標楷體" w:cstheme="minorBidi" w:hint="eastAsia"/>
          <w:kern w:val="0"/>
          <w:szCs w:val="24"/>
        </w:rPr>
        <w:t>檢討</w:t>
      </w:r>
      <w:r w:rsidR="004A5EDD" w:rsidRPr="00A86E2C">
        <w:rPr>
          <w:rFonts w:ascii="標楷體" w:eastAsia="標楷體" w:hAnsi="標楷體" w:cstheme="minorBidi" w:hint="eastAsia"/>
          <w:snapToGrid w:val="0"/>
          <w:kern w:val="0"/>
          <w:szCs w:val="24"/>
        </w:rPr>
        <w:t>報告」，就與改善所得分配不均、縮小貧富差距、保障弱勢族群權益密切相關之核心目標SDG1</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消除貧窮；衛生</w:t>
      </w:r>
      <w:proofErr w:type="gramStart"/>
      <w:r w:rsidR="004A5EDD" w:rsidRPr="00A86E2C">
        <w:rPr>
          <w:rFonts w:ascii="標楷體" w:eastAsia="標楷體" w:hAnsi="標楷體" w:cstheme="minorBidi" w:hint="eastAsia"/>
          <w:snapToGrid w:val="0"/>
          <w:kern w:val="0"/>
          <w:szCs w:val="24"/>
        </w:rPr>
        <w:t>福利部主政）</w:t>
      </w:r>
      <w:proofErr w:type="gramEnd"/>
      <w:r w:rsidR="004A5EDD" w:rsidRPr="00A86E2C">
        <w:rPr>
          <w:rFonts w:ascii="標楷體" w:eastAsia="標楷體" w:hAnsi="標楷體" w:cstheme="minorBidi" w:hint="eastAsia"/>
          <w:snapToGrid w:val="0"/>
          <w:kern w:val="0"/>
          <w:szCs w:val="24"/>
        </w:rPr>
        <w:t>、SDG2</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消除飢餓；農業部主政</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、SDG4</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教育品質；教育部主政</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、SDG8</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就業與經濟成長；經濟部主政</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及SDG10</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減少不平等；國家發展委員會主政</w:t>
      </w:r>
      <w:proofErr w:type="gramStart"/>
      <w:r w:rsidR="004A5EDD" w:rsidRPr="00A86E2C">
        <w:rPr>
          <w:rFonts w:ascii="標楷體" w:eastAsia="標楷體" w:hAnsi="標楷體" w:cstheme="minorBidi" w:hint="eastAsia"/>
          <w:snapToGrid w:val="0"/>
          <w:kern w:val="0"/>
          <w:szCs w:val="24"/>
        </w:rPr>
        <w:t>）</w:t>
      </w:r>
      <w:proofErr w:type="gramEnd"/>
      <w:r w:rsidR="004A5EDD" w:rsidRPr="00A86E2C">
        <w:rPr>
          <w:rFonts w:ascii="標楷體" w:eastAsia="標楷體" w:hAnsi="標楷體" w:cstheme="minorBidi" w:hint="eastAsia"/>
          <w:snapToGrid w:val="0"/>
          <w:kern w:val="0"/>
          <w:szCs w:val="24"/>
        </w:rPr>
        <w:t>，篩選2020至2023年執行結果進度落後，須加速推動之關鍵對應指標，尚有8項對應指標已連續2至4年未達標或數據不足</w:t>
      </w:r>
      <w:r w:rsidR="00A20722" w:rsidRPr="00A86E2C">
        <w:rPr>
          <w:rFonts w:ascii="標楷體" w:eastAsia="標楷體" w:hAnsi="標楷體" w:cstheme="minorBidi" w:hint="eastAsia"/>
          <w:snapToGrid w:val="0"/>
          <w:kern w:val="0"/>
          <w:szCs w:val="24"/>
        </w:rPr>
        <w:t>（</w:t>
      </w:r>
      <w:r w:rsidR="004A5EDD" w:rsidRPr="00A86E2C">
        <w:rPr>
          <w:rFonts w:ascii="標楷體" w:eastAsia="標楷體" w:hAnsi="標楷體" w:cstheme="minorBidi" w:hint="eastAsia"/>
          <w:snapToGrid w:val="0"/>
          <w:kern w:val="0"/>
          <w:szCs w:val="24"/>
        </w:rPr>
        <w:t>表</w:t>
      </w:r>
      <w:r w:rsidR="001D48F6" w:rsidRPr="00A86E2C">
        <w:rPr>
          <w:rFonts w:ascii="標楷體" w:eastAsia="標楷體" w:hAnsi="標楷體" w:cstheme="minorBidi" w:hint="eastAsia"/>
          <w:snapToGrid w:val="0"/>
          <w:kern w:val="0"/>
          <w:szCs w:val="24"/>
        </w:rPr>
        <w:t>4</w:t>
      </w:r>
      <w:r w:rsidR="004A5EDD" w:rsidRPr="00A86E2C">
        <w:rPr>
          <w:rFonts w:ascii="標楷體" w:eastAsia="標楷體" w:hAnsi="標楷體" w:cstheme="minorBidi" w:hint="eastAsia"/>
          <w:snapToGrid w:val="0"/>
          <w:kern w:val="0"/>
          <w:szCs w:val="24"/>
        </w:rPr>
        <w:t>），其中由衛生福利部主辦者3項</w:t>
      </w:r>
      <w:r w:rsidR="00A20722" w:rsidRPr="00A86E2C">
        <w:rPr>
          <w:rFonts w:ascii="標楷體" w:eastAsia="標楷體" w:hAnsi="標楷體" w:cstheme="minorBidi" w:hint="eastAsia"/>
          <w:snapToGrid w:val="0"/>
          <w:kern w:val="0"/>
          <w:szCs w:val="24"/>
        </w:rPr>
        <w:t>（</w:t>
      </w:r>
      <w:r w:rsidR="004A5EDD" w:rsidRPr="00A86E2C">
        <w:rPr>
          <w:rFonts w:ascii="標楷體" w:eastAsia="標楷體" w:hAnsi="標楷體" w:cstheme="minorBidi" w:hint="eastAsia"/>
          <w:snapToGrid w:val="0"/>
          <w:kern w:val="0"/>
          <w:szCs w:val="24"/>
        </w:rPr>
        <w:t>1.3.5、1.3.8、4.2.1）、教育部主辦者2項（4.5.6、4.5.7）、原住民族委員會主辦者1項（1.3.12）、經濟部主辦者1項（8.2.1）及國家發展委員會主辦者1項（10.4.2），各該核心目標之主政部會尚未</w:t>
      </w:r>
      <w:proofErr w:type="gramStart"/>
      <w:r w:rsidR="004A5EDD" w:rsidRPr="00A86E2C">
        <w:rPr>
          <w:rFonts w:ascii="標楷體" w:eastAsia="標楷體" w:hAnsi="標楷體" w:cstheme="minorBidi" w:hint="eastAsia"/>
          <w:snapToGrid w:val="0"/>
          <w:kern w:val="0"/>
          <w:szCs w:val="24"/>
        </w:rPr>
        <w:t>洽</w:t>
      </w:r>
      <w:proofErr w:type="gramEnd"/>
      <w:r w:rsidR="004A5EDD" w:rsidRPr="00A86E2C">
        <w:rPr>
          <w:rFonts w:ascii="標楷體" w:eastAsia="標楷體" w:hAnsi="標楷體" w:cstheme="minorBidi" w:hint="eastAsia"/>
          <w:snapToGrid w:val="0"/>
          <w:kern w:val="0"/>
          <w:szCs w:val="24"/>
        </w:rPr>
        <w:t>相關主（協）辦機關積極</w:t>
      </w:r>
      <w:proofErr w:type="gramStart"/>
      <w:r w:rsidR="004A5EDD" w:rsidRPr="00A86E2C">
        <w:rPr>
          <w:rFonts w:ascii="標楷體" w:eastAsia="標楷體" w:hAnsi="標楷體" w:cstheme="minorBidi" w:hint="eastAsia"/>
          <w:snapToGrid w:val="0"/>
          <w:kern w:val="0"/>
          <w:szCs w:val="24"/>
        </w:rPr>
        <w:t>研提精</w:t>
      </w:r>
      <w:proofErr w:type="gramEnd"/>
      <w:r w:rsidR="004A5EDD" w:rsidRPr="00A86E2C">
        <w:rPr>
          <w:rFonts w:ascii="標楷體" w:eastAsia="標楷體" w:hAnsi="標楷體" w:cstheme="minorBidi" w:hint="eastAsia"/>
          <w:snapToGrid w:val="0"/>
          <w:kern w:val="0"/>
          <w:szCs w:val="24"/>
        </w:rPr>
        <w:t>進作法加強推動，並</w:t>
      </w:r>
      <w:r w:rsidR="004A5EDD" w:rsidRPr="00A86E2C">
        <w:rPr>
          <w:rFonts w:ascii="標楷體" w:eastAsia="標楷體" w:hAnsi="標楷體" w:cstheme="minorBidi" w:hint="eastAsia"/>
          <w:snapToGrid w:val="0"/>
          <w:kern w:val="0"/>
          <w:szCs w:val="24"/>
        </w:rPr>
        <w:lastRenderedPageBreak/>
        <w:t>具體標示出與改善所得分配相關之關鍵對應指標</w:t>
      </w:r>
      <w:r w:rsidR="004A5EDD" w:rsidRPr="00A86E2C">
        <w:rPr>
          <w:rFonts w:ascii="標楷體" w:eastAsia="標楷體" w:hAnsi="標楷體" w:cstheme="minorBidi" w:hint="eastAsia"/>
          <w:snapToGrid w:val="0"/>
          <w:kern w:val="0"/>
          <w:szCs w:val="18"/>
        </w:rPr>
        <w:t>項目，由永</w:t>
      </w:r>
      <w:proofErr w:type="gramStart"/>
      <w:r w:rsidR="004A5EDD" w:rsidRPr="00A86E2C">
        <w:rPr>
          <w:rFonts w:ascii="標楷體" w:eastAsia="標楷體" w:hAnsi="標楷體" w:cstheme="minorBidi" w:hint="eastAsia"/>
          <w:snapToGrid w:val="0"/>
          <w:kern w:val="0"/>
          <w:szCs w:val="18"/>
        </w:rPr>
        <w:t>續會作整體性</w:t>
      </w:r>
      <w:proofErr w:type="gramEnd"/>
      <w:r w:rsidR="004A5EDD" w:rsidRPr="00A86E2C">
        <w:rPr>
          <w:rFonts w:ascii="標楷體" w:eastAsia="標楷體" w:hAnsi="標楷體" w:cstheme="minorBidi" w:hint="eastAsia"/>
          <w:snapToGrid w:val="0"/>
          <w:kern w:val="0"/>
          <w:szCs w:val="18"/>
        </w:rPr>
        <w:t>監測追蹤執行進展，允宜強化管考機制，以利適時檢討調整相關措施及評估政策綜效。</w:t>
      </w:r>
    </w:p>
    <w:p w14:paraId="44506B4F" w14:textId="60154FB3" w:rsidR="004A5EDD" w:rsidRPr="004A5EDD" w:rsidRDefault="00925A63" w:rsidP="004E767A">
      <w:pPr>
        <w:overflowPunct w:val="0"/>
        <w:spacing w:line="420" w:lineRule="exact"/>
        <w:ind w:firstLineChars="450" w:firstLine="1080"/>
        <w:jc w:val="both"/>
        <w:rPr>
          <w:rFonts w:ascii="標楷體" w:eastAsia="標楷體" w:hAnsi="標楷體" w:cstheme="minorBidi"/>
          <w:b/>
          <w:bCs/>
          <w:snapToGrid w:val="0"/>
          <w:kern w:val="0"/>
          <w:sz w:val="28"/>
          <w:szCs w:val="28"/>
        </w:rPr>
      </w:pPr>
      <w:r w:rsidRPr="004A5EDD">
        <w:rPr>
          <w:rFonts w:ascii="標楷體" w:eastAsia="標楷體" w:hAnsi="標楷體" w:cstheme="minorBidi" w:hint="eastAsia"/>
          <w:noProof/>
          <w:snapToGrid w:val="0"/>
          <w:kern w:val="0"/>
          <w:szCs w:val="24"/>
        </w:rPr>
        <mc:AlternateContent>
          <mc:Choice Requires="wps">
            <w:drawing>
              <wp:anchor distT="0" distB="0" distL="114300" distR="114300" simplePos="0" relativeHeight="251666432" behindDoc="1" locked="0" layoutInCell="1" allowOverlap="1" wp14:anchorId="372BF712" wp14:editId="077786FE">
                <wp:simplePos x="0" y="0"/>
                <wp:positionH relativeFrom="margin">
                  <wp:posOffset>-112395</wp:posOffset>
                </wp:positionH>
                <wp:positionV relativeFrom="paragraph">
                  <wp:posOffset>2704465</wp:posOffset>
                </wp:positionV>
                <wp:extent cx="6417310" cy="3962400"/>
                <wp:effectExtent l="0" t="0" r="0" b="0"/>
                <wp:wrapTight wrapText="bothSides">
                  <wp:wrapPolygon edited="0">
                    <wp:start x="192" y="0"/>
                    <wp:lineTo x="192" y="21496"/>
                    <wp:lineTo x="21352" y="21496"/>
                    <wp:lineTo x="21352" y="0"/>
                    <wp:lineTo x="192" y="0"/>
                  </wp:wrapPolygon>
                </wp:wrapTight>
                <wp:docPr id="1819561755" name="文字方塊 1819561755"/>
                <wp:cNvGraphicFramePr/>
                <a:graphic xmlns:a="http://schemas.openxmlformats.org/drawingml/2006/main">
                  <a:graphicData uri="http://schemas.microsoft.com/office/word/2010/wordprocessingShape">
                    <wps:wsp>
                      <wps:cNvSpPr txBox="1"/>
                      <wps:spPr>
                        <a:xfrm>
                          <a:off x="0" y="0"/>
                          <a:ext cx="6417310" cy="3962400"/>
                        </a:xfrm>
                        <a:prstGeom prst="rect">
                          <a:avLst/>
                        </a:prstGeom>
                        <a:noFill/>
                        <a:ln w="6350">
                          <a:noFill/>
                        </a:ln>
                      </wps:spPr>
                      <wps:txbx>
                        <w:txbxContent>
                          <w:p w14:paraId="182736F5" w14:textId="0EB5FEA2" w:rsidR="004A5EDD" w:rsidRPr="00400ABE" w:rsidRDefault="004A5EDD" w:rsidP="004A5EDD">
                            <w:pPr>
                              <w:spacing w:afterLines="10" w:after="36" w:line="300" w:lineRule="exact"/>
                              <w:ind w:leftChars="295" w:left="708"/>
                              <w:jc w:val="center"/>
                              <w:rPr>
                                <w:rFonts w:ascii="標楷體" w:eastAsia="標楷體" w:hAnsi="標楷體" w:cs="新細明體"/>
                                <w:b/>
                                <w:bCs/>
                                <w:color w:val="000000"/>
                                <w:spacing w:val="-4"/>
                                <w:kern w:val="0"/>
                                <w:szCs w:val="28"/>
                              </w:rPr>
                            </w:pPr>
                            <w:r w:rsidRPr="00400ABE">
                              <w:rPr>
                                <w:rFonts w:ascii="標楷體" w:eastAsia="標楷體" w:hAnsi="標楷體" w:cs="新細明體" w:hint="eastAsia"/>
                                <w:b/>
                                <w:bCs/>
                                <w:color w:val="000000"/>
                                <w:spacing w:val="-4"/>
                                <w:kern w:val="0"/>
                                <w:szCs w:val="28"/>
                              </w:rPr>
                              <w:t>表</w:t>
                            </w:r>
                            <w:r w:rsidR="00A8531F">
                              <w:rPr>
                                <w:rFonts w:ascii="標楷體" w:eastAsia="標楷體" w:hAnsi="標楷體" w:cs="新細明體"/>
                                <w:b/>
                                <w:bCs/>
                                <w:color w:val="000000"/>
                                <w:spacing w:val="-4"/>
                                <w:kern w:val="0"/>
                                <w:szCs w:val="28"/>
                              </w:rPr>
                              <w:t>5</w:t>
                            </w:r>
                            <w:r w:rsidRPr="00400ABE">
                              <w:rPr>
                                <w:rFonts w:ascii="標楷體" w:eastAsia="標楷體" w:hAnsi="標楷體" w:cs="新細明體" w:hint="eastAsia"/>
                                <w:b/>
                                <w:bCs/>
                                <w:color w:val="000000"/>
                                <w:spacing w:val="-4"/>
                                <w:kern w:val="0"/>
                                <w:szCs w:val="28"/>
                              </w:rPr>
                              <w:t xml:space="preserve">　臺灣永續發展目標與改善所得分配相關之對應指標目標值不具挑戰性情形</w:t>
                            </w:r>
                          </w:p>
                          <w:tbl>
                            <w:tblPr>
                              <w:tblStyle w:val="SGSTableBasic11"/>
                              <w:tblW w:w="9829" w:type="dxa"/>
                              <w:jc w:val="right"/>
                              <w:tblLayout w:type="fixed"/>
                              <w:tblLook w:val="04A0" w:firstRow="1" w:lastRow="0" w:firstColumn="1" w:lastColumn="0" w:noHBand="0" w:noVBand="1"/>
                            </w:tblPr>
                            <w:tblGrid>
                              <w:gridCol w:w="704"/>
                              <w:gridCol w:w="2775"/>
                              <w:gridCol w:w="1761"/>
                              <w:gridCol w:w="1418"/>
                              <w:gridCol w:w="1417"/>
                              <w:gridCol w:w="1754"/>
                            </w:tblGrid>
                            <w:tr w:rsidR="004A5EDD" w:rsidRPr="00DF3471" w14:paraId="30067115" w14:textId="77777777" w:rsidTr="00070494">
                              <w:trPr>
                                <w:jc w:val="right"/>
                              </w:trPr>
                              <w:tc>
                                <w:tcPr>
                                  <w:tcW w:w="704" w:type="dxa"/>
                                  <w:vAlign w:val="center"/>
                                </w:tcPr>
                                <w:p w14:paraId="33740389"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核心</w:t>
                                  </w:r>
                                </w:p>
                                <w:p w14:paraId="04B870E5"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目標</w:t>
                                  </w:r>
                                </w:p>
                              </w:tc>
                              <w:tc>
                                <w:tcPr>
                                  <w:tcW w:w="2775" w:type="dxa"/>
                                  <w:vAlign w:val="center"/>
                                </w:tcPr>
                                <w:p w14:paraId="32CFB7AA"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對應指標</w:t>
                                  </w:r>
                                </w:p>
                              </w:tc>
                              <w:tc>
                                <w:tcPr>
                                  <w:tcW w:w="1761" w:type="dxa"/>
                                  <w:shd w:val="clear" w:color="auto" w:fill="EEEEEE"/>
                                  <w:vAlign w:val="center"/>
                                </w:tcPr>
                                <w:p w14:paraId="65C5D09E" w14:textId="77777777" w:rsidR="004A5EDD" w:rsidRPr="00F615A0" w:rsidRDefault="004A5EDD" w:rsidP="00EB57BC">
                                  <w:pPr>
                                    <w:widowControl/>
                                    <w:spacing w:line="220" w:lineRule="exact"/>
                                    <w:jc w:val="center"/>
                                    <w:rPr>
                                      <w:rFonts w:ascii="標楷體" w:eastAsia="標楷體" w:hAnsi="標楷體"/>
                                      <w:bCs/>
                                      <w:snapToGrid w:val="0"/>
                                      <w:spacing w:val="-10"/>
                                      <w:kern w:val="0"/>
                                      <w:sz w:val="20"/>
                                      <w:szCs w:val="20"/>
                                    </w:rPr>
                                  </w:pPr>
                                  <w:r w:rsidRPr="00F615A0">
                                    <w:rPr>
                                      <w:rFonts w:ascii="標楷體" w:eastAsia="標楷體" w:hAnsi="標楷體" w:hint="eastAsia"/>
                                      <w:bCs/>
                                      <w:snapToGrid w:val="0"/>
                                      <w:spacing w:val="-10"/>
                                      <w:kern w:val="0"/>
                                      <w:sz w:val="20"/>
                                      <w:szCs w:val="20"/>
                                    </w:rPr>
                                    <w:t>截至</w:t>
                                  </w:r>
                                  <w:r w:rsidRPr="00F615A0">
                                    <w:rPr>
                                      <w:rFonts w:ascii="標楷體" w:eastAsia="標楷體" w:hAnsi="標楷體"/>
                                      <w:bCs/>
                                      <w:snapToGrid w:val="0"/>
                                      <w:spacing w:val="-10"/>
                                      <w:kern w:val="0"/>
                                      <w:sz w:val="20"/>
                                      <w:szCs w:val="20"/>
                                    </w:rPr>
                                    <w:t>2021</w:t>
                                  </w:r>
                                  <w:r w:rsidRPr="00F615A0">
                                    <w:rPr>
                                      <w:rFonts w:ascii="標楷體" w:eastAsia="標楷體" w:hAnsi="標楷體" w:hint="eastAsia"/>
                                      <w:bCs/>
                                      <w:snapToGrid w:val="0"/>
                                      <w:spacing w:val="-10"/>
                                      <w:kern w:val="0"/>
                                      <w:sz w:val="20"/>
                                      <w:szCs w:val="20"/>
                                    </w:rPr>
                                    <w:t>年</w:t>
                                  </w:r>
                                </w:p>
                                <w:p w14:paraId="70E131C2"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bCs/>
                                      <w:snapToGrid w:val="0"/>
                                      <w:spacing w:val="-10"/>
                                      <w:kern w:val="0"/>
                                      <w:sz w:val="20"/>
                                      <w:szCs w:val="20"/>
                                    </w:rPr>
                                    <w:t>現況值</w:t>
                                  </w:r>
                                </w:p>
                              </w:tc>
                              <w:tc>
                                <w:tcPr>
                                  <w:tcW w:w="1418" w:type="dxa"/>
                                  <w:vAlign w:val="center"/>
                                </w:tcPr>
                                <w:p w14:paraId="0A3EE30E"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2025年</w:t>
                                  </w:r>
                                </w:p>
                                <w:p w14:paraId="29994211"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目標</w:t>
                                  </w:r>
                                </w:p>
                              </w:tc>
                              <w:tc>
                                <w:tcPr>
                                  <w:tcW w:w="1417" w:type="dxa"/>
                                  <w:vAlign w:val="center"/>
                                </w:tcPr>
                                <w:p w14:paraId="77883F91"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2030年</w:t>
                                  </w:r>
                                </w:p>
                                <w:p w14:paraId="40FBA320"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目標</w:t>
                                  </w:r>
                                </w:p>
                              </w:tc>
                              <w:tc>
                                <w:tcPr>
                                  <w:tcW w:w="1754" w:type="dxa"/>
                                  <w:vAlign w:val="center"/>
                                </w:tcPr>
                                <w:p w14:paraId="10ADC96F" w14:textId="77777777" w:rsidR="004A5EDD" w:rsidRPr="00F615A0" w:rsidRDefault="004A5EDD" w:rsidP="00EB57BC">
                                  <w:pPr>
                                    <w:widowControl/>
                                    <w:spacing w:line="220" w:lineRule="exact"/>
                                    <w:jc w:val="center"/>
                                    <w:rPr>
                                      <w:rFonts w:ascii="標楷體" w:eastAsia="標楷體" w:hAnsi="標楷體"/>
                                      <w:snapToGrid w:val="0"/>
                                      <w:spacing w:val="-14"/>
                                      <w:kern w:val="0"/>
                                      <w:sz w:val="20"/>
                                      <w:szCs w:val="20"/>
                                    </w:rPr>
                                  </w:pPr>
                                  <w:r w:rsidRPr="00F615A0">
                                    <w:rPr>
                                      <w:rFonts w:ascii="標楷體" w:eastAsia="標楷體" w:hAnsi="標楷體" w:hint="eastAsia"/>
                                      <w:snapToGrid w:val="0"/>
                                      <w:spacing w:val="-14"/>
                                      <w:kern w:val="0"/>
                                      <w:sz w:val="20"/>
                                      <w:szCs w:val="20"/>
                                    </w:rPr>
                                    <w:t>主(協)辦</w:t>
                                  </w:r>
                                </w:p>
                                <w:p w14:paraId="761573C0" w14:textId="77777777" w:rsidR="004A5EDD" w:rsidRPr="00F615A0" w:rsidRDefault="004A5EDD" w:rsidP="00EB57BC">
                                  <w:pPr>
                                    <w:widowControl/>
                                    <w:spacing w:line="220" w:lineRule="exact"/>
                                    <w:jc w:val="center"/>
                                    <w:rPr>
                                      <w:rFonts w:ascii="標楷體" w:eastAsia="標楷體" w:hAnsi="標楷體"/>
                                      <w:snapToGrid w:val="0"/>
                                      <w:spacing w:val="-14"/>
                                      <w:kern w:val="0"/>
                                      <w:sz w:val="20"/>
                                      <w:szCs w:val="20"/>
                                    </w:rPr>
                                  </w:pPr>
                                  <w:r w:rsidRPr="00F615A0">
                                    <w:rPr>
                                      <w:rFonts w:ascii="標楷體" w:eastAsia="標楷體" w:hAnsi="標楷體" w:hint="eastAsia"/>
                                      <w:snapToGrid w:val="0"/>
                                      <w:spacing w:val="-14"/>
                                      <w:kern w:val="0"/>
                                      <w:sz w:val="20"/>
                                      <w:szCs w:val="20"/>
                                    </w:rPr>
                                    <w:t>機關</w:t>
                                  </w:r>
                                </w:p>
                              </w:tc>
                            </w:tr>
                            <w:tr w:rsidR="004A5EDD" w:rsidRPr="009A47FD" w14:paraId="0CDF504B" w14:textId="77777777" w:rsidTr="00070494">
                              <w:trPr>
                                <w:jc w:val="right"/>
                              </w:trPr>
                              <w:tc>
                                <w:tcPr>
                                  <w:tcW w:w="704" w:type="dxa"/>
                                  <w:vMerge w:val="restart"/>
                                  <w:vAlign w:val="center"/>
                                </w:tcPr>
                                <w:p w14:paraId="022CEE80"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SDG1</w:t>
                                  </w:r>
                                </w:p>
                              </w:tc>
                              <w:tc>
                                <w:tcPr>
                                  <w:tcW w:w="2775" w:type="dxa"/>
                                  <w:vAlign w:val="center"/>
                                </w:tcPr>
                                <w:p w14:paraId="10C65D00" w14:textId="77777777" w:rsidR="004A5EDD" w:rsidRPr="00070494" w:rsidRDefault="004A5EDD" w:rsidP="00070494">
                                  <w:pPr>
                                    <w:widowControl/>
                                    <w:spacing w:line="260" w:lineRule="exact"/>
                                    <w:ind w:rightChars="-80" w:right="-192"/>
                                    <w:jc w:val="both"/>
                                    <w:rPr>
                                      <w:rFonts w:ascii="標楷體" w:eastAsia="標楷體" w:hAnsi="標楷體"/>
                                      <w:snapToGrid w:val="0"/>
                                      <w:spacing w:val="-15"/>
                                      <w:kern w:val="0"/>
                                      <w:sz w:val="20"/>
                                      <w:szCs w:val="20"/>
                                    </w:rPr>
                                  </w:pPr>
                                  <w:r w:rsidRPr="00070494">
                                    <w:rPr>
                                      <w:rFonts w:ascii="標楷體" w:eastAsia="標楷體" w:hAnsi="標楷體" w:hint="eastAsia"/>
                                      <w:snapToGrid w:val="0"/>
                                      <w:spacing w:val="-15"/>
                                      <w:kern w:val="0"/>
                                      <w:sz w:val="20"/>
                                      <w:szCs w:val="20"/>
                                    </w:rPr>
                                    <w:t>1.1.1：提升經濟弱勢人口自立比率</w:t>
                                  </w:r>
                                </w:p>
                              </w:tc>
                              <w:tc>
                                <w:tcPr>
                                  <w:tcW w:w="1761" w:type="dxa"/>
                                  <w:shd w:val="clear" w:color="auto" w:fill="EEEEEE"/>
                                  <w:vAlign w:val="center"/>
                                </w:tcPr>
                                <w:p w14:paraId="24EA7AD5"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14.25％</w:t>
                                  </w:r>
                                </w:p>
                              </w:tc>
                              <w:tc>
                                <w:tcPr>
                                  <w:tcW w:w="1418" w:type="dxa"/>
                                  <w:vAlign w:val="center"/>
                                </w:tcPr>
                                <w:p w14:paraId="5276FFD7"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9％</w:t>
                                  </w:r>
                                </w:p>
                              </w:tc>
                              <w:tc>
                                <w:tcPr>
                                  <w:tcW w:w="1417" w:type="dxa"/>
                                  <w:vAlign w:val="center"/>
                                </w:tcPr>
                                <w:p w14:paraId="3A41B95E"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11％</w:t>
                                  </w:r>
                                </w:p>
                              </w:tc>
                              <w:tc>
                                <w:tcPr>
                                  <w:tcW w:w="1754" w:type="dxa"/>
                                  <w:vMerge w:val="restart"/>
                                  <w:vAlign w:val="center"/>
                                </w:tcPr>
                                <w:p w14:paraId="067111F6" w14:textId="77777777" w:rsidR="004A5EDD"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衛生</w:t>
                                  </w:r>
                                </w:p>
                                <w:p w14:paraId="3ACAB06E"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福利部</w:t>
                                  </w:r>
                                </w:p>
                              </w:tc>
                            </w:tr>
                            <w:tr w:rsidR="004A5EDD" w:rsidRPr="009A47FD" w14:paraId="51F5B412" w14:textId="77777777" w:rsidTr="00070494">
                              <w:trPr>
                                <w:jc w:val="right"/>
                              </w:trPr>
                              <w:tc>
                                <w:tcPr>
                                  <w:tcW w:w="704" w:type="dxa"/>
                                  <w:vMerge/>
                                  <w:vAlign w:val="center"/>
                                </w:tcPr>
                                <w:p w14:paraId="6E180909"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p>
                              </w:tc>
                              <w:tc>
                                <w:tcPr>
                                  <w:tcW w:w="2775" w:type="dxa"/>
                                  <w:vAlign w:val="center"/>
                                </w:tcPr>
                                <w:p w14:paraId="2B1F9C86"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1.2.1</w:t>
                                  </w:r>
                                  <w:r w:rsidRPr="00A03547">
                                    <w:rPr>
                                      <w:rFonts w:ascii="標楷體" w:eastAsia="標楷體" w:hAnsi="標楷體" w:hint="eastAsia"/>
                                      <w:snapToGrid w:val="0"/>
                                      <w:kern w:val="0"/>
                                      <w:sz w:val="20"/>
                                      <w:szCs w:val="20"/>
                                    </w:rPr>
                                    <w:t>：低收入戶男性、女性、兒童減少比率</w:t>
                                  </w:r>
                                </w:p>
                              </w:tc>
                              <w:tc>
                                <w:tcPr>
                                  <w:tcW w:w="1761" w:type="dxa"/>
                                  <w:shd w:val="clear" w:color="auto" w:fill="EEEEEE"/>
                                  <w:vAlign w:val="center"/>
                                </w:tcPr>
                                <w:p w14:paraId="76C49D10"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4.58％、9.14％、</w:t>
                                  </w:r>
                                </w:p>
                                <w:p w14:paraId="6FCA6D97"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17.42％</w:t>
                                  </w:r>
                                </w:p>
                              </w:tc>
                              <w:tc>
                                <w:tcPr>
                                  <w:tcW w:w="1418" w:type="dxa"/>
                                  <w:vAlign w:val="center"/>
                                </w:tcPr>
                                <w:p w14:paraId="43DB2095" w14:textId="77777777" w:rsidR="004A5EDD" w:rsidRPr="00230211" w:rsidRDefault="004A5EDD" w:rsidP="00EB57BC">
                                  <w:pPr>
                                    <w:widowControl/>
                                    <w:spacing w:line="220" w:lineRule="exact"/>
                                    <w:jc w:val="center"/>
                                    <w:rPr>
                                      <w:rFonts w:ascii="標楷體" w:eastAsia="標楷體" w:hAnsi="標楷體"/>
                                      <w:snapToGrid w:val="0"/>
                                      <w:spacing w:val="-18"/>
                                      <w:kern w:val="0"/>
                                      <w:sz w:val="20"/>
                                      <w:szCs w:val="20"/>
                                    </w:rPr>
                                  </w:pPr>
                                  <w:r w:rsidRPr="00230211">
                                    <w:rPr>
                                      <w:rFonts w:ascii="標楷體" w:eastAsia="標楷體" w:hAnsi="標楷體" w:hint="eastAsia"/>
                                      <w:snapToGrid w:val="0"/>
                                      <w:spacing w:val="-18"/>
                                      <w:kern w:val="0"/>
                                      <w:sz w:val="20"/>
                                      <w:szCs w:val="20"/>
                                    </w:rPr>
                                    <w:t>3.5％、4.5％、</w:t>
                                  </w:r>
                                </w:p>
                                <w:p w14:paraId="487DCF2B"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6.75％</w:t>
                                  </w:r>
                                </w:p>
                              </w:tc>
                              <w:tc>
                                <w:tcPr>
                                  <w:tcW w:w="1417" w:type="dxa"/>
                                  <w:vAlign w:val="center"/>
                                </w:tcPr>
                                <w:p w14:paraId="1D8172B3"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4％、5％、</w:t>
                                  </w:r>
                                </w:p>
                                <w:p w14:paraId="0A19FAD9"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7.5％</w:t>
                                  </w:r>
                                </w:p>
                              </w:tc>
                              <w:tc>
                                <w:tcPr>
                                  <w:tcW w:w="1754" w:type="dxa"/>
                                  <w:vMerge/>
                                  <w:vAlign w:val="center"/>
                                </w:tcPr>
                                <w:p w14:paraId="21B904B1"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p>
                              </w:tc>
                            </w:tr>
                            <w:tr w:rsidR="004A5EDD" w:rsidRPr="009A47FD" w14:paraId="475C9545" w14:textId="77777777" w:rsidTr="00070494">
                              <w:trPr>
                                <w:jc w:val="right"/>
                              </w:trPr>
                              <w:tc>
                                <w:tcPr>
                                  <w:tcW w:w="704" w:type="dxa"/>
                                  <w:vMerge/>
                                  <w:vAlign w:val="center"/>
                                </w:tcPr>
                                <w:p w14:paraId="5A09F21A"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p>
                              </w:tc>
                              <w:tc>
                                <w:tcPr>
                                  <w:tcW w:w="2775" w:type="dxa"/>
                                  <w:vAlign w:val="center"/>
                                </w:tcPr>
                                <w:p w14:paraId="4A99A7EF"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1.3.6</w:t>
                                  </w:r>
                                  <w:r w:rsidRPr="00A03547">
                                    <w:rPr>
                                      <w:rFonts w:ascii="標楷體" w:eastAsia="標楷體" w:hAnsi="標楷體" w:hint="eastAsia"/>
                                      <w:snapToGrid w:val="0"/>
                                      <w:kern w:val="0"/>
                                      <w:sz w:val="20"/>
                                      <w:szCs w:val="20"/>
                                    </w:rPr>
                                    <w:t>：低收入戶、中低收入戶照顧人口占總人口比率</w:t>
                                  </w:r>
                                </w:p>
                              </w:tc>
                              <w:tc>
                                <w:tcPr>
                                  <w:tcW w:w="1761" w:type="dxa"/>
                                  <w:shd w:val="clear" w:color="auto" w:fill="EEEEEE"/>
                                  <w:vAlign w:val="center"/>
                                </w:tcPr>
                                <w:p w14:paraId="03CC6986"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2.6％</w:t>
                                  </w:r>
                                </w:p>
                              </w:tc>
                              <w:tc>
                                <w:tcPr>
                                  <w:tcW w:w="1418" w:type="dxa"/>
                                  <w:vAlign w:val="center"/>
                                </w:tcPr>
                                <w:p w14:paraId="53F8EA28"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小於</w:t>
                                  </w:r>
                                  <w:r w:rsidRPr="00230211">
                                    <w:rPr>
                                      <w:rFonts w:ascii="標楷體" w:eastAsia="標楷體" w:hAnsi="標楷體"/>
                                      <w:snapToGrid w:val="0"/>
                                      <w:kern w:val="0"/>
                                      <w:sz w:val="20"/>
                                      <w:szCs w:val="20"/>
                                    </w:rPr>
                                    <w:t>2.9％</w:t>
                                  </w:r>
                                </w:p>
                              </w:tc>
                              <w:tc>
                                <w:tcPr>
                                  <w:tcW w:w="1417" w:type="dxa"/>
                                  <w:vAlign w:val="center"/>
                                </w:tcPr>
                                <w:p w14:paraId="0F3BEE61"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小於</w:t>
                                  </w:r>
                                  <w:r w:rsidRPr="00230211">
                                    <w:rPr>
                                      <w:rFonts w:ascii="標楷體" w:eastAsia="標楷體" w:hAnsi="標楷體"/>
                                      <w:snapToGrid w:val="0"/>
                                      <w:kern w:val="0"/>
                                      <w:sz w:val="20"/>
                                      <w:szCs w:val="20"/>
                                    </w:rPr>
                                    <w:t>2.9％</w:t>
                                  </w:r>
                                </w:p>
                              </w:tc>
                              <w:tc>
                                <w:tcPr>
                                  <w:tcW w:w="1754" w:type="dxa"/>
                                  <w:vMerge/>
                                  <w:vAlign w:val="center"/>
                                </w:tcPr>
                                <w:p w14:paraId="0934BDA8"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p>
                              </w:tc>
                            </w:tr>
                            <w:tr w:rsidR="004A5EDD" w:rsidRPr="009A47FD" w14:paraId="50265A17" w14:textId="77777777" w:rsidTr="00070494">
                              <w:trPr>
                                <w:jc w:val="right"/>
                              </w:trPr>
                              <w:tc>
                                <w:tcPr>
                                  <w:tcW w:w="704" w:type="dxa"/>
                                  <w:vMerge/>
                                  <w:vAlign w:val="center"/>
                                </w:tcPr>
                                <w:p w14:paraId="45D75D9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p>
                              </w:tc>
                              <w:tc>
                                <w:tcPr>
                                  <w:tcW w:w="2775" w:type="dxa"/>
                                  <w:vAlign w:val="center"/>
                                </w:tcPr>
                                <w:p w14:paraId="722E6EC7"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hint="eastAsia"/>
                                      <w:snapToGrid w:val="0"/>
                                      <w:kern w:val="0"/>
                                      <w:sz w:val="20"/>
                                      <w:szCs w:val="20"/>
                                    </w:rPr>
                                    <w:t>1.a.1：參加脫貧自立方案及就業的人數</w:t>
                                  </w:r>
                                </w:p>
                              </w:tc>
                              <w:tc>
                                <w:tcPr>
                                  <w:tcW w:w="1761" w:type="dxa"/>
                                  <w:shd w:val="clear" w:color="auto" w:fill="EEEEEE"/>
                                  <w:vAlign w:val="center"/>
                                </w:tcPr>
                                <w:p w14:paraId="7A5CAAF8"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15,549人次</w:t>
                                  </w:r>
                                </w:p>
                              </w:tc>
                              <w:tc>
                                <w:tcPr>
                                  <w:tcW w:w="1418" w:type="dxa"/>
                                  <w:vAlign w:val="center"/>
                                </w:tcPr>
                                <w:p w14:paraId="5017F4D6"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4,500人次</w:t>
                                  </w:r>
                                </w:p>
                              </w:tc>
                              <w:tc>
                                <w:tcPr>
                                  <w:tcW w:w="1417" w:type="dxa"/>
                                  <w:vAlign w:val="center"/>
                                </w:tcPr>
                                <w:p w14:paraId="4218A29D"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6,500人次</w:t>
                                  </w:r>
                                </w:p>
                              </w:tc>
                              <w:tc>
                                <w:tcPr>
                                  <w:tcW w:w="1754" w:type="dxa"/>
                                  <w:vMerge/>
                                  <w:vAlign w:val="center"/>
                                </w:tcPr>
                                <w:p w14:paraId="462337F4"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p>
                              </w:tc>
                            </w:tr>
                            <w:tr w:rsidR="004A5EDD" w:rsidRPr="009A47FD" w14:paraId="716DCD61" w14:textId="77777777" w:rsidTr="00070494">
                              <w:trPr>
                                <w:jc w:val="right"/>
                              </w:trPr>
                              <w:tc>
                                <w:tcPr>
                                  <w:tcW w:w="704" w:type="dxa"/>
                                  <w:shd w:val="clear" w:color="auto" w:fill="FFFFFF" w:themeFill="background1"/>
                                  <w:vAlign w:val="center"/>
                                </w:tcPr>
                                <w:p w14:paraId="6A5B0503"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S</w:t>
                                  </w:r>
                                  <w:r w:rsidRPr="00F615A0">
                                    <w:rPr>
                                      <w:rFonts w:ascii="標楷體" w:eastAsia="標楷體" w:hAnsi="標楷體"/>
                                      <w:snapToGrid w:val="0"/>
                                      <w:spacing w:val="-10"/>
                                      <w:kern w:val="0"/>
                                      <w:sz w:val="20"/>
                                      <w:szCs w:val="20"/>
                                    </w:rPr>
                                    <w:t>DG2</w:t>
                                  </w:r>
                                </w:p>
                              </w:tc>
                              <w:tc>
                                <w:tcPr>
                                  <w:tcW w:w="2775" w:type="dxa"/>
                                  <w:shd w:val="clear" w:color="auto" w:fill="FFFFFF" w:themeFill="background1"/>
                                  <w:vAlign w:val="center"/>
                                </w:tcPr>
                                <w:p w14:paraId="40DC2A11"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hint="eastAsia"/>
                                      <w:snapToGrid w:val="0"/>
                                      <w:kern w:val="0"/>
                                      <w:sz w:val="20"/>
                                      <w:szCs w:val="20"/>
                                    </w:rPr>
                                    <w:t>2.1.4：提供食品及物品予經濟弱勢者受益人次</w:t>
                                  </w:r>
                                </w:p>
                              </w:tc>
                              <w:tc>
                                <w:tcPr>
                                  <w:tcW w:w="1761" w:type="dxa"/>
                                  <w:shd w:val="clear" w:color="auto" w:fill="EEEEEE"/>
                                  <w:vAlign w:val="center"/>
                                </w:tcPr>
                                <w:p w14:paraId="5946B02E"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245萬餘人次</w:t>
                                  </w:r>
                                </w:p>
                              </w:tc>
                              <w:tc>
                                <w:tcPr>
                                  <w:tcW w:w="1418" w:type="dxa"/>
                                  <w:shd w:val="clear" w:color="auto" w:fill="FFFFFF" w:themeFill="background1"/>
                                  <w:vAlign w:val="center"/>
                                </w:tcPr>
                                <w:p w14:paraId="07E1C50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150萬餘人次</w:t>
                                  </w:r>
                                </w:p>
                              </w:tc>
                              <w:tc>
                                <w:tcPr>
                                  <w:tcW w:w="1417" w:type="dxa"/>
                                  <w:shd w:val="clear" w:color="auto" w:fill="FFFFFF" w:themeFill="background1"/>
                                  <w:vAlign w:val="center"/>
                                </w:tcPr>
                                <w:p w14:paraId="7B50821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170萬餘人次</w:t>
                                  </w:r>
                                </w:p>
                              </w:tc>
                              <w:tc>
                                <w:tcPr>
                                  <w:tcW w:w="1754" w:type="dxa"/>
                                  <w:shd w:val="clear" w:color="auto" w:fill="FFFFFF" w:themeFill="background1"/>
                                  <w:vAlign w:val="center"/>
                                </w:tcPr>
                                <w:p w14:paraId="5A9BC9C7" w14:textId="77777777" w:rsidR="004A5EDD"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衛生</w:t>
                                  </w:r>
                                </w:p>
                                <w:p w14:paraId="2598C943"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福利部</w:t>
                                  </w:r>
                                </w:p>
                              </w:tc>
                            </w:tr>
                            <w:tr w:rsidR="004A5EDD" w:rsidRPr="009A47FD" w14:paraId="76DE9281" w14:textId="77777777" w:rsidTr="00070494">
                              <w:trPr>
                                <w:jc w:val="right"/>
                              </w:trPr>
                              <w:tc>
                                <w:tcPr>
                                  <w:tcW w:w="704" w:type="dxa"/>
                                  <w:vAlign w:val="center"/>
                                </w:tcPr>
                                <w:p w14:paraId="1C6CEB5D"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S</w:t>
                                  </w:r>
                                  <w:r w:rsidRPr="00F615A0">
                                    <w:rPr>
                                      <w:rFonts w:ascii="標楷體" w:eastAsia="標楷體" w:hAnsi="標楷體"/>
                                      <w:snapToGrid w:val="0"/>
                                      <w:spacing w:val="-10"/>
                                      <w:kern w:val="0"/>
                                      <w:sz w:val="20"/>
                                      <w:szCs w:val="20"/>
                                    </w:rPr>
                                    <w:t>DG4</w:t>
                                  </w:r>
                                </w:p>
                              </w:tc>
                              <w:tc>
                                <w:tcPr>
                                  <w:tcW w:w="2775" w:type="dxa"/>
                                  <w:vAlign w:val="center"/>
                                </w:tcPr>
                                <w:p w14:paraId="198E22A2"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4.3.2</w:t>
                                  </w:r>
                                  <w:r w:rsidRPr="00A03547">
                                    <w:rPr>
                                      <w:rFonts w:ascii="標楷體" w:eastAsia="標楷體" w:hAnsi="標楷體" w:hint="eastAsia"/>
                                      <w:snapToGrid w:val="0"/>
                                      <w:kern w:val="0"/>
                                      <w:sz w:val="20"/>
                                      <w:szCs w:val="20"/>
                                    </w:rPr>
                                    <w:t>：強化各類助學措施並擴大各項照顧弱勢學生就學措施之辦理成效</w:t>
                                  </w:r>
                                </w:p>
                              </w:tc>
                              <w:tc>
                                <w:tcPr>
                                  <w:tcW w:w="1761" w:type="dxa"/>
                                  <w:shd w:val="clear" w:color="auto" w:fill="EEEEEE"/>
                                  <w:vAlign w:val="center"/>
                                </w:tcPr>
                                <w:p w14:paraId="7CD35E24" w14:textId="77777777" w:rsidR="004A5EDD" w:rsidRPr="00F615A0" w:rsidRDefault="004A5EDD" w:rsidP="00EB57BC">
                                  <w:pPr>
                                    <w:widowControl/>
                                    <w:spacing w:line="220" w:lineRule="exact"/>
                                    <w:jc w:val="both"/>
                                    <w:rPr>
                                      <w:rFonts w:ascii="標楷體" w:eastAsia="標楷體" w:hAnsi="標楷體"/>
                                      <w:snapToGrid w:val="0"/>
                                      <w:spacing w:val="-4"/>
                                      <w:kern w:val="0"/>
                                      <w:sz w:val="20"/>
                                      <w:szCs w:val="20"/>
                                    </w:rPr>
                                  </w:pPr>
                                  <w:r w:rsidRPr="00F615A0">
                                    <w:rPr>
                                      <w:rFonts w:ascii="標楷體" w:eastAsia="標楷體" w:hAnsi="標楷體" w:hint="eastAsia"/>
                                      <w:snapToGrid w:val="0"/>
                                      <w:spacing w:val="-4"/>
                                      <w:kern w:val="0"/>
                                      <w:sz w:val="20"/>
                                      <w:szCs w:val="20"/>
                                    </w:rPr>
                                    <w:t>大專校院、高中職受惠學生比率分別為</w:t>
                                  </w:r>
                                  <w:r w:rsidRPr="00F615A0">
                                    <w:rPr>
                                      <w:rFonts w:ascii="標楷體" w:eastAsia="標楷體" w:hAnsi="標楷體"/>
                                      <w:snapToGrid w:val="0"/>
                                      <w:spacing w:val="-4"/>
                                      <w:kern w:val="0"/>
                                      <w:sz w:val="20"/>
                                      <w:szCs w:val="20"/>
                                    </w:rPr>
                                    <w:t>13.28％</w:t>
                                  </w:r>
                                  <w:r w:rsidRPr="00F615A0">
                                    <w:rPr>
                                      <w:rFonts w:ascii="標楷體" w:eastAsia="標楷體" w:hAnsi="標楷體" w:hint="eastAsia"/>
                                      <w:snapToGrid w:val="0"/>
                                      <w:spacing w:val="-4"/>
                                      <w:kern w:val="0"/>
                                      <w:sz w:val="20"/>
                                      <w:szCs w:val="20"/>
                                    </w:rPr>
                                    <w:t>、</w:t>
                                  </w:r>
                                  <w:r w:rsidRPr="00F615A0">
                                    <w:rPr>
                                      <w:rFonts w:ascii="標楷體" w:eastAsia="標楷體" w:hAnsi="標楷體"/>
                                      <w:snapToGrid w:val="0"/>
                                      <w:spacing w:val="-4"/>
                                      <w:kern w:val="0"/>
                                      <w:sz w:val="20"/>
                                      <w:szCs w:val="20"/>
                                    </w:rPr>
                                    <w:t>29％</w:t>
                                  </w:r>
                                </w:p>
                              </w:tc>
                              <w:tc>
                                <w:tcPr>
                                  <w:tcW w:w="1418" w:type="dxa"/>
                                  <w:vAlign w:val="center"/>
                                </w:tcPr>
                                <w:p w14:paraId="53CF7B3F"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snapToGrid w:val="0"/>
                                      <w:spacing w:val="-10"/>
                                      <w:kern w:val="0"/>
                                      <w:sz w:val="20"/>
                                      <w:szCs w:val="20"/>
                                    </w:rPr>
                                    <w:t>1</w:t>
                                  </w:r>
                                  <w:r w:rsidRPr="00F615A0">
                                    <w:rPr>
                                      <w:rFonts w:ascii="標楷體" w:eastAsia="標楷體" w:hAnsi="標楷體" w:hint="eastAsia"/>
                                      <w:snapToGrid w:val="0"/>
                                      <w:spacing w:val="-10"/>
                                      <w:kern w:val="0"/>
                                      <w:sz w:val="20"/>
                                      <w:szCs w:val="20"/>
                                    </w:rPr>
                                    <w:t>3</w:t>
                                  </w:r>
                                  <w:r w:rsidRPr="00F615A0">
                                    <w:rPr>
                                      <w:rFonts w:ascii="標楷體" w:eastAsia="標楷體" w:hAnsi="標楷體"/>
                                      <w:snapToGrid w:val="0"/>
                                      <w:spacing w:val="-10"/>
                                      <w:kern w:val="0"/>
                                      <w:sz w:val="20"/>
                                      <w:szCs w:val="20"/>
                                    </w:rPr>
                                    <w:t>％</w:t>
                                  </w:r>
                                  <w:r w:rsidRPr="00F615A0">
                                    <w:rPr>
                                      <w:rFonts w:ascii="標楷體" w:eastAsia="標楷體" w:hAnsi="標楷體" w:hint="eastAsia"/>
                                      <w:snapToGrid w:val="0"/>
                                      <w:spacing w:val="-10"/>
                                      <w:kern w:val="0"/>
                                      <w:sz w:val="20"/>
                                      <w:szCs w:val="20"/>
                                    </w:rPr>
                                    <w:t>、5</w:t>
                                  </w:r>
                                  <w:r w:rsidRPr="00F615A0">
                                    <w:rPr>
                                      <w:rFonts w:ascii="標楷體" w:eastAsia="標楷體" w:hAnsi="標楷體"/>
                                      <w:snapToGrid w:val="0"/>
                                      <w:spacing w:val="-10"/>
                                      <w:kern w:val="0"/>
                                      <w:sz w:val="20"/>
                                      <w:szCs w:val="20"/>
                                    </w:rPr>
                                    <w:t>％</w:t>
                                  </w:r>
                                </w:p>
                              </w:tc>
                              <w:tc>
                                <w:tcPr>
                                  <w:tcW w:w="1417" w:type="dxa"/>
                                  <w:vAlign w:val="center"/>
                                </w:tcPr>
                                <w:p w14:paraId="59B7F694"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snapToGrid w:val="0"/>
                                      <w:spacing w:val="-10"/>
                                      <w:kern w:val="0"/>
                                      <w:sz w:val="20"/>
                                      <w:szCs w:val="20"/>
                                    </w:rPr>
                                    <w:t>13</w:t>
                                  </w:r>
                                  <w:r w:rsidRPr="00F615A0">
                                    <w:rPr>
                                      <w:rFonts w:ascii="標楷體" w:eastAsia="標楷體" w:hAnsi="標楷體" w:hint="eastAsia"/>
                                      <w:snapToGrid w:val="0"/>
                                      <w:spacing w:val="-10"/>
                                      <w:kern w:val="0"/>
                                      <w:sz w:val="20"/>
                                      <w:szCs w:val="20"/>
                                    </w:rPr>
                                    <w:t>％、5</w:t>
                                  </w:r>
                                  <w:r w:rsidRPr="00F615A0">
                                    <w:rPr>
                                      <w:rFonts w:ascii="標楷體" w:eastAsia="標楷體" w:hAnsi="標楷體"/>
                                      <w:snapToGrid w:val="0"/>
                                      <w:spacing w:val="-10"/>
                                      <w:kern w:val="0"/>
                                      <w:sz w:val="20"/>
                                      <w:szCs w:val="20"/>
                                    </w:rPr>
                                    <w:t>％</w:t>
                                  </w:r>
                                </w:p>
                              </w:tc>
                              <w:tc>
                                <w:tcPr>
                                  <w:tcW w:w="1754" w:type="dxa"/>
                                  <w:vAlign w:val="center"/>
                                </w:tcPr>
                                <w:p w14:paraId="017B6BAE"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教育部</w:t>
                                  </w:r>
                                </w:p>
                              </w:tc>
                            </w:tr>
                            <w:tr w:rsidR="004A5EDD" w:rsidRPr="009A47FD" w14:paraId="23A343A8" w14:textId="77777777" w:rsidTr="00070494">
                              <w:trPr>
                                <w:jc w:val="right"/>
                              </w:trPr>
                              <w:tc>
                                <w:tcPr>
                                  <w:tcW w:w="704" w:type="dxa"/>
                                  <w:shd w:val="clear" w:color="auto" w:fill="FFFFFF" w:themeFill="background1"/>
                                  <w:vAlign w:val="center"/>
                                </w:tcPr>
                                <w:p w14:paraId="53A743B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snapToGrid w:val="0"/>
                                      <w:spacing w:val="-10"/>
                                      <w:kern w:val="0"/>
                                      <w:sz w:val="20"/>
                                      <w:szCs w:val="20"/>
                                    </w:rPr>
                                    <w:t>SDG8</w:t>
                                  </w:r>
                                </w:p>
                              </w:tc>
                              <w:tc>
                                <w:tcPr>
                                  <w:tcW w:w="2775" w:type="dxa"/>
                                  <w:shd w:val="clear" w:color="auto" w:fill="FFFFFF" w:themeFill="background1"/>
                                  <w:vAlign w:val="center"/>
                                </w:tcPr>
                                <w:p w14:paraId="52DDBB97"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8.1.2</w:t>
                                  </w:r>
                                  <w:r w:rsidRPr="00A03547">
                                    <w:rPr>
                                      <w:rFonts w:ascii="標楷體" w:eastAsia="標楷體" w:hAnsi="標楷體" w:hint="eastAsia"/>
                                      <w:snapToGrid w:val="0"/>
                                      <w:kern w:val="0"/>
                                      <w:sz w:val="20"/>
                                      <w:szCs w:val="20"/>
                                    </w:rPr>
                                    <w:t>：每戶可支配所得吉尼係數(同指標10.4.1)</w:t>
                                  </w:r>
                                </w:p>
                              </w:tc>
                              <w:tc>
                                <w:tcPr>
                                  <w:tcW w:w="1761" w:type="dxa"/>
                                  <w:shd w:val="clear" w:color="auto" w:fill="EEEEEE"/>
                                  <w:vAlign w:val="center"/>
                                </w:tcPr>
                                <w:p w14:paraId="1F727037"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0.341</w:t>
                                  </w:r>
                                </w:p>
                              </w:tc>
                              <w:tc>
                                <w:tcPr>
                                  <w:tcW w:w="1418" w:type="dxa"/>
                                  <w:shd w:val="clear" w:color="auto" w:fill="FFFFFF" w:themeFill="background1"/>
                                  <w:vAlign w:val="center"/>
                                </w:tcPr>
                                <w:p w14:paraId="0447B817"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417" w:type="dxa"/>
                                  <w:shd w:val="clear" w:color="auto" w:fill="FFFFFF" w:themeFill="background1"/>
                                  <w:vAlign w:val="center"/>
                                </w:tcPr>
                                <w:p w14:paraId="4E6DF01E"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754" w:type="dxa"/>
                                  <w:shd w:val="clear" w:color="auto" w:fill="FFFFFF" w:themeFill="background1"/>
                                  <w:vAlign w:val="center"/>
                                </w:tcPr>
                                <w:p w14:paraId="6AA19DB7" w14:textId="77777777" w:rsidR="004A5EDD" w:rsidRDefault="004A5EDD" w:rsidP="00EB57BC">
                                  <w:pPr>
                                    <w:widowControl/>
                                    <w:spacing w:line="220" w:lineRule="exact"/>
                                    <w:jc w:val="both"/>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國家發展委員會</w:t>
                                  </w:r>
                                </w:p>
                                <w:p w14:paraId="552C681F" w14:textId="77777777" w:rsidR="004A5EDD" w:rsidRPr="00230211" w:rsidRDefault="004A5EDD" w:rsidP="00EB57BC">
                                  <w:pPr>
                                    <w:widowControl/>
                                    <w:spacing w:line="220" w:lineRule="exact"/>
                                    <w:jc w:val="both"/>
                                    <w:rPr>
                                      <w:rFonts w:ascii="標楷體" w:eastAsia="標楷體" w:hAnsi="標楷體"/>
                                      <w:snapToGrid w:val="0"/>
                                      <w:spacing w:val="-12"/>
                                      <w:kern w:val="0"/>
                                      <w:sz w:val="20"/>
                                      <w:szCs w:val="20"/>
                                    </w:rPr>
                                  </w:pPr>
                                  <w:r w:rsidRPr="00230211">
                                    <w:rPr>
                                      <w:rFonts w:ascii="標楷體" w:eastAsia="標楷體" w:hAnsi="標楷體" w:hint="eastAsia"/>
                                      <w:snapToGrid w:val="0"/>
                                      <w:spacing w:val="-12"/>
                                      <w:kern w:val="0"/>
                                      <w:sz w:val="20"/>
                                      <w:szCs w:val="20"/>
                                    </w:rPr>
                                    <w:t>(勞動部、財政部、經濟部、衛生福利部)</w:t>
                                  </w:r>
                                </w:p>
                              </w:tc>
                            </w:tr>
                            <w:tr w:rsidR="004A5EDD" w:rsidRPr="009A47FD" w14:paraId="19112114" w14:textId="77777777" w:rsidTr="00070494">
                              <w:trPr>
                                <w:jc w:val="right"/>
                              </w:trPr>
                              <w:tc>
                                <w:tcPr>
                                  <w:tcW w:w="704" w:type="dxa"/>
                                  <w:vMerge w:val="restart"/>
                                  <w:vAlign w:val="center"/>
                                </w:tcPr>
                                <w:p w14:paraId="49674811" w14:textId="77777777" w:rsidR="004A5EDD" w:rsidRPr="00F615A0" w:rsidRDefault="004A5EDD" w:rsidP="00EB57BC">
                                  <w:pPr>
                                    <w:widowControl/>
                                    <w:spacing w:line="220" w:lineRule="exact"/>
                                    <w:jc w:val="center"/>
                                    <w:rPr>
                                      <w:rFonts w:ascii="標楷體" w:eastAsia="標楷體" w:hAnsi="標楷體"/>
                                      <w:snapToGrid w:val="0"/>
                                      <w:spacing w:val="-14"/>
                                      <w:kern w:val="0"/>
                                      <w:sz w:val="20"/>
                                      <w:szCs w:val="20"/>
                                    </w:rPr>
                                  </w:pPr>
                                  <w:r w:rsidRPr="00F615A0">
                                    <w:rPr>
                                      <w:rFonts w:ascii="標楷體" w:eastAsia="標楷體" w:hAnsi="標楷體" w:hint="eastAsia"/>
                                      <w:snapToGrid w:val="0"/>
                                      <w:spacing w:val="-14"/>
                                      <w:kern w:val="0"/>
                                      <w:sz w:val="20"/>
                                      <w:szCs w:val="20"/>
                                    </w:rPr>
                                    <w:t>S</w:t>
                                  </w:r>
                                  <w:r w:rsidRPr="00F615A0">
                                    <w:rPr>
                                      <w:rFonts w:ascii="標楷體" w:eastAsia="標楷體" w:hAnsi="標楷體"/>
                                      <w:snapToGrid w:val="0"/>
                                      <w:spacing w:val="-14"/>
                                      <w:kern w:val="0"/>
                                      <w:sz w:val="20"/>
                                      <w:szCs w:val="20"/>
                                    </w:rPr>
                                    <w:t>DG10</w:t>
                                  </w:r>
                                </w:p>
                              </w:tc>
                              <w:tc>
                                <w:tcPr>
                                  <w:tcW w:w="2775" w:type="dxa"/>
                                  <w:shd w:val="clear" w:color="auto" w:fill="auto"/>
                                  <w:vAlign w:val="center"/>
                                </w:tcPr>
                                <w:p w14:paraId="1A448B52"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10.1.1</w:t>
                                  </w:r>
                                  <w:r w:rsidRPr="00A03547">
                                    <w:rPr>
                                      <w:rFonts w:ascii="標楷體" w:eastAsia="標楷體" w:hAnsi="標楷體" w:hint="eastAsia"/>
                                      <w:snapToGrid w:val="0"/>
                                      <w:kern w:val="0"/>
                                      <w:sz w:val="20"/>
                                      <w:szCs w:val="20"/>
                                    </w:rPr>
                                    <w:t>：近</w:t>
                                  </w:r>
                                  <w:r w:rsidRPr="00A03547">
                                    <w:rPr>
                                      <w:rFonts w:ascii="標楷體" w:eastAsia="標楷體" w:hAnsi="標楷體"/>
                                      <w:snapToGrid w:val="0"/>
                                      <w:kern w:val="0"/>
                                      <w:sz w:val="20"/>
                                      <w:szCs w:val="20"/>
                                    </w:rPr>
                                    <w:t>5</w:t>
                                  </w:r>
                                  <w:r w:rsidRPr="00A03547">
                                    <w:rPr>
                                      <w:rFonts w:ascii="標楷體" w:eastAsia="標楷體" w:hAnsi="標楷體" w:hint="eastAsia"/>
                                      <w:snapToGrid w:val="0"/>
                                      <w:kern w:val="0"/>
                                      <w:sz w:val="20"/>
                                      <w:szCs w:val="20"/>
                                    </w:rPr>
                                    <w:t>年底層百分之</w:t>
                                  </w:r>
                                  <w:proofErr w:type="gramStart"/>
                                  <w:r w:rsidRPr="00A03547">
                                    <w:rPr>
                                      <w:rFonts w:ascii="標楷體" w:eastAsia="標楷體" w:hAnsi="標楷體"/>
                                      <w:snapToGrid w:val="0"/>
                                      <w:kern w:val="0"/>
                                      <w:sz w:val="20"/>
                                      <w:szCs w:val="20"/>
                                    </w:rPr>
                                    <w:t>40</w:t>
                                  </w:r>
                                  <w:proofErr w:type="gramEnd"/>
                                  <w:r w:rsidRPr="00A03547">
                                    <w:rPr>
                                      <w:rFonts w:ascii="標楷體" w:eastAsia="標楷體" w:hAnsi="標楷體" w:hint="eastAsia"/>
                                      <w:snapToGrid w:val="0"/>
                                      <w:kern w:val="0"/>
                                      <w:sz w:val="20"/>
                                      <w:szCs w:val="20"/>
                                    </w:rPr>
                                    <w:t>家戶及全體家戶的人均可支配所得平均年成長率</w:t>
                                  </w:r>
                                </w:p>
                              </w:tc>
                              <w:tc>
                                <w:tcPr>
                                  <w:tcW w:w="1761" w:type="dxa"/>
                                  <w:shd w:val="clear" w:color="auto" w:fill="EEEEEE"/>
                                  <w:vAlign w:val="center"/>
                                </w:tcPr>
                                <w:p w14:paraId="52A185C8"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 xml:space="preserve">  3.19％、</w:t>
                                  </w:r>
                                </w:p>
                                <w:p w14:paraId="19961DF4"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3.14％</w:t>
                                  </w:r>
                                </w:p>
                              </w:tc>
                              <w:tc>
                                <w:tcPr>
                                  <w:tcW w:w="1418" w:type="dxa"/>
                                  <w:vAlign w:val="center"/>
                                </w:tcPr>
                                <w:p w14:paraId="2F07DA61" w14:textId="77777777" w:rsidR="004A5EDD" w:rsidRPr="00230211" w:rsidRDefault="004A5EDD" w:rsidP="00EB57BC">
                                  <w:pPr>
                                    <w:widowControl/>
                                    <w:spacing w:line="220" w:lineRule="exact"/>
                                    <w:jc w:val="both"/>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前項比率高於後項比率</w:t>
                                  </w:r>
                                </w:p>
                              </w:tc>
                              <w:tc>
                                <w:tcPr>
                                  <w:tcW w:w="1417" w:type="dxa"/>
                                  <w:vAlign w:val="center"/>
                                </w:tcPr>
                                <w:p w14:paraId="5B5192AE" w14:textId="77777777" w:rsidR="004A5EDD" w:rsidRPr="00230211" w:rsidRDefault="004A5EDD" w:rsidP="00EB57BC">
                                  <w:pPr>
                                    <w:widowControl/>
                                    <w:spacing w:line="220" w:lineRule="exact"/>
                                    <w:jc w:val="both"/>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前項比率高於後項比率</w:t>
                                  </w:r>
                                </w:p>
                              </w:tc>
                              <w:tc>
                                <w:tcPr>
                                  <w:tcW w:w="1754" w:type="dxa"/>
                                  <w:vAlign w:val="center"/>
                                </w:tcPr>
                                <w:p w14:paraId="6374F613" w14:textId="77777777" w:rsidR="004A5EDD" w:rsidRPr="00AD38E8" w:rsidRDefault="004A5EDD" w:rsidP="00EB57BC">
                                  <w:pPr>
                                    <w:widowControl/>
                                    <w:spacing w:line="220" w:lineRule="exact"/>
                                    <w:jc w:val="both"/>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國家發展委員會、勞動部、財政部、</w:t>
                                  </w:r>
                                  <w:r w:rsidRPr="00230211">
                                    <w:rPr>
                                      <w:rFonts w:ascii="標楷體" w:eastAsia="標楷體" w:hAnsi="標楷體" w:hint="eastAsia"/>
                                      <w:snapToGrid w:val="0"/>
                                      <w:spacing w:val="-10"/>
                                      <w:kern w:val="0"/>
                                      <w:sz w:val="20"/>
                                      <w:szCs w:val="20"/>
                                    </w:rPr>
                                    <w:t>經濟部、衛生福利部</w:t>
                                  </w:r>
                                </w:p>
                              </w:tc>
                            </w:tr>
                            <w:tr w:rsidR="004A5EDD" w:rsidRPr="009A47FD" w14:paraId="64DA703A" w14:textId="77777777" w:rsidTr="00070494">
                              <w:trPr>
                                <w:jc w:val="right"/>
                              </w:trPr>
                              <w:tc>
                                <w:tcPr>
                                  <w:tcW w:w="704" w:type="dxa"/>
                                  <w:vMerge/>
                                  <w:vAlign w:val="center"/>
                                </w:tcPr>
                                <w:p w14:paraId="412EBE81" w14:textId="77777777" w:rsidR="004A5EDD" w:rsidRPr="00F615A0" w:rsidRDefault="004A5EDD" w:rsidP="00EB57BC">
                                  <w:pPr>
                                    <w:widowControl/>
                                    <w:spacing w:line="220" w:lineRule="exact"/>
                                    <w:jc w:val="both"/>
                                    <w:rPr>
                                      <w:rFonts w:ascii="標楷體" w:eastAsia="標楷體" w:hAnsi="標楷體"/>
                                      <w:snapToGrid w:val="0"/>
                                      <w:spacing w:val="-10"/>
                                      <w:kern w:val="0"/>
                                      <w:sz w:val="20"/>
                                      <w:szCs w:val="20"/>
                                    </w:rPr>
                                  </w:pPr>
                                </w:p>
                              </w:tc>
                              <w:tc>
                                <w:tcPr>
                                  <w:tcW w:w="2775" w:type="dxa"/>
                                  <w:shd w:val="clear" w:color="auto" w:fill="auto"/>
                                  <w:vAlign w:val="center"/>
                                </w:tcPr>
                                <w:p w14:paraId="394F2438"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hint="eastAsia"/>
                                      <w:snapToGrid w:val="0"/>
                                      <w:kern w:val="0"/>
                                      <w:sz w:val="20"/>
                                      <w:szCs w:val="20"/>
                                    </w:rPr>
                                    <w:t>10.4.1：每戶可支配所得吉尼係數(同指標8.1.2)</w:t>
                                  </w:r>
                                </w:p>
                              </w:tc>
                              <w:tc>
                                <w:tcPr>
                                  <w:tcW w:w="1761" w:type="dxa"/>
                                  <w:shd w:val="clear" w:color="auto" w:fill="EEEEEE"/>
                                  <w:vAlign w:val="center"/>
                                </w:tcPr>
                                <w:p w14:paraId="2C2D4B84"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0.341</w:t>
                                  </w:r>
                                </w:p>
                              </w:tc>
                              <w:tc>
                                <w:tcPr>
                                  <w:tcW w:w="1418" w:type="dxa"/>
                                  <w:vAlign w:val="center"/>
                                </w:tcPr>
                                <w:p w14:paraId="60B6D241"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417" w:type="dxa"/>
                                  <w:vAlign w:val="center"/>
                                </w:tcPr>
                                <w:p w14:paraId="60ACF681"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754" w:type="dxa"/>
                                  <w:vAlign w:val="center"/>
                                </w:tcPr>
                                <w:p w14:paraId="6679AC7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同指標8.1.2</w:t>
                                  </w:r>
                                </w:p>
                              </w:tc>
                            </w:tr>
                          </w:tbl>
                          <w:p w14:paraId="2B104BD8" w14:textId="77777777" w:rsidR="004A5EDD" w:rsidRPr="00EB57BC" w:rsidRDefault="004A5EDD" w:rsidP="008D11C1">
                            <w:pPr>
                              <w:spacing w:line="260" w:lineRule="exact"/>
                              <w:rPr>
                                <w:rFonts w:ascii="標楷體" w:eastAsia="標楷體" w:hAnsi="標楷體"/>
                                <w:sz w:val="18"/>
                                <w:szCs w:val="18"/>
                              </w:rPr>
                            </w:pPr>
                            <w:r w:rsidRPr="002D4E54">
                              <w:rPr>
                                <w:rFonts w:ascii="標楷體" w:eastAsia="標楷體" w:hAnsi="標楷體" w:hint="eastAsia"/>
                                <w:sz w:val="18"/>
                                <w:szCs w:val="18"/>
                              </w:rPr>
                              <w:t>資料來源：</w:t>
                            </w:r>
                            <w:r>
                              <w:rPr>
                                <w:rFonts w:ascii="標楷體" w:eastAsia="標楷體" w:hAnsi="標楷體" w:hint="eastAsia"/>
                                <w:sz w:val="18"/>
                                <w:szCs w:val="18"/>
                              </w:rPr>
                              <w:t>整理自行政</w:t>
                            </w:r>
                            <w:r w:rsidRPr="00BC5F8C">
                              <w:rPr>
                                <w:rFonts w:ascii="標楷體" w:eastAsia="標楷體" w:hAnsi="標楷體" w:hint="eastAsia"/>
                                <w:sz w:val="18"/>
                                <w:szCs w:val="18"/>
                              </w:rPr>
                              <w:t>院111年12月29日核定</w:t>
                            </w:r>
                            <w:r>
                              <w:rPr>
                                <w:rFonts w:ascii="標楷體" w:eastAsia="標楷體" w:hAnsi="標楷體" w:hint="eastAsia"/>
                                <w:sz w:val="18"/>
                                <w:szCs w:val="18"/>
                              </w:rPr>
                              <w:t>之</w:t>
                            </w:r>
                            <w:r w:rsidRPr="00BC5F8C">
                              <w:rPr>
                                <w:rFonts w:ascii="標楷體" w:eastAsia="標楷體" w:hAnsi="標楷體" w:hint="eastAsia"/>
                                <w:sz w:val="18"/>
                                <w:szCs w:val="18"/>
                              </w:rPr>
                              <w:t>「臺灣永續發展目標修正本」</w:t>
                            </w:r>
                            <w:r w:rsidRPr="002D4E54">
                              <w:rPr>
                                <w:rFonts w:ascii="標楷體" w:eastAsia="標楷體" w:hAnsi="標楷體"/>
                                <w:sz w:val="18"/>
                                <w:szCs w:val="18"/>
                              </w:rPr>
                              <w:t>資料</w:t>
                            </w:r>
                            <w:r w:rsidRPr="002D4E54">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BF712" id="文字方塊 1819561755" o:spid="_x0000_s1042" type="#_x0000_t202" style="position:absolute;left:0;text-align:left;margin-left:-8.85pt;margin-top:212.95pt;width:505.3pt;height:312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" filled="f" stroked="f" strokeweight=".5pt">
                <v:textbox>
                  <w:txbxContent>
                    <w:p w14:paraId="182736F5" w14:textId="0EB5FEA2" w:rsidR="004A5EDD" w:rsidRPr="00400ABE" w:rsidRDefault="004A5EDD" w:rsidP="004A5EDD">
                      <w:pPr>
                        <w:spacing w:afterLines="10" w:after="36" w:line="300" w:lineRule="exact"/>
                        <w:ind w:leftChars="295" w:left="708"/>
                        <w:jc w:val="center"/>
                        <w:rPr>
                          <w:rFonts w:ascii="標楷體" w:eastAsia="標楷體" w:hAnsi="標楷體" w:cs="新細明體"/>
                          <w:b/>
                          <w:bCs/>
                          <w:color w:val="000000"/>
                          <w:spacing w:val="-4"/>
                          <w:kern w:val="0"/>
                          <w:szCs w:val="28"/>
                        </w:rPr>
                      </w:pPr>
                      <w:r w:rsidRPr="00400ABE">
                        <w:rPr>
                          <w:rFonts w:ascii="標楷體" w:eastAsia="標楷體" w:hAnsi="標楷體" w:cs="新細明體" w:hint="eastAsia"/>
                          <w:b/>
                          <w:bCs/>
                          <w:color w:val="000000"/>
                          <w:spacing w:val="-4"/>
                          <w:kern w:val="0"/>
                          <w:szCs w:val="28"/>
                        </w:rPr>
                        <w:t>表</w:t>
                      </w:r>
                      <w:r w:rsidR="00A8531F">
                        <w:rPr>
                          <w:rFonts w:ascii="標楷體" w:eastAsia="標楷體" w:hAnsi="標楷體" w:cs="新細明體"/>
                          <w:b/>
                          <w:bCs/>
                          <w:color w:val="000000"/>
                          <w:spacing w:val="-4"/>
                          <w:kern w:val="0"/>
                          <w:szCs w:val="28"/>
                        </w:rPr>
                        <w:t>5</w:t>
                      </w:r>
                      <w:r w:rsidRPr="00400ABE">
                        <w:rPr>
                          <w:rFonts w:ascii="標楷體" w:eastAsia="標楷體" w:hAnsi="標楷體" w:cs="新細明體" w:hint="eastAsia"/>
                          <w:b/>
                          <w:bCs/>
                          <w:color w:val="000000"/>
                          <w:spacing w:val="-4"/>
                          <w:kern w:val="0"/>
                          <w:szCs w:val="28"/>
                        </w:rPr>
                        <w:t xml:space="preserve">　臺灣永續發展目標與改善所得分配相關之對應指標目標值不具挑戰性情形</w:t>
                      </w:r>
                    </w:p>
                    <w:tbl>
                      <w:tblPr>
                        <w:tblStyle w:val="SGSTableBasic11"/>
                        <w:tblW w:w="9829" w:type="dxa"/>
                        <w:jc w:val="right"/>
                        <w:tblLayout w:type="fixed"/>
                        <w:tblLook w:val="04A0" w:firstRow="1" w:lastRow="0" w:firstColumn="1" w:lastColumn="0" w:noHBand="0" w:noVBand="1"/>
                      </w:tblPr>
                      <w:tblGrid>
                        <w:gridCol w:w="704"/>
                        <w:gridCol w:w="2775"/>
                        <w:gridCol w:w="1761"/>
                        <w:gridCol w:w="1418"/>
                        <w:gridCol w:w="1417"/>
                        <w:gridCol w:w="1754"/>
                      </w:tblGrid>
                      <w:tr w:rsidR="004A5EDD" w:rsidRPr="00DF3471" w14:paraId="30067115" w14:textId="77777777" w:rsidTr="00070494">
                        <w:trPr>
                          <w:jc w:val="right"/>
                        </w:trPr>
                        <w:tc>
                          <w:tcPr>
                            <w:tcW w:w="704" w:type="dxa"/>
                            <w:vAlign w:val="center"/>
                          </w:tcPr>
                          <w:p w14:paraId="33740389"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核心</w:t>
                            </w:r>
                          </w:p>
                          <w:p w14:paraId="04B870E5"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目標</w:t>
                            </w:r>
                          </w:p>
                        </w:tc>
                        <w:tc>
                          <w:tcPr>
                            <w:tcW w:w="2775" w:type="dxa"/>
                            <w:vAlign w:val="center"/>
                          </w:tcPr>
                          <w:p w14:paraId="32CFB7AA"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對應指標</w:t>
                            </w:r>
                          </w:p>
                        </w:tc>
                        <w:tc>
                          <w:tcPr>
                            <w:tcW w:w="1761" w:type="dxa"/>
                            <w:shd w:val="clear" w:color="auto" w:fill="EEEEEE"/>
                            <w:vAlign w:val="center"/>
                          </w:tcPr>
                          <w:p w14:paraId="65C5D09E" w14:textId="77777777" w:rsidR="004A5EDD" w:rsidRPr="00F615A0" w:rsidRDefault="004A5EDD" w:rsidP="00EB57BC">
                            <w:pPr>
                              <w:widowControl/>
                              <w:spacing w:line="220" w:lineRule="exact"/>
                              <w:jc w:val="center"/>
                              <w:rPr>
                                <w:rFonts w:ascii="標楷體" w:eastAsia="標楷體" w:hAnsi="標楷體"/>
                                <w:bCs/>
                                <w:snapToGrid w:val="0"/>
                                <w:spacing w:val="-10"/>
                                <w:kern w:val="0"/>
                                <w:sz w:val="20"/>
                                <w:szCs w:val="20"/>
                              </w:rPr>
                            </w:pPr>
                            <w:r w:rsidRPr="00F615A0">
                              <w:rPr>
                                <w:rFonts w:ascii="標楷體" w:eastAsia="標楷體" w:hAnsi="標楷體" w:hint="eastAsia"/>
                                <w:bCs/>
                                <w:snapToGrid w:val="0"/>
                                <w:spacing w:val="-10"/>
                                <w:kern w:val="0"/>
                                <w:sz w:val="20"/>
                                <w:szCs w:val="20"/>
                              </w:rPr>
                              <w:t>截至</w:t>
                            </w:r>
                            <w:r w:rsidRPr="00F615A0">
                              <w:rPr>
                                <w:rFonts w:ascii="標楷體" w:eastAsia="標楷體" w:hAnsi="標楷體"/>
                                <w:bCs/>
                                <w:snapToGrid w:val="0"/>
                                <w:spacing w:val="-10"/>
                                <w:kern w:val="0"/>
                                <w:sz w:val="20"/>
                                <w:szCs w:val="20"/>
                              </w:rPr>
                              <w:t>2021</w:t>
                            </w:r>
                            <w:r w:rsidRPr="00F615A0">
                              <w:rPr>
                                <w:rFonts w:ascii="標楷體" w:eastAsia="標楷體" w:hAnsi="標楷體" w:hint="eastAsia"/>
                                <w:bCs/>
                                <w:snapToGrid w:val="0"/>
                                <w:spacing w:val="-10"/>
                                <w:kern w:val="0"/>
                                <w:sz w:val="20"/>
                                <w:szCs w:val="20"/>
                              </w:rPr>
                              <w:t>年</w:t>
                            </w:r>
                          </w:p>
                          <w:p w14:paraId="70E131C2"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bCs/>
                                <w:snapToGrid w:val="0"/>
                                <w:spacing w:val="-10"/>
                                <w:kern w:val="0"/>
                                <w:sz w:val="20"/>
                                <w:szCs w:val="20"/>
                              </w:rPr>
                              <w:t>現況值</w:t>
                            </w:r>
                          </w:p>
                        </w:tc>
                        <w:tc>
                          <w:tcPr>
                            <w:tcW w:w="1418" w:type="dxa"/>
                            <w:vAlign w:val="center"/>
                          </w:tcPr>
                          <w:p w14:paraId="0A3EE30E"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2025年</w:t>
                            </w:r>
                          </w:p>
                          <w:p w14:paraId="29994211"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目標</w:t>
                            </w:r>
                          </w:p>
                        </w:tc>
                        <w:tc>
                          <w:tcPr>
                            <w:tcW w:w="1417" w:type="dxa"/>
                            <w:vAlign w:val="center"/>
                          </w:tcPr>
                          <w:p w14:paraId="77883F91"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2030年</w:t>
                            </w:r>
                          </w:p>
                          <w:p w14:paraId="40FBA320"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目標</w:t>
                            </w:r>
                          </w:p>
                        </w:tc>
                        <w:tc>
                          <w:tcPr>
                            <w:tcW w:w="1754" w:type="dxa"/>
                            <w:vAlign w:val="center"/>
                          </w:tcPr>
                          <w:p w14:paraId="10ADC96F" w14:textId="77777777" w:rsidR="004A5EDD" w:rsidRPr="00F615A0" w:rsidRDefault="004A5EDD" w:rsidP="00EB57BC">
                            <w:pPr>
                              <w:widowControl/>
                              <w:spacing w:line="220" w:lineRule="exact"/>
                              <w:jc w:val="center"/>
                              <w:rPr>
                                <w:rFonts w:ascii="標楷體" w:eastAsia="標楷體" w:hAnsi="標楷體"/>
                                <w:snapToGrid w:val="0"/>
                                <w:spacing w:val="-14"/>
                                <w:kern w:val="0"/>
                                <w:sz w:val="20"/>
                                <w:szCs w:val="20"/>
                              </w:rPr>
                            </w:pPr>
                            <w:r w:rsidRPr="00F615A0">
                              <w:rPr>
                                <w:rFonts w:ascii="標楷體" w:eastAsia="標楷體" w:hAnsi="標楷體" w:hint="eastAsia"/>
                                <w:snapToGrid w:val="0"/>
                                <w:spacing w:val="-14"/>
                                <w:kern w:val="0"/>
                                <w:sz w:val="20"/>
                                <w:szCs w:val="20"/>
                              </w:rPr>
                              <w:t>主(協)辦</w:t>
                            </w:r>
                          </w:p>
                          <w:p w14:paraId="761573C0" w14:textId="77777777" w:rsidR="004A5EDD" w:rsidRPr="00F615A0" w:rsidRDefault="004A5EDD" w:rsidP="00EB57BC">
                            <w:pPr>
                              <w:widowControl/>
                              <w:spacing w:line="220" w:lineRule="exact"/>
                              <w:jc w:val="center"/>
                              <w:rPr>
                                <w:rFonts w:ascii="標楷體" w:eastAsia="標楷體" w:hAnsi="標楷體"/>
                                <w:snapToGrid w:val="0"/>
                                <w:spacing w:val="-14"/>
                                <w:kern w:val="0"/>
                                <w:sz w:val="20"/>
                                <w:szCs w:val="20"/>
                              </w:rPr>
                            </w:pPr>
                            <w:r w:rsidRPr="00F615A0">
                              <w:rPr>
                                <w:rFonts w:ascii="標楷體" w:eastAsia="標楷體" w:hAnsi="標楷體" w:hint="eastAsia"/>
                                <w:snapToGrid w:val="0"/>
                                <w:spacing w:val="-14"/>
                                <w:kern w:val="0"/>
                                <w:sz w:val="20"/>
                                <w:szCs w:val="20"/>
                              </w:rPr>
                              <w:t>機關</w:t>
                            </w:r>
                          </w:p>
                        </w:tc>
                      </w:tr>
                      <w:tr w:rsidR="004A5EDD" w:rsidRPr="009A47FD" w14:paraId="0CDF504B" w14:textId="77777777" w:rsidTr="00070494">
                        <w:trPr>
                          <w:jc w:val="right"/>
                        </w:trPr>
                        <w:tc>
                          <w:tcPr>
                            <w:tcW w:w="704" w:type="dxa"/>
                            <w:vMerge w:val="restart"/>
                            <w:vAlign w:val="center"/>
                          </w:tcPr>
                          <w:p w14:paraId="022CEE80"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SDG1</w:t>
                            </w:r>
                          </w:p>
                        </w:tc>
                        <w:tc>
                          <w:tcPr>
                            <w:tcW w:w="2775" w:type="dxa"/>
                            <w:vAlign w:val="center"/>
                          </w:tcPr>
                          <w:p w14:paraId="10C65D00" w14:textId="77777777" w:rsidR="004A5EDD" w:rsidRPr="00070494" w:rsidRDefault="004A5EDD" w:rsidP="00070494">
                            <w:pPr>
                              <w:widowControl/>
                              <w:spacing w:line="260" w:lineRule="exact"/>
                              <w:ind w:rightChars="-80" w:right="-192"/>
                              <w:jc w:val="both"/>
                              <w:rPr>
                                <w:rFonts w:ascii="標楷體" w:eastAsia="標楷體" w:hAnsi="標楷體"/>
                                <w:snapToGrid w:val="0"/>
                                <w:spacing w:val="-15"/>
                                <w:kern w:val="0"/>
                                <w:sz w:val="20"/>
                                <w:szCs w:val="20"/>
                              </w:rPr>
                            </w:pPr>
                            <w:r w:rsidRPr="00070494">
                              <w:rPr>
                                <w:rFonts w:ascii="標楷體" w:eastAsia="標楷體" w:hAnsi="標楷體" w:hint="eastAsia"/>
                                <w:snapToGrid w:val="0"/>
                                <w:spacing w:val="-15"/>
                                <w:kern w:val="0"/>
                                <w:sz w:val="20"/>
                                <w:szCs w:val="20"/>
                              </w:rPr>
                              <w:t>1.1.1：提升經濟弱勢人口自立比率</w:t>
                            </w:r>
                          </w:p>
                        </w:tc>
                        <w:tc>
                          <w:tcPr>
                            <w:tcW w:w="1761" w:type="dxa"/>
                            <w:shd w:val="clear" w:color="auto" w:fill="EEEEEE"/>
                            <w:vAlign w:val="center"/>
                          </w:tcPr>
                          <w:p w14:paraId="24EA7AD5"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14.25％</w:t>
                            </w:r>
                          </w:p>
                        </w:tc>
                        <w:tc>
                          <w:tcPr>
                            <w:tcW w:w="1418" w:type="dxa"/>
                            <w:vAlign w:val="center"/>
                          </w:tcPr>
                          <w:p w14:paraId="5276FFD7"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9％</w:t>
                            </w:r>
                          </w:p>
                        </w:tc>
                        <w:tc>
                          <w:tcPr>
                            <w:tcW w:w="1417" w:type="dxa"/>
                            <w:vAlign w:val="center"/>
                          </w:tcPr>
                          <w:p w14:paraId="3A41B95E"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11％</w:t>
                            </w:r>
                          </w:p>
                        </w:tc>
                        <w:tc>
                          <w:tcPr>
                            <w:tcW w:w="1754" w:type="dxa"/>
                            <w:vMerge w:val="restart"/>
                            <w:vAlign w:val="center"/>
                          </w:tcPr>
                          <w:p w14:paraId="067111F6" w14:textId="77777777" w:rsidR="004A5EDD"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衛生</w:t>
                            </w:r>
                          </w:p>
                          <w:p w14:paraId="3ACAB06E"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福利部</w:t>
                            </w:r>
                          </w:p>
                        </w:tc>
                      </w:tr>
                      <w:tr w:rsidR="004A5EDD" w:rsidRPr="009A47FD" w14:paraId="51F5B412" w14:textId="77777777" w:rsidTr="00070494">
                        <w:trPr>
                          <w:jc w:val="right"/>
                        </w:trPr>
                        <w:tc>
                          <w:tcPr>
                            <w:tcW w:w="704" w:type="dxa"/>
                            <w:vMerge/>
                            <w:vAlign w:val="center"/>
                          </w:tcPr>
                          <w:p w14:paraId="6E180909"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p>
                        </w:tc>
                        <w:tc>
                          <w:tcPr>
                            <w:tcW w:w="2775" w:type="dxa"/>
                            <w:vAlign w:val="center"/>
                          </w:tcPr>
                          <w:p w14:paraId="2B1F9C86"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1.2.1</w:t>
                            </w:r>
                            <w:r w:rsidRPr="00A03547">
                              <w:rPr>
                                <w:rFonts w:ascii="標楷體" w:eastAsia="標楷體" w:hAnsi="標楷體" w:hint="eastAsia"/>
                                <w:snapToGrid w:val="0"/>
                                <w:kern w:val="0"/>
                                <w:sz w:val="20"/>
                                <w:szCs w:val="20"/>
                              </w:rPr>
                              <w:t>：低收入戶男性、女性、兒童減少比率</w:t>
                            </w:r>
                          </w:p>
                        </w:tc>
                        <w:tc>
                          <w:tcPr>
                            <w:tcW w:w="1761" w:type="dxa"/>
                            <w:shd w:val="clear" w:color="auto" w:fill="EEEEEE"/>
                            <w:vAlign w:val="center"/>
                          </w:tcPr>
                          <w:p w14:paraId="76C49D10"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4.58％、9.14％、</w:t>
                            </w:r>
                          </w:p>
                          <w:p w14:paraId="6FCA6D97"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17.42％</w:t>
                            </w:r>
                          </w:p>
                        </w:tc>
                        <w:tc>
                          <w:tcPr>
                            <w:tcW w:w="1418" w:type="dxa"/>
                            <w:vAlign w:val="center"/>
                          </w:tcPr>
                          <w:p w14:paraId="43DB2095" w14:textId="77777777" w:rsidR="004A5EDD" w:rsidRPr="00230211" w:rsidRDefault="004A5EDD" w:rsidP="00EB57BC">
                            <w:pPr>
                              <w:widowControl/>
                              <w:spacing w:line="220" w:lineRule="exact"/>
                              <w:jc w:val="center"/>
                              <w:rPr>
                                <w:rFonts w:ascii="標楷體" w:eastAsia="標楷體" w:hAnsi="標楷體"/>
                                <w:snapToGrid w:val="0"/>
                                <w:spacing w:val="-18"/>
                                <w:kern w:val="0"/>
                                <w:sz w:val="20"/>
                                <w:szCs w:val="20"/>
                              </w:rPr>
                            </w:pPr>
                            <w:r w:rsidRPr="00230211">
                              <w:rPr>
                                <w:rFonts w:ascii="標楷體" w:eastAsia="標楷體" w:hAnsi="標楷體" w:hint="eastAsia"/>
                                <w:snapToGrid w:val="0"/>
                                <w:spacing w:val="-18"/>
                                <w:kern w:val="0"/>
                                <w:sz w:val="20"/>
                                <w:szCs w:val="20"/>
                              </w:rPr>
                              <w:t>3.5％、4.5％、</w:t>
                            </w:r>
                          </w:p>
                          <w:p w14:paraId="487DCF2B"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6.75％</w:t>
                            </w:r>
                          </w:p>
                        </w:tc>
                        <w:tc>
                          <w:tcPr>
                            <w:tcW w:w="1417" w:type="dxa"/>
                            <w:vAlign w:val="center"/>
                          </w:tcPr>
                          <w:p w14:paraId="1D8172B3"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4％、5％、</w:t>
                            </w:r>
                          </w:p>
                          <w:p w14:paraId="0A19FAD9" w14:textId="77777777" w:rsidR="004A5EDD" w:rsidRPr="00230211" w:rsidRDefault="004A5EDD" w:rsidP="00EB57BC">
                            <w:pPr>
                              <w:widowControl/>
                              <w:spacing w:line="220" w:lineRule="exact"/>
                              <w:jc w:val="center"/>
                              <w:rPr>
                                <w:rFonts w:ascii="標楷體" w:eastAsia="標楷體" w:hAnsi="標楷體"/>
                                <w:snapToGrid w:val="0"/>
                                <w:spacing w:val="-6"/>
                                <w:kern w:val="0"/>
                                <w:sz w:val="20"/>
                                <w:szCs w:val="20"/>
                              </w:rPr>
                            </w:pPr>
                            <w:r w:rsidRPr="00230211">
                              <w:rPr>
                                <w:rFonts w:ascii="標楷體" w:eastAsia="標楷體" w:hAnsi="標楷體" w:hint="eastAsia"/>
                                <w:snapToGrid w:val="0"/>
                                <w:spacing w:val="-6"/>
                                <w:kern w:val="0"/>
                                <w:sz w:val="20"/>
                                <w:szCs w:val="20"/>
                              </w:rPr>
                              <w:t>7.5％</w:t>
                            </w:r>
                          </w:p>
                        </w:tc>
                        <w:tc>
                          <w:tcPr>
                            <w:tcW w:w="1754" w:type="dxa"/>
                            <w:vMerge/>
                            <w:vAlign w:val="center"/>
                          </w:tcPr>
                          <w:p w14:paraId="21B904B1"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p>
                        </w:tc>
                      </w:tr>
                      <w:tr w:rsidR="004A5EDD" w:rsidRPr="009A47FD" w14:paraId="475C9545" w14:textId="77777777" w:rsidTr="00070494">
                        <w:trPr>
                          <w:jc w:val="right"/>
                        </w:trPr>
                        <w:tc>
                          <w:tcPr>
                            <w:tcW w:w="704" w:type="dxa"/>
                            <w:vMerge/>
                            <w:vAlign w:val="center"/>
                          </w:tcPr>
                          <w:p w14:paraId="5A09F21A"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p>
                        </w:tc>
                        <w:tc>
                          <w:tcPr>
                            <w:tcW w:w="2775" w:type="dxa"/>
                            <w:vAlign w:val="center"/>
                          </w:tcPr>
                          <w:p w14:paraId="4A99A7EF"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1.3.6</w:t>
                            </w:r>
                            <w:r w:rsidRPr="00A03547">
                              <w:rPr>
                                <w:rFonts w:ascii="標楷體" w:eastAsia="標楷體" w:hAnsi="標楷體" w:hint="eastAsia"/>
                                <w:snapToGrid w:val="0"/>
                                <w:kern w:val="0"/>
                                <w:sz w:val="20"/>
                                <w:szCs w:val="20"/>
                              </w:rPr>
                              <w:t>：低收入戶、中低收入戶照顧人口占總人口比率</w:t>
                            </w:r>
                          </w:p>
                        </w:tc>
                        <w:tc>
                          <w:tcPr>
                            <w:tcW w:w="1761" w:type="dxa"/>
                            <w:shd w:val="clear" w:color="auto" w:fill="EEEEEE"/>
                            <w:vAlign w:val="center"/>
                          </w:tcPr>
                          <w:p w14:paraId="03CC6986"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2.6％</w:t>
                            </w:r>
                          </w:p>
                        </w:tc>
                        <w:tc>
                          <w:tcPr>
                            <w:tcW w:w="1418" w:type="dxa"/>
                            <w:vAlign w:val="center"/>
                          </w:tcPr>
                          <w:p w14:paraId="53F8EA28"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小於</w:t>
                            </w:r>
                            <w:r w:rsidRPr="00230211">
                              <w:rPr>
                                <w:rFonts w:ascii="標楷體" w:eastAsia="標楷體" w:hAnsi="標楷體"/>
                                <w:snapToGrid w:val="0"/>
                                <w:kern w:val="0"/>
                                <w:sz w:val="20"/>
                                <w:szCs w:val="20"/>
                              </w:rPr>
                              <w:t>2.9％</w:t>
                            </w:r>
                          </w:p>
                        </w:tc>
                        <w:tc>
                          <w:tcPr>
                            <w:tcW w:w="1417" w:type="dxa"/>
                            <w:vAlign w:val="center"/>
                          </w:tcPr>
                          <w:p w14:paraId="0F3BEE61"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小於</w:t>
                            </w:r>
                            <w:r w:rsidRPr="00230211">
                              <w:rPr>
                                <w:rFonts w:ascii="標楷體" w:eastAsia="標楷體" w:hAnsi="標楷體"/>
                                <w:snapToGrid w:val="0"/>
                                <w:kern w:val="0"/>
                                <w:sz w:val="20"/>
                                <w:szCs w:val="20"/>
                              </w:rPr>
                              <w:t>2.9％</w:t>
                            </w:r>
                          </w:p>
                        </w:tc>
                        <w:tc>
                          <w:tcPr>
                            <w:tcW w:w="1754" w:type="dxa"/>
                            <w:vMerge/>
                            <w:vAlign w:val="center"/>
                          </w:tcPr>
                          <w:p w14:paraId="0934BDA8"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p>
                        </w:tc>
                      </w:tr>
                      <w:tr w:rsidR="004A5EDD" w:rsidRPr="009A47FD" w14:paraId="50265A17" w14:textId="77777777" w:rsidTr="00070494">
                        <w:trPr>
                          <w:jc w:val="right"/>
                        </w:trPr>
                        <w:tc>
                          <w:tcPr>
                            <w:tcW w:w="704" w:type="dxa"/>
                            <w:vMerge/>
                            <w:vAlign w:val="center"/>
                          </w:tcPr>
                          <w:p w14:paraId="45D75D9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p>
                        </w:tc>
                        <w:tc>
                          <w:tcPr>
                            <w:tcW w:w="2775" w:type="dxa"/>
                            <w:vAlign w:val="center"/>
                          </w:tcPr>
                          <w:p w14:paraId="722E6EC7"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hint="eastAsia"/>
                                <w:snapToGrid w:val="0"/>
                                <w:kern w:val="0"/>
                                <w:sz w:val="20"/>
                                <w:szCs w:val="20"/>
                              </w:rPr>
                              <w:t>1.a.1：參加脫貧自立方案及就業的人數</w:t>
                            </w:r>
                          </w:p>
                        </w:tc>
                        <w:tc>
                          <w:tcPr>
                            <w:tcW w:w="1761" w:type="dxa"/>
                            <w:shd w:val="clear" w:color="auto" w:fill="EEEEEE"/>
                            <w:vAlign w:val="center"/>
                          </w:tcPr>
                          <w:p w14:paraId="7A5CAAF8"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15,549人次</w:t>
                            </w:r>
                          </w:p>
                        </w:tc>
                        <w:tc>
                          <w:tcPr>
                            <w:tcW w:w="1418" w:type="dxa"/>
                            <w:vAlign w:val="center"/>
                          </w:tcPr>
                          <w:p w14:paraId="5017F4D6"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4,500人次</w:t>
                            </w:r>
                          </w:p>
                        </w:tc>
                        <w:tc>
                          <w:tcPr>
                            <w:tcW w:w="1417" w:type="dxa"/>
                            <w:vAlign w:val="center"/>
                          </w:tcPr>
                          <w:p w14:paraId="4218A29D"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6,500人次</w:t>
                            </w:r>
                          </w:p>
                        </w:tc>
                        <w:tc>
                          <w:tcPr>
                            <w:tcW w:w="1754" w:type="dxa"/>
                            <w:vMerge/>
                            <w:vAlign w:val="center"/>
                          </w:tcPr>
                          <w:p w14:paraId="462337F4"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p>
                        </w:tc>
                      </w:tr>
                      <w:tr w:rsidR="004A5EDD" w:rsidRPr="009A47FD" w14:paraId="716DCD61" w14:textId="77777777" w:rsidTr="00070494">
                        <w:trPr>
                          <w:jc w:val="right"/>
                        </w:trPr>
                        <w:tc>
                          <w:tcPr>
                            <w:tcW w:w="704" w:type="dxa"/>
                            <w:shd w:val="clear" w:color="auto" w:fill="FFFFFF" w:themeFill="background1"/>
                            <w:vAlign w:val="center"/>
                          </w:tcPr>
                          <w:p w14:paraId="6A5B0503"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S</w:t>
                            </w:r>
                            <w:r w:rsidRPr="00F615A0">
                              <w:rPr>
                                <w:rFonts w:ascii="標楷體" w:eastAsia="標楷體" w:hAnsi="標楷體"/>
                                <w:snapToGrid w:val="0"/>
                                <w:spacing w:val="-10"/>
                                <w:kern w:val="0"/>
                                <w:sz w:val="20"/>
                                <w:szCs w:val="20"/>
                              </w:rPr>
                              <w:t>DG2</w:t>
                            </w:r>
                          </w:p>
                        </w:tc>
                        <w:tc>
                          <w:tcPr>
                            <w:tcW w:w="2775" w:type="dxa"/>
                            <w:shd w:val="clear" w:color="auto" w:fill="FFFFFF" w:themeFill="background1"/>
                            <w:vAlign w:val="center"/>
                          </w:tcPr>
                          <w:p w14:paraId="40DC2A11"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hint="eastAsia"/>
                                <w:snapToGrid w:val="0"/>
                                <w:kern w:val="0"/>
                                <w:sz w:val="20"/>
                                <w:szCs w:val="20"/>
                              </w:rPr>
                              <w:t>2.1.4：提供食品及物品予經濟弱勢者受益人次</w:t>
                            </w:r>
                          </w:p>
                        </w:tc>
                        <w:tc>
                          <w:tcPr>
                            <w:tcW w:w="1761" w:type="dxa"/>
                            <w:shd w:val="clear" w:color="auto" w:fill="EEEEEE"/>
                            <w:vAlign w:val="center"/>
                          </w:tcPr>
                          <w:p w14:paraId="5946B02E"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245萬餘人次</w:t>
                            </w:r>
                          </w:p>
                        </w:tc>
                        <w:tc>
                          <w:tcPr>
                            <w:tcW w:w="1418" w:type="dxa"/>
                            <w:shd w:val="clear" w:color="auto" w:fill="FFFFFF" w:themeFill="background1"/>
                            <w:vAlign w:val="center"/>
                          </w:tcPr>
                          <w:p w14:paraId="07E1C50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150萬餘人次</w:t>
                            </w:r>
                          </w:p>
                        </w:tc>
                        <w:tc>
                          <w:tcPr>
                            <w:tcW w:w="1417" w:type="dxa"/>
                            <w:shd w:val="clear" w:color="auto" w:fill="FFFFFF" w:themeFill="background1"/>
                            <w:vAlign w:val="center"/>
                          </w:tcPr>
                          <w:p w14:paraId="7B50821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170萬餘人次</w:t>
                            </w:r>
                          </w:p>
                        </w:tc>
                        <w:tc>
                          <w:tcPr>
                            <w:tcW w:w="1754" w:type="dxa"/>
                            <w:shd w:val="clear" w:color="auto" w:fill="FFFFFF" w:themeFill="background1"/>
                            <w:vAlign w:val="center"/>
                          </w:tcPr>
                          <w:p w14:paraId="5A9BC9C7" w14:textId="77777777" w:rsidR="004A5EDD"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衛生</w:t>
                            </w:r>
                          </w:p>
                          <w:p w14:paraId="2598C943"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福利部</w:t>
                            </w:r>
                          </w:p>
                        </w:tc>
                      </w:tr>
                      <w:tr w:rsidR="004A5EDD" w:rsidRPr="009A47FD" w14:paraId="76DE9281" w14:textId="77777777" w:rsidTr="00070494">
                        <w:trPr>
                          <w:jc w:val="right"/>
                        </w:trPr>
                        <w:tc>
                          <w:tcPr>
                            <w:tcW w:w="704" w:type="dxa"/>
                            <w:vAlign w:val="center"/>
                          </w:tcPr>
                          <w:p w14:paraId="1C6CEB5D"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S</w:t>
                            </w:r>
                            <w:r w:rsidRPr="00F615A0">
                              <w:rPr>
                                <w:rFonts w:ascii="標楷體" w:eastAsia="標楷體" w:hAnsi="標楷體"/>
                                <w:snapToGrid w:val="0"/>
                                <w:spacing w:val="-10"/>
                                <w:kern w:val="0"/>
                                <w:sz w:val="20"/>
                                <w:szCs w:val="20"/>
                              </w:rPr>
                              <w:t>DG4</w:t>
                            </w:r>
                          </w:p>
                        </w:tc>
                        <w:tc>
                          <w:tcPr>
                            <w:tcW w:w="2775" w:type="dxa"/>
                            <w:vAlign w:val="center"/>
                          </w:tcPr>
                          <w:p w14:paraId="198E22A2"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4.3.2</w:t>
                            </w:r>
                            <w:r w:rsidRPr="00A03547">
                              <w:rPr>
                                <w:rFonts w:ascii="標楷體" w:eastAsia="標楷體" w:hAnsi="標楷體" w:hint="eastAsia"/>
                                <w:snapToGrid w:val="0"/>
                                <w:kern w:val="0"/>
                                <w:sz w:val="20"/>
                                <w:szCs w:val="20"/>
                              </w:rPr>
                              <w:t>：強化各類助學措施並擴大各項照顧弱勢學生就學措施之辦理成效</w:t>
                            </w:r>
                          </w:p>
                        </w:tc>
                        <w:tc>
                          <w:tcPr>
                            <w:tcW w:w="1761" w:type="dxa"/>
                            <w:shd w:val="clear" w:color="auto" w:fill="EEEEEE"/>
                            <w:vAlign w:val="center"/>
                          </w:tcPr>
                          <w:p w14:paraId="7CD35E24" w14:textId="77777777" w:rsidR="004A5EDD" w:rsidRPr="00F615A0" w:rsidRDefault="004A5EDD" w:rsidP="00EB57BC">
                            <w:pPr>
                              <w:widowControl/>
                              <w:spacing w:line="220" w:lineRule="exact"/>
                              <w:jc w:val="both"/>
                              <w:rPr>
                                <w:rFonts w:ascii="標楷體" w:eastAsia="標楷體" w:hAnsi="標楷體"/>
                                <w:snapToGrid w:val="0"/>
                                <w:spacing w:val="-4"/>
                                <w:kern w:val="0"/>
                                <w:sz w:val="20"/>
                                <w:szCs w:val="20"/>
                              </w:rPr>
                            </w:pPr>
                            <w:r w:rsidRPr="00F615A0">
                              <w:rPr>
                                <w:rFonts w:ascii="標楷體" w:eastAsia="標楷體" w:hAnsi="標楷體" w:hint="eastAsia"/>
                                <w:snapToGrid w:val="0"/>
                                <w:spacing w:val="-4"/>
                                <w:kern w:val="0"/>
                                <w:sz w:val="20"/>
                                <w:szCs w:val="20"/>
                              </w:rPr>
                              <w:t>大專校院、高中職受惠學生比率分別為</w:t>
                            </w:r>
                            <w:r w:rsidRPr="00F615A0">
                              <w:rPr>
                                <w:rFonts w:ascii="標楷體" w:eastAsia="標楷體" w:hAnsi="標楷體"/>
                                <w:snapToGrid w:val="0"/>
                                <w:spacing w:val="-4"/>
                                <w:kern w:val="0"/>
                                <w:sz w:val="20"/>
                                <w:szCs w:val="20"/>
                              </w:rPr>
                              <w:t>13.28％</w:t>
                            </w:r>
                            <w:r w:rsidRPr="00F615A0">
                              <w:rPr>
                                <w:rFonts w:ascii="標楷體" w:eastAsia="標楷體" w:hAnsi="標楷體" w:hint="eastAsia"/>
                                <w:snapToGrid w:val="0"/>
                                <w:spacing w:val="-4"/>
                                <w:kern w:val="0"/>
                                <w:sz w:val="20"/>
                                <w:szCs w:val="20"/>
                              </w:rPr>
                              <w:t>、</w:t>
                            </w:r>
                            <w:r w:rsidRPr="00F615A0">
                              <w:rPr>
                                <w:rFonts w:ascii="標楷體" w:eastAsia="標楷體" w:hAnsi="標楷體"/>
                                <w:snapToGrid w:val="0"/>
                                <w:spacing w:val="-4"/>
                                <w:kern w:val="0"/>
                                <w:sz w:val="20"/>
                                <w:szCs w:val="20"/>
                              </w:rPr>
                              <w:t>29％</w:t>
                            </w:r>
                          </w:p>
                        </w:tc>
                        <w:tc>
                          <w:tcPr>
                            <w:tcW w:w="1418" w:type="dxa"/>
                            <w:vAlign w:val="center"/>
                          </w:tcPr>
                          <w:p w14:paraId="53CF7B3F"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snapToGrid w:val="0"/>
                                <w:spacing w:val="-10"/>
                                <w:kern w:val="0"/>
                                <w:sz w:val="20"/>
                                <w:szCs w:val="20"/>
                              </w:rPr>
                              <w:t>1</w:t>
                            </w:r>
                            <w:r w:rsidRPr="00F615A0">
                              <w:rPr>
                                <w:rFonts w:ascii="標楷體" w:eastAsia="標楷體" w:hAnsi="標楷體" w:hint="eastAsia"/>
                                <w:snapToGrid w:val="0"/>
                                <w:spacing w:val="-10"/>
                                <w:kern w:val="0"/>
                                <w:sz w:val="20"/>
                                <w:szCs w:val="20"/>
                              </w:rPr>
                              <w:t>3</w:t>
                            </w:r>
                            <w:r w:rsidRPr="00F615A0">
                              <w:rPr>
                                <w:rFonts w:ascii="標楷體" w:eastAsia="標楷體" w:hAnsi="標楷體"/>
                                <w:snapToGrid w:val="0"/>
                                <w:spacing w:val="-10"/>
                                <w:kern w:val="0"/>
                                <w:sz w:val="20"/>
                                <w:szCs w:val="20"/>
                              </w:rPr>
                              <w:t>％</w:t>
                            </w:r>
                            <w:r w:rsidRPr="00F615A0">
                              <w:rPr>
                                <w:rFonts w:ascii="標楷體" w:eastAsia="標楷體" w:hAnsi="標楷體" w:hint="eastAsia"/>
                                <w:snapToGrid w:val="0"/>
                                <w:spacing w:val="-10"/>
                                <w:kern w:val="0"/>
                                <w:sz w:val="20"/>
                                <w:szCs w:val="20"/>
                              </w:rPr>
                              <w:t>、5</w:t>
                            </w:r>
                            <w:r w:rsidRPr="00F615A0">
                              <w:rPr>
                                <w:rFonts w:ascii="標楷體" w:eastAsia="標楷體" w:hAnsi="標楷體"/>
                                <w:snapToGrid w:val="0"/>
                                <w:spacing w:val="-10"/>
                                <w:kern w:val="0"/>
                                <w:sz w:val="20"/>
                                <w:szCs w:val="20"/>
                              </w:rPr>
                              <w:t>％</w:t>
                            </w:r>
                          </w:p>
                        </w:tc>
                        <w:tc>
                          <w:tcPr>
                            <w:tcW w:w="1417" w:type="dxa"/>
                            <w:vAlign w:val="center"/>
                          </w:tcPr>
                          <w:p w14:paraId="59B7F694"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snapToGrid w:val="0"/>
                                <w:spacing w:val="-10"/>
                                <w:kern w:val="0"/>
                                <w:sz w:val="20"/>
                                <w:szCs w:val="20"/>
                              </w:rPr>
                              <w:t>13</w:t>
                            </w:r>
                            <w:r w:rsidRPr="00F615A0">
                              <w:rPr>
                                <w:rFonts w:ascii="標楷體" w:eastAsia="標楷體" w:hAnsi="標楷體" w:hint="eastAsia"/>
                                <w:snapToGrid w:val="0"/>
                                <w:spacing w:val="-10"/>
                                <w:kern w:val="0"/>
                                <w:sz w:val="20"/>
                                <w:szCs w:val="20"/>
                              </w:rPr>
                              <w:t>％、5</w:t>
                            </w:r>
                            <w:r w:rsidRPr="00F615A0">
                              <w:rPr>
                                <w:rFonts w:ascii="標楷體" w:eastAsia="標楷體" w:hAnsi="標楷體"/>
                                <w:snapToGrid w:val="0"/>
                                <w:spacing w:val="-10"/>
                                <w:kern w:val="0"/>
                                <w:sz w:val="20"/>
                                <w:szCs w:val="20"/>
                              </w:rPr>
                              <w:t>％</w:t>
                            </w:r>
                          </w:p>
                        </w:tc>
                        <w:tc>
                          <w:tcPr>
                            <w:tcW w:w="1754" w:type="dxa"/>
                            <w:vAlign w:val="center"/>
                          </w:tcPr>
                          <w:p w14:paraId="017B6BAE" w14:textId="77777777" w:rsidR="004A5EDD" w:rsidRPr="00AD38E8" w:rsidRDefault="004A5EDD" w:rsidP="00EB57BC">
                            <w:pPr>
                              <w:widowControl/>
                              <w:spacing w:line="220" w:lineRule="exact"/>
                              <w:jc w:val="center"/>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教育部</w:t>
                            </w:r>
                          </w:p>
                        </w:tc>
                      </w:tr>
                      <w:tr w:rsidR="004A5EDD" w:rsidRPr="009A47FD" w14:paraId="23A343A8" w14:textId="77777777" w:rsidTr="00070494">
                        <w:trPr>
                          <w:jc w:val="right"/>
                        </w:trPr>
                        <w:tc>
                          <w:tcPr>
                            <w:tcW w:w="704" w:type="dxa"/>
                            <w:shd w:val="clear" w:color="auto" w:fill="FFFFFF" w:themeFill="background1"/>
                            <w:vAlign w:val="center"/>
                          </w:tcPr>
                          <w:p w14:paraId="53A743B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snapToGrid w:val="0"/>
                                <w:spacing w:val="-10"/>
                                <w:kern w:val="0"/>
                                <w:sz w:val="20"/>
                                <w:szCs w:val="20"/>
                              </w:rPr>
                              <w:t>SDG8</w:t>
                            </w:r>
                          </w:p>
                        </w:tc>
                        <w:tc>
                          <w:tcPr>
                            <w:tcW w:w="2775" w:type="dxa"/>
                            <w:shd w:val="clear" w:color="auto" w:fill="FFFFFF" w:themeFill="background1"/>
                            <w:vAlign w:val="center"/>
                          </w:tcPr>
                          <w:p w14:paraId="52DDBB97"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8.1.2</w:t>
                            </w:r>
                            <w:r w:rsidRPr="00A03547">
                              <w:rPr>
                                <w:rFonts w:ascii="標楷體" w:eastAsia="標楷體" w:hAnsi="標楷體" w:hint="eastAsia"/>
                                <w:snapToGrid w:val="0"/>
                                <w:kern w:val="0"/>
                                <w:sz w:val="20"/>
                                <w:szCs w:val="20"/>
                              </w:rPr>
                              <w:t>：每戶可支配所得吉尼係數(同指標10.4.1)</w:t>
                            </w:r>
                          </w:p>
                        </w:tc>
                        <w:tc>
                          <w:tcPr>
                            <w:tcW w:w="1761" w:type="dxa"/>
                            <w:shd w:val="clear" w:color="auto" w:fill="EEEEEE"/>
                            <w:vAlign w:val="center"/>
                          </w:tcPr>
                          <w:p w14:paraId="1F727037"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0.341</w:t>
                            </w:r>
                          </w:p>
                        </w:tc>
                        <w:tc>
                          <w:tcPr>
                            <w:tcW w:w="1418" w:type="dxa"/>
                            <w:shd w:val="clear" w:color="auto" w:fill="FFFFFF" w:themeFill="background1"/>
                            <w:vAlign w:val="center"/>
                          </w:tcPr>
                          <w:p w14:paraId="0447B817"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417" w:type="dxa"/>
                            <w:shd w:val="clear" w:color="auto" w:fill="FFFFFF" w:themeFill="background1"/>
                            <w:vAlign w:val="center"/>
                          </w:tcPr>
                          <w:p w14:paraId="4E6DF01E"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754" w:type="dxa"/>
                            <w:shd w:val="clear" w:color="auto" w:fill="FFFFFF" w:themeFill="background1"/>
                            <w:vAlign w:val="center"/>
                          </w:tcPr>
                          <w:p w14:paraId="6AA19DB7" w14:textId="77777777" w:rsidR="004A5EDD" w:rsidRDefault="004A5EDD" w:rsidP="00EB57BC">
                            <w:pPr>
                              <w:widowControl/>
                              <w:spacing w:line="220" w:lineRule="exact"/>
                              <w:jc w:val="both"/>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國家發展委員會</w:t>
                            </w:r>
                          </w:p>
                          <w:p w14:paraId="552C681F" w14:textId="77777777" w:rsidR="004A5EDD" w:rsidRPr="00230211" w:rsidRDefault="004A5EDD" w:rsidP="00EB57BC">
                            <w:pPr>
                              <w:widowControl/>
                              <w:spacing w:line="220" w:lineRule="exact"/>
                              <w:jc w:val="both"/>
                              <w:rPr>
                                <w:rFonts w:ascii="標楷體" w:eastAsia="標楷體" w:hAnsi="標楷體"/>
                                <w:snapToGrid w:val="0"/>
                                <w:spacing w:val="-12"/>
                                <w:kern w:val="0"/>
                                <w:sz w:val="20"/>
                                <w:szCs w:val="20"/>
                              </w:rPr>
                            </w:pPr>
                            <w:r w:rsidRPr="00230211">
                              <w:rPr>
                                <w:rFonts w:ascii="標楷體" w:eastAsia="標楷體" w:hAnsi="標楷體" w:hint="eastAsia"/>
                                <w:snapToGrid w:val="0"/>
                                <w:spacing w:val="-12"/>
                                <w:kern w:val="0"/>
                                <w:sz w:val="20"/>
                                <w:szCs w:val="20"/>
                              </w:rPr>
                              <w:t>(勞動部、財政部、經濟部、衛生福利部)</w:t>
                            </w:r>
                          </w:p>
                        </w:tc>
                      </w:tr>
                      <w:tr w:rsidR="004A5EDD" w:rsidRPr="009A47FD" w14:paraId="19112114" w14:textId="77777777" w:rsidTr="00070494">
                        <w:trPr>
                          <w:jc w:val="right"/>
                        </w:trPr>
                        <w:tc>
                          <w:tcPr>
                            <w:tcW w:w="704" w:type="dxa"/>
                            <w:vMerge w:val="restart"/>
                            <w:vAlign w:val="center"/>
                          </w:tcPr>
                          <w:p w14:paraId="49674811" w14:textId="77777777" w:rsidR="004A5EDD" w:rsidRPr="00F615A0" w:rsidRDefault="004A5EDD" w:rsidP="00EB57BC">
                            <w:pPr>
                              <w:widowControl/>
                              <w:spacing w:line="220" w:lineRule="exact"/>
                              <w:jc w:val="center"/>
                              <w:rPr>
                                <w:rFonts w:ascii="標楷體" w:eastAsia="標楷體" w:hAnsi="標楷體"/>
                                <w:snapToGrid w:val="0"/>
                                <w:spacing w:val="-14"/>
                                <w:kern w:val="0"/>
                                <w:sz w:val="20"/>
                                <w:szCs w:val="20"/>
                              </w:rPr>
                            </w:pPr>
                            <w:r w:rsidRPr="00F615A0">
                              <w:rPr>
                                <w:rFonts w:ascii="標楷體" w:eastAsia="標楷體" w:hAnsi="標楷體" w:hint="eastAsia"/>
                                <w:snapToGrid w:val="0"/>
                                <w:spacing w:val="-14"/>
                                <w:kern w:val="0"/>
                                <w:sz w:val="20"/>
                                <w:szCs w:val="20"/>
                              </w:rPr>
                              <w:t>S</w:t>
                            </w:r>
                            <w:r w:rsidRPr="00F615A0">
                              <w:rPr>
                                <w:rFonts w:ascii="標楷體" w:eastAsia="標楷體" w:hAnsi="標楷體"/>
                                <w:snapToGrid w:val="0"/>
                                <w:spacing w:val="-14"/>
                                <w:kern w:val="0"/>
                                <w:sz w:val="20"/>
                                <w:szCs w:val="20"/>
                              </w:rPr>
                              <w:t>DG10</w:t>
                            </w:r>
                          </w:p>
                        </w:tc>
                        <w:tc>
                          <w:tcPr>
                            <w:tcW w:w="2775" w:type="dxa"/>
                            <w:shd w:val="clear" w:color="auto" w:fill="auto"/>
                            <w:vAlign w:val="center"/>
                          </w:tcPr>
                          <w:p w14:paraId="1A448B52"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snapToGrid w:val="0"/>
                                <w:kern w:val="0"/>
                                <w:sz w:val="20"/>
                                <w:szCs w:val="20"/>
                              </w:rPr>
                              <w:t>10.1.1</w:t>
                            </w:r>
                            <w:r w:rsidRPr="00A03547">
                              <w:rPr>
                                <w:rFonts w:ascii="標楷體" w:eastAsia="標楷體" w:hAnsi="標楷體" w:hint="eastAsia"/>
                                <w:snapToGrid w:val="0"/>
                                <w:kern w:val="0"/>
                                <w:sz w:val="20"/>
                                <w:szCs w:val="20"/>
                              </w:rPr>
                              <w:t>：近</w:t>
                            </w:r>
                            <w:r w:rsidRPr="00A03547">
                              <w:rPr>
                                <w:rFonts w:ascii="標楷體" w:eastAsia="標楷體" w:hAnsi="標楷體"/>
                                <w:snapToGrid w:val="0"/>
                                <w:kern w:val="0"/>
                                <w:sz w:val="20"/>
                                <w:szCs w:val="20"/>
                              </w:rPr>
                              <w:t>5</w:t>
                            </w:r>
                            <w:r w:rsidRPr="00A03547">
                              <w:rPr>
                                <w:rFonts w:ascii="標楷體" w:eastAsia="標楷體" w:hAnsi="標楷體" w:hint="eastAsia"/>
                                <w:snapToGrid w:val="0"/>
                                <w:kern w:val="0"/>
                                <w:sz w:val="20"/>
                                <w:szCs w:val="20"/>
                              </w:rPr>
                              <w:t>年底層百分之</w:t>
                            </w:r>
                            <w:proofErr w:type="gramStart"/>
                            <w:r w:rsidRPr="00A03547">
                              <w:rPr>
                                <w:rFonts w:ascii="標楷體" w:eastAsia="標楷體" w:hAnsi="標楷體"/>
                                <w:snapToGrid w:val="0"/>
                                <w:kern w:val="0"/>
                                <w:sz w:val="20"/>
                                <w:szCs w:val="20"/>
                              </w:rPr>
                              <w:t>40</w:t>
                            </w:r>
                            <w:proofErr w:type="gramEnd"/>
                            <w:r w:rsidRPr="00A03547">
                              <w:rPr>
                                <w:rFonts w:ascii="標楷體" w:eastAsia="標楷體" w:hAnsi="標楷體" w:hint="eastAsia"/>
                                <w:snapToGrid w:val="0"/>
                                <w:kern w:val="0"/>
                                <w:sz w:val="20"/>
                                <w:szCs w:val="20"/>
                              </w:rPr>
                              <w:t>家戶及全體家戶的人均可支配所得平均年成長率</w:t>
                            </w:r>
                          </w:p>
                        </w:tc>
                        <w:tc>
                          <w:tcPr>
                            <w:tcW w:w="1761" w:type="dxa"/>
                            <w:shd w:val="clear" w:color="auto" w:fill="EEEEEE"/>
                            <w:vAlign w:val="center"/>
                          </w:tcPr>
                          <w:p w14:paraId="52A185C8"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 xml:space="preserve">  3.19％、</w:t>
                            </w:r>
                          </w:p>
                          <w:p w14:paraId="19961DF4"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3.14％</w:t>
                            </w:r>
                          </w:p>
                        </w:tc>
                        <w:tc>
                          <w:tcPr>
                            <w:tcW w:w="1418" w:type="dxa"/>
                            <w:vAlign w:val="center"/>
                          </w:tcPr>
                          <w:p w14:paraId="2F07DA61" w14:textId="77777777" w:rsidR="004A5EDD" w:rsidRPr="00230211" w:rsidRDefault="004A5EDD" w:rsidP="00EB57BC">
                            <w:pPr>
                              <w:widowControl/>
                              <w:spacing w:line="220" w:lineRule="exact"/>
                              <w:jc w:val="both"/>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前項比率高於後項比率</w:t>
                            </w:r>
                          </w:p>
                        </w:tc>
                        <w:tc>
                          <w:tcPr>
                            <w:tcW w:w="1417" w:type="dxa"/>
                            <w:vAlign w:val="center"/>
                          </w:tcPr>
                          <w:p w14:paraId="5B5192AE" w14:textId="77777777" w:rsidR="004A5EDD" w:rsidRPr="00230211" w:rsidRDefault="004A5EDD" w:rsidP="00EB57BC">
                            <w:pPr>
                              <w:widowControl/>
                              <w:spacing w:line="220" w:lineRule="exact"/>
                              <w:jc w:val="both"/>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前項比率高於後項比率</w:t>
                            </w:r>
                          </w:p>
                        </w:tc>
                        <w:tc>
                          <w:tcPr>
                            <w:tcW w:w="1754" w:type="dxa"/>
                            <w:vAlign w:val="center"/>
                          </w:tcPr>
                          <w:p w14:paraId="6374F613" w14:textId="77777777" w:rsidR="004A5EDD" w:rsidRPr="00AD38E8" w:rsidRDefault="004A5EDD" w:rsidP="00EB57BC">
                            <w:pPr>
                              <w:widowControl/>
                              <w:spacing w:line="220" w:lineRule="exact"/>
                              <w:jc w:val="both"/>
                              <w:rPr>
                                <w:rFonts w:ascii="標楷體" w:eastAsia="標楷體" w:hAnsi="標楷體"/>
                                <w:snapToGrid w:val="0"/>
                                <w:kern w:val="0"/>
                                <w:sz w:val="20"/>
                                <w:szCs w:val="20"/>
                              </w:rPr>
                            </w:pPr>
                            <w:r w:rsidRPr="00AD38E8">
                              <w:rPr>
                                <w:rFonts w:ascii="標楷體" w:eastAsia="標楷體" w:hAnsi="標楷體" w:hint="eastAsia"/>
                                <w:snapToGrid w:val="0"/>
                                <w:kern w:val="0"/>
                                <w:sz w:val="20"/>
                                <w:szCs w:val="20"/>
                              </w:rPr>
                              <w:t>國家發展委員會、勞動部、財政部、</w:t>
                            </w:r>
                            <w:r w:rsidRPr="00230211">
                              <w:rPr>
                                <w:rFonts w:ascii="標楷體" w:eastAsia="標楷體" w:hAnsi="標楷體" w:hint="eastAsia"/>
                                <w:snapToGrid w:val="0"/>
                                <w:spacing w:val="-10"/>
                                <w:kern w:val="0"/>
                                <w:sz w:val="20"/>
                                <w:szCs w:val="20"/>
                              </w:rPr>
                              <w:t>經濟部、衛生福利部</w:t>
                            </w:r>
                          </w:p>
                        </w:tc>
                      </w:tr>
                      <w:tr w:rsidR="004A5EDD" w:rsidRPr="009A47FD" w14:paraId="64DA703A" w14:textId="77777777" w:rsidTr="00070494">
                        <w:trPr>
                          <w:jc w:val="right"/>
                        </w:trPr>
                        <w:tc>
                          <w:tcPr>
                            <w:tcW w:w="704" w:type="dxa"/>
                            <w:vMerge/>
                            <w:vAlign w:val="center"/>
                          </w:tcPr>
                          <w:p w14:paraId="412EBE81" w14:textId="77777777" w:rsidR="004A5EDD" w:rsidRPr="00F615A0" w:rsidRDefault="004A5EDD" w:rsidP="00EB57BC">
                            <w:pPr>
                              <w:widowControl/>
                              <w:spacing w:line="220" w:lineRule="exact"/>
                              <w:jc w:val="both"/>
                              <w:rPr>
                                <w:rFonts w:ascii="標楷體" w:eastAsia="標楷體" w:hAnsi="標楷體"/>
                                <w:snapToGrid w:val="0"/>
                                <w:spacing w:val="-10"/>
                                <w:kern w:val="0"/>
                                <w:sz w:val="20"/>
                                <w:szCs w:val="20"/>
                              </w:rPr>
                            </w:pPr>
                          </w:p>
                        </w:tc>
                        <w:tc>
                          <w:tcPr>
                            <w:tcW w:w="2775" w:type="dxa"/>
                            <w:shd w:val="clear" w:color="auto" w:fill="auto"/>
                            <w:vAlign w:val="center"/>
                          </w:tcPr>
                          <w:p w14:paraId="394F2438" w14:textId="77777777" w:rsidR="004A5EDD" w:rsidRPr="00A03547" w:rsidRDefault="004A5EDD" w:rsidP="00EB57BC">
                            <w:pPr>
                              <w:widowControl/>
                              <w:spacing w:line="220" w:lineRule="exact"/>
                              <w:jc w:val="both"/>
                              <w:rPr>
                                <w:rFonts w:ascii="標楷體" w:eastAsia="標楷體" w:hAnsi="標楷體"/>
                                <w:snapToGrid w:val="0"/>
                                <w:kern w:val="0"/>
                                <w:sz w:val="20"/>
                                <w:szCs w:val="20"/>
                              </w:rPr>
                            </w:pPr>
                            <w:r w:rsidRPr="00A03547">
                              <w:rPr>
                                <w:rFonts w:ascii="標楷體" w:eastAsia="標楷體" w:hAnsi="標楷體" w:hint="eastAsia"/>
                                <w:snapToGrid w:val="0"/>
                                <w:kern w:val="0"/>
                                <w:sz w:val="20"/>
                                <w:szCs w:val="20"/>
                              </w:rPr>
                              <w:t>10.4.1：每戶可支配所得吉尼係數(同指標8.1.2)</w:t>
                            </w:r>
                          </w:p>
                        </w:tc>
                        <w:tc>
                          <w:tcPr>
                            <w:tcW w:w="1761" w:type="dxa"/>
                            <w:shd w:val="clear" w:color="auto" w:fill="EEEEEE"/>
                            <w:vAlign w:val="center"/>
                          </w:tcPr>
                          <w:p w14:paraId="2C2D4B84"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snapToGrid w:val="0"/>
                                <w:kern w:val="0"/>
                                <w:sz w:val="20"/>
                                <w:szCs w:val="20"/>
                              </w:rPr>
                              <w:t>0.341</w:t>
                            </w:r>
                          </w:p>
                        </w:tc>
                        <w:tc>
                          <w:tcPr>
                            <w:tcW w:w="1418" w:type="dxa"/>
                            <w:vAlign w:val="center"/>
                          </w:tcPr>
                          <w:p w14:paraId="60B6D241"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417" w:type="dxa"/>
                            <w:vAlign w:val="center"/>
                          </w:tcPr>
                          <w:p w14:paraId="60ACF681" w14:textId="77777777" w:rsidR="004A5EDD" w:rsidRPr="00230211" w:rsidRDefault="004A5EDD" w:rsidP="00EB57BC">
                            <w:pPr>
                              <w:widowControl/>
                              <w:spacing w:line="220" w:lineRule="exact"/>
                              <w:jc w:val="center"/>
                              <w:rPr>
                                <w:rFonts w:ascii="標楷體" w:eastAsia="標楷體" w:hAnsi="標楷體"/>
                                <w:snapToGrid w:val="0"/>
                                <w:kern w:val="0"/>
                                <w:sz w:val="20"/>
                                <w:szCs w:val="20"/>
                              </w:rPr>
                            </w:pPr>
                            <w:r w:rsidRPr="00230211">
                              <w:rPr>
                                <w:rFonts w:ascii="標楷體" w:eastAsia="標楷體" w:hAnsi="標楷體" w:hint="eastAsia"/>
                                <w:snapToGrid w:val="0"/>
                                <w:kern w:val="0"/>
                                <w:sz w:val="20"/>
                                <w:szCs w:val="20"/>
                              </w:rPr>
                              <w:t>不超過</w:t>
                            </w:r>
                            <w:r w:rsidRPr="00230211">
                              <w:rPr>
                                <w:rFonts w:ascii="標楷體" w:eastAsia="標楷體" w:hAnsi="標楷體"/>
                                <w:snapToGrid w:val="0"/>
                                <w:kern w:val="0"/>
                                <w:sz w:val="20"/>
                                <w:szCs w:val="20"/>
                              </w:rPr>
                              <w:t>0.35</w:t>
                            </w:r>
                          </w:p>
                        </w:tc>
                        <w:tc>
                          <w:tcPr>
                            <w:tcW w:w="1754" w:type="dxa"/>
                            <w:vAlign w:val="center"/>
                          </w:tcPr>
                          <w:p w14:paraId="6679AC78" w14:textId="77777777" w:rsidR="004A5EDD" w:rsidRPr="00F615A0" w:rsidRDefault="004A5EDD" w:rsidP="00EB57BC">
                            <w:pPr>
                              <w:widowControl/>
                              <w:spacing w:line="220" w:lineRule="exact"/>
                              <w:jc w:val="center"/>
                              <w:rPr>
                                <w:rFonts w:ascii="標楷體" w:eastAsia="標楷體" w:hAnsi="標楷體"/>
                                <w:snapToGrid w:val="0"/>
                                <w:spacing w:val="-10"/>
                                <w:kern w:val="0"/>
                                <w:sz w:val="20"/>
                                <w:szCs w:val="20"/>
                              </w:rPr>
                            </w:pPr>
                            <w:r w:rsidRPr="00F615A0">
                              <w:rPr>
                                <w:rFonts w:ascii="標楷體" w:eastAsia="標楷體" w:hAnsi="標楷體" w:hint="eastAsia"/>
                                <w:snapToGrid w:val="0"/>
                                <w:spacing w:val="-10"/>
                                <w:kern w:val="0"/>
                                <w:sz w:val="20"/>
                                <w:szCs w:val="20"/>
                              </w:rPr>
                              <w:t>同指標8.1.2</w:t>
                            </w:r>
                          </w:p>
                        </w:tc>
                      </w:tr>
                    </w:tbl>
                    <w:p w14:paraId="2B104BD8" w14:textId="77777777" w:rsidR="004A5EDD" w:rsidRPr="00EB57BC" w:rsidRDefault="004A5EDD" w:rsidP="008D11C1">
                      <w:pPr>
                        <w:spacing w:line="260" w:lineRule="exact"/>
                        <w:rPr>
                          <w:rFonts w:ascii="標楷體" w:eastAsia="標楷體" w:hAnsi="標楷體"/>
                          <w:sz w:val="18"/>
                          <w:szCs w:val="18"/>
                        </w:rPr>
                      </w:pPr>
                      <w:r w:rsidRPr="002D4E54">
                        <w:rPr>
                          <w:rFonts w:ascii="標楷體" w:eastAsia="標楷體" w:hAnsi="標楷體" w:hint="eastAsia"/>
                          <w:sz w:val="18"/>
                          <w:szCs w:val="18"/>
                        </w:rPr>
                        <w:t>資料來源：</w:t>
                      </w:r>
                      <w:r>
                        <w:rPr>
                          <w:rFonts w:ascii="標楷體" w:eastAsia="標楷體" w:hAnsi="標楷體" w:hint="eastAsia"/>
                          <w:sz w:val="18"/>
                          <w:szCs w:val="18"/>
                        </w:rPr>
                        <w:t>整理自行政</w:t>
                      </w:r>
                      <w:r w:rsidRPr="00BC5F8C">
                        <w:rPr>
                          <w:rFonts w:ascii="標楷體" w:eastAsia="標楷體" w:hAnsi="標楷體" w:hint="eastAsia"/>
                          <w:sz w:val="18"/>
                          <w:szCs w:val="18"/>
                        </w:rPr>
                        <w:t>院111年12月29日核定</w:t>
                      </w:r>
                      <w:r>
                        <w:rPr>
                          <w:rFonts w:ascii="標楷體" w:eastAsia="標楷體" w:hAnsi="標楷體" w:hint="eastAsia"/>
                          <w:sz w:val="18"/>
                          <w:szCs w:val="18"/>
                        </w:rPr>
                        <w:t>之</w:t>
                      </w:r>
                      <w:r w:rsidRPr="00BC5F8C">
                        <w:rPr>
                          <w:rFonts w:ascii="標楷體" w:eastAsia="標楷體" w:hAnsi="標楷體" w:hint="eastAsia"/>
                          <w:sz w:val="18"/>
                          <w:szCs w:val="18"/>
                        </w:rPr>
                        <w:t>「臺灣永續發展目標修正本」</w:t>
                      </w:r>
                      <w:r w:rsidRPr="002D4E54">
                        <w:rPr>
                          <w:rFonts w:ascii="標楷體" w:eastAsia="標楷體" w:hAnsi="標楷體"/>
                          <w:sz w:val="18"/>
                          <w:szCs w:val="18"/>
                        </w:rPr>
                        <w:t>資料</w:t>
                      </w:r>
                      <w:r w:rsidRPr="002D4E54">
                        <w:rPr>
                          <w:rFonts w:ascii="標楷體" w:eastAsia="標楷體" w:hAnsi="標楷體" w:hint="eastAsia"/>
                          <w:sz w:val="18"/>
                          <w:szCs w:val="18"/>
                        </w:rPr>
                        <w:t>。</w:t>
                      </w:r>
                    </w:p>
                  </w:txbxContent>
                </v:textbox>
                <w10:wrap type="tight" anchorx="margin"/>
              </v:shape>
            </w:pict>
          </mc:Fallback>
        </mc:AlternateContent>
      </w:r>
      <w:r w:rsidR="004A5EDD" w:rsidRPr="004A5EDD">
        <w:rPr>
          <w:rFonts w:ascii="標楷體" w:eastAsia="標楷體" w:hAnsi="標楷體" w:cstheme="minorBidi" w:hint="eastAsia"/>
          <w:b/>
          <w:snapToGrid w:val="0"/>
          <w:kern w:val="0"/>
          <w:szCs w:val="24"/>
        </w:rPr>
        <w:t>2.　臺灣永續發展目標</w:t>
      </w:r>
      <w:r w:rsidR="004A5EDD" w:rsidRPr="004A5EDD">
        <w:rPr>
          <w:rFonts w:ascii="標楷體" w:eastAsia="標楷體" w:hAnsi="標楷體" w:cstheme="minorBidi" w:hint="eastAsia"/>
          <w:b/>
          <w:bCs/>
          <w:snapToGrid w:val="0"/>
          <w:kern w:val="0"/>
          <w:szCs w:val="24"/>
        </w:rPr>
        <w:t>部分</w:t>
      </w:r>
      <w:r w:rsidR="004A5EDD" w:rsidRPr="004A5EDD">
        <w:rPr>
          <w:rFonts w:ascii="標楷體" w:eastAsia="標楷體" w:hAnsi="標楷體" w:cstheme="minorBidi" w:hint="eastAsia"/>
          <w:b/>
          <w:snapToGrid w:val="0"/>
          <w:kern w:val="0"/>
          <w:szCs w:val="24"/>
        </w:rPr>
        <w:t>與</w:t>
      </w:r>
      <w:r w:rsidR="004A5EDD" w:rsidRPr="004A5EDD">
        <w:rPr>
          <w:rFonts w:ascii="標楷體" w:eastAsia="標楷體" w:hAnsi="標楷體" w:cstheme="minorBidi" w:hint="eastAsia"/>
          <w:b/>
          <w:bCs/>
          <w:snapToGrid w:val="0"/>
          <w:kern w:val="0"/>
          <w:szCs w:val="24"/>
        </w:rPr>
        <w:t>改善</w:t>
      </w:r>
      <w:r w:rsidR="004A5EDD" w:rsidRPr="004A5EDD">
        <w:rPr>
          <w:rFonts w:ascii="標楷體" w:eastAsia="標楷體" w:hAnsi="標楷體" w:cstheme="minorBidi" w:hint="eastAsia"/>
          <w:b/>
          <w:snapToGrid w:val="0"/>
          <w:kern w:val="0"/>
          <w:szCs w:val="24"/>
        </w:rPr>
        <w:t>所得分配密切相關之對應指標</w:t>
      </w:r>
      <w:r w:rsidR="004A5EDD" w:rsidRPr="004A5EDD">
        <w:rPr>
          <w:rFonts w:ascii="標楷體" w:eastAsia="標楷體" w:hAnsi="標楷體" w:cstheme="minorBidi" w:hint="eastAsia"/>
          <w:b/>
          <w:snapToGrid w:val="0"/>
          <w:kern w:val="0"/>
          <w:szCs w:val="18"/>
        </w:rPr>
        <w:t>目標值不具挑戰性，截至2021年之現況值即已達成2025年及2030年之目標值，允宜</w:t>
      </w:r>
      <w:proofErr w:type="gramStart"/>
      <w:r w:rsidR="004A5EDD" w:rsidRPr="004A5EDD">
        <w:rPr>
          <w:rFonts w:ascii="標楷體" w:eastAsia="標楷體" w:hAnsi="標楷體" w:cstheme="minorBidi" w:hint="eastAsia"/>
          <w:b/>
          <w:snapToGrid w:val="0"/>
          <w:kern w:val="0"/>
          <w:szCs w:val="24"/>
        </w:rPr>
        <w:t>研</w:t>
      </w:r>
      <w:proofErr w:type="gramEnd"/>
      <w:r w:rsidR="004A5EDD" w:rsidRPr="004A5EDD">
        <w:rPr>
          <w:rFonts w:ascii="標楷體" w:eastAsia="標楷體" w:hAnsi="標楷體" w:cstheme="minorBidi" w:hint="eastAsia"/>
          <w:b/>
          <w:snapToGrid w:val="0"/>
          <w:kern w:val="0"/>
          <w:szCs w:val="24"/>
        </w:rPr>
        <w:t>議持續提升執行成效：</w:t>
      </w:r>
      <w:r w:rsidR="004A5EDD" w:rsidRPr="004A5EDD">
        <w:rPr>
          <w:rFonts w:ascii="標楷體" w:eastAsia="標楷體" w:hAnsi="標楷體" w:cstheme="minorBidi" w:hint="eastAsia"/>
          <w:bCs/>
          <w:snapToGrid w:val="0"/>
          <w:kern w:val="0"/>
          <w:szCs w:val="24"/>
        </w:rPr>
        <w:t>行政院於111年12月29日核定「臺灣永續發展目標修正本」，經檢視其中載列</w:t>
      </w:r>
      <w:r w:rsidR="004A5EDD" w:rsidRPr="004A5EDD">
        <w:rPr>
          <w:rFonts w:ascii="標楷體" w:eastAsia="標楷體" w:hAnsi="標楷體" w:cstheme="minorBidi" w:hint="eastAsia"/>
          <w:snapToGrid w:val="0"/>
          <w:kern w:val="0"/>
          <w:szCs w:val="24"/>
        </w:rPr>
        <w:t>與改善所得分配、縮小貧富差距、保障弱勢族群權益相關之「臺灣永續發展目標對應指標」至2021年現況值、2025年目標、2030年目標，計有9項對應指標，截至2021年之現況值即已達成2025年及2030年之目標值（表</w:t>
      </w:r>
      <w:r w:rsidR="00A8531F" w:rsidRPr="00583A1C">
        <w:rPr>
          <w:rFonts w:ascii="標楷體" w:eastAsia="標楷體" w:hAnsi="標楷體" w:cstheme="minorBidi" w:hint="eastAsia"/>
          <w:snapToGrid w:val="0"/>
          <w:kern w:val="0"/>
          <w:szCs w:val="24"/>
        </w:rPr>
        <w:t>5</w:t>
      </w:r>
      <w:r w:rsidR="004A5EDD" w:rsidRPr="004A5EDD">
        <w:rPr>
          <w:rFonts w:ascii="標楷體" w:eastAsia="標楷體" w:hAnsi="標楷體" w:cstheme="minorBidi" w:hint="eastAsia"/>
          <w:snapToGrid w:val="0"/>
          <w:kern w:val="0"/>
          <w:szCs w:val="24"/>
        </w:rPr>
        <w:t>），其中由衛生福利部主辦者5項</w:t>
      </w:r>
      <w:proofErr w:type="gramStart"/>
      <w:r w:rsidR="004A5EDD" w:rsidRPr="004A5EDD">
        <w:rPr>
          <w:rFonts w:ascii="標楷體" w:eastAsia="標楷體" w:hAnsi="標楷體" w:cstheme="minorBidi" w:hint="eastAsia"/>
          <w:snapToGrid w:val="0"/>
          <w:kern w:val="0"/>
          <w:szCs w:val="24"/>
        </w:rPr>
        <w:t>（</w:t>
      </w:r>
      <w:proofErr w:type="gramEnd"/>
      <w:r w:rsidR="004A5EDD" w:rsidRPr="004A5EDD">
        <w:rPr>
          <w:rFonts w:ascii="標楷體" w:eastAsia="標楷體" w:hAnsi="標楷體" w:cstheme="minorBidi" w:hint="eastAsia"/>
          <w:snapToGrid w:val="0"/>
          <w:kern w:val="0"/>
          <w:szCs w:val="24"/>
        </w:rPr>
        <w:t>1.1.1、1.2.1、1.3.6、1.</w:t>
      </w:r>
      <w:r w:rsidR="004A5EDD" w:rsidRPr="004A5EDD">
        <w:rPr>
          <w:rFonts w:ascii="標楷體" w:eastAsia="標楷體" w:hAnsi="標楷體" w:cstheme="minorBidi"/>
          <w:snapToGrid w:val="0"/>
          <w:kern w:val="0"/>
          <w:szCs w:val="24"/>
        </w:rPr>
        <w:t>a</w:t>
      </w:r>
      <w:r w:rsidR="004A5EDD" w:rsidRPr="004A5EDD">
        <w:rPr>
          <w:rFonts w:ascii="標楷體" w:eastAsia="標楷體" w:hAnsi="標楷體" w:cstheme="minorBidi" w:hint="eastAsia"/>
          <w:snapToGrid w:val="0"/>
          <w:kern w:val="0"/>
          <w:szCs w:val="24"/>
        </w:rPr>
        <w:t>.1、2.1.4</w:t>
      </w:r>
      <w:proofErr w:type="gramStart"/>
      <w:r w:rsidR="004A5EDD" w:rsidRPr="004A5EDD">
        <w:rPr>
          <w:rFonts w:ascii="標楷體" w:eastAsia="標楷體" w:hAnsi="標楷體" w:cstheme="minorBidi" w:hint="eastAsia"/>
          <w:snapToGrid w:val="0"/>
          <w:kern w:val="0"/>
          <w:szCs w:val="24"/>
        </w:rPr>
        <w:t>）</w:t>
      </w:r>
      <w:proofErr w:type="gramEnd"/>
      <w:r w:rsidR="004A5EDD" w:rsidRPr="004A5EDD">
        <w:rPr>
          <w:rFonts w:ascii="標楷體" w:eastAsia="標楷體" w:hAnsi="標楷體" w:cstheme="minorBidi" w:hint="eastAsia"/>
          <w:snapToGrid w:val="0"/>
          <w:kern w:val="0"/>
          <w:szCs w:val="24"/>
        </w:rPr>
        <w:t>、教育部主辦者1項（4.3.2）、國家發展委員會主辦者2項（8.1.2、10.4.1）與勞動部、財政部、經濟部、衛生福利部共同主辦者1項（10.1.1），致後續各年指標推動</w:t>
      </w:r>
      <w:proofErr w:type="gramStart"/>
      <w:r w:rsidR="004A5EDD" w:rsidRPr="004A5EDD">
        <w:rPr>
          <w:rFonts w:ascii="標楷體" w:eastAsia="標楷體" w:hAnsi="標楷體" w:cstheme="minorBidi" w:hint="eastAsia"/>
          <w:snapToGrid w:val="0"/>
          <w:kern w:val="0"/>
          <w:szCs w:val="24"/>
        </w:rPr>
        <w:t>結果均已達標</w:t>
      </w:r>
      <w:proofErr w:type="gramEnd"/>
      <w:r w:rsidR="004A5EDD" w:rsidRPr="004A5EDD">
        <w:rPr>
          <w:rFonts w:ascii="標楷體" w:eastAsia="標楷體" w:hAnsi="標楷體" w:cstheme="minorBidi" w:hint="eastAsia"/>
          <w:snapToGrid w:val="0"/>
          <w:kern w:val="0"/>
          <w:szCs w:val="24"/>
        </w:rPr>
        <w:t>，未再持續提升，顯示所設</w:t>
      </w:r>
      <w:r w:rsidR="004A5EDD" w:rsidRPr="004A5EDD">
        <w:rPr>
          <w:rFonts w:ascii="標楷體" w:eastAsia="標楷體" w:hAnsi="標楷體" w:cstheme="minorBidi" w:hint="eastAsia"/>
          <w:snapToGrid w:val="0"/>
          <w:kern w:val="0"/>
          <w:szCs w:val="18"/>
        </w:rPr>
        <w:t>定之目標值不具挑戰性，影響改善所得分配不均之施政成效，允宜</w:t>
      </w:r>
      <w:proofErr w:type="gramStart"/>
      <w:r w:rsidR="004A5EDD" w:rsidRPr="004A5EDD">
        <w:rPr>
          <w:rFonts w:ascii="標楷體" w:eastAsia="標楷體" w:hAnsi="標楷體" w:cstheme="minorBidi" w:hint="eastAsia"/>
          <w:snapToGrid w:val="0"/>
          <w:kern w:val="0"/>
          <w:szCs w:val="18"/>
        </w:rPr>
        <w:t>研</w:t>
      </w:r>
      <w:proofErr w:type="gramEnd"/>
      <w:r w:rsidR="004A5EDD" w:rsidRPr="004A5EDD">
        <w:rPr>
          <w:rFonts w:ascii="標楷體" w:eastAsia="標楷體" w:hAnsi="標楷體" w:cstheme="minorBidi" w:hint="eastAsia"/>
          <w:snapToGrid w:val="0"/>
          <w:kern w:val="0"/>
          <w:szCs w:val="18"/>
        </w:rPr>
        <w:t>議檢討改善。</w:t>
      </w:r>
    </w:p>
    <w:p w14:paraId="229F6EF6" w14:textId="359000EF" w:rsidR="006E388E" w:rsidRDefault="006E388E" w:rsidP="004C5802">
      <w:pPr>
        <w:overflowPunct w:val="0"/>
        <w:spacing w:beforeLines="20" w:before="72" w:afterLines="20" w:after="72" w:line="416" w:lineRule="exact"/>
        <w:ind w:firstLineChars="200" w:firstLine="561"/>
        <w:jc w:val="both"/>
        <w:outlineLvl w:val="1"/>
        <w:rPr>
          <w:rFonts w:ascii="標楷體" w:eastAsia="標楷體" w:hAnsi="標楷體" w:cs="標楷體"/>
          <w:b/>
          <w:bCs/>
          <w:spacing w:val="2"/>
          <w:kern w:val="52"/>
          <w:sz w:val="28"/>
          <w:szCs w:val="32"/>
        </w:rPr>
      </w:pPr>
      <w:r w:rsidRPr="006E388E">
        <w:rPr>
          <w:rFonts w:ascii="標楷體" w:eastAsia="標楷體" w:hAnsi="標楷體" w:cs="標楷體" w:hint="eastAsia"/>
          <w:b/>
          <w:bCs/>
          <w:kern w:val="52"/>
          <w:sz w:val="28"/>
          <w:szCs w:val="32"/>
        </w:rPr>
        <w:t>（</w:t>
      </w:r>
      <w:r>
        <w:rPr>
          <w:rFonts w:ascii="標楷體" w:eastAsia="標楷體" w:hAnsi="標楷體" w:cs="標楷體" w:hint="eastAsia"/>
          <w:b/>
          <w:bCs/>
          <w:kern w:val="52"/>
          <w:sz w:val="28"/>
          <w:szCs w:val="32"/>
        </w:rPr>
        <w:t>四</w:t>
      </w:r>
      <w:r w:rsidRPr="006E388E">
        <w:rPr>
          <w:rFonts w:ascii="標楷體" w:eastAsia="標楷體" w:hAnsi="標楷體" w:cs="標楷體" w:hint="eastAsia"/>
          <w:b/>
          <w:bCs/>
          <w:kern w:val="52"/>
          <w:sz w:val="28"/>
          <w:szCs w:val="32"/>
        </w:rPr>
        <w:t xml:space="preserve">）　</w:t>
      </w:r>
      <w:r w:rsidR="00760A19" w:rsidRPr="00760A19">
        <w:rPr>
          <w:rFonts w:ascii="標楷體" w:eastAsia="標楷體" w:hAnsi="標楷體" w:cs="標楷體" w:hint="eastAsia"/>
          <w:b/>
          <w:bCs/>
          <w:kern w:val="52"/>
          <w:sz w:val="28"/>
          <w:szCs w:val="32"/>
        </w:rPr>
        <w:t>政府持續推動所得分配合理化，由經濟發展委員會納入包容成長政策目標之一，就提高低薪對策推出三大項目8項創新對策，惟以召開會議方式管控執行情形，</w:t>
      </w:r>
      <w:r w:rsidR="00687C5A" w:rsidRPr="00760A19">
        <w:rPr>
          <w:rFonts w:ascii="標楷體" w:eastAsia="標楷體" w:hAnsi="標楷體" w:cs="標楷體" w:hint="eastAsia"/>
          <w:b/>
          <w:bCs/>
          <w:kern w:val="52"/>
          <w:sz w:val="28"/>
          <w:szCs w:val="32"/>
        </w:rPr>
        <w:t>恐不利掌握各項對策投入落實程度</w:t>
      </w:r>
      <w:r w:rsidR="00687C5A">
        <w:rPr>
          <w:rFonts w:ascii="標楷體" w:eastAsia="標楷體" w:hAnsi="標楷體" w:cs="標楷體" w:hint="eastAsia"/>
          <w:b/>
          <w:bCs/>
          <w:kern w:val="52"/>
          <w:sz w:val="28"/>
          <w:szCs w:val="32"/>
        </w:rPr>
        <w:t>，亦</w:t>
      </w:r>
      <w:r w:rsidR="00760A19" w:rsidRPr="00760A19">
        <w:rPr>
          <w:rFonts w:ascii="標楷體" w:eastAsia="標楷體" w:hAnsi="標楷體" w:cs="標楷體" w:hint="eastAsia"/>
          <w:b/>
          <w:bCs/>
          <w:kern w:val="52"/>
          <w:sz w:val="28"/>
          <w:szCs w:val="32"/>
        </w:rPr>
        <w:t>與原改善所得分配專案小組逐案列管機制不同；另我國全體受僱員工</w:t>
      </w:r>
      <w:proofErr w:type="gramStart"/>
      <w:r w:rsidR="00760A19" w:rsidRPr="00760A19">
        <w:rPr>
          <w:rFonts w:ascii="標楷體" w:eastAsia="標楷體" w:hAnsi="標楷體" w:cs="標楷體" w:hint="eastAsia"/>
          <w:b/>
          <w:bCs/>
          <w:kern w:val="52"/>
          <w:sz w:val="28"/>
          <w:szCs w:val="32"/>
        </w:rPr>
        <w:t>113</w:t>
      </w:r>
      <w:proofErr w:type="gramEnd"/>
      <w:r w:rsidR="00760A19" w:rsidRPr="00760A19">
        <w:rPr>
          <w:rFonts w:ascii="標楷體" w:eastAsia="標楷體" w:hAnsi="標楷體" w:cs="標楷體" w:hint="eastAsia"/>
          <w:b/>
          <w:bCs/>
          <w:kern w:val="52"/>
          <w:sz w:val="28"/>
          <w:szCs w:val="32"/>
        </w:rPr>
        <w:t>年度每人每月平均經常性薪資低於平均數之員工比率近</w:t>
      </w:r>
      <w:proofErr w:type="gramStart"/>
      <w:r w:rsidR="00760A19" w:rsidRPr="00760A19">
        <w:rPr>
          <w:rFonts w:ascii="標楷體" w:eastAsia="標楷體" w:hAnsi="標楷體" w:cs="標楷體" w:hint="eastAsia"/>
          <w:b/>
          <w:bCs/>
          <w:kern w:val="52"/>
          <w:sz w:val="28"/>
          <w:szCs w:val="32"/>
        </w:rPr>
        <w:t>7成</w:t>
      </w:r>
      <w:proofErr w:type="gramEnd"/>
      <w:r w:rsidR="00760A19" w:rsidRPr="00760A19">
        <w:rPr>
          <w:rFonts w:ascii="標楷體" w:eastAsia="標楷體" w:hAnsi="標楷體" w:cs="標楷體" w:hint="eastAsia"/>
          <w:b/>
          <w:bCs/>
          <w:kern w:val="52"/>
          <w:sz w:val="28"/>
          <w:szCs w:val="32"/>
        </w:rPr>
        <w:t>，已連續4年增加，允宜</w:t>
      </w:r>
      <w:proofErr w:type="gramStart"/>
      <w:r w:rsidR="00760A19" w:rsidRPr="00760A19">
        <w:rPr>
          <w:rFonts w:ascii="標楷體" w:eastAsia="標楷體" w:hAnsi="標楷體" w:cs="標楷體" w:hint="eastAsia"/>
          <w:b/>
          <w:bCs/>
          <w:kern w:val="52"/>
          <w:sz w:val="28"/>
          <w:szCs w:val="32"/>
        </w:rPr>
        <w:t>研</w:t>
      </w:r>
      <w:proofErr w:type="gramEnd"/>
      <w:r w:rsidR="00760A19" w:rsidRPr="00760A19">
        <w:rPr>
          <w:rFonts w:ascii="標楷體" w:eastAsia="標楷體" w:hAnsi="標楷體" w:cs="標楷體" w:hint="eastAsia"/>
          <w:b/>
          <w:bCs/>
          <w:kern w:val="52"/>
          <w:sz w:val="28"/>
          <w:szCs w:val="32"/>
        </w:rPr>
        <w:t>議定期揭露及精進各項議題對策，以確保階段性成果之展現。</w:t>
      </w:r>
    </w:p>
    <w:p w14:paraId="1464E418" w14:textId="37CD8EA1" w:rsidR="00F60428" w:rsidRPr="00F60428" w:rsidRDefault="008E61F9" w:rsidP="00303353">
      <w:pPr>
        <w:overflowPunct w:val="0"/>
        <w:adjustRightInd w:val="0"/>
        <w:snapToGrid w:val="0"/>
        <w:spacing w:line="460" w:lineRule="exact"/>
        <w:ind w:firstLineChars="200" w:firstLine="480"/>
        <w:jc w:val="both"/>
        <w:rPr>
          <w:rFonts w:ascii="標楷體" w:eastAsia="標楷體" w:hAnsi="標楷體" w:cs="標楷體"/>
          <w:kern w:val="52"/>
          <w:szCs w:val="32"/>
        </w:rPr>
      </w:pPr>
      <w:r w:rsidRPr="008E61F9">
        <w:rPr>
          <w:rFonts w:ascii="標楷體" w:eastAsia="標楷體" w:hAnsi="標楷體" w:cs="標楷體" w:hint="eastAsia"/>
          <w:kern w:val="52"/>
          <w:szCs w:val="32"/>
        </w:rPr>
        <w:lastRenderedPageBreak/>
        <w:t>改善所得</w:t>
      </w:r>
      <w:proofErr w:type="gramStart"/>
      <w:r w:rsidRPr="008E61F9">
        <w:rPr>
          <w:rFonts w:ascii="標楷體" w:eastAsia="標楷體" w:hAnsi="標楷體" w:cs="標楷體" w:hint="eastAsia"/>
          <w:kern w:val="52"/>
          <w:szCs w:val="32"/>
        </w:rPr>
        <w:t>不均為全球</w:t>
      </w:r>
      <w:proofErr w:type="gramEnd"/>
      <w:r w:rsidRPr="008E61F9">
        <w:rPr>
          <w:rFonts w:ascii="標楷體" w:eastAsia="標楷體" w:hAnsi="標楷體" w:cs="標楷體" w:hint="eastAsia"/>
          <w:kern w:val="52"/>
          <w:szCs w:val="32"/>
        </w:rPr>
        <w:t>性之挑戰，各國按其經濟發展階段和社會結構不同，採取多樣化之政策和策略。政府為改善所得分配不均問題，近年來已多次提高最低工資，國人平均薪資亦有所成長，然2022年我國平均薪資以下人口卻有持續增加趨勢，行政院經濟發展委員會（113年7月成立，下稱經濟發展委員會），</w:t>
      </w:r>
      <w:proofErr w:type="gramStart"/>
      <w:r w:rsidRPr="008E61F9">
        <w:rPr>
          <w:rFonts w:ascii="標楷體" w:eastAsia="標楷體" w:hAnsi="標楷體" w:cs="標楷體" w:hint="eastAsia"/>
          <w:kern w:val="52"/>
          <w:szCs w:val="32"/>
        </w:rPr>
        <w:t>爰</w:t>
      </w:r>
      <w:proofErr w:type="gramEnd"/>
      <w:r w:rsidRPr="008E61F9">
        <w:rPr>
          <w:rFonts w:ascii="標楷體" w:eastAsia="標楷體" w:hAnsi="標楷體" w:cs="標楷體" w:hint="eastAsia"/>
          <w:kern w:val="52"/>
          <w:szCs w:val="32"/>
        </w:rPr>
        <w:t>將所得分配合理化納入包容成長政策目標之一，據以推動提高低薪對策、資本利得與薪資課稅。經查經濟發展委員會推動所得分配合理化相關措施執行情形，核有下列事項，為因應未來物價指數上漲與通貨膨脹等嚴峻挑戰及便於外界檢視政策推動成效，經函請行政院就所得分配合理化各項創新對策辦理情形，</w:t>
      </w:r>
      <w:proofErr w:type="gramStart"/>
      <w:r w:rsidRPr="008E61F9">
        <w:rPr>
          <w:rFonts w:ascii="標楷體" w:eastAsia="標楷體" w:hAnsi="標楷體" w:cs="標楷體" w:hint="eastAsia"/>
          <w:kern w:val="52"/>
          <w:szCs w:val="32"/>
        </w:rPr>
        <w:t>研</w:t>
      </w:r>
      <w:proofErr w:type="gramEnd"/>
      <w:r w:rsidRPr="008E61F9">
        <w:rPr>
          <w:rFonts w:ascii="標楷體" w:eastAsia="標楷體" w:hAnsi="標楷體" w:cs="標楷體" w:hint="eastAsia"/>
          <w:kern w:val="52"/>
          <w:szCs w:val="32"/>
        </w:rPr>
        <w:t>擬一致性之揭露規範及時間，以利資訊更</w:t>
      </w:r>
      <w:proofErr w:type="gramStart"/>
      <w:r w:rsidRPr="008E61F9">
        <w:rPr>
          <w:rFonts w:ascii="標楷體" w:eastAsia="標楷體" w:hAnsi="標楷體" w:cs="標楷體" w:hint="eastAsia"/>
          <w:kern w:val="52"/>
          <w:szCs w:val="32"/>
        </w:rPr>
        <w:t>臻</w:t>
      </w:r>
      <w:proofErr w:type="gramEnd"/>
      <w:r w:rsidRPr="008E61F9">
        <w:rPr>
          <w:rFonts w:ascii="標楷體" w:eastAsia="標楷體" w:hAnsi="標楷體" w:cs="標楷體" w:hint="eastAsia"/>
          <w:kern w:val="52"/>
          <w:szCs w:val="32"/>
        </w:rPr>
        <w:t>透明及擴大公民參與，並適時檢視提高低薪對策之有效性，及加速</w:t>
      </w:r>
      <w:proofErr w:type="gramStart"/>
      <w:r w:rsidRPr="008E61F9">
        <w:rPr>
          <w:rFonts w:ascii="標楷體" w:eastAsia="標楷體" w:hAnsi="標楷體" w:cs="標楷體" w:hint="eastAsia"/>
          <w:kern w:val="52"/>
          <w:szCs w:val="32"/>
        </w:rPr>
        <w:t>研</w:t>
      </w:r>
      <w:proofErr w:type="gramEnd"/>
      <w:r w:rsidRPr="008E61F9">
        <w:rPr>
          <w:rFonts w:ascii="標楷體" w:eastAsia="標楷體" w:hAnsi="標楷體" w:cs="標楷體" w:hint="eastAsia"/>
          <w:kern w:val="52"/>
          <w:szCs w:val="32"/>
        </w:rPr>
        <w:t>謀資本利得與薪資課稅等議題之相關對策，確保階段性成果之展現。</w:t>
      </w:r>
      <w:r w:rsidRPr="00DA0D2A">
        <w:rPr>
          <w:rFonts w:ascii="標楷體" w:eastAsia="標楷體" w:hAnsi="標楷體" w:cs="標楷體" w:hint="eastAsia"/>
          <w:spacing w:val="2"/>
          <w:kern w:val="52"/>
          <w:szCs w:val="32"/>
        </w:rPr>
        <w:t>據復：1.國家發展委員會將依</w:t>
      </w:r>
      <w:r w:rsidR="00C65941" w:rsidRPr="00DA0D2A">
        <w:rPr>
          <w:rFonts w:ascii="標楷體" w:eastAsia="標楷體" w:hAnsi="標楷體" w:cs="標楷體" w:hint="eastAsia"/>
          <w:spacing w:val="2"/>
          <w:kern w:val="52"/>
          <w:szCs w:val="32"/>
        </w:rPr>
        <w:t>行政院</w:t>
      </w:r>
      <w:r w:rsidRPr="00DA0D2A">
        <w:rPr>
          <w:rFonts w:ascii="標楷體" w:eastAsia="標楷體" w:hAnsi="標楷體" w:cs="標楷體" w:hint="eastAsia"/>
          <w:spacing w:val="2"/>
          <w:kern w:val="52"/>
          <w:szCs w:val="32"/>
        </w:rPr>
        <w:t>院長指示，掌握經濟發展委員會3次會議決議之執行期程與檢討未達預期目標事項，並透過民間協同參與之顧問會議，共同關注及落實相關對策之成果；2.政府將透過施行最低工資法、帶頭推動薪資對策、積極布局五大信賴產業、推動國家人才競爭力躍升方案等，以促進薪資增長。</w:t>
      </w:r>
    </w:p>
    <w:p w14:paraId="7D8F2A4E" w14:textId="19C08DF4" w:rsidR="00F60428" w:rsidRPr="00F60428" w:rsidRDefault="00F60428" w:rsidP="00303353">
      <w:pPr>
        <w:overflowPunct w:val="0"/>
        <w:adjustRightInd w:val="0"/>
        <w:snapToGrid w:val="0"/>
        <w:spacing w:line="444" w:lineRule="exact"/>
        <w:ind w:firstLineChars="450" w:firstLine="1081"/>
        <w:jc w:val="both"/>
        <w:rPr>
          <w:rFonts w:ascii="標楷體" w:eastAsia="標楷體" w:hAnsi="標楷體" w:cs="標楷體"/>
          <w:kern w:val="52"/>
          <w:szCs w:val="32"/>
        </w:rPr>
      </w:pPr>
      <w:r w:rsidRPr="00F60428">
        <w:rPr>
          <w:rFonts w:ascii="標楷體" w:eastAsia="標楷體" w:hAnsi="標楷體" w:cs="標楷體" w:hint="eastAsia"/>
          <w:b/>
          <w:kern w:val="52"/>
          <w:szCs w:val="32"/>
        </w:rPr>
        <w:t xml:space="preserve">1.　</w:t>
      </w:r>
      <w:r w:rsidR="008E61F9" w:rsidRPr="006E76BF">
        <w:rPr>
          <w:rFonts w:ascii="標楷體" w:eastAsia="標楷體" w:hAnsi="標楷體" w:hint="eastAsia"/>
          <w:b/>
          <w:snapToGrid w:val="0"/>
          <w:kern w:val="0"/>
          <w:szCs w:val="24"/>
        </w:rPr>
        <w:t>113年間已優先提出薪資提升及薪資透明化議題8項創新對策，惟由經濟發展委員會以召開會議方式管控執行情形，與原改善所得分配專案小組逐案列管機制不同，恐不利掌握各項對策投入作為與落實程度：</w:t>
      </w:r>
      <w:r w:rsidR="008E61F9" w:rsidRPr="006E76BF">
        <w:rPr>
          <w:rFonts w:ascii="標楷體" w:eastAsia="標楷體" w:hAnsi="標楷體" w:hint="eastAsia"/>
          <w:snapToGrid w:val="0"/>
          <w:kern w:val="0"/>
          <w:szCs w:val="24"/>
        </w:rPr>
        <w:t>行政院考量107年間提出短中長期薪資提升對策計10項已完成階段性任務，</w:t>
      </w:r>
      <w:proofErr w:type="gramStart"/>
      <w:r w:rsidR="008E61F9" w:rsidRPr="006E76BF">
        <w:rPr>
          <w:rFonts w:ascii="標楷體" w:eastAsia="標楷體" w:hAnsi="標楷體" w:hint="eastAsia"/>
          <w:snapToGrid w:val="0"/>
          <w:kern w:val="0"/>
          <w:szCs w:val="24"/>
        </w:rPr>
        <w:t>爰</w:t>
      </w:r>
      <w:proofErr w:type="gramEnd"/>
      <w:r w:rsidR="008E61F9" w:rsidRPr="006E76BF">
        <w:rPr>
          <w:rFonts w:ascii="標楷體" w:eastAsia="標楷體" w:hAnsi="標楷體" w:hint="eastAsia"/>
          <w:snapToGrid w:val="0"/>
          <w:kern w:val="0"/>
          <w:szCs w:val="24"/>
        </w:rPr>
        <w:t>依最新國內外情勢變化及國家發展計畫滾動修正，由國家發展委員會彙整，於113年10月30日召開之經濟發展委員會會議（延續113年10月17日第2次會議主軸－包容成長），就提高低薪對策提出「薪資提升及薪資透明化議題」，分為「政府作為加薪引擎」、「</w:t>
      </w:r>
      <w:r w:rsidR="008E61F9" w:rsidRPr="006E76BF">
        <w:rPr>
          <w:rFonts w:ascii="標楷體" w:eastAsia="標楷體" w:hAnsi="標楷體" w:hint="eastAsia"/>
          <w:bCs/>
          <w:snapToGrid w:val="0"/>
          <w:kern w:val="0"/>
          <w:szCs w:val="24"/>
        </w:rPr>
        <w:t>薪資</w:t>
      </w:r>
      <w:r w:rsidR="008E61F9" w:rsidRPr="006E76BF">
        <w:rPr>
          <w:rFonts w:ascii="標楷體" w:eastAsia="標楷體" w:hAnsi="標楷體" w:hint="eastAsia"/>
          <w:snapToGrid w:val="0"/>
          <w:kern w:val="0"/>
          <w:szCs w:val="24"/>
        </w:rPr>
        <w:t>透明化」、「</w:t>
      </w:r>
      <w:proofErr w:type="gramStart"/>
      <w:r w:rsidR="008E61F9" w:rsidRPr="006E76BF">
        <w:rPr>
          <w:rFonts w:ascii="標楷體" w:eastAsia="標楷體" w:hAnsi="標楷體" w:hint="eastAsia"/>
          <w:snapToGrid w:val="0"/>
          <w:kern w:val="0"/>
          <w:szCs w:val="24"/>
        </w:rPr>
        <w:t>中小企業賦能</w:t>
      </w:r>
      <w:proofErr w:type="gramEnd"/>
      <w:r w:rsidR="008E61F9" w:rsidRPr="006E76BF">
        <w:rPr>
          <w:rFonts w:ascii="標楷體" w:eastAsia="標楷體" w:hAnsi="標楷體" w:hint="eastAsia"/>
          <w:snapToGrid w:val="0"/>
          <w:kern w:val="0"/>
          <w:szCs w:val="24"/>
        </w:rPr>
        <w:t>」等三大項目計8項創新對策，並由行政院人事行政總處、</w:t>
      </w:r>
      <w:r w:rsidR="008E61F9" w:rsidRPr="00DC7CF3">
        <w:rPr>
          <w:rFonts w:ascii="標楷體" w:eastAsia="標楷體" w:hAnsi="標楷體" w:hint="eastAsia"/>
          <w:snapToGrid w:val="0"/>
          <w:kern w:val="0"/>
          <w:szCs w:val="24"/>
        </w:rPr>
        <w:t>行政院公共工程委員會、金融監督管理委員會、</w:t>
      </w:r>
      <w:proofErr w:type="gramStart"/>
      <w:r w:rsidR="008E61F9" w:rsidRPr="00DC7CF3">
        <w:rPr>
          <w:rFonts w:ascii="標楷體" w:eastAsia="標楷體" w:hAnsi="標楷體" w:hint="eastAsia"/>
          <w:snapToGrid w:val="0"/>
          <w:kern w:val="0"/>
          <w:szCs w:val="24"/>
        </w:rPr>
        <w:t>勞動部及經濟部</w:t>
      </w:r>
      <w:proofErr w:type="gramEnd"/>
      <w:r w:rsidR="008E61F9" w:rsidRPr="00DC7CF3">
        <w:rPr>
          <w:rFonts w:ascii="標楷體" w:eastAsia="標楷體" w:hAnsi="標楷體" w:hint="eastAsia"/>
          <w:snapToGrid w:val="0"/>
          <w:kern w:val="0"/>
          <w:szCs w:val="24"/>
        </w:rPr>
        <w:t>等權責機關負責辦理，惟截至114年3月22日止，尚無揭露相關辦理情形。據前開議題之彙整機關國家發展委員會說明，前開8項創新對策，係由各權責機關自行辦理，</w:t>
      </w:r>
      <w:proofErr w:type="gramStart"/>
      <w:r w:rsidR="008E61F9" w:rsidRPr="00DC7CF3">
        <w:rPr>
          <w:rFonts w:ascii="標楷體" w:eastAsia="標楷體" w:hAnsi="標楷體" w:hint="eastAsia"/>
          <w:snapToGrid w:val="0"/>
          <w:kern w:val="0"/>
          <w:szCs w:val="24"/>
        </w:rPr>
        <w:t>均未另</w:t>
      </w:r>
      <w:proofErr w:type="gramEnd"/>
      <w:r w:rsidR="008E61F9" w:rsidRPr="00DC7CF3">
        <w:rPr>
          <w:rFonts w:ascii="標楷體" w:eastAsia="標楷體" w:hAnsi="標楷體" w:hint="eastAsia"/>
          <w:snapToGrid w:val="0"/>
          <w:kern w:val="0"/>
          <w:szCs w:val="24"/>
        </w:rPr>
        <w:t>編列相關預算，至於執行情形與目標設定，則由經濟</w:t>
      </w:r>
      <w:r w:rsidR="008E61F9" w:rsidRPr="006E76BF">
        <w:rPr>
          <w:rFonts w:ascii="標楷體" w:eastAsia="標楷體" w:hAnsi="標楷體" w:hint="eastAsia"/>
          <w:snapToGrid w:val="0"/>
          <w:kern w:val="0"/>
          <w:szCs w:val="24"/>
        </w:rPr>
        <w:t>發展委員會透過召開會議方式督導各權責機關推動並報告執行情形，</w:t>
      </w:r>
      <w:proofErr w:type="gramStart"/>
      <w:r w:rsidR="008E61F9" w:rsidRPr="006E76BF">
        <w:rPr>
          <w:rFonts w:ascii="標楷體" w:eastAsia="標楷體" w:hAnsi="標楷體" w:hint="eastAsia"/>
          <w:snapToGrid w:val="0"/>
          <w:kern w:val="0"/>
          <w:szCs w:val="24"/>
        </w:rPr>
        <w:t>爰</w:t>
      </w:r>
      <w:proofErr w:type="gramEnd"/>
      <w:r w:rsidR="008E61F9" w:rsidRPr="006E76BF">
        <w:rPr>
          <w:rFonts w:ascii="標楷體" w:eastAsia="標楷體" w:hAnsi="標楷體" w:hint="eastAsia"/>
          <w:snapToGrid w:val="0"/>
          <w:kern w:val="0"/>
          <w:szCs w:val="24"/>
        </w:rPr>
        <w:t>未以一般方案形式設定目標及進行管考。經查，經濟發展委員會成立已逾8個月，計召開3次會議，會議內容主要涵蓋國家整體經濟發展方向及願景</w:t>
      </w:r>
      <w:proofErr w:type="gramStart"/>
      <w:r w:rsidR="008E61F9" w:rsidRPr="006E76BF">
        <w:rPr>
          <w:rFonts w:ascii="標楷體" w:eastAsia="標楷體" w:hAnsi="標楷體" w:hint="eastAsia"/>
          <w:snapToGrid w:val="0"/>
          <w:kern w:val="0"/>
          <w:szCs w:val="24"/>
        </w:rPr>
        <w:t>擘</w:t>
      </w:r>
      <w:proofErr w:type="gramEnd"/>
      <w:r w:rsidR="008E61F9" w:rsidRPr="006E76BF">
        <w:rPr>
          <w:rFonts w:ascii="標楷體" w:eastAsia="標楷體" w:hAnsi="標楷體" w:hint="eastAsia"/>
          <w:snapToGrid w:val="0"/>
          <w:kern w:val="0"/>
          <w:szCs w:val="24"/>
        </w:rPr>
        <w:t>劃、國家經濟發展策略擬定及國家經濟發展關鍵興革事項</w:t>
      </w:r>
      <w:proofErr w:type="gramStart"/>
      <w:r w:rsidR="008E61F9" w:rsidRPr="006E76BF">
        <w:rPr>
          <w:rFonts w:ascii="標楷體" w:eastAsia="標楷體" w:hAnsi="標楷體" w:hint="eastAsia"/>
          <w:snapToGrid w:val="0"/>
          <w:kern w:val="0"/>
          <w:szCs w:val="24"/>
        </w:rPr>
        <w:t>研析等</w:t>
      </w:r>
      <w:proofErr w:type="gramEnd"/>
      <w:r w:rsidR="008E61F9" w:rsidRPr="006E76BF">
        <w:rPr>
          <w:rFonts w:ascii="標楷體" w:eastAsia="標楷體" w:hAnsi="標楷體" w:hint="eastAsia"/>
          <w:snapToGrid w:val="0"/>
          <w:kern w:val="0"/>
          <w:szCs w:val="24"/>
        </w:rPr>
        <w:t>，其中與所得分配合理化</w:t>
      </w:r>
      <w:proofErr w:type="gramStart"/>
      <w:r w:rsidR="008E61F9" w:rsidRPr="006E76BF">
        <w:rPr>
          <w:rFonts w:ascii="標楷體" w:eastAsia="標楷體" w:hAnsi="標楷體" w:hint="eastAsia"/>
          <w:snapToGrid w:val="0"/>
          <w:kern w:val="0"/>
          <w:szCs w:val="24"/>
        </w:rPr>
        <w:t>攸</w:t>
      </w:r>
      <w:proofErr w:type="gramEnd"/>
      <w:r w:rsidR="008E61F9" w:rsidRPr="006E76BF">
        <w:rPr>
          <w:rFonts w:ascii="標楷體" w:eastAsia="標楷體" w:hAnsi="標楷體" w:hint="eastAsia"/>
          <w:snapToGrid w:val="0"/>
          <w:kern w:val="0"/>
          <w:szCs w:val="24"/>
        </w:rPr>
        <w:t>關者僅1次會議，經濟發展委員會雖優先討論「提高低薪對策」1項，卻</w:t>
      </w:r>
      <w:proofErr w:type="gramStart"/>
      <w:r w:rsidR="008E61F9" w:rsidRPr="006E76BF">
        <w:rPr>
          <w:rFonts w:ascii="標楷體" w:eastAsia="標楷體" w:hAnsi="標楷體" w:hint="eastAsia"/>
          <w:snapToGrid w:val="0"/>
          <w:kern w:val="0"/>
          <w:szCs w:val="24"/>
        </w:rPr>
        <w:t>囿</w:t>
      </w:r>
      <w:proofErr w:type="gramEnd"/>
      <w:r w:rsidR="008E61F9" w:rsidRPr="006E76BF">
        <w:rPr>
          <w:rFonts w:ascii="標楷體" w:eastAsia="標楷體" w:hAnsi="標楷體" w:hint="eastAsia"/>
          <w:snapToGrid w:val="0"/>
          <w:kern w:val="0"/>
          <w:szCs w:val="24"/>
        </w:rPr>
        <w:t>於該委員會迄未再召開會議，致該對策之後續辦理情形或階段成果等</w:t>
      </w:r>
      <w:proofErr w:type="gramStart"/>
      <w:r w:rsidR="008E61F9" w:rsidRPr="006E76BF">
        <w:rPr>
          <w:rFonts w:ascii="標楷體" w:eastAsia="標楷體" w:hAnsi="標楷體" w:hint="eastAsia"/>
          <w:snapToGrid w:val="0"/>
          <w:kern w:val="0"/>
          <w:szCs w:val="24"/>
        </w:rPr>
        <w:t>資料闕乏</w:t>
      </w:r>
      <w:proofErr w:type="gramEnd"/>
      <w:r w:rsidR="008E61F9" w:rsidRPr="006E76BF">
        <w:rPr>
          <w:rFonts w:ascii="標楷體" w:eastAsia="標楷體" w:hAnsi="標楷體" w:hint="eastAsia"/>
          <w:snapToGrid w:val="0"/>
          <w:kern w:val="0"/>
          <w:szCs w:val="24"/>
        </w:rPr>
        <w:t>，且資本利得與薪資課稅等相關議題對策，迄今亦未提出。案據本部自行於網路蒐集「薪資提升及薪資透明化議題」之8項創新對策後續辦理情形等資料結果，截至114年3月22日止，</w:t>
      </w:r>
      <w:r w:rsidR="008E61F9" w:rsidRPr="00DC7CF3">
        <w:rPr>
          <w:rFonts w:ascii="標楷體" w:eastAsia="標楷體" w:hAnsi="標楷體" w:hint="eastAsia"/>
          <w:snapToGrid w:val="0"/>
          <w:kern w:val="0"/>
          <w:szCs w:val="24"/>
        </w:rPr>
        <w:t>完成法規（行政規則）公（發）</w:t>
      </w:r>
      <w:proofErr w:type="gramStart"/>
      <w:r w:rsidR="008E61F9" w:rsidRPr="00DC7CF3">
        <w:rPr>
          <w:rFonts w:ascii="標楷體" w:eastAsia="標楷體" w:hAnsi="標楷體" w:hint="eastAsia"/>
          <w:snapToGrid w:val="0"/>
          <w:kern w:val="0"/>
          <w:szCs w:val="24"/>
        </w:rPr>
        <w:t>布者</w:t>
      </w:r>
      <w:r w:rsidR="008E61F9" w:rsidRPr="006E76BF">
        <w:rPr>
          <w:rFonts w:ascii="標楷體" w:eastAsia="標楷體" w:hAnsi="標楷體" w:hint="eastAsia"/>
          <w:snapToGrid w:val="0"/>
          <w:kern w:val="0"/>
          <w:szCs w:val="24"/>
        </w:rPr>
        <w:t>4</w:t>
      </w:r>
      <w:r w:rsidR="008E61F9" w:rsidRPr="00DC7CF3">
        <w:rPr>
          <w:rFonts w:ascii="標楷體" w:eastAsia="標楷體" w:hAnsi="標楷體" w:hint="eastAsia"/>
          <w:snapToGrid w:val="0"/>
          <w:kern w:val="0"/>
          <w:szCs w:val="24"/>
        </w:rPr>
        <w:t>項（</w:t>
      </w:r>
      <w:proofErr w:type="gramEnd"/>
      <w:r w:rsidR="008E61F9" w:rsidRPr="00DC7CF3">
        <w:rPr>
          <w:rFonts w:ascii="標楷體" w:eastAsia="標楷體" w:hAnsi="標楷體" w:hint="eastAsia"/>
          <w:snapToGrid w:val="0"/>
          <w:kern w:val="0"/>
          <w:szCs w:val="24"/>
        </w:rPr>
        <w:t>如行政院人事行政總處113年12月30日函</w:t>
      </w:r>
      <w:r w:rsidR="003766C4">
        <w:rPr>
          <w:rFonts w:ascii="標楷體" w:eastAsia="標楷體" w:hAnsi="標楷體" w:hint="eastAsia"/>
          <w:snapToGrid w:val="0"/>
          <w:kern w:val="0"/>
          <w:szCs w:val="24"/>
        </w:rPr>
        <w:t>，</w:t>
      </w:r>
      <w:r w:rsidR="008E61F9" w:rsidRPr="00DC7CF3">
        <w:rPr>
          <w:rFonts w:ascii="標楷體" w:eastAsia="標楷體" w:hAnsi="標楷體" w:hint="eastAsia"/>
          <w:snapToGrid w:val="0"/>
          <w:kern w:val="0"/>
          <w:szCs w:val="24"/>
        </w:rPr>
        <w:t>114</w:t>
      </w:r>
      <w:r w:rsidR="008E61F9" w:rsidRPr="00DC7CF3">
        <w:rPr>
          <w:rFonts w:ascii="標楷體" w:eastAsia="標楷體" w:hAnsi="標楷體" w:hint="eastAsia"/>
          <w:snapToGrid w:val="0"/>
          <w:kern w:val="0"/>
          <w:szCs w:val="24"/>
        </w:rPr>
        <w:lastRenderedPageBreak/>
        <w:t>年起中央政府約</w:t>
      </w:r>
      <w:proofErr w:type="gramStart"/>
      <w:r w:rsidR="008E61F9" w:rsidRPr="00DC7CF3">
        <w:rPr>
          <w:rFonts w:ascii="標楷體" w:eastAsia="標楷體" w:hAnsi="標楷體" w:hint="eastAsia"/>
          <w:snapToGrid w:val="0"/>
          <w:kern w:val="0"/>
          <w:szCs w:val="24"/>
        </w:rPr>
        <w:t>僱</w:t>
      </w:r>
      <w:proofErr w:type="gramEnd"/>
      <w:r w:rsidR="008E61F9" w:rsidRPr="00DC7CF3">
        <w:rPr>
          <w:rFonts w:ascii="標楷體" w:eastAsia="標楷體" w:hAnsi="標楷體" w:hint="eastAsia"/>
          <w:snapToGrid w:val="0"/>
          <w:kern w:val="0"/>
          <w:szCs w:val="24"/>
        </w:rPr>
        <w:t>、工友及約用人員等基層員工月薪應高於最低工資1.1倍</w:t>
      </w:r>
      <w:r w:rsidR="008E61F9" w:rsidRPr="00DC7CF3">
        <w:rPr>
          <w:rFonts w:ascii="新細明體" w:hAnsi="新細明體" w:hint="eastAsia"/>
          <w:snapToGrid w:val="0"/>
          <w:kern w:val="0"/>
          <w:szCs w:val="24"/>
        </w:rPr>
        <w:t>；</w:t>
      </w:r>
      <w:r w:rsidR="008E61F9" w:rsidRPr="00DC7CF3">
        <w:rPr>
          <w:rFonts w:ascii="標楷體" w:eastAsia="標楷體" w:hAnsi="標楷體" w:hint="eastAsia"/>
          <w:snapToGrid w:val="0"/>
          <w:kern w:val="0"/>
          <w:szCs w:val="24"/>
        </w:rPr>
        <w:t>行政院公共工程委員會113年12月20日函</w:t>
      </w:r>
      <w:r w:rsidR="00507874">
        <w:rPr>
          <w:rFonts w:ascii="標楷體" w:eastAsia="標楷體" w:hAnsi="標楷體" w:hint="eastAsia"/>
          <w:snapToGrid w:val="0"/>
          <w:kern w:val="0"/>
          <w:szCs w:val="24"/>
        </w:rPr>
        <w:t>，</w:t>
      </w:r>
      <w:r w:rsidR="008E61F9" w:rsidRPr="00DC7CF3">
        <w:rPr>
          <w:rFonts w:ascii="標楷體" w:eastAsia="標楷體" w:hAnsi="標楷體" w:hint="eastAsia"/>
          <w:snapToGrid w:val="0"/>
          <w:kern w:val="0"/>
          <w:szCs w:val="24"/>
        </w:rPr>
        <w:t>政府部門定期檢討及提高政府勞務採購薪資標準，應高於最低工資1.1倍，機關辦理採購，得</w:t>
      </w:r>
      <w:proofErr w:type="gramStart"/>
      <w:r w:rsidR="008E61F9" w:rsidRPr="00DC7CF3">
        <w:rPr>
          <w:rFonts w:ascii="標楷體" w:eastAsia="標楷體" w:hAnsi="標楷體" w:hint="eastAsia"/>
          <w:snapToGrid w:val="0"/>
          <w:kern w:val="0"/>
          <w:szCs w:val="24"/>
        </w:rPr>
        <w:t>採</w:t>
      </w:r>
      <w:proofErr w:type="gramEnd"/>
      <w:r w:rsidR="008E61F9" w:rsidRPr="00DC7CF3">
        <w:rPr>
          <w:rFonts w:ascii="標楷體" w:eastAsia="標楷體" w:hAnsi="標楷體" w:hint="eastAsia"/>
          <w:snapToGrid w:val="0"/>
          <w:kern w:val="0"/>
          <w:szCs w:val="24"/>
        </w:rPr>
        <w:t>行之相關因應措施</w:t>
      </w:r>
      <w:r w:rsidR="008E61F9" w:rsidRPr="00DC7CF3">
        <w:rPr>
          <w:rFonts w:ascii="新細明體" w:hAnsi="新細明體" w:hint="eastAsia"/>
          <w:snapToGrid w:val="0"/>
          <w:kern w:val="0"/>
          <w:szCs w:val="24"/>
        </w:rPr>
        <w:t>；</w:t>
      </w:r>
      <w:r w:rsidR="008E61F9" w:rsidRPr="00DC7CF3">
        <w:rPr>
          <w:rFonts w:ascii="標楷體" w:eastAsia="標楷體" w:hAnsi="標楷體" w:hint="eastAsia"/>
          <w:snapToGrid w:val="0"/>
          <w:kern w:val="0"/>
          <w:szCs w:val="24"/>
        </w:rPr>
        <w:t>113年8月7日公布修正證券交易法第14條，上市、上櫃公司應在章程中規定，以年度盈餘</w:t>
      </w:r>
      <w:proofErr w:type="gramStart"/>
      <w:r w:rsidR="008E61F9" w:rsidRPr="00DC7CF3">
        <w:rPr>
          <w:rFonts w:ascii="標楷體" w:eastAsia="標楷體" w:hAnsi="標楷體" w:hint="eastAsia"/>
          <w:snapToGrid w:val="0"/>
          <w:kern w:val="0"/>
          <w:szCs w:val="24"/>
        </w:rPr>
        <w:t>提撥</w:t>
      </w:r>
      <w:proofErr w:type="gramEnd"/>
      <w:r w:rsidR="008E61F9" w:rsidRPr="00DC7CF3">
        <w:rPr>
          <w:rFonts w:ascii="標楷體" w:eastAsia="標楷體" w:hAnsi="標楷體" w:hint="eastAsia"/>
          <w:snapToGrid w:val="0"/>
          <w:kern w:val="0"/>
          <w:szCs w:val="24"/>
        </w:rPr>
        <w:t>一定比率，用於基層員工的薪資調整或酬勞分配</w:t>
      </w:r>
      <w:r w:rsidR="008E61F9" w:rsidRPr="00DC7CF3">
        <w:rPr>
          <w:rFonts w:ascii="新細明體" w:hAnsi="新細明體" w:hint="eastAsia"/>
          <w:snapToGrid w:val="0"/>
          <w:kern w:val="0"/>
          <w:szCs w:val="24"/>
        </w:rPr>
        <w:t>；</w:t>
      </w:r>
      <w:r w:rsidR="008E61F9" w:rsidRPr="00DC7CF3">
        <w:rPr>
          <w:rFonts w:ascii="標楷體" w:eastAsia="標楷體" w:hAnsi="標楷體" w:hint="eastAsia"/>
          <w:snapToGrid w:val="0"/>
          <w:kern w:val="0"/>
          <w:szCs w:val="24"/>
        </w:rPr>
        <w:t>財團法人中小企業信用保證基金實施「鼓勵中小企業為員工加薪信用保證措施」自</w:t>
      </w:r>
      <w:r w:rsidR="005C5212" w:rsidRPr="008E61F9">
        <w:rPr>
          <w:rFonts w:ascii="標楷體" w:eastAsia="標楷體" w:hAnsi="標楷體" w:cstheme="minorBidi" w:hint="eastAsia"/>
          <w:noProof/>
          <w:snapToGrid w:val="0"/>
          <w:kern w:val="0"/>
          <w:szCs w:val="24"/>
        </w:rPr>
        <mc:AlternateContent>
          <mc:Choice Requires="wps">
            <w:drawing>
              <wp:anchor distT="0" distB="0" distL="114300" distR="114300" simplePos="0" relativeHeight="251656192" behindDoc="1" locked="0" layoutInCell="1" allowOverlap="1" wp14:anchorId="552DC2F4" wp14:editId="0F8270EE">
                <wp:simplePos x="0" y="0"/>
                <wp:positionH relativeFrom="margin">
                  <wp:posOffset>1105535</wp:posOffset>
                </wp:positionH>
                <wp:positionV relativeFrom="paragraph">
                  <wp:posOffset>1522730</wp:posOffset>
                </wp:positionV>
                <wp:extent cx="5194300" cy="4587240"/>
                <wp:effectExtent l="0" t="0" r="0" b="3810"/>
                <wp:wrapSquare wrapText="bothSides"/>
                <wp:docPr id="1868174023" name="文字方塊 1868174023"/>
                <wp:cNvGraphicFramePr/>
                <a:graphic xmlns:a="http://schemas.openxmlformats.org/drawingml/2006/main">
                  <a:graphicData uri="http://schemas.microsoft.com/office/word/2010/wordprocessingShape">
                    <wps:wsp>
                      <wps:cNvSpPr txBox="1"/>
                      <wps:spPr>
                        <a:xfrm>
                          <a:off x="0" y="0"/>
                          <a:ext cx="5194300" cy="4587240"/>
                        </a:xfrm>
                        <a:prstGeom prst="rect">
                          <a:avLst/>
                        </a:prstGeom>
                        <a:noFill/>
                        <a:ln w="6350">
                          <a:noFill/>
                        </a:ln>
                      </wps:spPr>
                      <wps:txbx>
                        <w:txbxContent>
                          <w:p w14:paraId="15A18D92" w14:textId="1BF2FBB4" w:rsidR="008E61F9" w:rsidRPr="00A166FD" w:rsidRDefault="008E61F9" w:rsidP="008E61F9">
                            <w:pPr>
                              <w:overflowPunct w:val="0"/>
                              <w:spacing w:afterLines="20" w:after="72"/>
                              <w:ind w:left="709" w:hangingChars="295" w:hanging="709"/>
                              <w:jc w:val="center"/>
                              <w:rPr>
                                <w:rFonts w:ascii="標楷體" w:eastAsia="標楷體" w:hAnsi="標楷體"/>
                                <w:b/>
                                <w:szCs w:val="24"/>
                              </w:rPr>
                            </w:pPr>
                            <w:r w:rsidRPr="0087187B">
                              <w:rPr>
                                <w:rFonts w:ascii="標楷體" w:eastAsia="標楷體" w:hAnsi="標楷體" w:hint="eastAsia"/>
                                <w:b/>
                                <w:color w:val="000000"/>
                                <w:szCs w:val="24"/>
                              </w:rPr>
                              <w:t>表</w:t>
                            </w:r>
                            <w:r w:rsidR="00766614">
                              <w:rPr>
                                <w:rFonts w:ascii="標楷體" w:eastAsia="標楷體" w:hAnsi="標楷體"/>
                                <w:b/>
                                <w:color w:val="000000"/>
                                <w:szCs w:val="24"/>
                              </w:rPr>
                              <w:t>6</w:t>
                            </w:r>
                            <w:r w:rsidRPr="0087187B">
                              <w:rPr>
                                <w:rFonts w:ascii="標楷體" w:eastAsia="標楷體" w:hAnsi="標楷體" w:hint="eastAsia"/>
                                <w:b/>
                                <w:color w:val="000000"/>
                                <w:szCs w:val="24"/>
                              </w:rPr>
                              <w:t xml:space="preserve">　</w:t>
                            </w:r>
                            <w:proofErr w:type="gramStart"/>
                            <w:r>
                              <w:rPr>
                                <w:rFonts w:ascii="標楷體" w:eastAsia="標楷體" w:hAnsi="標楷體" w:hint="eastAsia"/>
                                <w:b/>
                                <w:color w:val="000000"/>
                                <w:szCs w:val="24"/>
                              </w:rPr>
                              <w:t>1</w:t>
                            </w:r>
                            <w:r>
                              <w:rPr>
                                <w:rFonts w:ascii="標楷體" w:eastAsia="標楷體" w:hAnsi="標楷體"/>
                                <w:b/>
                                <w:color w:val="000000"/>
                                <w:szCs w:val="24"/>
                              </w:rPr>
                              <w:t>13</w:t>
                            </w:r>
                            <w:proofErr w:type="gramEnd"/>
                            <w:r>
                              <w:rPr>
                                <w:rFonts w:ascii="標楷體" w:eastAsia="標楷體" w:hAnsi="標楷體" w:hint="eastAsia"/>
                                <w:b/>
                                <w:color w:val="000000"/>
                                <w:szCs w:val="24"/>
                              </w:rPr>
                              <w:t>年度</w:t>
                            </w:r>
                            <w:r w:rsidRPr="0087187B">
                              <w:rPr>
                                <w:rFonts w:ascii="標楷體" w:eastAsia="標楷體" w:hAnsi="標楷體" w:hint="eastAsia"/>
                                <w:b/>
                                <w:color w:val="000000"/>
                                <w:szCs w:val="24"/>
                              </w:rPr>
                              <w:t>薪資提升及薪資透明化議題</w:t>
                            </w:r>
                            <w:r>
                              <w:rPr>
                                <w:rFonts w:ascii="標楷體" w:eastAsia="標楷體" w:hAnsi="標楷體" w:hint="eastAsia"/>
                                <w:b/>
                                <w:color w:val="000000"/>
                                <w:szCs w:val="24"/>
                              </w:rPr>
                              <w:t>三大項目</w:t>
                            </w:r>
                            <w:r w:rsidRPr="00A166FD">
                              <w:rPr>
                                <w:rFonts w:ascii="標楷體" w:eastAsia="標楷體" w:hAnsi="標楷體" w:hint="eastAsia"/>
                                <w:b/>
                                <w:szCs w:val="24"/>
                              </w:rPr>
                              <w:t>8項創新</w:t>
                            </w:r>
                            <w:r w:rsidRPr="00A166FD">
                              <w:rPr>
                                <w:rFonts w:ascii="標楷體" w:eastAsia="標楷體" w:hAnsi="標楷體"/>
                                <w:b/>
                                <w:szCs w:val="24"/>
                              </w:rPr>
                              <w:t>對策</w:t>
                            </w:r>
                            <w:r w:rsidRPr="00A166FD">
                              <w:rPr>
                                <w:rFonts w:ascii="標楷體" w:eastAsia="標楷體" w:hAnsi="標楷體" w:hint="eastAsia"/>
                                <w:b/>
                                <w:szCs w:val="24"/>
                              </w:rPr>
                              <w:t>辦理情形</w:t>
                            </w:r>
                          </w:p>
                          <w:tbl>
                            <w:tblPr>
                              <w:tblStyle w:val="SGSTableBasic12"/>
                              <w:tblW w:w="7948" w:type="dxa"/>
                              <w:jc w:val="right"/>
                              <w:tblLook w:val="04A0" w:firstRow="1" w:lastRow="0" w:firstColumn="1" w:lastColumn="0" w:noHBand="0" w:noVBand="1"/>
                            </w:tblPr>
                            <w:tblGrid>
                              <w:gridCol w:w="1286"/>
                              <w:gridCol w:w="1559"/>
                              <w:gridCol w:w="1276"/>
                              <w:gridCol w:w="1323"/>
                              <w:gridCol w:w="945"/>
                              <w:gridCol w:w="1559"/>
                            </w:tblGrid>
                            <w:tr w:rsidR="008E61F9" w:rsidRPr="00D72322" w14:paraId="7BD3C32E" w14:textId="77777777" w:rsidTr="00307453">
                              <w:trPr>
                                <w:trHeight w:val="340"/>
                                <w:tblHeader/>
                                <w:jc w:val="right"/>
                              </w:trPr>
                              <w:tc>
                                <w:tcPr>
                                  <w:tcW w:w="1286" w:type="dxa"/>
                                  <w:vMerge w:val="restart"/>
                                  <w:shd w:val="clear" w:color="auto" w:fill="auto"/>
                                  <w:vAlign w:val="center"/>
                                </w:tcPr>
                                <w:p w14:paraId="71C0E0FE" w14:textId="77777777" w:rsidR="008E61F9" w:rsidRPr="007155E8" w:rsidRDefault="008E61F9" w:rsidP="00D90A44">
                                  <w:pPr>
                                    <w:overflowPunct w:val="0"/>
                                    <w:spacing w:line="220" w:lineRule="exact"/>
                                    <w:jc w:val="center"/>
                                    <w:rPr>
                                      <w:rFonts w:ascii="標楷體" w:eastAsia="標楷體" w:hAnsi="標楷體"/>
                                      <w:sz w:val="20"/>
                                      <w:szCs w:val="20"/>
                                    </w:rPr>
                                  </w:pPr>
                                  <w:r w:rsidRPr="007155E8">
                                    <w:rPr>
                                      <w:rFonts w:ascii="標楷體" w:eastAsia="標楷體" w:hAnsi="標楷體" w:hint="eastAsia"/>
                                      <w:sz w:val="20"/>
                                      <w:szCs w:val="20"/>
                                    </w:rPr>
                                    <w:t>項目</w:t>
                                  </w:r>
                                </w:p>
                              </w:tc>
                              <w:tc>
                                <w:tcPr>
                                  <w:tcW w:w="1559" w:type="dxa"/>
                                  <w:vMerge w:val="restart"/>
                                  <w:shd w:val="clear" w:color="auto" w:fill="auto"/>
                                  <w:vAlign w:val="center"/>
                                </w:tcPr>
                                <w:p w14:paraId="0F847101" w14:textId="77777777" w:rsidR="008E61F9" w:rsidRPr="007155E8" w:rsidRDefault="008E61F9" w:rsidP="00D90A44">
                                  <w:pPr>
                                    <w:overflowPunct w:val="0"/>
                                    <w:spacing w:line="220" w:lineRule="exact"/>
                                    <w:jc w:val="center"/>
                                    <w:rPr>
                                      <w:rFonts w:ascii="標楷體" w:eastAsia="標楷體" w:hAnsi="標楷體"/>
                                      <w:sz w:val="20"/>
                                      <w:szCs w:val="20"/>
                                    </w:rPr>
                                  </w:pPr>
                                  <w:r w:rsidRPr="007155E8">
                                    <w:rPr>
                                      <w:rFonts w:ascii="標楷體" w:eastAsia="標楷體" w:hAnsi="標楷體" w:hint="eastAsia"/>
                                      <w:sz w:val="20"/>
                                      <w:szCs w:val="20"/>
                                    </w:rPr>
                                    <w:t>創新對策</w:t>
                                  </w:r>
                                </w:p>
                              </w:tc>
                              <w:tc>
                                <w:tcPr>
                                  <w:tcW w:w="1276" w:type="dxa"/>
                                  <w:vMerge w:val="restart"/>
                                  <w:shd w:val="clear" w:color="auto" w:fill="auto"/>
                                  <w:vAlign w:val="center"/>
                                </w:tcPr>
                                <w:p w14:paraId="66EFE93C" w14:textId="77777777" w:rsidR="008E61F9" w:rsidRPr="007155E8" w:rsidRDefault="008E61F9" w:rsidP="00D90A44">
                                  <w:pPr>
                                    <w:overflowPunct w:val="0"/>
                                    <w:spacing w:line="220" w:lineRule="exact"/>
                                    <w:jc w:val="center"/>
                                    <w:rPr>
                                      <w:rFonts w:ascii="標楷體" w:eastAsia="標楷體" w:hAnsi="標楷體"/>
                                      <w:sz w:val="20"/>
                                      <w:szCs w:val="20"/>
                                    </w:rPr>
                                  </w:pPr>
                                  <w:r w:rsidRPr="007155E8">
                                    <w:rPr>
                                      <w:rFonts w:ascii="標楷體" w:eastAsia="標楷體" w:hAnsi="標楷體" w:hint="eastAsia"/>
                                      <w:sz w:val="20"/>
                                      <w:szCs w:val="20"/>
                                    </w:rPr>
                                    <w:t>主辦機關</w:t>
                                  </w:r>
                                </w:p>
                              </w:tc>
                              <w:tc>
                                <w:tcPr>
                                  <w:tcW w:w="3827" w:type="dxa"/>
                                  <w:gridSpan w:val="3"/>
                                  <w:shd w:val="clear" w:color="auto" w:fill="auto"/>
                                  <w:vAlign w:val="center"/>
                                </w:tcPr>
                                <w:p w14:paraId="1CD393A4" w14:textId="77777777" w:rsidR="008E61F9" w:rsidRPr="007F3E48" w:rsidRDefault="008E61F9" w:rsidP="00D90A44">
                                  <w:pPr>
                                    <w:overflowPunct w:val="0"/>
                                    <w:spacing w:line="220" w:lineRule="exact"/>
                                    <w:jc w:val="center"/>
                                    <w:rPr>
                                      <w:rFonts w:ascii="標楷體" w:eastAsia="標楷體" w:hAnsi="標楷體"/>
                                      <w:sz w:val="20"/>
                                      <w:szCs w:val="20"/>
                                    </w:rPr>
                                  </w:pPr>
                                  <w:r w:rsidRPr="007F3E48">
                                    <w:rPr>
                                      <w:rFonts w:ascii="標楷體" w:eastAsia="標楷體" w:hAnsi="標楷體" w:hint="eastAsia"/>
                                      <w:sz w:val="20"/>
                                      <w:szCs w:val="20"/>
                                    </w:rPr>
                                    <w:t>截至1</w:t>
                                  </w:r>
                                  <w:r w:rsidRPr="007F3E48">
                                    <w:rPr>
                                      <w:rFonts w:ascii="標楷體" w:eastAsia="標楷體" w:hAnsi="標楷體"/>
                                      <w:sz w:val="20"/>
                                      <w:szCs w:val="20"/>
                                    </w:rPr>
                                    <w:t>14</w:t>
                                  </w:r>
                                  <w:r w:rsidRPr="007F3E48">
                                    <w:rPr>
                                      <w:rFonts w:ascii="標楷體" w:eastAsia="標楷體" w:hAnsi="標楷體" w:hint="eastAsia"/>
                                      <w:sz w:val="20"/>
                                      <w:szCs w:val="20"/>
                                    </w:rPr>
                                    <w:t>年3月2</w:t>
                                  </w:r>
                                  <w:r w:rsidRPr="007F3E48">
                                    <w:rPr>
                                      <w:rFonts w:ascii="標楷體" w:eastAsia="標楷體" w:hAnsi="標楷體"/>
                                      <w:sz w:val="20"/>
                                      <w:szCs w:val="20"/>
                                    </w:rPr>
                                    <w:t>2</w:t>
                                  </w:r>
                                  <w:r w:rsidRPr="007F3E48">
                                    <w:rPr>
                                      <w:rFonts w:ascii="標楷體" w:eastAsia="標楷體" w:hAnsi="標楷體" w:hint="eastAsia"/>
                                      <w:sz w:val="20"/>
                                      <w:szCs w:val="20"/>
                                    </w:rPr>
                                    <w:t>日辦理情形</w:t>
                                  </w:r>
                                </w:p>
                              </w:tc>
                            </w:tr>
                            <w:tr w:rsidR="008E61F9" w:rsidRPr="00D72322" w14:paraId="4FE0E346" w14:textId="77777777" w:rsidTr="00307453">
                              <w:trPr>
                                <w:trHeight w:val="340"/>
                                <w:tblHeader/>
                                <w:jc w:val="right"/>
                              </w:trPr>
                              <w:tc>
                                <w:tcPr>
                                  <w:tcW w:w="1286" w:type="dxa"/>
                                  <w:vMerge/>
                                  <w:shd w:val="clear" w:color="auto" w:fill="auto"/>
                                  <w:vAlign w:val="center"/>
                                </w:tcPr>
                                <w:p w14:paraId="05F3BC4B" w14:textId="77777777" w:rsidR="008E61F9" w:rsidRPr="007155E8" w:rsidRDefault="008E61F9" w:rsidP="00D90A44">
                                  <w:pPr>
                                    <w:overflowPunct w:val="0"/>
                                    <w:spacing w:line="220" w:lineRule="exact"/>
                                    <w:jc w:val="center"/>
                                    <w:rPr>
                                      <w:rFonts w:ascii="標楷體" w:eastAsia="標楷體" w:hAnsi="標楷體"/>
                                      <w:sz w:val="20"/>
                                      <w:szCs w:val="20"/>
                                    </w:rPr>
                                  </w:pPr>
                                </w:p>
                              </w:tc>
                              <w:tc>
                                <w:tcPr>
                                  <w:tcW w:w="1559" w:type="dxa"/>
                                  <w:vMerge/>
                                  <w:shd w:val="clear" w:color="auto" w:fill="auto"/>
                                  <w:vAlign w:val="center"/>
                                </w:tcPr>
                                <w:p w14:paraId="728B3108" w14:textId="77777777" w:rsidR="008E61F9" w:rsidRPr="007155E8" w:rsidRDefault="008E61F9" w:rsidP="00D90A44">
                                  <w:pPr>
                                    <w:overflowPunct w:val="0"/>
                                    <w:spacing w:line="220" w:lineRule="exact"/>
                                    <w:jc w:val="center"/>
                                    <w:rPr>
                                      <w:rFonts w:ascii="標楷體" w:eastAsia="標楷體" w:hAnsi="標楷體"/>
                                      <w:sz w:val="20"/>
                                      <w:szCs w:val="20"/>
                                    </w:rPr>
                                  </w:pPr>
                                </w:p>
                              </w:tc>
                              <w:tc>
                                <w:tcPr>
                                  <w:tcW w:w="1276" w:type="dxa"/>
                                  <w:vMerge/>
                                  <w:shd w:val="clear" w:color="auto" w:fill="auto"/>
                                  <w:vAlign w:val="center"/>
                                </w:tcPr>
                                <w:p w14:paraId="60E4EB0D" w14:textId="77777777" w:rsidR="008E61F9" w:rsidRPr="007155E8" w:rsidRDefault="008E61F9" w:rsidP="00D90A44">
                                  <w:pPr>
                                    <w:overflowPunct w:val="0"/>
                                    <w:spacing w:line="220" w:lineRule="exact"/>
                                    <w:jc w:val="center"/>
                                    <w:rPr>
                                      <w:rFonts w:ascii="標楷體" w:eastAsia="標楷體" w:hAnsi="標楷體"/>
                                      <w:sz w:val="20"/>
                                      <w:szCs w:val="20"/>
                                    </w:rPr>
                                  </w:pPr>
                                </w:p>
                              </w:tc>
                              <w:tc>
                                <w:tcPr>
                                  <w:tcW w:w="1323" w:type="dxa"/>
                                  <w:shd w:val="clear" w:color="auto" w:fill="auto"/>
                                  <w:vAlign w:val="center"/>
                                </w:tcPr>
                                <w:p w14:paraId="491A4855" w14:textId="77777777" w:rsidR="008E61F9" w:rsidRPr="007F3E48" w:rsidRDefault="008E61F9" w:rsidP="00D90A44">
                                  <w:pPr>
                                    <w:overflowPunct w:val="0"/>
                                    <w:spacing w:line="220" w:lineRule="exact"/>
                                    <w:jc w:val="both"/>
                                    <w:rPr>
                                      <w:rFonts w:ascii="標楷體" w:eastAsia="標楷體" w:hAnsi="標楷體"/>
                                      <w:sz w:val="20"/>
                                      <w:szCs w:val="20"/>
                                    </w:rPr>
                                  </w:pPr>
                                  <w:r w:rsidRPr="007F3E48">
                                    <w:rPr>
                                      <w:rFonts w:ascii="標楷體" w:eastAsia="標楷體" w:hAnsi="標楷體" w:hint="eastAsia"/>
                                      <w:sz w:val="20"/>
                                      <w:szCs w:val="20"/>
                                    </w:rPr>
                                    <w:t>完成法規（行政規則）公（發）布</w:t>
                                  </w:r>
                                </w:p>
                              </w:tc>
                              <w:tc>
                                <w:tcPr>
                                  <w:tcW w:w="945" w:type="dxa"/>
                                  <w:shd w:val="clear" w:color="auto" w:fill="auto"/>
                                  <w:vAlign w:val="center"/>
                                </w:tcPr>
                                <w:p w14:paraId="1055D354" w14:textId="77777777" w:rsidR="008E61F9" w:rsidRPr="007F3E48" w:rsidRDefault="008E61F9" w:rsidP="00D90A44">
                                  <w:pPr>
                                    <w:overflowPunct w:val="0"/>
                                    <w:spacing w:line="220" w:lineRule="exact"/>
                                    <w:jc w:val="center"/>
                                    <w:rPr>
                                      <w:rFonts w:ascii="標楷體" w:eastAsia="標楷體" w:hAnsi="標楷體"/>
                                      <w:sz w:val="20"/>
                                      <w:szCs w:val="20"/>
                                    </w:rPr>
                                  </w:pPr>
                                  <w:proofErr w:type="gramStart"/>
                                  <w:r w:rsidRPr="007F3E48">
                                    <w:rPr>
                                      <w:rFonts w:ascii="標楷體" w:eastAsia="標楷體" w:hAnsi="標楷體" w:hint="eastAsia"/>
                                      <w:sz w:val="20"/>
                                      <w:szCs w:val="20"/>
                                    </w:rPr>
                                    <w:t>研</w:t>
                                  </w:r>
                                  <w:proofErr w:type="gramEnd"/>
                                  <w:r w:rsidRPr="007F3E48">
                                    <w:rPr>
                                      <w:rFonts w:ascii="標楷體" w:eastAsia="標楷體" w:hAnsi="標楷體" w:hint="eastAsia"/>
                                      <w:sz w:val="20"/>
                                      <w:szCs w:val="20"/>
                                    </w:rPr>
                                    <w:t>議中</w:t>
                                  </w:r>
                                </w:p>
                              </w:tc>
                              <w:tc>
                                <w:tcPr>
                                  <w:tcW w:w="1559" w:type="dxa"/>
                                  <w:shd w:val="clear" w:color="auto" w:fill="auto"/>
                                  <w:vAlign w:val="center"/>
                                </w:tcPr>
                                <w:p w14:paraId="4798E6F3" w14:textId="77777777" w:rsidR="008E61F9" w:rsidRPr="007F3E48" w:rsidRDefault="008E61F9" w:rsidP="00D90A44">
                                  <w:pPr>
                                    <w:overflowPunct w:val="0"/>
                                    <w:spacing w:line="220" w:lineRule="exact"/>
                                    <w:jc w:val="both"/>
                                    <w:rPr>
                                      <w:rFonts w:ascii="標楷體" w:eastAsia="標楷體" w:hAnsi="標楷體"/>
                                      <w:sz w:val="20"/>
                                      <w:szCs w:val="20"/>
                                    </w:rPr>
                                  </w:pPr>
                                  <w:r w:rsidRPr="007F3E48">
                                    <w:rPr>
                                      <w:rFonts w:ascii="標楷體" w:eastAsia="標楷體" w:hAnsi="標楷體" w:hint="eastAsia"/>
                                      <w:sz w:val="20"/>
                                      <w:szCs w:val="20"/>
                                    </w:rPr>
                                    <w:t>部分法規（行政規則）公（發）布及</w:t>
                                  </w:r>
                                  <w:proofErr w:type="gramStart"/>
                                  <w:r w:rsidRPr="007F3E48">
                                    <w:rPr>
                                      <w:rFonts w:ascii="標楷體" w:eastAsia="標楷體" w:hAnsi="標楷體" w:hint="eastAsia"/>
                                      <w:sz w:val="20"/>
                                      <w:szCs w:val="20"/>
                                    </w:rPr>
                                    <w:t>研</w:t>
                                  </w:r>
                                  <w:proofErr w:type="gramEnd"/>
                                  <w:r w:rsidRPr="007F3E48">
                                    <w:rPr>
                                      <w:rFonts w:ascii="標楷體" w:eastAsia="標楷體" w:hAnsi="標楷體" w:hint="eastAsia"/>
                                      <w:sz w:val="20"/>
                                      <w:szCs w:val="20"/>
                                    </w:rPr>
                                    <w:t>議中</w:t>
                                  </w:r>
                                </w:p>
                              </w:tc>
                            </w:tr>
                            <w:tr w:rsidR="008E61F9" w:rsidRPr="00D72322" w14:paraId="05D42129" w14:textId="77777777" w:rsidTr="00307453">
                              <w:trPr>
                                <w:jc w:val="right"/>
                              </w:trPr>
                              <w:tc>
                                <w:tcPr>
                                  <w:tcW w:w="1286" w:type="dxa"/>
                                  <w:vMerge w:val="restart"/>
                                  <w:vAlign w:val="center"/>
                                </w:tcPr>
                                <w:p w14:paraId="017BDCF5"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政府作為</w:t>
                                  </w:r>
                                </w:p>
                                <w:p w14:paraId="07D86565"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加薪引擎</w:t>
                                  </w:r>
                                </w:p>
                              </w:tc>
                              <w:tc>
                                <w:tcPr>
                                  <w:tcW w:w="1559" w:type="dxa"/>
                                  <w:vAlign w:val="center"/>
                                </w:tcPr>
                                <w:p w14:paraId="13B684A0"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1.提升公部門及公營事業所</w:t>
                                  </w:r>
                                  <w:proofErr w:type="gramStart"/>
                                  <w:r w:rsidRPr="00861744">
                                    <w:rPr>
                                      <w:rFonts w:ascii="標楷體" w:eastAsia="標楷體" w:hAnsi="標楷體" w:hint="eastAsia"/>
                                      <w:snapToGrid w:val="0"/>
                                      <w:spacing w:val="-6"/>
                                      <w:kern w:val="0"/>
                                      <w:sz w:val="20"/>
                                      <w:szCs w:val="20"/>
                                    </w:rPr>
                                    <w:t>僱</w:t>
                                  </w:r>
                                  <w:proofErr w:type="gramEnd"/>
                                  <w:r w:rsidRPr="00861744">
                                    <w:rPr>
                                      <w:rFonts w:ascii="標楷體" w:eastAsia="標楷體" w:hAnsi="標楷體" w:hint="eastAsia"/>
                                      <w:snapToGrid w:val="0"/>
                                      <w:spacing w:val="-6"/>
                                      <w:kern w:val="0"/>
                                      <w:sz w:val="20"/>
                                      <w:szCs w:val="20"/>
                                    </w:rPr>
                                    <w:t>勞工薪資</w:t>
                                  </w:r>
                                </w:p>
                              </w:tc>
                              <w:tc>
                                <w:tcPr>
                                  <w:tcW w:w="1276" w:type="dxa"/>
                                  <w:vAlign w:val="center"/>
                                </w:tcPr>
                                <w:p w14:paraId="5C0A9E31"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行政院人事行政總處</w:t>
                                  </w:r>
                                </w:p>
                              </w:tc>
                              <w:tc>
                                <w:tcPr>
                                  <w:tcW w:w="1323" w:type="dxa"/>
                                  <w:vAlign w:val="center"/>
                                </w:tcPr>
                                <w:p w14:paraId="1E639881" w14:textId="733DFB51"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6DDE4ECC"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0481E252"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01993BEA" w14:textId="77777777" w:rsidTr="00307453">
                              <w:trPr>
                                <w:jc w:val="right"/>
                              </w:trPr>
                              <w:tc>
                                <w:tcPr>
                                  <w:tcW w:w="1286" w:type="dxa"/>
                                  <w:vMerge/>
                                  <w:vAlign w:val="center"/>
                                </w:tcPr>
                                <w:p w14:paraId="3608CC4E"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0A929ED6" w14:textId="77777777" w:rsidR="008E61F9" w:rsidRPr="00445556"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445556">
                                    <w:rPr>
                                      <w:rFonts w:ascii="標楷體" w:eastAsia="標楷體" w:hAnsi="標楷體" w:hint="eastAsia"/>
                                      <w:snapToGrid w:val="0"/>
                                      <w:spacing w:val="-6"/>
                                      <w:kern w:val="0"/>
                                      <w:sz w:val="20"/>
                                      <w:szCs w:val="20"/>
                                    </w:rPr>
                                    <w:t>2.檢討勞務採購</w:t>
                                  </w:r>
                                </w:p>
                              </w:tc>
                              <w:tc>
                                <w:tcPr>
                                  <w:tcW w:w="1276" w:type="dxa"/>
                                  <w:vAlign w:val="center"/>
                                </w:tcPr>
                                <w:p w14:paraId="35E42AB2" w14:textId="77777777" w:rsidR="008E61F9" w:rsidRPr="00445556" w:rsidRDefault="008E61F9" w:rsidP="00D90A44">
                                  <w:pPr>
                                    <w:overflowPunct w:val="0"/>
                                    <w:spacing w:line="220" w:lineRule="exact"/>
                                    <w:jc w:val="both"/>
                                    <w:rPr>
                                      <w:rFonts w:ascii="標楷體" w:eastAsia="標楷體" w:hAnsi="標楷體"/>
                                      <w:snapToGrid w:val="0"/>
                                      <w:kern w:val="0"/>
                                      <w:sz w:val="20"/>
                                      <w:szCs w:val="20"/>
                                    </w:rPr>
                                  </w:pPr>
                                  <w:r w:rsidRPr="00445556">
                                    <w:rPr>
                                      <w:rFonts w:ascii="標楷體" w:eastAsia="標楷體" w:hAnsi="標楷體" w:hint="eastAsia"/>
                                      <w:snapToGrid w:val="0"/>
                                      <w:kern w:val="0"/>
                                      <w:sz w:val="20"/>
                                      <w:szCs w:val="20"/>
                                    </w:rPr>
                                    <w:t>行政院公共工程委員會</w:t>
                                  </w:r>
                                </w:p>
                              </w:tc>
                              <w:tc>
                                <w:tcPr>
                                  <w:tcW w:w="1323" w:type="dxa"/>
                                  <w:vAlign w:val="center"/>
                                </w:tcPr>
                                <w:p w14:paraId="0D46B5ED" w14:textId="31A579E9"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6CBDEE9B"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4D77A246"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1A963B8D" w14:textId="77777777" w:rsidTr="00307453">
                              <w:trPr>
                                <w:jc w:val="right"/>
                              </w:trPr>
                              <w:tc>
                                <w:tcPr>
                                  <w:tcW w:w="1286" w:type="dxa"/>
                                  <w:vMerge/>
                                  <w:vAlign w:val="center"/>
                                </w:tcPr>
                                <w:p w14:paraId="6E9C235F"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7705E986"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3.修正證券交易法要求企業分潤員工</w:t>
                                  </w:r>
                                </w:p>
                              </w:tc>
                              <w:tc>
                                <w:tcPr>
                                  <w:tcW w:w="1276" w:type="dxa"/>
                                  <w:vAlign w:val="center"/>
                                </w:tcPr>
                                <w:p w14:paraId="38DCA25B"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金融監督管理委員會</w:t>
                                  </w:r>
                                </w:p>
                              </w:tc>
                              <w:tc>
                                <w:tcPr>
                                  <w:tcW w:w="1323" w:type="dxa"/>
                                  <w:vAlign w:val="center"/>
                                </w:tcPr>
                                <w:p w14:paraId="034D4D76" w14:textId="7A6EAE48"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47A15785"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13A7773E"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5BEED1CA" w14:textId="77777777" w:rsidTr="007262C6">
                              <w:trPr>
                                <w:jc w:val="right"/>
                              </w:trPr>
                              <w:tc>
                                <w:tcPr>
                                  <w:tcW w:w="1286" w:type="dxa"/>
                                  <w:vMerge w:val="restart"/>
                                  <w:vAlign w:val="center"/>
                                </w:tcPr>
                                <w:p w14:paraId="10774247"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薪資透明化</w:t>
                                  </w:r>
                                </w:p>
                              </w:tc>
                              <w:tc>
                                <w:tcPr>
                                  <w:tcW w:w="1559" w:type="dxa"/>
                                  <w:vAlign w:val="center"/>
                                </w:tcPr>
                                <w:p w14:paraId="4A365E28"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4.提高職缺薪資揭露門檻</w:t>
                                  </w:r>
                                </w:p>
                              </w:tc>
                              <w:tc>
                                <w:tcPr>
                                  <w:tcW w:w="1276" w:type="dxa"/>
                                  <w:vAlign w:val="center"/>
                                </w:tcPr>
                                <w:p w14:paraId="22C6FF7F" w14:textId="77777777" w:rsidR="008E61F9" w:rsidRPr="007155E8" w:rsidRDefault="008E61F9" w:rsidP="00060510">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勞動部</w:t>
                                  </w:r>
                                </w:p>
                              </w:tc>
                              <w:tc>
                                <w:tcPr>
                                  <w:tcW w:w="1323" w:type="dxa"/>
                                  <w:vAlign w:val="center"/>
                                </w:tcPr>
                                <w:p w14:paraId="4744723E"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945" w:type="dxa"/>
                                  <w:shd w:val="clear" w:color="auto" w:fill="F2F2F2" w:themeFill="background1" w:themeFillShade="F2"/>
                                  <w:vAlign w:val="center"/>
                                </w:tcPr>
                                <w:p w14:paraId="27DF9CD3" w14:textId="15FD772C"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1559" w:type="dxa"/>
                                  <w:vAlign w:val="center"/>
                                </w:tcPr>
                                <w:p w14:paraId="48901E7F"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044237D8" w14:textId="77777777" w:rsidTr="007262C6">
                              <w:trPr>
                                <w:jc w:val="right"/>
                              </w:trPr>
                              <w:tc>
                                <w:tcPr>
                                  <w:tcW w:w="1286" w:type="dxa"/>
                                  <w:vMerge/>
                                  <w:vAlign w:val="center"/>
                                </w:tcPr>
                                <w:p w14:paraId="73F3228C"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518151D7"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5.薪資條件列入企業上市櫃審查標準</w:t>
                                  </w:r>
                                </w:p>
                              </w:tc>
                              <w:tc>
                                <w:tcPr>
                                  <w:tcW w:w="1276" w:type="dxa"/>
                                  <w:vAlign w:val="center"/>
                                </w:tcPr>
                                <w:p w14:paraId="692D7E0B"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金融監督管理委員會</w:t>
                                  </w:r>
                                </w:p>
                              </w:tc>
                              <w:tc>
                                <w:tcPr>
                                  <w:tcW w:w="1323" w:type="dxa"/>
                                  <w:vAlign w:val="center"/>
                                </w:tcPr>
                                <w:p w14:paraId="11495D24"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945" w:type="dxa"/>
                                  <w:shd w:val="clear" w:color="auto" w:fill="F2F2F2" w:themeFill="background1" w:themeFillShade="F2"/>
                                  <w:vAlign w:val="center"/>
                                </w:tcPr>
                                <w:p w14:paraId="4686EC32" w14:textId="7B6836D0"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1559" w:type="dxa"/>
                                  <w:vAlign w:val="center"/>
                                </w:tcPr>
                                <w:p w14:paraId="412003E5"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4DE2113A" w14:textId="77777777" w:rsidTr="007262C6">
                              <w:trPr>
                                <w:jc w:val="right"/>
                              </w:trPr>
                              <w:tc>
                                <w:tcPr>
                                  <w:tcW w:w="1286" w:type="dxa"/>
                                  <w:vMerge/>
                                  <w:vAlign w:val="center"/>
                                </w:tcPr>
                                <w:p w14:paraId="7B65102A"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6F2A0C06"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6.上市櫃企業員工薪資資訊透明</w:t>
                                  </w:r>
                                </w:p>
                              </w:tc>
                              <w:tc>
                                <w:tcPr>
                                  <w:tcW w:w="1276" w:type="dxa"/>
                                  <w:vAlign w:val="center"/>
                                </w:tcPr>
                                <w:p w14:paraId="3B1C2A41"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勞動部/</w:t>
                                  </w:r>
                                </w:p>
                                <w:p w14:paraId="428DE4FE"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金融監督管理委員會</w:t>
                                  </w:r>
                                </w:p>
                              </w:tc>
                              <w:tc>
                                <w:tcPr>
                                  <w:tcW w:w="1323" w:type="dxa"/>
                                  <w:vAlign w:val="center"/>
                                </w:tcPr>
                                <w:p w14:paraId="5896B4E5" w14:textId="77777777" w:rsidR="008E61F9" w:rsidRPr="00D72322" w:rsidRDefault="008E61F9" w:rsidP="00D90A44">
                                  <w:pPr>
                                    <w:overflowPunct w:val="0"/>
                                    <w:spacing w:line="220" w:lineRule="exact"/>
                                    <w:ind w:left="200" w:hangingChars="100" w:hanging="200"/>
                                    <w:jc w:val="center"/>
                                    <w:rPr>
                                      <w:rFonts w:ascii="標楷體" w:eastAsia="標楷體" w:hAnsi="標楷體"/>
                                      <w:snapToGrid w:val="0"/>
                                      <w:color w:val="548DD4" w:themeColor="text2" w:themeTint="99"/>
                                      <w:kern w:val="0"/>
                                      <w:sz w:val="20"/>
                                      <w:szCs w:val="20"/>
                                    </w:rPr>
                                  </w:pPr>
                                </w:p>
                              </w:tc>
                              <w:tc>
                                <w:tcPr>
                                  <w:tcW w:w="945" w:type="dxa"/>
                                  <w:vAlign w:val="center"/>
                                </w:tcPr>
                                <w:p w14:paraId="28A6A01E" w14:textId="77777777" w:rsidR="008E61F9" w:rsidRPr="00D72322" w:rsidRDefault="008E61F9" w:rsidP="00D90A44">
                                  <w:pPr>
                                    <w:overflowPunct w:val="0"/>
                                    <w:spacing w:line="220" w:lineRule="exact"/>
                                    <w:ind w:left="200" w:hangingChars="100" w:hanging="200"/>
                                    <w:jc w:val="center"/>
                                    <w:rPr>
                                      <w:rFonts w:ascii="標楷體" w:eastAsia="標楷體" w:hAnsi="標楷體"/>
                                      <w:snapToGrid w:val="0"/>
                                      <w:color w:val="548DD4" w:themeColor="text2" w:themeTint="99"/>
                                      <w:kern w:val="0"/>
                                      <w:sz w:val="20"/>
                                      <w:szCs w:val="20"/>
                                    </w:rPr>
                                  </w:pPr>
                                </w:p>
                              </w:tc>
                              <w:tc>
                                <w:tcPr>
                                  <w:tcW w:w="1559" w:type="dxa"/>
                                  <w:shd w:val="clear" w:color="auto" w:fill="F2F2F2" w:themeFill="background1" w:themeFillShade="F2"/>
                                  <w:vAlign w:val="center"/>
                                </w:tcPr>
                                <w:p w14:paraId="1B595A18" w14:textId="267EFF01" w:rsidR="008E61F9" w:rsidRPr="00D72322" w:rsidRDefault="00F3515D" w:rsidP="00D90A44">
                                  <w:pPr>
                                    <w:overflowPunct w:val="0"/>
                                    <w:spacing w:line="220" w:lineRule="exact"/>
                                    <w:ind w:left="280" w:hangingChars="100" w:hanging="280"/>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r>
                            <w:tr w:rsidR="008E61F9" w:rsidRPr="00D72322" w14:paraId="799A157F" w14:textId="77777777" w:rsidTr="007262C6">
                              <w:trPr>
                                <w:jc w:val="right"/>
                              </w:trPr>
                              <w:tc>
                                <w:tcPr>
                                  <w:tcW w:w="1286" w:type="dxa"/>
                                  <w:vMerge w:val="restart"/>
                                  <w:vAlign w:val="center"/>
                                </w:tcPr>
                                <w:p w14:paraId="74BBB4FC" w14:textId="77777777" w:rsidR="008E61F9"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中小企業</w:t>
                                  </w:r>
                                </w:p>
                                <w:p w14:paraId="601B1C5C"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roofErr w:type="gramStart"/>
                                  <w:r w:rsidRPr="007155E8">
                                    <w:rPr>
                                      <w:rFonts w:ascii="標楷體" w:eastAsia="標楷體" w:hAnsi="標楷體" w:hint="eastAsia"/>
                                      <w:snapToGrid w:val="0"/>
                                      <w:kern w:val="0"/>
                                      <w:sz w:val="20"/>
                                      <w:szCs w:val="20"/>
                                    </w:rPr>
                                    <w:t>賦能</w:t>
                                  </w:r>
                                  <w:proofErr w:type="gramEnd"/>
                                </w:p>
                              </w:tc>
                              <w:tc>
                                <w:tcPr>
                                  <w:tcW w:w="1559" w:type="dxa"/>
                                  <w:vAlign w:val="center"/>
                                </w:tcPr>
                                <w:p w14:paraId="0B1BD628"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7.擴大輔導，創造企業獲利及加薪能力</w:t>
                                  </w:r>
                                </w:p>
                              </w:tc>
                              <w:tc>
                                <w:tcPr>
                                  <w:tcW w:w="1276" w:type="dxa"/>
                                  <w:vAlign w:val="center"/>
                                </w:tcPr>
                                <w:p w14:paraId="45F3831D" w14:textId="77777777" w:rsidR="008E61F9" w:rsidRPr="007155E8" w:rsidRDefault="008E61F9" w:rsidP="00060510">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經濟部</w:t>
                                  </w:r>
                                </w:p>
                              </w:tc>
                              <w:tc>
                                <w:tcPr>
                                  <w:tcW w:w="1323" w:type="dxa"/>
                                  <w:vAlign w:val="center"/>
                                </w:tcPr>
                                <w:p w14:paraId="29F9CD6C"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945" w:type="dxa"/>
                                  <w:vAlign w:val="center"/>
                                </w:tcPr>
                                <w:p w14:paraId="6F4A7290"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shd w:val="clear" w:color="auto" w:fill="F2F2F2" w:themeFill="background1" w:themeFillShade="F2"/>
                                  <w:vAlign w:val="center"/>
                                </w:tcPr>
                                <w:p w14:paraId="1619DF59" w14:textId="17FDC821"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r>
                            <w:tr w:rsidR="008E61F9" w:rsidRPr="00D72322" w14:paraId="7FEDFC47" w14:textId="77777777" w:rsidTr="00307453">
                              <w:trPr>
                                <w:jc w:val="right"/>
                              </w:trPr>
                              <w:tc>
                                <w:tcPr>
                                  <w:tcW w:w="1286" w:type="dxa"/>
                                  <w:vMerge/>
                                  <w:vAlign w:val="center"/>
                                </w:tcPr>
                                <w:p w14:paraId="2737A3DF"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p>
                              </w:tc>
                              <w:tc>
                                <w:tcPr>
                                  <w:tcW w:w="1559" w:type="dxa"/>
                                  <w:vAlign w:val="center"/>
                                </w:tcPr>
                                <w:p w14:paraId="1C9669DF"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8.鼓勵有獲利之中小企業對員工加薪</w:t>
                                  </w:r>
                                </w:p>
                              </w:tc>
                              <w:tc>
                                <w:tcPr>
                                  <w:tcW w:w="1276" w:type="dxa"/>
                                  <w:vAlign w:val="center"/>
                                </w:tcPr>
                                <w:p w14:paraId="51684AE8" w14:textId="77777777" w:rsidR="008E61F9" w:rsidRPr="007155E8" w:rsidRDefault="008E61F9" w:rsidP="00060510">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經濟部</w:t>
                                  </w:r>
                                </w:p>
                              </w:tc>
                              <w:tc>
                                <w:tcPr>
                                  <w:tcW w:w="1323" w:type="dxa"/>
                                  <w:vAlign w:val="center"/>
                                </w:tcPr>
                                <w:p w14:paraId="290E7748" w14:textId="24093BE4"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2B02C632"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247A391E"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7EE408EA" w14:textId="77777777" w:rsidTr="00307453">
                              <w:trPr>
                                <w:jc w:val="right"/>
                              </w:trPr>
                              <w:tc>
                                <w:tcPr>
                                  <w:tcW w:w="7948" w:type="dxa"/>
                                  <w:gridSpan w:val="6"/>
                                  <w:tcBorders>
                                    <w:left w:val="nil"/>
                                    <w:bottom w:val="nil"/>
                                    <w:right w:val="nil"/>
                                  </w:tcBorders>
                                </w:tcPr>
                                <w:p w14:paraId="67F41B76" w14:textId="77777777" w:rsidR="008E61F9" w:rsidRPr="007155E8" w:rsidRDefault="008E61F9" w:rsidP="00D90A44">
                                  <w:pPr>
                                    <w:overflowPunct w:val="0"/>
                                    <w:spacing w:line="220" w:lineRule="exact"/>
                                    <w:jc w:val="both"/>
                                    <w:rPr>
                                      <w:rFonts w:ascii="標楷體" w:eastAsia="標楷體" w:hAnsi="標楷體"/>
                                      <w:sz w:val="18"/>
                                      <w:szCs w:val="18"/>
                                    </w:rPr>
                                  </w:pPr>
                                  <w:proofErr w:type="gramStart"/>
                                  <w:r w:rsidRPr="007155E8">
                                    <w:rPr>
                                      <w:rFonts w:ascii="標楷體" w:eastAsia="標楷體" w:hAnsi="標楷體" w:hint="eastAsia"/>
                                      <w:sz w:val="18"/>
                                      <w:szCs w:val="18"/>
                                    </w:rPr>
                                    <w:t>註</w:t>
                                  </w:r>
                                  <w:proofErr w:type="gramEnd"/>
                                  <w:r w:rsidRPr="007155E8">
                                    <w:rPr>
                                      <w:rFonts w:ascii="標楷體" w:eastAsia="標楷體" w:hAnsi="標楷體" w:hint="eastAsia"/>
                                      <w:sz w:val="18"/>
                                      <w:szCs w:val="18"/>
                                    </w:rPr>
                                    <w:t>：1</w:t>
                                  </w:r>
                                  <w:r w:rsidRPr="007155E8">
                                    <w:rPr>
                                      <w:rFonts w:ascii="標楷體" w:eastAsia="標楷體" w:hAnsi="標楷體"/>
                                      <w:sz w:val="18"/>
                                      <w:szCs w:val="18"/>
                                    </w:rPr>
                                    <w:t>.</w:t>
                                  </w:r>
                                  <w:r w:rsidRPr="007155E8">
                                    <w:rPr>
                                      <w:rFonts w:ascii="標楷體" w:eastAsia="標楷體" w:hAnsi="標楷體" w:hint="eastAsia"/>
                                      <w:sz w:val="18"/>
                                      <w:szCs w:val="18"/>
                                    </w:rPr>
                                    <w:t>資料統計時間：截至1</w:t>
                                  </w:r>
                                  <w:r w:rsidRPr="007155E8">
                                    <w:rPr>
                                      <w:rFonts w:ascii="標楷體" w:eastAsia="標楷體" w:hAnsi="標楷體"/>
                                      <w:sz w:val="18"/>
                                      <w:szCs w:val="18"/>
                                    </w:rPr>
                                    <w:t>14</w:t>
                                  </w:r>
                                  <w:r w:rsidRPr="007155E8">
                                    <w:rPr>
                                      <w:rFonts w:ascii="標楷體" w:eastAsia="標楷體" w:hAnsi="標楷體" w:hint="eastAsia"/>
                                      <w:sz w:val="18"/>
                                      <w:szCs w:val="18"/>
                                    </w:rPr>
                                    <w:t>年3月2</w:t>
                                  </w:r>
                                  <w:r w:rsidRPr="007155E8">
                                    <w:rPr>
                                      <w:rFonts w:ascii="標楷體" w:eastAsia="標楷體" w:hAnsi="標楷體"/>
                                      <w:sz w:val="18"/>
                                      <w:szCs w:val="18"/>
                                    </w:rPr>
                                    <w:t>2</w:t>
                                  </w:r>
                                  <w:r w:rsidRPr="007155E8">
                                    <w:rPr>
                                      <w:rFonts w:ascii="標楷體" w:eastAsia="標楷體" w:hAnsi="標楷體" w:hint="eastAsia"/>
                                      <w:sz w:val="18"/>
                                      <w:szCs w:val="18"/>
                                    </w:rPr>
                                    <w:t>日止。</w:t>
                                  </w:r>
                                </w:p>
                                <w:p w14:paraId="1ACE7ED2" w14:textId="77777777" w:rsidR="008E61F9" w:rsidRPr="00D72322" w:rsidRDefault="008E61F9" w:rsidP="00D90A44">
                                  <w:pPr>
                                    <w:overflowPunct w:val="0"/>
                                    <w:spacing w:line="220" w:lineRule="exact"/>
                                    <w:ind w:leftChars="150" w:left="540" w:hangingChars="100" w:hanging="180"/>
                                    <w:jc w:val="both"/>
                                    <w:rPr>
                                      <w:rFonts w:ascii="標楷體" w:eastAsia="標楷體" w:hAnsi="標楷體"/>
                                      <w:color w:val="548DD4" w:themeColor="text2" w:themeTint="99"/>
                                      <w:sz w:val="20"/>
                                      <w:szCs w:val="20"/>
                                    </w:rPr>
                                  </w:pPr>
                                  <w:r w:rsidRPr="007155E8">
                                    <w:rPr>
                                      <w:rFonts w:ascii="標楷體" w:eastAsia="標楷體" w:hAnsi="標楷體" w:hint="eastAsia"/>
                                      <w:sz w:val="18"/>
                                      <w:szCs w:val="18"/>
                                    </w:rPr>
                                    <w:t>2</w:t>
                                  </w:r>
                                  <w:r w:rsidRPr="007155E8">
                                    <w:rPr>
                                      <w:rFonts w:ascii="標楷體" w:eastAsia="標楷體" w:hAnsi="標楷體"/>
                                      <w:sz w:val="18"/>
                                      <w:szCs w:val="18"/>
                                    </w:rPr>
                                    <w:t>.</w:t>
                                  </w:r>
                                  <w:r w:rsidRPr="007155E8">
                                    <w:rPr>
                                      <w:rFonts w:ascii="標楷體" w:eastAsia="標楷體" w:hAnsi="標楷體" w:hint="eastAsia"/>
                                      <w:sz w:val="18"/>
                                      <w:szCs w:val="18"/>
                                    </w:rPr>
                                    <w:t>資料來源：整理自1</w:t>
                                  </w:r>
                                  <w:r w:rsidRPr="007155E8">
                                    <w:rPr>
                                      <w:rFonts w:ascii="標楷體" w:eastAsia="標楷體" w:hAnsi="標楷體"/>
                                      <w:sz w:val="18"/>
                                      <w:szCs w:val="18"/>
                                    </w:rPr>
                                    <w:t>13</w:t>
                                  </w:r>
                                  <w:r w:rsidRPr="007155E8">
                                    <w:rPr>
                                      <w:rFonts w:ascii="標楷體" w:eastAsia="標楷體" w:hAnsi="標楷體" w:hint="eastAsia"/>
                                      <w:sz w:val="18"/>
                                      <w:szCs w:val="18"/>
                                    </w:rPr>
                                    <w:t>年</w:t>
                                  </w:r>
                                  <w:r w:rsidRPr="007155E8">
                                    <w:rPr>
                                      <w:rFonts w:ascii="標楷體" w:eastAsia="標楷體" w:hAnsi="標楷體"/>
                                      <w:sz w:val="18"/>
                                      <w:szCs w:val="18"/>
                                    </w:rPr>
                                    <w:t>10</w:t>
                                  </w:r>
                                  <w:r w:rsidRPr="007155E8">
                                    <w:rPr>
                                      <w:rFonts w:ascii="標楷體" w:eastAsia="標楷體" w:hAnsi="標楷體" w:hint="eastAsia"/>
                                      <w:sz w:val="18"/>
                                      <w:szCs w:val="18"/>
                                    </w:rPr>
                                    <w:t>月</w:t>
                                  </w:r>
                                  <w:r w:rsidRPr="007155E8">
                                    <w:rPr>
                                      <w:rFonts w:ascii="標楷體" w:eastAsia="標楷體" w:hAnsi="標楷體"/>
                                      <w:sz w:val="18"/>
                                      <w:szCs w:val="18"/>
                                    </w:rPr>
                                    <w:t>30</w:t>
                                  </w:r>
                                  <w:r w:rsidRPr="007155E8">
                                    <w:rPr>
                                      <w:rFonts w:ascii="標楷體" w:eastAsia="標楷體" w:hAnsi="標楷體" w:hint="eastAsia"/>
                                      <w:sz w:val="18"/>
                                      <w:szCs w:val="18"/>
                                    </w:rPr>
                                    <w:t>日國家發展委員會彙整「薪資提升及薪資透明化對策」會議簡報，及本部自行於網路蒐集各項對策辦理情形資料結果。</w:t>
                                  </w:r>
                                </w:p>
                              </w:tc>
                            </w:tr>
                          </w:tbl>
                          <w:p w14:paraId="0D36F5EB" w14:textId="77777777" w:rsidR="008E61F9" w:rsidRPr="00D90A44" w:rsidRDefault="008E61F9" w:rsidP="008E61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DC2F4" id="文字方塊 1868174023" o:spid="_x0000_s1043" type="#_x0000_t202" style="position:absolute;left:0;text-align:left;margin-left:87.05pt;margin-top:119.9pt;width:409pt;height:361.2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" filled="f" stroked="f" strokeweight=".5pt">
                <v:textbox>
                  <w:txbxContent>
                    <w:p w14:paraId="15A18D92" w14:textId="1BF2FBB4" w:rsidR="008E61F9" w:rsidRPr="00A166FD" w:rsidRDefault="008E61F9" w:rsidP="008E61F9">
                      <w:pPr>
                        <w:overflowPunct w:val="0"/>
                        <w:spacing w:afterLines="20" w:after="72"/>
                        <w:ind w:left="709" w:hangingChars="295" w:hanging="709"/>
                        <w:jc w:val="center"/>
                        <w:rPr>
                          <w:rFonts w:ascii="標楷體" w:eastAsia="標楷體" w:hAnsi="標楷體"/>
                          <w:b/>
                          <w:szCs w:val="24"/>
                        </w:rPr>
                      </w:pPr>
                      <w:r w:rsidRPr="0087187B">
                        <w:rPr>
                          <w:rFonts w:ascii="標楷體" w:eastAsia="標楷體" w:hAnsi="標楷體" w:hint="eastAsia"/>
                          <w:b/>
                          <w:color w:val="000000"/>
                          <w:szCs w:val="24"/>
                        </w:rPr>
                        <w:t>表</w:t>
                      </w:r>
                      <w:r w:rsidR="00766614">
                        <w:rPr>
                          <w:rFonts w:ascii="標楷體" w:eastAsia="標楷體" w:hAnsi="標楷體"/>
                          <w:b/>
                          <w:color w:val="000000"/>
                          <w:szCs w:val="24"/>
                        </w:rPr>
                        <w:t>6</w:t>
                      </w:r>
                      <w:r w:rsidRPr="0087187B">
                        <w:rPr>
                          <w:rFonts w:ascii="標楷體" w:eastAsia="標楷體" w:hAnsi="標楷體" w:hint="eastAsia"/>
                          <w:b/>
                          <w:color w:val="000000"/>
                          <w:szCs w:val="24"/>
                        </w:rPr>
                        <w:t xml:space="preserve">　</w:t>
                      </w:r>
                      <w:proofErr w:type="gramStart"/>
                      <w:r>
                        <w:rPr>
                          <w:rFonts w:ascii="標楷體" w:eastAsia="標楷體" w:hAnsi="標楷體" w:hint="eastAsia"/>
                          <w:b/>
                          <w:color w:val="000000"/>
                          <w:szCs w:val="24"/>
                        </w:rPr>
                        <w:t>1</w:t>
                      </w:r>
                      <w:r>
                        <w:rPr>
                          <w:rFonts w:ascii="標楷體" w:eastAsia="標楷體" w:hAnsi="標楷體"/>
                          <w:b/>
                          <w:color w:val="000000"/>
                          <w:szCs w:val="24"/>
                        </w:rPr>
                        <w:t>13</w:t>
                      </w:r>
                      <w:proofErr w:type="gramEnd"/>
                      <w:r>
                        <w:rPr>
                          <w:rFonts w:ascii="標楷體" w:eastAsia="標楷體" w:hAnsi="標楷體" w:hint="eastAsia"/>
                          <w:b/>
                          <w:color w:val="000000"/>
                          <w:szCs w:val="24"/>
                        </w:rPr>
                        <w:t>年度</w:t>
                      </w:r>
                      <w:r w:rsidRPr="0087187B">
                        <w:rPr>
                          <w:rFonts w:ascii="標楷體" w:eastAsia="標楷體" w:hAnsi="標楷體" w:hint="eastAsia"/>
                          <w:b/>
                          <w:color w:val="000000"/>
                          <w:szCs w:val="24"/>
                        </w:rPr>
                        <w:t>薪資提升及薪資透明化議題</w:t>
                      </w:r>
                      <w:r>
                        <w:rPr>
                          <w:rFonts w:ascii="標楷體" w:eastAsia="標楷體" w:hAnsi="標楷體" w:hint="eastAsia"/>
                          <w:b/>
                          <w:color w:val="000000"/>
                          <w:szCs w:val="24"/>
                        </w:rPr>
                        <w:t>三大項目</w:t>
                      </w:r>
                      <w:r w:rsidRPr="00A166FD">
                        <w:rPr>
                          <w:rFonts w:ascii="標楷體" w:eastAsia="標楷體" w:hAnsi="標楷體" w:hint="eastAsia"/>
                          <w:b/>
                          <w:szCs w:val="24"/>
                        </w:rPr>
                        <w:t>8項創新</w:t>
                      </w:r>
                      <w:r w:rsidRPr="00A166FD">
                        <w:rPr>
                          <w:rFonts w:ascii="標楷體" w:eastAsia="標楷體" w:hAnsi="標楷體"/>
                          <w:b/>
                          <w:szCs w:val="24"/>
                        </w:rPr>
                        <w:t>對策</w:t>
                      </w:r>
                      <w:r w:rsidRPr="00A166FD">
                        <w:rPr>
                          <w:rFonts w:ascii="標楷體" w:eastAsia="標楷體" w:hAnsi="標楷體" w:hint="eastAsia"/>
                          <w:b/>
                          <w:szCs w:val="24"/>
                        </w:rPr>
                        <w:t>辦理情形</w:t>
                      </w:r>
                    </w:p>
                    <w:tbl>
                      <w:tblPr>
                        <w:tblStyle w:val="SGSTableBasic12"/>
                        <w:tblW w:w="7948" w:type="dxa"/>
                        <w:jc w:val="right"/>
                        <w:tblLook w:val="04A0" w:firstRow="1" w:lastRow="0" w:firstColumn="1" w:lastColumn="0" w:noHBand="0" w:noVBand="1"/>
                      </w:tblPr>
                      <w:tblGrid>
                        <w:gridCol w:w="1286"/>
                        <w:gridCol w:w="1559"/>
                        <w:gridCol w:w="1276"/>
                        <w:gridCol w:w="1323"/>
                        <w:gridCol w:w="945"/>
                        <w:gridCol w:w="1559"/>
                      </w:tblGrid>
                      <w:tr w:rsidR="008E61F9" w:rsidRPr="00D72322" w14:paraId="7BD3C32E" w14:textId="77777777" w:rsidTr="00307453">
                        <w:trPr>
                          <w:trHeight w:val="340"/>
                          <w:tblHeader/>
                          <w:jc w:val="right"/>
                        </w:trPr>
                        <w:tc>
                          <w:tcPr>
                            <w:tcW w:w="1286" w:type="dxa"/>
                            <w:vMerge w:val="restart"/>
                            <w:shd w:val="clear" w:color="auto" w:fill="auto"/>
                            <w:vAlign w:val="center"/>
                          </w:tcPr>
                          <w:p w14:paraId="71C0E0FE" w14:textId="77777777" w:rsidR="008E61F9" w:rsidRPr="007155E8" w:rsidRDefault="008E61F9" w:rsidP="00D90A44">
                            <w:pPr>
                              <w:overflowPunct w:val="0"/>
                              <w:spacing w:line="220" w:lineRule="exact"/>
                              <w:jc w:val="center"/>
                              <w:rPr>
                                <w:rFonts w:ascii="標楷體" w:eastAsia="標楷體" w:hAnsi="標楷體"/>
                                <w:sz w:val="20"/>
                                <w:szCs w:val="20"/>
                              </w:rPr>
                            </w:pPr>
                            <w:r w:rsidRPr="007155E8">
                              <w:rPr>
                                <w:rFonts w:ascii="標楷體" w:eastAsia="標楷體" w:hAnsi="標楷體" w:hint="eastAsia"/>
                                <w:sz w:val="20"/>
                                <w:szCs w:val="20"/>
                              </w:rPr>
                              <w:t>項目</w:t>
                            </w:r>
                          </w:p>
                        </w:tc>
                        <w:tc>
                          <w:tcPr>
                            <w:tcW w:w="1559" w:type="dxa"/>
                            <w:vMerge w:val="restart"/>
                            <w:shd w:val="clear" w:color="auto" w:fill="auto"/>
                            <w:vAlign w:val="center"/>
                          </w:tcPr>
                          <w:p w14:paraId="0F847101" w14:textId="77777777" w:rsidR="008E61F9" w:rsidRPr="007155E8" w:rsidRDefault="008E61F9" w:rsidP="00D90A44">
                            <w:pPr>
                              <w:overflowPunct w:val="0"/>
                              <w:spacing w:line="220" w:lineRule="exact"/>
                              <w:jc w:val="center"/>
                              <w:rPr>
                                <w:rFonts w:ascii="標楷體" w:eastAsia="標楷體" w:hAnsi="標楷體"/>
                                <w:sz w:val="20"/>
                                <w:szCs w:val="20"/>
                              </w:rPr>
                            </w:pPr>
                            <w:r w:rsidRPr="007155E8">
                              <w:rPr>
                                <w:rFonts w:ascii="標楷體" w:eastAsia="標楷體" w:hAnsi="標楷體" w:hint="eastAsia"/>
                                <w:sz w:val="20"/>
                                <w:szCs w:val="20"/>
                              </w:rPr>
                              <w:t>創新對策</w:t>
                            </w:r>
                          </w:p>
                        </w:tc>
                        <w:tc>
                          <w:tcPr>
                            <w:tcW w:w="1276" w:type="dxa"/>
                            <w:vMerge w:val="restart"/>
                            <w:shd w:val="clear" w:color="auto" w:fill="auto"/>
                            <w:vAlign w:val="center"/>
                          </w:tcPr>
                          <w:p w14:paraId="66EFE93C" w14:textId="77777777" w:rsidR="008E61F9" w:rsidRPr="007155E8" w:rsidRDefault="008E61F9" w:rsidP="00D90A44">
                            <w:pPr>
                              <w:overflowPunct w:val="0"/>
                              <w:spacing w:line="220" w:lineRule="exact"/>
                              <w:jc w:val="center"/>
                              <w:rPr>
                                <w:rFonts w:ascii="標楷體" w:eastAsia="標楷體" w:hAnsi="標楷體"/>
                                <w:sz w:val="20"/>
                                <w:szCs w:val="20"/>
                              </w:rPr>
                            </w:pPr>
                            <w:r w:rsidRPr="007155E8">
                              <w:rPr>
                                <w:rFonts w:ascii="標楷體" w:eastAsia="標楷體" w:hAnsi="標楷體" w:hint="eastAsia"/>
                                <w:sz w:val="20"/>
                                <w:szCs w:val="20"/>
                              </w:rPr>
                              <w:t>主辦機關</w:t>
                            </w:r>
                          </w:p>
                        </w:tc>
                        <w:tc>
                          <w:tcPr>
                            <w:tcW w:w="3827" w:type="dxa"/>
                            <w:gridSpan w:val="3"/>
                            <w:shd w:val="clear" w:color="auto" w:fill="auto"/>
                            <w:vAlign w:val="center"/>
                          </w:tcPr>
                          <w:p w14:paraId="1CD393A4" w14:textId="77777777" w:rsidR="008E61F9" w:rsidRPr="007F3E48" w:rsidRDefault="008E61F9" w:rsidP="00D90A44">
                            <w:pPr>
                              <w:overflowPunct w:val="0"/>
                              <w:spacing w:line="220" w:lineRule="exact"/>
                              <w:jc w:val="center"/>
                              <w:rPr>
                                <w:rFonts w:ascii="標楷體" w:eastAsia="標楷體" w:hAnsi="標楷體"/>
                                <w:sz w:val="20"/>
                                <w:szCs w:val="20"/>
                              </w:rPr>
                            </w:pPr>
                            <w:r w:rsidRPr="007F3E48">
                              <w:rPr>
                                <w:rFonts w:ascii="標楷體" w:eastAsia="標楷體" w:hAnsi="標楷體" w:hint="eastAsia"/>
                                <w:sz w:val="20"/>
                                <w:szCs w:val="20"/>
                              </w:rPr>
                              <w:t>截至1</w:t>
                            </w:r>
                            <w:r w:rsidRPr="007F3E48">
                              <w:rPr>
                                <w:rFonts w:ascii="標楷體" w:eastAsia="標楷體" w:hAnsi="標楷體"/>
                                <w:sz w:val="20"/>
                                <w:szCs w:val="20"/>
                              </w:rPr>
                              <w:t>14</w:t>
                            </w:r>
                            <w:r w:rsidRPr="007F3E48">
                              <w:rPr>
                                <w:rFonts w:ascii="標楷體" w:eastAsia="標楷體" w:hAnsi="標楷體" w:hint="eastAsia"/>
                                <w:sz w:val="20"/>
                                <w:szCs w:val="20"/>
                              </w:rPr>
                              <w:t>年3月2</w:t>
                            </w:r>
                            <w:r w:rsidRPr="007F3E48">
                              <w:rPr>
                                <w:rFonts w:ascii="標楷體" w:eastAsia="標楷體" w:hAnsi="標楷體"/>
                                <w:sz w:val="20"/>
                                <w:szCs w:val="20"/>
                              </w:rPr>
                              <w:t>2</w:t>
                            </w:r>
                            <w:r w:rsidRPr="007F3E48">
                              <w:rPr>
                                <w:rFonts w:ascii="標楷體" w:eastAsia="標楷體" w:hAnsi="標楷體" w:hint="eastAsia"/>
                                <w:sz w:val="20"/>
                                <w:szCs w:val="20"/>
                              </w:rPr>
                              <w:t>日辦理情形</w:t>
                            </w:r>
                          </w:p>
                        </w:tc>
                      </w:tr>
                      <w:tr w:rsidR="008E61F9" w:rsidRPr="00D72322" w14:paraId="4FE0E346" w14:textId="77777777" w:rsidTr="00307453">
                        <w:trPr>
                          <w:trHeight w:val="340"/>
                          <w:tblHeader/>
                          <w:jc w:val="right"/>
                        </w:trPr>
                        <w:tc>
                          <w:tcPr>
                            <w:tcW w:w="1286" w:type="dxa"/>
                            <w:vMerge/>
                            <w:shd w:val="clear" w:color="auto" w:fill="auto"/>
                            <w:vAlign w:val="center"/>
                          </w:tcPr>
                          <w:p w14:paraId="05F3BC4B" w14:textId="77777777" w:rsidR="008E61F9" w:rsidRPr="007155E8" w:rsidRDefault="008E61F9" w:rsidP="00D90A44">
                            <w:pPr>
                              <w:overflowPunct w:val="0"/>
                              <w:spacing w:line="220" w:lineRule="exact"/>
                              <w:jc w:val="center"/>
                              <w:rPr>
                                <w:rFonts w:ascii="標楷體" w:eastAsia="標楷體" w:hAnsi="標楷體"/>
                                <w:sz w:val="20"/>
                                <w:szCs w:val="20"/>
                              </w:rPr>
                            </w:pPr>
                          </w:p>
                        </w:tc>
                        <w:tc>
                          <w:tcPr>
                            <w:tcW w:w="1559" w:type="dxa"/>
                            <w:vMerge/>
                            <w:shd w:val="clear" w:color="auto" w:fill="auto"/>
                            <w:vAlign w:val="center"/>
                          </w:tcPr>
                          <w:p w14:paraId="728B3108" w14:textId="77777777" w:rsidR="008E61F9" w:rsidRPr="007155E8" w:rsidRDefault="008E61F9" w:rsidP="00D90A44">
                            <w:pPr>
                              <w:overflowPunct w:val="0"/>
                              <w:spacing w:line="220" w:lineRule="exact"/>
                              <w:jc w:val="center"/>
                              <w:rPr>
                                <w:rFonts w:ascii="標楷體" w:eastAsia="標楷體" w:hAnsi="標楷體"/>
                                <w:sz w:val="20"/>
                                <w:szCs w:val="20"/>
                              </w:rPr>
                            </w:pPr>
                          </w:p>
                        </w:tc>
                        <w:tc>
                          <w:tcPr>
                            <w:tcW w:w="1276" w:type="dxa"/>
                            <w:vMerge/>
                            <w:shd w:val="clear" w:color="auto" w:fill="auto"/>
                            <w:vAlign w:val="center"/>
                          </w:tcPr>
                          <w:p w14:paraId="60E4EB0D" w14:textId="77777777" w:rsidR="008E61F9" w:rsidRPr="007155E8" w:rsidRDefault="008E61F9" w:rsidP="00D90A44">
                            <w:pPr>
                              <w:overflowPunct w:val="0"/>
                              <w:spacing w:line="220" w:lineRule="exact"/>
                              <w:jc w:val="center"/>
                              <w:rPr>
                                <w:rFonts w:ascii="標楷體" w:eastAsia="標楷體" w:hAnsi="標楷體"/>
                                <w:sz w:val="20"/>
                                <w:szCs w:val="20"/>
                              </w:rPr>
                            </w:pPr>
                          </w:p>
                        </w:tc>
                        <w:tc>
                          <w:tcPr>
                            <w:tcW w:w="1323" w:type="dxa"/>
                            <w:shd w:val="clear" w:color="auto" w:fill="auto"/>
                            <w:vAlign w:val="center"/>
                          </w:tcPr>
                          <w:p w14:paraId="491A4855" w14:textId="77777777" w:rsidR="008E61F9" w:rsidRPr="007F3E48" w:rsidRDefault="008E61F9" w:rsidP="00D90A44">
                            <w:pPr>
                              <w:overflowPunct w:val="0"/>
                              <w:spacing w:line="220" w:lineRule="exact"/>
                              <w:jc w:val="both"/>
                              <w:rPr>
                                <w:rFonts w:ascii="標楷體" w:eastAsia="標楷體" w:hAnsi="標楷體"/>
                                <w:sz w:val="20"/>
                                <w:szCs w:val="20"/>
                              </w:rPr>
                            </w:pPr>
                            <w:r w:rsidRPr="007F3E48">
                              <w:rPr>
                                <w:rFonts w:ascii="標楷體" w:eastAsia="標楷體" w:hAnsi="標楷體" w:hint="eastAsia"/>
                                <w:sz w:val="20"/>
                                <w:szCs w:val="20"/>
                              </w:rPr>
                              <w:t>完成法規（行政規則）公（發）布</w:t>
                            </w:r>
                          </w:p>
                        </w:tc>
                        <w:tc>
                          <w:tcPr>
                            <w:tcW w:w="945" w:type="dxa"/>
                            <w:shd w:val="clear" w:color="auto" w:fill="auto"/>
                            <w:vAlign w:val="center"/>
                          </w:tcPr>
                          <w:p w14:paraId="1055D354" w14:textId="77777777" w:rsidR="008E61F9" w:rsidRPr="007F3E48" w:rsidRDefault="008E61F9" w:rsidP="00D90A44">
                            <w:pPr>
                              <w:overflowPunct w:val="0"/>
                              <w:spacing w:line="220" w:lineRule="exact"/>
                              <w:jc w:val="center"/>
                              <w:rPr>
                                <w:rFonts w:ascii="標楷體" w:eastAsia="標楷體" w:hAnsi="標楷體"/>
                                <w:sz w:val="20"/>
                                <w:szCs w:val="20"/>
                              </w:rPr>
                            </w:pPr>
                            <w:proofErr w:type="gramStart"/>
                            <w:r w:rsidRPr="007F3E48">
                              <w:rPr>
                                <w:rFonts w:ascii="標楷體" w:eastAsia="標楷體" w:hAnsi="標楷體" w:hint="eastAsia"/>
                                <w:sz w:val="20"/>
                                <w:szCs w:val="20"/>
                              </w:rPr>
                              <w:t>研</w:t>
                            </w:r>
                            <w:proofErr w:type="gramEnd"/>
                            <w:r w:rsidRPr="007F3E48">
                              <w:rPr>
                                <w:rFonts w:ascii="標楷體" w:eastAsia="標楷體" w:hAnsi="標楷體" w:hint="eastAsia"/>
                                <w:sz w:val="20"/>
                                <w:szCs w:val="20"/>
                              </w:rPr>
                              <w:t>議中</w:t>
                            </w:r>
                          </w:p>
                        </w:tc>
                        <w:tc>
                          <w:tcPr>
                            <w:tcW w:w="1559" w:type="dxa"/>
                            <w:shd w:val="clear" w:color="auto" w:fill="auto"/>
                            <w:vAlign w:val="center"/>
                          </w:tcPr>
                          <w:p w14:paraId="4798E6F3" w14:textId="77777777" w:rsidR="008E61F9" w:rsidRPr="007F3E48" w:rsidRDefault="008E61F9" w:rsidP="00D90A44">
                            <w:pPr>
                              <w:overflowPunct w:val="0"/>
                              <w:spacing w:line="220" w:lineRule="exact"/>
                              <w:jc w:val="both"/>
                              <w:rPr>
                                <w:rFonts w:ascii="標楷體" w:eastAsia="標楷體" w:hAnsi="標楷體"/>
                                <w:sz w:val="20"/>
                                <w:szCs w:val="20"/>
                              </w:rPr>
                            </w:pPr>
                            <w:r w:rsidRPr="007F3E48">
                              <w:rPr>
                                <w:rFonts w:ascii="標楷體" w:eastAsia="標楷體" w:hAnsi="標楷體" w:hint="eastAsia"/>
                                <w:sz w:val="20"/>
                                <w:szCs w:val="20"/>
                              </w:rPr>
                              <w:t>部分法規（行政規則）公（發）布及</w:t>
                            </w:r>
                            <w:proofErr w:type="gramStart"/>
                            <w:r w:rsidRPr="007F3E48">
                              <w:rPr>
                                <w:rFonts w:ascii="標楷體" w:eastAsia="標楷體" w:hAnsi="標楷體" w:hint="eastAsia"/>
                                <w:sz w:val="20"/>
                                <w:szCs w:val="20"/>
                              </w:rPr>
                              <w:t>研</w:t>
                            </w:r>
                            <w:proofErr w:type="gramEnd"/>
                            <w:r w:rsidRPr="007F3E48">
                              <w:rPr>
                                <w:rFonts w:ascii="標楷體" w:eastAsia="標楷體" w:hAnsi="標楷體" w:hint="eastAsia"/>
                                <w:sz w:val="20"/>
                                <w:szCs w:val="20"/>
                              </w:rPr>
                              <w:t>議中</w:t>
                            </w:r>
                          </w:p>
                        </w:tc>
                      </w:tr>
                      <w:tr w:rsidR="008E61F9" w:rsidRPr="00D72322" w14:paraId="05D42129" w14:textId="77777777" w:rsidTr="00307453">
                        <w:trPr>
                          <w:jc w:val="right"/>
                        </w:trPr>
                        <w:tc>
                          <w:tcPr>
                            <w:tcW w:w="1286" w:type="dxa"/>
                            <w:vMerge w:val="restart"/>
                            <w:vAlign w:val="center"/>
                          </w:tcPr>
                          <w:p w14:paraId="017BDCF5"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政府作為</w:t>
                            </w:r>
                          </w:p>
                          <w:p w14:paraId="07D86565"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加薪引擎</w:t>
                            </w:r>
                          </w:p>
                        </w:tc>
                        <w:tc>
                          <w:tcPr>
                            <w:tcW w:w="1559" w:type="dxa"/>
                            <w:vAlign w:val="center"/>
                          </w:tcPr>
                          <w:p w14:paraId="13B684A0"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1.提升公部門及公營事業所</w:t>
                            </w:r>
                            <w:proofErr w:type="gramStart"/>
                            <w:r w:rsidRPr="00861744">
                              <w:rPr>
                                <w:rFonts w:ascii="標楷體" w:eastAsia="標楷體" w:hAnsi="標楷體" w:hint="eastAsia"/>
                                <w:snapToGrid w:val="0"/>
                                <w:spacing w:val="-6"/>
                                <w:kern w:val="0"/>
                                <w:sz w:val="20"/>
                                <w:szCs w:val="20"/>
                              </w:rPr>
                              <w:t>僱</w:t>
                            </w:r>
                            <w:proofErr w:type="gramEnd"/>
                            <w:r w:rsidRPr="00861744">
                              <w:rPr>
                                <w:rFonts w:ascii="標楷體" w:eastAsia="標楷體" w:hAnsi="標楷體" w:hint="eastAsia"/>
                                <w:snapToGrid w:val="0"/>
                                <w:spacing w:val="-6"/>
                                <w:kern w:val="0"/>
                                <w:sz w:val="20"/>
                                <w:szCs w:val="20"/>
                              </w:rPr>
                              <w:t>勞工薪資</w:t>
                            </w:r>
                          </w:p>
                        </w:tc>
                        <w:tc>
                          <w:tcPr>
                            <w:tcW w:w="1276" w:type="dxa"/>
                            <w:vAlign w:val="center"/>
                          </w:tcPr>
                          <w:p w14:paraId="5C0A9E31"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行政院人事行政總處</w:t>
                            </w:r>
                          </w:p>
                        </w:tc>
                        <w:tc>
                          <w:tcPr>
                            <w:tcW w:w="1323" w:type="dxa"/>
                            <w:vAlign w:val="center"/>
                          </w:tcPr>
                          <w:p w14:paraId="1E639881" w14:textId="733DFB51"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6DDE4ECC"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0481E252"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01993BEA" w14:textId="77777777" w:rsidTr="00307453">
                        <w:trPr>
                          <w:jc w:val="right"/>
                        </w:trPr>
                        <w:tc>
                          <w:tcPr>
                            <w:tcW w:w="1286" w:type="dxa"/>
                            <w:vMerge/>
                            <w:vAlign w:val="center"/>
                          </w:tcPr>
                          <w:p w14:paraId="3608CC4E"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0A929ED6" w14:textId="77777777" w:rsidR="008E61F9" w:rsidRPr="00445556"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445556">
                              <w:rPr>
                                <w:rFonts w:ascii="標楷體" w:eastAsia="標楷體" w:hAnsi="標楷體" w:hint="eastAsia"/>
                                <w:snapToGrid w:val="0"/>
                                <w:spacing w:val="-6"/>
                                <w:kern w:val="0"/>
                                <w:sz w:val="20"/>
                                <w:szCs w:val="20"/>
                              </w:rPr>
                              <w:t>2.檢討勞務採購</w:t>
                            </w:r>
                          </w:p>
                        </w:tc>
                        <w:tc>
                          <w:tcPr>
                            <w:tcW w:w="1276" w:type="dxa"/>
                            <w:vAlign w:val="center"/>
                          </w:tcPr>
                          <w:p w14:paraId="35E42AB2" w14:textId="77777777" w:rsidR="008E61F9" w:rsidRPr="00445556" w:rsidRDefault="008E61F9" w:rsidP="00D90A44">
                            <w:pPr>
                              <w:overflowPunct w:val="0"/>
                              <w:spacing w:line="220" w:lineRule="exact"/>
                              <w:jc w:val="both"/>
                              <w:rPr>
                                <w:rFonts w:ascii="標楷體" w:eastAsia="標楷體" w:hAnsi="標楷體"/>
                                <w:snapToGrid w:val="0"/>
                                <w:kern w:val="0"/>
                                <w:sz w:val="20"/>
                                <w:szCs w:val="20"/>
                              </w:rPr>
                            </w:pPr>
                            <w:r w:rsidRPr="00445556">
                              <w:rPr>
                                <w:rFonts w:ascii="標楷體" w:eastAsia="標楷體" w:hAnsi="標楷體" w:hint="eastAsia"/>
                                <w:snapToGrid w:val="0"/>
                                <w:kern w:val="0"/>
                                <w:sz w:val="20"/>
                                <w:szCs w:val="20"/>
                              </w:rPr>
                              <w:t>行政院公共工程委員會</w:t>
                            </w:r>
                          </w:p>
                        </w:tc>
                        <w:tc>
                          <w:tcPr>
                            <w:tcW w:w="1323" w:type="dxa"/>
                            <w:vAlign w:val="center"/>
                          </w:tcPr>
                          <w:p w14:paraId="0D46B5ED" w14:textId="31A579E9"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6CBDEE9B"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4D77A246"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1A963B8D" w14:textId="77777777" w:rsidTr="00307453">
                        <w:trPr>
                          <w:jc w:val="right"/>
                        </w:trPr>
                        <w:tc>
                          <w:tcPr>
                            <w:tcW w:w="1286" w:type="dxa"/>
                            <w:vMerge/>
                            <w:vAlign w:val="center"/>
                          </w:tcPr>
                          <w:p w14:paraId="6E9C235F"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7705E986"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3.修正證券交易法要求企業分潤員工</w:t>
                            </w:r>
                          </w:p>
                        </w:tc>
                        <w:tc>
                          <w:tcPr>
                            <w:tcW w:w="1276" w:type="dxa"/>
                            <w:vAlign w:val="center"/>
                          </w:tcPr>
                          <w:p w14:paraId="38DCA25B"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金融監督管理委員會</w:t>
                            </w:r>
                          </w:p>
                        </w:tc>
                        <w:tc>
                          <w:tcPr>
                            <w:tcW w:w="1323" w:type="dxa"/>
                            <w:vAlign w:val="center"/>
                          </w:tcPr>
                          <w:p w14:paraId="034D4D76" w14:textId="7A6EAE48"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47A15785"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13A7773E"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5BEED1CA" w14:textId="77777777" w:rsidTr="007262C6">
                        <w:trPr>
                          <w:jc w:val="right"/>
                        </w:trPr>
                        <w:tc>
                          <w:tcPr>
                            <w:tcW w:w="1286" w:type="dxa"/>
                            <w:vMerge w:val="restart"/>
                            <w:vAlign w:val="center"/>
                          </w:tcPr>
                          <w:p w14:paraId="10774247"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薪資透明化</w:t>
                            </w:r>
                          </w:p>
                        </w:tc>
                        <w:tc>
                          <w:tcPr>
                            <w:tcW w:w="1559" w:type="dxa"/>
                            <w:vAlign w:val="center"/>
                          </w:tcPr>
                          <w:p w14:paraId="4A365E28"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4.提高職缺薪資揭露門檻</w:t>
                            </w:r>
                          </w:p>
                        </w:tc>
                        <w:tc>
                          <w:tcPr>
                            <w:tcW w:w="1276" w:type="dxa"/>
                            <w:vAlign w:val="center"/>
                          </w:tcPr>
                          <w:p w14:paraId="22C6FF7F" w14:textId="77777777" w:rsidR="008E61F9" w:rsidRPr="007155E8" w:rsidRDefault="008E61F9" w:rsidP="00060510">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勞動部</w:t>
                            </w:r>
                          </w:p>
                        </w:tc>
                        <w:tc>
                          <w:tcPr>
                            <w:tcW w:w="1323" w:type="dxa"/>
                            <w:vAlign w:val="center"/>
                          </w:tcPr>
                          <w:p w14:paraId="4744723E"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945" w:type="dxa"/>
                            <w:shd w:val="clear" w:color="auto" w:fill="F2F2F2" w:themeFill="background1" w:themeFillShade="F2"/>
                            <w:vAlign w:val="center"/>
                          </w:tcPr>
                          <w:p w14:paraId="27DF9CD3" w14:textId="15FD772C"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1559" w:type="dxa"/>
                            <w:vAlign w:val="center"/>
                          </w:tcPr>
                          <w:p w14:paraId="48901E7F"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044237D8" w14:textId="77777777" w:rsidTr="007262C6">
                        <w:trPr>
                          <w:jc w:val="right"/>
                        </w:trPr>
                        <w:tc>
                          <w:tcPr>
                            <w:tcW w:w="1286" w:type="dxa"/>
                            <w:vMerge/>
                            <w:vAlign w:val="center"/>
                          </w:tcPr>
                          <w:p w14:paraId="73F3228C"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518151D7"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5.薪資條件列入企業上市櫃審查標準</w:t>
                            </w:r>
                          </w:p>
                        </w:tc>
                        <w:tc>
                          <w:tcPr>
                            <w:tcW w:w="1276" w:type="dxa"/>
                            <w:vAlign w:val="center"/>
                          </w:tcPr>
                          <w:p w14:paraId="692D7E0B"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金融監督管理委員會</w:t>
                            </w:r>
                          </w:p>
                        </w:tc>
                        <w:tc>
                          <w:tcPr>
                            <w:tcW w:w="1323" w:type="dxa"/>
                            <w:vAlign w:val="center"/>
                          </w:tcPr>
                          <w:p w14:paraId="11495D24"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945" w:type="dxa"/>
                            <w:shd w:val="clear" w:color="auto" w:fill="F2F2F2" w:themeFill="background1" w:themeFillShade="F2"/>
                            <w:vAlign w:val="center"/>
                          </w:tcPr>
                          <w:p w14:paraId="4686EC32" w14:textId="7B6836D0"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1559" w:type="dxa"/>
                            <w:vAlign w:val="center"/>
                          </w:tcPr>
                          <w:p w14:paraId="412003E5"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4DE2113A" w14:textId="77777777" w:rsidTr="007262C6">
                        <w:trPr>
                          <w:jc w:val="right"/>
                        </w:trPr>
                        <w:tc>
                          <w:tcPr>
                            <w:tcW w:w="1286" w:type="dxa"/>
                            <w:vMerge/>
                            <w:vAlign w:val="center"/>
                          </w:tcPr>
                          <w:p w14:paraId="7B65102A"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
                        </w:tc>
                        <w:tc>
                          <w:tcPr>
                            <w:tcW w:w="1559" w:type="dxa"/>
                            <w:vAlign w:val="center"/>
                          </w:tcPr>
                          <w:p w14:paraId="6F2A0C06"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6.上市櫃企業員工薪資資訊透明</w:t>
                            </w:r>
                          </w:p>
                        </w:tc>
                        <w:tc>
                          <w:tcPr>
                            <w:tcW w:w="1276" w:type="dxa"/>
                            <w:vAlign w:val="center"/>
                          </w:tcPr>
                          <w:p w14:paraId="3B1C2A41"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勞動部/</w:t>
                            </w:r>
                          </w:p>
                          <w:p w14:paraId="428DE4FE"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金融監督管理委員會</w:t>
                            </w:r>
                          </w:p>
                        </w:tc>
                        <w:tc>
                          <w:tcPr>
                            <w:tcW w:w="1323" w:type="dxa"/>
                            <w:vAlign w:val="center"/>
                          </w:tcPr>
                          <w:p w14:paraId="5896B4E5" w14:textId="77777777" w:rsidR="008E61F9" w:rsidRPr="00D72322" w:rsidRDefault="008E61F9" w:rsidP="00D90A44">
                            <w:pPr>
                              <w:overflowPunct w:val="0"/>
                              <w:spacing w:line="220" w:lineRule="exact"/>
                              <w:ind w:left="200" w:hangingChars="100" w:hanging="200"/>
                              <w:jc w:val="center"/>
                              <w:rPr>
                                <w:rFonts w:ascii="標楷體" w:eastAsia="標楷體" w:hAnsi="標楷體"/>
                                <w:snapToGrid w:val="0"/>
                                <w:color w:val="548DD4" w:themeColor="text2" w:themeTint="99"/>
                                <w:kern w:val="0"/>
                                <w:sz w:val="20"/>
                                <w:szCs w:val="20"/>
                              </w:rPr>
                            </w:pPr>
                          </w:p>
                        </w:tc>
                        <w:tc>
                          <w:tcPr>
                            <w:tcW w:w="945" w:type="dxa"/>
                            <w:vAlign w:val="center"/>
                          </w:tcPr>
                          <w:p w14:paraId="28A6A01E" w14:textId="77777777" w:rsidR="008E61F9" w:rsidRPr="00D72322" w:rsidRDefault="008E61F9" w:rsidP="00D90A44">
                            <w:pPr>
                              <w:overflowPunct w:val="0"/>
                              <w:spacing w:line="220" w:lineRule="exact"/>
                              <w:ind w:left="200" w:hangingChars="100" w:hanging="200"/>
                              <w:jc w:val="center"/>
                              <w:rPr>
                                <w:rFonts w:ascii="標楷體" w:eastAsia="標楷體" w:hAnsi="標楷體"/>
                                <w:snapToGrid w:val="0"/>
                                <w:color w:val="548DD4" w:themeColor="text2" w:themeTint="99"/>
                                <w:kern w:val="0"/>
                                <w:sz w:val="20"/>
                                <w:szCs w:val="20"/>
                              </w:rPr>
                            </w:pPr>
                          </w:p>
                        </w:tc>
                        <w:tc>
                          <w:tcPr>
                            <w:tcW w:w="1559" w:type="dxa"/>
                            <w:shd w:val="clear" w:color="auto" w:fill="F2F2F2" w:themeFill="background1" w:themeFillShade="F2"/>
                            <w:vAlign w:val="center"/>
                          </w:tcPr>
                          <w:p w14:paraId="1B595A18" w14:textId="267EFF01" w:rsidR="008E61F9" w:rsidRPr="00D72322" w:rsidRDefault="00F3515D" w:rsidP="00D90A44">
                            <w:pPr>
                              <w:overflowPunct w:val="0"/>
                              <w:spacing w:line="220" w:lineRule="exact"/>
                              <w:ind w:left="280" w:hangingChars="100" w:hanging="280"/>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r>
                      <w:tr w:rsidR="008E61F9" w:rsidRPr="00D72322" w14:paraId="799A157F" w14:textId="77777777" w:rsidTr="007262C6">
                        <w:trPr>
                          <w:jc w:val="right"/>
                        </w:trPr>
                        <w:tc>
                          <w:tcPr>
                            <w:tcW w:w="1286" w:type="dxa"/>
                            <w:vMerge w:val="restart"/>
                            <w:vAlign w:val="center"/>
                          </w:tcPr>
                          <w:p w14:paraId="74BBB4FC" w14:textId="77777777" w:rsidR="008E61F9" w:rsidRDefault="008E61F9" w:rsidP="00D90A44">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中小企業</w:t>
                            </w:r>
                          </w:p>
                          <w:p w14:paraId="601B1C5C" w14:textId="77777777" w:rsidR="008E61F9" w:rsidRPr="007155E8" w:rsidRDefault="008E61F9" w:rsidP="00D90A44">
                            <w:pPr>
                              <w:overflowPunct w:val="0"/>
                              <w:spacing w:line="220" w:lineRule="exact"/>
                              <w:jc w:val="center"/>
                              <w:rPr>
                                <w:rFonts w:ascii="標楷體" w:eastAsia="標楷體" w:hAnsi="標楷體"/>
                                <w:snapToGrid w:val="0"/>
                                <w:kern w:val="0"/>
                                <w:sz w:val="20"/>
                                <w:szCs w:val="20"/>
                              </w:rPr>
                            </w:pPr>
                            <w:proofErr w:type="gramStart"/>
                            <w:r w:rsidRPr="007155E8">
                              <w:rPr>
                                <w:rFonts w:ascii="標楷體" w:eastAsia="標楷體" w:hAnsi="標楷體" w:hint="eastAsia"/>
                                <w:snapToGrid w:val="0"/>
                                <w:kern w:val="0"/>
                                <w:sz w:val="20"/>
                                <w:szCs w:val="20"/>
                              </w:rPr>
                              <w:t>賦能</w:t>
                            </w:r>
                            <w:proofErr w:type="gramEnd"/>
                          </w:p>
                        </w:tc>
                        <w:tc>
                          <w:tcPr>
                            <w:tcW w:w="1559" w:type="dxa"/>
                            <w:vAlign w:val="center"/>
                          </w:tcPr>
                          <w:p w14:paraId="0B1BD628"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7.擴大輔導，創造企業獲利及加薪能力</w:t>
                            </w:r>
                          </w:p>
                        </w:tc>
                        <w:tc>
                          <w:tcPr>
                            <w:tcW w:w="1276" w:type="dxa"/>
                            <w:vAlign w:val="center"/>
                          </w:tcPr>
                          <w:p w14:paraId="45F3831D" w14:textId="77777777" w:rsidR="008E61F9" w:rsidRPr="007155E8" w:rsidRDefault="008E61F9" w:rsidP="00060510">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經濟部</w:t>
                            </w:r>
                          </w:p>
                        </w:tc>
                        <w:tc>
                          <w:tcPr>
                            <w:tcW w:w="1323" w:type="dxa"/>
                            <w:vAlign w:val="center"/>
                          </w:tcPr>
                          <w:p w14:paraId="29F9CD6C"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945" w:type="dxa"/>
                            <w:vAlign w:val="center"/>
                          </w:tcPr>
                          <w:p w14:paraId="6F4A7290"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shd w:val="clear" w:color="auto" w:fill="F2F2F2" w:themeFill="background1" w:themeFillShade="F2"/>
                            <w:vAlign w:val="center"/>
                          </w:tcPr>
                          <w:p w14:paraId="1619DF59" w14:textId="17FDC821"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r>
                      <w:tr w:rsidR="008E61F9" w:rsidRPr="00D72322" w14:paraId="7FEDFC47" w14:textId="77777777" w:rsidTr="00307453">
                        <w:trPr>
                          <w:jc w:val="right"/>
                        </w:trPr>
                        <w:tc>
                          <w:tcPr>
                            <w:tcW w:w="1286" w:type="dxa"/>
                            <w:vMerge/>
                            <w:vAlign w:val="center"/>
                          </w:tcPr>
                          <w:p w14:paraId="2737A3DF" w14:textId="77777777" w:rsidR="008E61F9" w:rsidRPr="007155E8" w:rsidRDefault="008E61F9" w:rsidP="00D90A44">
                            <w:pPr>
                              <w:overflowPunct w:val="0"/>
                              <w:spacing w:line="220" w:lineRule="exact"/>
                              <w:jc w:val="both"/>
                              <w:rPr>
                                <w:rFonts w:ascii="標楷體" w:eastAsia="標楷體" w:hAnsi="標楷體"/>
                                <w:snapToGrid w:val="0"/>
                                <w:kern w:val="0"/>
                                <w:sz w:val="20"/>
                                <w:szCs w:val="20"/>
                              </w:rPr>
                            </w:pPr>
                          </w:p>
                        </w:tc>
                        <w:tc>
                          <w:tcPr>
                            <w:tcW w:w="1559" w:type="dxa"/>
                            <w:vAlign w:val="center"/>
                          </w:tcPr>
                          <w:p w14:paraId="1C9669DF" w14:textId="77777777" w:rsidR="008E61F9" w:rsidRPr="00861744" w:rsidRDefault="008E61F9" w:rsidP="00861744">
                            <w:pPr>
                              <w:overflowPunct w:val="0"/>
                              <w:spacing w:line="220" w:lineRule="exact"/>
                              <w:ind w:left="188" w:hangingChars="100" w:hanging="188"/>
                              <w:jc w:val="both"/>
                              <w:rPr>
                                <w:rFonts w:ascii="標楷體" w:eastAsia="標楷體" w:hAnsi="標楷體"/>
                                <w:snapToGrid w:val="0"/>
                                <w:spacing w:val="-6"/>
                                <w:kern w:val="0"/>
                                <w:sz w:val="20"/>
                                <w:szCs w:val="20"/>
                              </w:rPr>
                            </w:pPr>
                            <w:r w:rsidRPr="00861744">
                              <w:rPr>
                                <w:rFonts w:ascii="標楷體" w:eastAsia="標楷體" w:hAnsi="標楷體" w:hint="eastAsia"/>
                                <w:snapToGrid w:val="0"/>
                                <w:spacing w:val="-6"/>
                                <w:kern w:val="0"/>
                                <w:sz w:val="20"/>
                                <w:szCs w:val="20"/>
                              </w:rPr>
                              <w:t>8.鼓勵有獲利之中小企業對員工加薪</w:t>
                            </w:r>
                          </w:p>
                        </w:tc>
                        <w:tc>
                          <w:tcPr>
                            <w:tcW w:w="1276" w:type="dxa"/>
                            <w:vAlign w:val="center"/>
                          </w:tcPr>
                          <w:p w14:paraId="51684AE8" w14:textId="77777777" w:rsidR="008E61F9" w:rsidRPr="007155E8" w:rsidRDefault="008E61F9" w:rsidP="00060510">
                            <w:pPr>
                              <w:overflowPunct w:val="0"/>
                              <w:spacing w:line="220" w:lineRule="exact"/>
                              <w:jc w:val="center"/>
                              <w:rPr>
                                <w:rFonts w:ascii="標楷體" w:eastAsia="標楷體" w:hAnsi="標楷體"/>
                                <w:snapToGrid w:val="0"/>
                                <w:kern w:val="0"/>
                                <w:sz w:val="20"/>
                                <w:szCs w:val="20"/>
                              </w:rPr>
                            </w:pPr>
                            <w:r w:rsidRPr="007155E8">
                              <w:rPr>
                                <w:rFonts w:ascii="標楷體" w:eastAsia="標楷體" w:hAnsi="標楷體" w:hint="eastAsia"/>
                                <w:snapToGrid w:val="0"/>
                                <w:kern w:val="0"/>
                                <w:sz w:val="20"/>
                                <w:szCs w:val="20"/>
                              </w:rPr>
                              <w:t>經濟部</w:t>
                            </w:r>
                          </w:p>
                        </w:tc>
                        <w:tc>
                          <w:tcPr>
                            <w:tcW w:w="1323" w:type="dxa"/>
                            <w:vAlign w:val="center"/>
                          </w:tcPr>
                          <w:p w14:paraId="290E7748" w14:textId="24093BE4" w:rsidR="008E61F9" w:rsidRPr="00D72322" w:rsidRDefault="00F3515D" w:rsidP="00D90A44">
                            <w:pPr>
                              <w:overflowPunct w:val="0"/>
                              <w:spacing w:line="220" w:lineRule="exact"/>
                              <w:jc w:val="center"/>
                              <w:rPr>
                                <w:rFonts w:ascii="標楷體" w:eastAsia="標楷體" w:hAnsi="標楷體"/>
                                <w:snapToGrid w:val="0"/>
                                <w:color w:val="548DD4" w:themeColor="text2" w:themeTint="99"/>
                                <w:kern w:val="0"/>
                                <w:sz w:val="20"/>
                                <w:szCs w:val="20"/>
                              </w:rPr>
                            </w:pPr>
                            <w:r w:rsidRPr="00800EAB">
                              <w:rPr>
                                <w:rFonts w:ascii="標楷體" w:eastAsia="標楷體" w:hAnsi="標楷體" w:cs="標楷體" w:hint="eastAsia"/>
                                <w:sz w:val="28"/>
                                <w:szCs w:val="28"/>
                              </w:rPr>
                              <w:sym w:font="Wingdings 2" w:char="F050"/>
                            </w:r>
                          </w:p>
                        </w:tc>
                        <w:tc>
                          <w:tcPr>
                            <w:tcW w:w="945" w:type="dxa"/>
                            <w:vAlign w:val="center"/>
                          </w:tcPr>
                          <w:p w14:paraId="2B02C632"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c>
                          <w:tcPr>
                            <w:tcW w:w="1559" w:type="dxa"/>
                            <w:vAlign w:val="center"/>
                          </w:tcPr>
                          <w:p w14:paraId="247A391E" w14:textId="77777777" w:rsidR="008E61F9" w:rsidRPr="00D72322" w:rsidRDefault="008E61F9" w:rsidP="00D90A44">
                            <w:pPr>
                              <w:overflowPunct w:val="0"/>
                              <w:spacing w:line="220" w:lineRule="exact"/>
                              <w:jc w:val="center"/>
                              <w:rPr>
                                <w:rFonts w:ascii="標楷體" w:eastAsia="標楷體" w:hAnsi="標楷體"/>
                                <w:snapToGrid w:val="0"/>
                                <w:color w:val="548DD4" w:themeColor="text2" w:themeTint="99"/>
                                <w:kern w:val="0"/>
                                <w:sz w:val="20"/>
                                <w:szCs w:val="20"/>
                              </w:rPr>
                            </w:pPr>
                          </w:p>
                        </w:tc>
                      </w:tr>
                      <w:tr w:rsidR="008E61F9" w:rsidRPr="00D72322" w14:paraId="7EE408EA" w14:textId="77777777" w:rsidTr="00307453">
                        <w:trPr>
                          <w:jc w:val="right"/>
                        </w:trPr>
                        <w:tc>
                          <w:tcPr>
                            <w:tcW w:w="7948" w:type="dxa"/>
                            <w:gridSpan w:val="6"/>
                            <w:tcBorders>
                              <w:left w:val="nil"/>
                              <w:bottom w:val="nil"/>
                              <w:right w:val="nil"/>
                            </w:tcBorders>
                          </w:tcPr>
                          <w:p w14:paraId="67F41B76" w14:textId="77777777" w:rsidR="008E61F9" w:rsidRPr="007155E8" w:rsidRDefault="008E61F9" w:rsidP="00D90A44">
                            <w:pPr>
                              <w:overflowPunct w:val="0"/>
                              <w:spacing w:line="220" w:lineRule="exact"/>
                              <w:jc w:val="both"/>
                              <w:rPr>
                                <w:rFonts w:ascii="標楷體" w:eastAsia="標楷體" w:hAnsi="標楷體"/>
                                <w:sz w:val="18"/>
                                <w:szCs w:val="18"/>
                              </w:rPr>
                            </w:pPr>
                            <w:proofErr w:type="gramStart"/>
                            <w:r w:rsidRPr="007155E8">
                              <w:rPr>
                                <w:rFonts w:ascii="標楷體" w:eastAsia="標楷體" w:hAnsi="標楷體" w:hint="eastAsia"/>
                                <w:sz w:val="18"/>
                                <w:szCs w:val="18"/>
                              </w:rPr>
                              <w:t>註</w:t>
                            </w:r>
                            <w:proofErr w:type="gramEnd"/>
                            <w:r w:rsidRPr="007155E8">
                              <w:rPr>
                                <w:rFonts w:ascii="標楷體" w:eastAsia="標楷體" w:hAnsi="標楷體" w:hint="eastAsia"/>
                                <w:sz w:val="18"/>
                                <w:szCs w:val="18"/>
                              </w:rPr>
                              <w:t>：1</w:t>
                            </w:r>
                            <w:r w:rsidRPr="007155E8">
                              <w:rPr>
                                <w:rFonts w:ascii="標楷體" w:eastAsia="標楷體" w:hAnsi="標楷體"/>
                                <w:sz w:val="18"/>
                                <w:szCs w:val="18"/>
                              </w:rPr>
                              <w:t>.</w:t>
                            </w:r>
                            <w:r w:rsidRPr="007155E8">
                              <w:rPr>
                                <w:rFonts w:ascii="標楷體" w:eastAsia="標楷體" w:hAnsi="標楷體" w:hint="eastAsia"/>
                                <w:sz w:val="18"/>
                                <w:szCs w:val="18"/>
                              </w:rPr>
                              <w:t>資料統計時間：截至1</w:t>
                            </w:r>
                            <w:r w:rsidRPr="007155E8">
                              <w:rPr>
                                <w:rFonts w:ascii="標楷體" w:eastAsia="標楷體" w:hAnsi="標楷體"/>
                                <w:sz w:val="18"/>
                                <w:szCs w:val="18"/>
                              </w:rPr>
                              <w:t>14</w:t>
                            </w:r>
                            <w:r w:rsidRPr="007155E8">
                              <w:rPr>
                                <w:rFonts w:ascii="標楷體" w:eastAsia="標楷體" w:hAnsi="標楷體" w:hint="eastAsia"/>
                                <w:sz w:val="18"/>
                                <w:szCs w:val="18"/>
                              </w:rPr>
                              <w:t>年3月2</w:t>
                            </w:r>
                            <w:r w:rsidRPr="007155E8">
                              <w:rPr>
                                <w:rFonts w:ascii="標楷體" w:eastAsia="標楷體" w:hAnsi="標楷體"/>
                                <w:sz w:val="18"/>
                                <w:szCs w:val="18"/>
                              </w:rPr>
                              <w:t>2</w:t>
                            </w:r>
                            <w:r w:rsidRPr="007155E8">
                              <w:rPr>
                                <w:rFonts w:ascii="標楷體" w:eastAsia="標楷體" w:hAnsi="標楷體" w:hint="eastAsia"/>
                                <w:sz w:val="18"/>
                                <w:szCs w:val="18"/>
                              </w:rPr>
                              <w:t>日止。</w:t>
                            </w:r>
                          </w:p>
                          <w:p w14:paraId="1ACE7ED2" w14:textId="77777777" w:rsidR="008E61F9" w:rsidRPr="00D72322" w:rsidRDefault="008E61F9" w:rsidP="00D90A44">
                            <w:pPr>
                              <w:overflowPunct w:val="0"/>
                              <w:spacing w:line="220" w:lineRule="exact"/>
                              <w:ind w:leftChars="150" w:left="540" w:hangingChars="100" w:hanging="180"/>
                              <w:jc w:val="both"/>
                              <w:rPr>
                                <w:rFonts w:ascii="標楷體" w:eastAsia="標楷體" w:hAnsi="標楷體"/>
                                <w:color w:val="548DD4" w:themeColor="text2" w:themeTint="99"/>
                                <w:sz w:val="20"/>
                                <w:szCs w:val="20"/>
                              </w:rPr>
                            </w:pPr>
                            <w:r w:rsidRPr="007155E8">
                              <w:rPr>
                                <w:rFonts w:ascii="標楷體" w:eastAsia="標楷體" w:hAnsi="標楷體" w:hint="eastAsia"/>
                                <w:sz w:val="18"/>
                                <w:szCs w:val="18"/>
                              </w:rPr>
                              <w:t>2</w:t>
                            </w:r>
                            <w:r w:rsidRPr="007155E8">
                              <w:rPr>
                                <w:rFonts w:ascii="標楷體" w:eastAsia="標楷體" w:hAnsi="標楷體"/>
                                <w:sz w:val="18"/>
                                <w:szCs w:val="18"/>
                              </w:rPr>
                              <w:t>.</w:t>
                            </w:r>
                            <w:r w:rsidRPr="007155E8">
                              <w:rPr>
                                <w:rFonts w:ascii="標楷體" w:eastAsia="標楷體" w:hAnsi="標楷體" w:hint="eastAsia"/>
                                <w:sz w:val="18"/>
                                <w:szCs w:val="18"/>
                              </w:rPr>
                              <w:t>資料來源：整理自1</w:t>
                            </w:r>
                            <w:r w:rsidRPr="007155E8">
                              <w:rPr>
                                <w:rFonts w:ascii="標楷體" w:eastAsia="標楷體" w:hAnsi="標楷體"/>
                                <w:sz w:val="18"/>
                                <w:szCs w:val="18"/>
                              </w:rPr>
                              <w:t>13</w:t>
                            </w:r>
                            <w:r w:rsidRPr="007155E8">
                              <w:rPr>
                                <w:rFonts w:ascii="標楷體" w:eastAsia="標楷體" w:hAnsi="標楷體" w:hint="eastAsia"/>
                                <w:sz w:val="18"/>
                                <w:szCs w:val="18"/>
                              </w:rPr>
                              <w:t>年</w:t>
                            </w:r>
                            <w:r w:rsidRPr="007155E8">
                              <w:rPr>
                                <w:rFonts w:ascii="標楷體" w:eastAsia="標楷體" w:hAnsi="標楷體"/>
                                <w:sz w:val="18"/>
                                <w:szCs w:val="18"/>
                              </w:rPr>
                              <w:t>10</w:t>
                            </w:r>
                            <w:r w:rsidRPr="007155E8">
                              <w:rPr>
                                <w:rFonts w:ascii="標楷體" w:eastAsia="標楷體" w:hAnsi="標楷體" w:hint="eastAsia"/>
                                <w:sz w:val="18"/>
                                <w:szCs w:val="18"/>
                              </w:rPr>
                              <w:t>月</w:t>
                            </w:r>
                            <w:r w:rsidRPr="007155E8">
                              <w:rPr>
                                <w:rFonts w:ascii="標楷體" w:eastAsia="標楷體" w:hAnsi="標楷體"/>
                                <w:sz w:val="18"/>
                                <w:szCs w:val="18"/>
                              </w:rPr>
                              <w:t>30</w:t>
                            </w:r>
                            <w:r w:rsidRPr="007155E8">
                              <w:rPr>
                                <w:rFonts w:ascii="標楷體" w:eastAsia="標楷體" w:hAnsi="標楷體" w:hint="eastAsia"/>
                                <w:sz w:val="18"/>
                                <w:szCs w:val="18"/>
                              </w:rPr>
                              <w:t>日國家發展委員會彙整「薪資提升及薪資透明化對策」會議簡報，及本部自行於網路蒐集各項對策辦理情形資料結果。</w:t>
                            </w:r>
                          </w:p>
                        </w:tc>
                      </w:tr>
                    </w:tbl>
                    <w:p w14:paraId="0D36F5EB" w14:textId="77777777" w:rsidR="008E61F9" w:rsidRPr="00D90A44" w:rsidRDefault="008E61F9" w:rsidP="008E61F9"/>
                  </w:txbxContent>
                </v:textbox>
                <w10:wrap type="square" anchorx="margin"/>
              </v:shape>
            </w:pict>
          </mc:Fallback>
        </mc:AlternateContent>
      </w:r>
      <w:r w:rsidR="008E61F9" w:rsidRPr="00DC7CF3">
        <w:rPr>
          <w:rFonts w:ascii="標楷體" w:eastAsia="標楷體" w:hAnsi="標楷體" w:hint="eastAsia"/>
          <w:snapToGrid w:val="0"/>
          <w:kern w:val="0"/>
          <w:szCs w:val="24"/>
        </w:rPr>
        <w:t>114年1月15日至117年12月31日止等</w:t>
      </w:r>
      <w:proofErr w:type="gramStart"/>
      <w:r w:rsidR="008E61F9" w:rsidRPr="00DC7CF3">
        <w:rPr>
          <w:rFonts w:ascii="標楷體" w:eastAsia="標楷體" w:hAnsi="標楷體" w:hint="eastAsia"/>
          <w:snapToGrid w:val="0"/>
          <w:kern w:val="0"/>
          <w:szCs w:val="24"/>
        </w:rPr>
        <w:t>）</w:t>
      </w:r>
      <w:proofErr w:type="gramEnd"/>
      <w:r w:rsidR="008E61F9" w:rsidRPr="00DC7CF3">
        <w:rPr>
          <w:rFonts w:ascii="標楷體" w:eastAsia="標楷體" w:hAnsi="標楷體" w:hint="eastAsia"/>
          <w:snapToGrid w:val="0"/>
          <w:kern w:val="0"/>
          <w:szCs w:val="24"/>
        </w:rPr>
        <w:t>、</w:t>
      </w:r>
      <w:proofErr w:type="gramStart"/>
      <w:r w:rsidR="008E61F9" w:rsidRPr="00DC7CF3">
        <w:rPr>
          <w:rFonts w:ascii="標楷體" w:eastAsia="標楷體" w:hAnsi="標楷體" w:hint="eastAsia"/>
          <w:snapToGrid w:val="0"/>
          <w:kern w:val="0"/>
          <w:szCs w:val="24"/>
        </w:rPr>
        <w:t>研</w:t>
      </w:r>
      <w:proofErr w:type="gramEnd"/>
      <w:r w:rsidR="008E61F9" w:rsidRPr="00DC7CF3">
        <w:rPr>
          <w:rFonts w:ascii="標楷體" w:eastAsia="標楷體" w:hAnsi="標楷體" w:hint="eastAsia"/>
          <w:snapToGrid w:val="0"/>
          <w:kern w:val="0"/>
          <w:szCs w:val="24"/>
        </w:rPr>
        <w:t>議中者2項、部分法規（行政規則）公（發）布及</w:t>
      </w:r>
      <w:proofErr w:type="gramStart"/>
      <w:r w:rsidR="008E61F9" w:rsidRPr="00DC7CF3">
        <w:rPr>
          <w:rFonts w:ascii="標楷體" w:eastAsia="標楷體" w:hAnsi="標楷體" w:hint="eastAsia"/>
          <w:snapToGrid w:val="0"/>
          <w:kern w:val="0"/>
          <w:szCs w:val="24"/>
        </w:rPr>
        <w:t>研</w:t>
      </w:r>
      <w:proofErr w:type="gramEnd"/>
      <w:r w:rsidR="008E61F9" w:rsidRPr="00DC7CF3">
        <w:rPr>
          <w:rFonts w:ascii="標楷體" w:eastAsia="標楷體" w:hAnsi="標楷體" w:hint="eastAsia"/>
          <w:snapToGrid w:val="0"/>
          <w:kern w:val="0"/>
          <w:szCs w:val="24"/>
        </w:rPr>
        <w:t>議中者2項（表</w:t>
      </w:r>
      <w:r w:rsidR="00D652F5">
        <w:rPr>
          <w:rFonts w:ascii="標楷體" w:eastAsia="標楷體" w:hAnsi="標楷體" w:hint="eastAsia"/>
          <w:snapToGrid w:val="0"/>
          <w:kern w:val="0"/>
          <w:szCs w:val="24"/>
        </w:rPr>
        <w:t>6</w:t>
      </w:r>
      <w:r w:rsidR="008E61F9" w:rsidRPr="00DC7CF3">
        <w:rPr>
          <w:rFonts w:ascii="標楷體" w:eastAsia="標楷體" w:hAnsi="標楷體" w:hint="eastAsia"/>
          <w:snapToGrid w:val="0"/>
          <w:kern w:val="0"/>
          <w:szCs w:val="24"/>
        </w:rPr>
        <w:t>），顯示現行由經濟發展委員會透過召開會議方式督導各權責機關推動並報告之管控執行情形方式，恐不利掌握各項創新對策落實情形，亦與原行政院改善所得分配專案小組（99年8月26日成立，107年8月21日核定裁撤）依具體方案逐案</w:t>
      </w:r>
      <w:r w:rsidR="00534016">
        <w:rPr>
          <w:rFonts w:ascii="標楷體" w:eastAsia="標楷體" w:hAnsi="標楷體" w:hint="eastAsia"/>
          <w:snapToGrid w:val="0"/>
          <w:kern w:val="0"/>
          <w:szCs w:val="24"/>
        </w:rPr>
        <w:t>列</w:t>
      </w:r>
      <w:r w:rsidR="008E61F9" w:rsidRPr="00DC7CF3">
        <w:rPr>
          <w:rFonts w:ascii="標楷體" w:eastAsia="標楷體" w:hAnsi="標楷體" w:hint="eastAsia"/>
          <w:snapToGrid w:val="0"/>
          <w:kern w:val="0"/>
          <w:szCs w:val="24"/>
        </w:rPr>
        <w:t>管之運作機制不同，允宜檢討改進整體管控機制。</w:t>
      </w:r>
    </w:p>
    <w:p w14:paraId="3C699572" w14:textId="1AB37315" w:rsidR="00F60428" w:rsidRPr="00892A05" w:rsidRDefault="00F60428" w:rsidP="00DA691C">
      <w:pPr>
        <w:overflowPunct w:val="0"/>
        <w:adjustRightInd w:val="0"/>
        <w:snapToGrid w:val="0"/>
        <w:spacing w:beforeLines="20" w:before="72" w:line="460" w:lineRule="exact"/>
        <w:ind w:firstLine="1134"/>
        <w:jc w:val="both"/>
        <w:rPr>
          <w:rFonts w:ascii="標楷體" w:eastAsia="標楷體" w:hAnsi="標楷體" w:cs="標楷體"/>
          <w:kern w:val="52"/>
          <w:szCs w:val="32"/>
        </w:rPr>
      </w:pPr>
      <w:r w:rsidRPr="00F60428">
        <w:rPr>
          <w:rFonts w:ascii="標楷體" w:eastAsia="標楷體" w:hAnsi="標楷體" w:cs="標楷體" w:hint="eastAsia"/>
          <w:b/>
          <w:kern w:val="52"/>
          <w:szCs w:val="32"/>
        </w:rPr>
        <w:t>2.</w:t>
      </w:r>
      <w:r w:rsidRPr="00F60428">
        <w:rPr>
          <w:rFonts w:ascii="標楷體" w:eastAsia="標楷體" w:hAnsi="標楷體" w:cs="標楷體" w:hint="eastAsia"/>
          <w:kern w:val="52"/>
          <w:szCs w:val="32"/>
        </w:rPr>
        <w:t xml:space="preserve">　</w:t>
      </w:r>
      <w:r w:rsidR="00917CD9" w:rsidRPr="00DC7CF3">
        <w:rPr>
          <w:rFonts w:ascii="標楷體" w:eastAsia="標楷體" w:hAnsi="標楷體" w:hint="eastAsia"/>
          <w:b/>
          <w:szCs w:val="24"/>
        </w:rPr>
        <w:t>全體受僱員工每人</w:t>
      </w:r>
      <w:r w:rsidR="00917CD9" w:rsidRPr="00AB3B99">
        <w:rPr>
          <w:rFonts w:ascii="標楷體" w:eastAsia="標楷體" w:hAnsi="標楷體" w:hint="eastAsia"/>
          <w:b/>
          <w:szCs w:val="24"/>
        </w:rPr>
        <w:t>每月平均經常性薪資已逐年增加，惟</w:t>
      </w:r>
      <w:proofErr w:type="gramStart"/>
      <w:r w:rsidR="00917CD9" w:rsidRPr="00AB3B99">
        <w:rPr>
          <w:rFonts w:ascii="標楷體" w:eastAsia="標楷體" w:hAnsi="標楷體" w:hint="eastAsia"/>
          <w:b/>
          <w:szCs w:val="24"/>
        </w:rPr>
        <w:t>113</w:t>
      </w:r>
      <w:proofErr w:type="gramEnd"/>
      <w:r w:rsidR="00917CD9" w:rsidRPr="00AB3B99">
        <w:rPr>
          <w:rFonts w:ascii="標楷體" w:eastAsia="標楷體" w:hAnsi="標楷體" w:hint="eastAsia"/>
          <w:b/>
          <w:szCs w:val="24"/>
        </w:rPr>
        <w:t>年度低於平均數之員工比率近</w:t>
      </w:r>
      <w:proofErr w:type="gramStart"/>
      <w:r w:rsidR="00917CD9" w:rsidRPr="00AB3B99">
        <w:rPr>
          <w:rFonts w:ascii="標楷體" w:eastAsia="標楷體" w:hAnsi="標楷體" w:hint="eastAsia"/>
          <w:b/>
          <w:szCs w:val="24"/>
        </w:rPr>
        <w:t>7成</w:t>
      </w:r>
      <w:proofErr w:type="gramEnd"/>
      <w:r w:rsidR="00917CD9" w:rsidRPr="00AB3B99">
        <w:rPr>
          <w:rFonts w:ascii="標楷體" w:eastAsia="標楷體" w:hAnsi="標楷體" w:hint="eastAsia"/>
          <w:b/>
          <w:szCs w:val="24"/>
        </w:rPr>
        <w:t>，已連續4年增加，所得分配合理化相關對策仍待強化精進及有效落實：</w:t>
      </w:r>
      <w:r w:rsidR="00917CD9" w:rsidRPr="00AB3B99">
        <w:rPr>
          <w:rFonts w:ascii="標楷體" w:eastAsia="標楷體" w:hAnsi="標楷體" w:hint="eastAsia"/>
          <w:szCs w:val="24"/>
        </w:rPr>
        <w:t>據</w:t>
      </w:r>
      <w:r w:rsidR="00917CD9">
        <w:rPr>
          <w:rFonts w:ascii="標楷體" w:eastAsia="標楷體" w:hAnsi="標楷體" w:hint="eastAsia"/>
          <w:szCs w:val="24"/>
        </w:rPr>
        <w:t>行政</w:t>
      </w:r>
      <w:r w:rsidR="00917CD9" w:rsidRPr="00AB3B99">
        <w:rPr>
          <w:rFonts w:ascii="標楷體" w:eastAsia="標楷體" w:hAnsi="標楷體" w:hint="eastAsia"/>
          <w:szCs w:val="24"/>
        </w:rPr>
        <w:t>院主計總處114年2月17日發布「113年12月暨全年工業及服務業薪資統計結果」，</w:t>
      </w:r>
      <w:proofErr w:type="gramStart"/>
      <w:r w:rsidR="00917CD9" w:rsidRPr="00AB3B99">
        <w:rPr>
          <w:rFonts w:ascii="標楷體" w:eastAsia="標楷體" w:hAnsi="標楷體" w:hint="eastAsia"/>
          <w:szCs w:val="24"/>
        </w:rPr>
        <w:t>113</w:t>
      </w:r>
      <w:proofErr w:type="gramEnd"/>
      <w:r w:rsidR="00917CD9" w:rsidRPr="00AB3B99">
        <w:rPr>
          <w:rFonts w:ascii="標楷體" w:eastAsia="標楷體" w:hAnsi="標楷體" w:hint="eastAsia"/>
          <w:szCs w:val="24"/>
        </w:rPr>
        <w:t>年度全體受僱員工為845萬7千人，每人每月平均總薪資、平均經常性薪資分別為6萬984元、4萬6,450元，較</w:t>
      </w:r>
      <w:proofErr w:type="gramStart"/>
      <w:r w:rsidR="00917CD9" w:rsidRPr="00AB3B99">
        <w:rPr>
          <w:rFonts w:ascii="標楷體" w:eastAsia="標楷體" w:hAnsi="標楷體" w:hint="eastAsia"/>
          <w:szCs w:val="24"/>
        </w:rPr>
        <w:t>112</w:t>
      </w:r>
      <w:proofErr w:type="gramEnd"/>
      <w:r w:rsidR="00917CD9" w:rsidRPr="00AB3B99">
        <w:rPr>
          <w:rFonts w:ascii="標楷體" w:eastAsia="標楷體" w:hAnsi="標楷體" w:hint="eastAsia"/>
          <w:szCs w:val="24"/>
        </w:rPr>
        <w:t>年度增加4.39％、2.77％，且經扣除消費者物價指數平減後金額，每人每月平均實質總薪資、平均實質經常性薪資分別為5萬6</w:t>
      </w:r>
      <w:r w:rsidR="00917CD9" w:rsidRPr="00AB3B99">
        <w:rPr>
          <w:rFonts w:ascii="標楷體" w:eastAsia="標楷體" w:hAnsi="標楷體"/>
          <w:szCs w:val="24"/>
        </w:rPr>
        <w:t>,</w:t>
      </w:r>
      <w:r w:rsidR="00917CD9" w:rsidRPr="00AB3B99">
        <w:rPr>
          <w:rFonts w:ascii="標楷體" w:eastAsia="標楷體" w:hAnsi="標楷體" w:hint="eastAsia"/>
          <w:szCs w:val="24"/>
        </w:rPr>
        <w:t>566元（年增率2.16％）、4萬3</w:t>
      </w:r>
      <w:r w:rsidR="00917CD9" w:rsidRPr="00AB3B99">
        <w:rPr>
          <w:rFonts w:ascii="標楷體" w:eastAsia="標楷體" w:hAnsi="標楷體"/>
          <w:szCs w:val="24"/>
        </w:rPr>
        <w:t>,</w:t>
      </w:r>
      <w:r w:rsidR="00917CD9" w:rsidRPr="00AB3B99">
        <w:rPr>
          <w:rFonts w:ascii="標楷體" w:eastAsia="標楷體" w:hAnsi="標楷體" w:hint="eastAsia"/>
          <w:szCs w:val="24"/>
        </w:rPr>
        <w:t>085元（年增0.58％）。惟經本部檢視前開統計結果，109至113年度全體受僱員工每人每月平均經常</w:t>
      </w:r>
      <w:r w:rsidR="00041989" w:rsidRPr="00DB7BDA">
        <w:rPr>
          <w:rFonts w:ascii="標楷體" w:eastAsia="標楷體" w:hAnsi="標楷體" w:cstheme="minorBidi" w:hint="eastAsia"/>
          <w:noProof/>
          <w:szCs w:val="24"/>
        </w:rPr>
        <w:lastRenderedPageBreak/>
        <mc:AlternateContent>
          <mc:Choice Requires="wps">
            <w:drawing>
              <wp:anchor distT="0" distB="0" distL="114300" distR="114300" simplePos="0" relativeHeight="251669504" behindDoc="0" locked="0" layoutInCell="1" allowOverlap="1" wp14:anchorId="2131ACD6" wp14:editId="1A3305D9">
                <wp:simplePos x="0" y="0"/>
                <wp:positionH relativeFrom="margin">
                  <wp:posOffset>1671320</wp:posOffset>
                </wp:positionH>
                <wp:positionV relativeFrom="paragraph">
                  <wp:posOffset>65405</wp:posOffset>
                </wp:positionV>
                <wp:extent cx="4625340" cy="3403600"/>
                <wp:effectExtent l="0" t="0" r="0" b="6350"/>
                <wp:wrapSquare wrapText="bothSides"/>
                <wp:docPr id="549555081" name="文字方塊 549555081"/>
                <wp:cNvGraphicFramePr/>
                <a:graphic xmlns:a="http://schemas.openxmlformats.org/drawingml/2006/main">
                  <a:graphicData uri="http://schemas.microsoft.com/office/word/2010/wordprocessingShape">
                    <wps:wsp>
                      <wps:cNvSpPr txBox="1"/>
                      <wps:spPr>
                        <a:xfrm>
                          <a:off x="0" y="0"/>
                          <a:ext cx="4625340" cy="3403600"/>
                        </a:xfrm>
                        <a:prstGeom prst="rect">
                          <a:avLst/>
                        </a:prstGeom>
                        <a:noFill/>
                        <a:ln w="6350">
                          <a:noFill/>
                        </a:ln>
                      </wps:spPr>
                      <wps:txbx>
                        <w:txbxContent>
                          <w:p w14:paraId="5116E1A9" w14:textId="0A7E95DB" w:rsidR="00303353" w:rsidRPr="00DC7CF3" w:rsidRDefault="00303353" w:rsidP="00883321">
                            <w:pPr>
                              <w:spacing w:beforeLines="50" w:before="180"/>
                              <w:ind w:leftChars="1" w:left="711" w:hangingChars="295" w:hanging="709"/>
                              <w:jc w:val="center"/>
                              <w:rPr>
                                <w:rFonts w:ascii="標楷體" w:eastAsia="標楷體" w:hAnsi="標楷體"/>
                                <w:b/>
                                <w:bCs/>
                              </w:rPr>
                            </w:pPr>
                            <w:r w:rsidRPr="00DC7CF3">
                              <w:rPr>
                                <w:rFonts w:ascii="標楷體" w:eastAsia="標楷體" w:hAnsi="標楷體" w:hint="eastAsia"/>
                                <w:b/>
                                <w:bCs/>
                              </w:rPr>
                              <w:t>圖</w:t>
                            </w:r>
                            <w:r w:rsidR="00FE65D8">
                              <w:rPr>
                                <w:rFonts w:ascii="標楷體" w:eastAsia="標楷體" w:hAnsi="標楷體"/>
                                <w:b/>
                                <w:bCs/>
                              </w:rPr>
                              <w:t>3</w:t>
                            </w:r>
                            <w:r w:rsidRPr="00DC7CF3">
                              <w:rPr>
                                <w:rFonts w:ascii="標楷體" w:eastAsia="標楷體" w:hAnsi="標楷體" w:hint="eastAsia"/>
                                <w:b/>
                                <w:bCs/>
                              </w:rPr>
                              <w:t xml:space="preserve">　全體受僱員工每人每月平均經常性薪資低於平均數員工情形</w:t>
                            </w:r>
                          </w:p>
                          <w:p w14:paraId="75DBFF36" w14:textId="3AB68EAA" w:rsidR="00303353" w:rsidRPr="00846497" w:rsidRDefault="00883321" w:rsidP="00303353">
                            <w:pPr>
                              <w:ind w:leftChars="1" w:left="710" w:hangingChars="295" w:hanging="708"/>
                              <w:rPr>
                                <w:rFonts w:ascii="標楷體" w:eastAsia="標楷體" w:hAnsi="標楷體"/>
                                <w:b/>
                                <w:bCs/>
                              </w:rPr>
                            </w:pPr>
                            <w:r w:rsidRPr="00A24D6C">
                              <w:rPr>
                                <w:noProof/>
                              </w:rPr>
                              <w:drawing>
                                <wp:inline distT="0" distB="0" distL="0" distR="0" wp14:anchorId="088BE1F5" wp14:editId="3F7A31AC">
                                  <wp:extent cx="4436110" cy="2490470"/>
                                  <wp:effectExtent l="0" t="0" r="2540" b="508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aturation sat="0"/>
                                                    </a14:imgEffect>
                                                  </a14:imgLayer>
                                                </a14:imgProps>
                                              </a:ext>
                                            </a:extLst>
                                          </a:blip>
                                          <a:stretch>
                                            <a:fillRect/>
                                          </a:stretch>
                                        </pic:blipFill>
                                        <pic:spPr>
                                          <a:xfrm>
                                            <a:off x="0" y="0"/>
                                            <a:ext cx="4436110" cy="2490470"/>
                                          </a:xfrm>
                                          <a:prstGeom prst="rect">
                                            <a:avLst/>
                                          </a:prstGeom>
                                        </pic:spPr>
                                      </pic:pic>
                                    </a:graphicData>
                                  </a:graphic>
                                </wp:inline>
                              </w:drawing>
                            </w:r>
                          </w:p>
                          <w:p w14:paraId="13DAAD43" w14:textId="77777777" w:rsidR="00303353" w:rsidRDefault="00303353" w:rsidP="00303353">
                            <w:pPr>
                              <w:widowControl/>
                              <w:spacing w:line="240" w:lineRule="exact"/>
                              <w:ind w:leftChars="1" w:left="902" w:hangingChars="500" w:hanging="900"/>
                            </w:pPr>
                            <w:r w:rsidRPr="00846497">
                              <w:rPr>
                                <w:rFonts w:ascii="標楷體" w:eastAsia="標楷體" w:hAnsi="標楷體" w:cs="新細明體" w:hint="eastAsia"/>
                                <w:color w:val="000000"/>
                                <w:kern w:val="0"/>
                                <w:sz w:val="18"/>
                                <w:szCs w:val="18"/>
                              </w:rPr>
                              <w:t>資料來源：整理自行政院主計總處114年2月17日發布「113年12月暨全年工業及服務業薪資統計結果」。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1ACD6" id="文字方塊 549555081" o:spid="_x0000_s1044" type="#_x0000_t202" style="position:absolute;left:0;text-align:left;margin-left:131.6pt;margin-top:5.15pt;width:364.2pt;height:26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" filled="f" stroked="f" strokeweight=".5pt">
                <v:textbox>
                  <w:txbxContent>
                    <w:p w14:paraId="5116E1A9" w14:textId="0A7E95DB" w:rsidR="00303353" w:rsidRPr="00DC7CF3" w:rsidRDefault="00303353" w:rsidP="00883321">
                      <w:pPr>
                        <w:spacing w:beforeLines="50" w:before="180"/>
                        <w:ind w:leftChars="1" w:left="711" w:hangingChars="295" w:hanging="709"/>
                        <w:jc w:val="center"/>
                        <w:rPr>
                          <w:rFonts w:ascii="標楷體" w:eastAsia="標楷體" w:hAnsi="標楷體"/>
                          <w:b/>
                          <w:bCs/>
                        </w:rPr>
                      </w:pPr>
                      <w:r w:rsidRPr="00DC7CF3">
                        <w:rPr>
                          <w:rFonts w:ascii="標楷體" w:eastAsia="標楷體" w:hAnsi="標楷體" w:hint="eastAsia"/>
                          <w:b/>
                          <w:bCs/>
                        </w:rPr>
                        <w:t>圖</w:t>
                      </w:r>
                      <w:r w:rsidR="00FE65D8">
                        <w:rPr>
                          <w:rFonts w:ascii="標楷體" w:eastAsia="標楷體" w:hAnsi="標楷體"/>
                          <w:b/>
                          <w:bCs/>
                        </w:rPr>
                        <w:t>3</w:t>
                      </w:r>
                      <w:r w:rsidRPr="00DC7CF3">
                        <w:rPr>
                          <w:rFonts w:ascii="標楷體" w:eastAsia="標楷體" w:hAnsi="標楷體" w:hint="eastAsia"/>
                          <w:b/>
                          <w:bCs/>
                        </w:rPr>
                        <w:t xml:space="preserve">　全體受僱員工每人每月平均經常性薪資低於平均數員工情形</w:t>
                      </w:r>
                    </w:p>
                    <w:p w14:paraId="75DBFF36" w14:textId="3AB68EAA" w:rsidR="00303353" w:rsidRPr="00846497" w:rsidRDefault="00883321" w:rsidP="00303353">
                      <w:pPr>
                        <w:ind w:leftChars="1" w:left="710" w:hangingChars="295" w:hanging="708"/>
                        <w:rPr>
                          <w:rFonts w:ascii="標楷體" w:eastAsia="標楷體" w:hAnsi="標楷體"/>
                          <w:b/>
                          <w:bCs/>
                        </w:rPr>
                      </w:pPr>
                      <w:r w:rsidRPr="00A24D6C">
                        <w:rPr>
                          <w:noProof/>
                        </w:rPr>
                        <w:drawing>
                          <wp:inline distT="0" distB="0" distL="0" distR="0" wp14:anchorId="088BE1F5" wp14:editId="3F7A31AC">
                            <wp:extent cx="4436110" cy="2490470"/>
                            <wp:effectExtent l="0" t="0" r="2540" b="508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aturation sat="0"/>
                                              </a14:imgEffect>
                                            </a14:imgLayer>
                                          </a14:imgProps>
                                        </a:ext>
                                      </a:extLst>
                                    </a:blip>
                                    <a:stretch>
                                      <a:fillRect/>
                                    </a:stretch>
                                  </pic:blipFill>
                                  <pic:spPr>
                                    <a:xfrm>
                                      <a:off x="0" y="0"/>
                                      <a:ext cx="4436110" cy="2490470"/>
                                    </a:xfrm>
                                    <a:prstGeom prst="rect">
                                      <a:avLst/>
                                    </a:prstGeom>
                                  </pic:spPr>
                                </pic:pic>
                              </a:graphicData>
                            </a:graphic>
                          </wp:inline>
                        </w:drawing>
                      </w:r>
                    </w:p>
                    <w:p w14:paraId="13DAAD43" w14:textId="77777777" w:rsidR="00303353" w:rsidRDefault="00303353" w:rsidP="00303353">
                      <w:pPr>
                        <w:widowControl/>
                        <w:spacing w:line="240" w:lineRule="exact"/>
                        <w:ind w:leftChars="1" w:left="902" w:hangingChars="500" w:hanging="900"/>
                      </w:pPr>
                      <w:r w:rsidRPr="00846497">
                        <w:rPr>
                          <w:rFonts w:ascii="標楷體" w:eastAsia="標楷體" w:hAnsi="標楷體" w:cs="新細明體" w:hint="eastAsia"/>
                          <w:color w:val="000000"/>
                          <w:kern w:val="0"/>
                          <w:sz w:val="18"/>
                          <w:szCs w:val="18"/>
                        </w:rPr>
                        <w:t>資料來源：整理自行政院主計總處114年2月17日發布「113年12月暨全年工業及服務業薪資統計結果」。</w:t>
                      </w:r>
                    </w:p>
                  </w:txbxContent>
                </v:textbox>
                <w10:wrap type="square" anchorx="margin"/>
              </v:shape>
            </w:pict>
          </mc:Fallback>
        </mc:AlternateContent>
      </w:r>
      <w:r w:rsidR="00917CD9" w:rsidRPr="00AB3B99">
        <w:rPr>
          <w:rFonts w:ascii="標楷體" w:eastAsia="標楷體" w:hAnsi="標楷體" w:hint="eastAsia"/>
          <w:szCs w:val="24"/>
        </w:rPr>
        <w:t>性薪資雖自4萬2,281元上升至4萬6,450元，然低於平均數之員工比率自</w:t>
      </w:r>
      <w:proofErr w:type="gramStart"/>
      <w:r w:rsidR="00917CD9" w:rsidRPr="00AB3B99">
        <w:rPr>
          <w:rFonts w:ascii="標楷體" w:eastAsia="標楷體" w:hAnsi="標楷體" w:hint="eastAsia"/>
          <w:szCs w:val="24"/>
        </w:rPr>
        <w:t>109</w:t>
      </w:r>
      <w:proofErr w:type="gramEnd"/>
      <w:r w:rsidR="00917CD9" w:rsidRPr="00AB3B99">
        <w:rPr>
          <w:rFonts w:ascii="標楷體" w:eastAsia="標楷體" w:hAnsi="標楷體" w:hint="eastAsia"/>
          <w:szCs w:val="24"/>
        </w:rPr>
        <w:t>年度之66.78％，連續4年逐年上升至</w:t>
      </w:r>
      <w:proofErr w:type="gramStart"/>
      <w:r w:rsidR="00917CD9" w:rsidRPr="00AB3B99">
        <w:rPr>
          <w:rFonts w:ascii="標楷體" w:eastAsia="標楷體" w:hAnsi="標楷體" w:hint="eastAsia"/>
          <w:szCs w:val="24"/>
        </w:rPr>
        <w:t>113</w:t>
      </w:r>
      <w:proofErr w:type="gramEnd"/>
      <w:r w:rsidR="00917CD9" w:rsidRPr="00AB3B99">
        <w:rPr>
          <w:rFonts w:ascii="標楷體" w:eastAsia="標楷體" w:hAnsi="標楷體" w:hint="eastAsia"/>
          <w:szCs w:val="24"/>
        </w:rPr>
        <w:t>年度之69.22％</w:t>
      </w:r>
      <w:r w:rsidR="00917CD9" w:rsidRPr="00DC7CF3">
        <w:rPr>
          <w:rFonts w:ascii="標楷體" w:eastAsia="標楷體" w:hAnsi="標楷體" w:hint="eastAsia"/>
          <w:szCs w:val="24"/>
        </w:rPr>
        <w:t>（圖</w:t>
      </w:r>
      <w:r w:rsidR="00FE65D8">
        <w:rPr>
          <w:rFonts w:ascii="標楷體" w:eastAsia="標楷體" w:hAnsi="標楷體" w:hint="eastAsia"/>
          <w:szCs w:val="24"/>
        </w:rPr>
        <w:t>3</w:t>
      </w:r>
      <w:r w:rsidR="00917CD9" w:rsidRPr="00DC7CF3">
        <w:rPr>
          <w:rFonts w:ascii="標楷體" w:eastAsia="標楷體" w:hAnsi="標楷體" w:hint="eastAsia"/>
          <w:szCs w:val="24"/>
        </w:rPr>
        <w:t>），</w:t>
      </w:r>
      <w:r w:rsidR="00917CD9" w:rsidRPr="00AB3B99">
        <w:rPr>
          <w:rFonts w:ascii="標楷體" w:eastAsia="標楷體" w:hAnsi="標楷體" w:hint="eastAsia"/>
          <w:szCs w:val="24"/>
        </w:rPr>
        <w:t>增加2.44個百分點，顯示政府雖於107年間起推動薪資提升對策，並於113年間再度推動提高低薪8項創新對策，全體受僱員工每人每月平均經常性薪資低於平均數之員工比率，仍有逐年增加趨勢且近</w:t>
      </w:r>
      <w:proofErr w:type="gramStart"/>
      <w:r w:rsidR="00917CD9" w:rsidRPr="00AB3B99">
        <w:rPr>
          <w:rFonts w:ascii="標楷體" w:eastAsia="標楷體" w:hAnsi="標楷體" w:hint="eastAsia"/>
          <w:szCs w:val="24"/>
        </w:rPr>
        <w:t>7成</w:t>
      </w:r>
      <w:proofErr w:type="gramEnd"/>
      <w:r w:rsidR="00917CD9" w:rsidRPr="00AB3B99">
        <w:rPr>
          <w:rFonts w:ascii="標楷體" w:eastAsia="標楷體" w:hAnsi="標楷體" w:hint="eastAsia"/>
          <w:szCs w:val="24"/>
        </w:rPr>
        <w:t>，</w:t>
      </w:r>
      <w:r w:rsidR="00917CD9">
        <w:rPr>
          <w:rFonts w:ascii="標楷體" w:eastAsia="標楷體" w:hAnsi="標楷體" w:hint="eastAsia"/>
          <w:szCs w:val="24"/>
        </w:rPr>
        <w:t>允宜</w:t>
      </w:r>
      <w:r w:rsidR="00917CD9" w:rsidRPr="00AB3B99">
        <w:rPr>
          <w:rFonts w:ascii="標楷體" w:eastAsia="標楷體" w:hAnsi="標楷體" w:hint="eastAsia"/>
          <w:szCs w:val="24"/>
        </w:rPr>
        <w:t>強化精進及有效落實相關對策。</w:t>
      </w:r>
    </w:p>
    <w:p w14:paraId="4B3A27DE" w14:textId="11AC79A3" w:rsidR="00283CE1" w:rsidRPr="002C489F" w:rsidRDefault="00283CE1" w:rsidP="00667A85">
      <w:pPr>
        <w:pStyle w:val="affffff3"/>
        <w:overflowPunct w:val="0"/>
        <w:spacing w:line="460" w:lineRule="exact"/>
        <w:outlineLvl w:val="1"/>
        <w:rPr>
          <w:color w:val="FF0000"/>
        </w:rPr>
      </w:pPr>
      <w:r w:rsidRPr="004D155E">
        <w:rPr>
          <w:rFonts w:hint="eastAsia"/>
        </w:rPr>
        <w:t>（</w:t>
      </w:r>
      <w:r>
        <w:rPr>
          <w:rFonts w:hint="eastAsia"/>
        </w:rPr>
        <w:t>五</w:t>
      </w:r>
      <w:r w:rsidRPr="004D155E">
        <w:rPr>
          <w:rFonts w:hint="eastAsia"/>
        </w:rPr>
        <w:t>）</w:t>
      </w:r>
      <w:r w:rsidRPr="007B13CE">
        <w:rPr>
          <w:rFonts w:hint="eastAsia"/>
        </w:rPr>
        <w:t xml:space="preserve">　</w:t>
      </w:r>
      <w:r w:rsidR="0020723C" w:rsidRPr="0020723C">
        <w:rPr>
          <w:rFonts w:hint="eastAsia"/>
        </w:rPr>
        <w:t>政府社會福利政策措施係減緩所得分配差距</w:t>
      </w:r>
      <w:r w:rsidR="00CD54AD" w:rsidRPr="0020723C">
        <w:rPr>
          <w:rFonts w:hint="eastAsia"/>
        </w:rPr>
        <w:t>之</w:t>
      </w:r>
      <w:r w:rsidR="0020723C" w:rsidRPr="0020723C">
        <w:rPr>
          <w:rFonts w:hint="eastAsia"/>
        </w:rPr>
        <w:t>關鍵方式，相關福利法制健全完備係執行良</w:t>
      </w:r>
      <w:proofErr w:type="gramStart"/>
      <w:r w:rsidR="0020723C" w:rsidRPr="0020723C">
        <w:rPr>
          <w:rFonts w:hint="eastAsia"/>
        </w:rPr>
        <w:t>窳</w:t>
      </w:r>
      <w:proofErr w:type="gramEnd"/>
      <w:r w:rsidR="0020723C" w:rsidRPr="0020723C">
        <w:rPr>
          <w:rFonts w:hint="eastAsia"/>
        </w:rPr>
        <w:t>之基石，惟</w:t>
      </w:r>
      <w:proofErr w:type="gramStart"/>
      <w:r w:rsidR="0020723C" w:rsidRPr="0020723C">
        <w:rPr>
          <w:rFonts w:hint="eastAsia"/>
        </w:rPr>
        <w:t>101年函頒之</w:t>
      </w:r>
      <w:proofErr w:type="gramEnd"/>
      <w:r w:rsidR="0020723C" w:rsidRPr="0020723C">
        <w:rPr>
          <w:rFonts w:hint="eastAsia"/>
        </w:rPr>
        <w:t>社會福利政策綱領已久未修正，亦未配合社會福利基本法施行重新訂定，另近</w:t>
      </w:r>
      <w:proofErr w:type="gramStart"/>
      <w:r w:rsidR="0020723C" w:rsidRPr="0020723C">
        <w:rPr>
          <w:rFonts w:hint="eastAsia"/>
        </w:rPr>
        <w:t>5</w:t>
      </w:r>
      <w:proofErr w:type="gramEnd"/>
      <w:r w:rsidR="0020723C" w:rsidRPr="0020723C">
        <w:rPr>
          <w:rFonts w:hint="eastAsia"/>
        </w:rPr>
        <w:t>年度低（中低）收入戶人數下降近10萬人，社會救助法修正草案雖已規劃放寬認定條件，迄未完成法制作業，允宜督促儘速檢修協調，以發揮政策引導功能，持續因應經濟社會變遷及政策回應之需要與挑戰。</w:t>
      </w:r>
    </w:p>
    <w:p w14:paraId="1118509C" w14:textId="48A4CED6" w:rsidR="00283CE1" w:rsidRPr="00F02817" w:rsidRDefault="001D6933" w:rsidP="00667A85">
      <w:pPr>
        <w:pStyle w:val="1e"/>
        <w:overflowPunct w:val="0"/>
        <w:spacing w:line="460" w:lineRule="exact"/>
        <w:ind w:firstLineChars="200" w:firstLine="480"/>
        <w:rPr>
          <w:rFonts w:hAnsi="標楷體"/>
        </w:rPr>
      </w:pPr>
      <w:r w:rsidRPr="001D6933">
        <w:rPr>
          <w:rFonts w:hAnsi="標楷體" w:hint="eastAsia"/>
        </w:rPr>
        <w:t>政府為減緩所得分配差距，持續推動社會福利措施、調高基本工資、鼓勵企業加薪，及</w:t>
      </w:r>
      <w:proofErr w:type="gramStart"/>
      <w:r w:rsidRPr="001D6933">
        <w:rPr>
          <w:rFonts w:hAnsi="標楷體" w:hint="eastAsia"/>
        </w:rPr>
        <w:t>研</w:t>
      </w:r>
      <w:proofErr w:type="gramEnd"/>
      <w:r w:rsidRPr="001D6933">
        <w:rPr>
          <w:rFonts w:hAnsi="標楷體" w:hint="eastAsia"/>
        </w:rPr>
        <w:t>提改善所得分配相關執行策略，依行政院主計總處家庭收支調查統計數據分析，近10年（103-112年）政府移轉收支前，我國「每戶」可支配所得五等分位差距倍數平均為7.38倍，經各級政府發放社會福利現金補助（自政府移轉收入）及政府課稅（對政府移轉支出），分別平均縮小所得差距1.14倍及0.14倍，合計所得重分配效果可改善1.28倍，平均可支配所得差距倍數減為6.10倍，如再</w:t>
      </w:r>
      <w:proofErr w:type="gramStart"/>
      <w:r w:rsidRPr="001D6933">
        <w:rPr>
          <w:rFonts w:hAnsi="標楷體" w:hint="eastAsia"/>
        </w:rPr>
        <w:t>併</w:t>
      </w:r>
      <w:proofErr w:type="gramEnd"/>
      <w:r w:rsidRPr="001D6933">
        <w:rPr>
          <w:rFonts w:hAnsi="標楷體" w:hint="eastAsia"/>
        </w:rPr>
        <w:t>計政府社會福利實物給付平均縮小0.39倍後，平均可支配所得差距倍數再降為5.71倍</w:t>
      </w:r>
      <w:r w:rsidR="00E946D1">
        <w:rPr>
          <w:rFonts w:hAnsi="標楷體" w:hint="eastAsia"/>
        </w:rPr>
        <w:t>（</w:t>
      </w:r>
      <w:r w:rsidRPr="001D6933">
        <w:rPr>
          <w:rFonts w:hAnsi="標楷體" w:hint="eastAsia"/>
        </w:rPr>
        <w:t>表</w:t>
      </w:r>
      <w:r>
        <w:rPr>
          <w:rFonts w:hAnsi="標楷體" w:hint="eastAsia"/>
        </w:rPr>
        <w:t>7</w:t>
      </w:r>
      <w:r w:rsidR="00E946D1">
        <w:rPr>
          <w:rFonts w:hAnsi="標楷體" w:hint="eastAsia"/>
        </w:rPr>
        <w:t>）</w:t>
      </w:r>
      <w:r w:rsidRPr="001D6933">
        <w:rPr>
          <w:rFonts w:hAnsi="標楷體" w:hint="eastAsia"/>
        </w:rPr>
        <w:t>，顯示政府社會福利政策措施（現金補助及實物給付）係減緩所得分配差距</w:t>
      </w:r>
      <w:r w:rsidR="00CD54AD">
        <w:rPr>
          <w:rFonts w:hAnsi="標楷體" w:hint="eastAsia"/>
        </w:rPr>
        <w:t>之</w:t>
      </w:r>
      <w:r w:rsidRPr="001D6933">
        <w:rPr>
          <w:rFonts w:hAnsi="標楷體" w:hint="eastAsia"/>
        </w:rPr>
        <w:t>關鍵方式。按社會福利政策亦為我國基本國策之一，相關社會福利法制之健全完備，係執行良</w:t>
      </w:r>
      <w:proofErr w:type="gramStart"/>
      <w:r w:rsidRPr="001D6933">
        <w:rPr>
          <w:rFonts w:hAnsi="標楷體" w:hint="eastAsia"/>
        </w:rPr>
        <w:t>窳</w:t>
      </w:r>
      <w:proofErr w:type="gramEnd"/>
      <w:r w:rsidRPr="001D6933">
        <w:rPr>
          <w:rFonts w:hAnsi="標楷體" w:hint="eastAsia"/>
        </w:rPr>
        <w:t>之基石。尤其政府為照顧低（中低）收入戶及救助遭受急難或災害者，並協助其自立，已施行社會救助法多年，又為維護國民社會福利基本權利，確立社會福利基本方針，健全社會福利體制，</w:t>
      </w:r>
      <w:r w:rsidR="00667A85" w:rsidRPr="00574751">
        <w:rPr>
          <w:rFonts w:asciiTheme="minorHAnsi" w:eastAsiaTheme="minorEastAsia" w:hAnsi="標楷體" w:cstheme="minorBidi" w:hint="eastAsia"/>
          <w:bCs w:val="0"/>
          <w:noProof/>
          <w:snapToGrid w:val="0"/>
        </w:rPr>
        <w:lastRenderedPageBreak/>
        <mc:AlternateContent>
          <mc:Choice Requires="wps">
            <w:drawing>
              <wp:anchor distT="0" distB="0" distL="114300" distR="114300" simplePos="0" relativeHeight="251670528" behindDoc="1" locked="0" layoutInCell="1" allowOverlap="1" wp14:anchorId="796B0930" wp14:editId="32740FD4">
                <wp:simplePos x="0" y="0"/>
                <wp:positionH relativeFrom="margin">
                  <wp:posOffset>995045</wp:posOffset>
                </wp:positionH>
                <wp:positionV relativeFrom="paragraph">
                  <wp:posOffset>142875</wp:posOffset>
                </wp:positionV>
                <wp:extent cx="5299710" cy="3510915"/>
                <wp:effectExtent l="0" t="0" r="0" b="0"/>
                <wp:wrapSquare wrapText="bothSides"/>
                <wp:docPr id="1939397615" name="文字方塊 1939397615"/>
                <wp:cNvGraphicFramePr/>
                <a:graphic xmlns:a="http://schemas.openxmlformats.org/drawingml/2006/main">
                  <a:graphicData uri="http://schemas.microsoft.com/office/word/2010/wordprocessingShape">
                    <wps:wsp>
                      <wps:cNvSpPr txBox="1"/>
                      <wps:spPr>
                        <a:xfrm>
                          <a:off x="0" y="0"/>
                          <a:ext cx="5299710" cy="3510915"/>
                        </a:xfrm>
                        <a:prstGeom prst="rect">
                          <a:avLst/>
                        </a:prstGeom>
                        <a:noFill/>
                        <a:ln w="6350">
                          <a:noFill/>
                        </a:ln>
                      </wps:spPr>
                      <wps:txbx>
                        <w:txbxContent>
                          <w:p w14:paraId="30AA3967" w14:textId="6F743995" w:rsidR="00667A85" w:rsidRDefault="00667A85" w:rsidP="00667A85">
                            <w:pPr>
                              <w:widowControl/>
                              <w:spacing w:line="400" w:lineRule="exact"/>
                              <w:ind w:leftChars="236" w:left="566"/>
                              <w:jc w:val="center"/>
                              <w:rPr>
                                <w:rFonts w:ascii="標楷體" w:eastAsia="標楷體" w:hAnsi="標楷體"/>
                                <w:b/>
                                <w:bCs/>
                                <w:snapToGrid w:val="0"/>
                                <w:kern w:val="0"/>
                                <w:szCs w:val="24"/>
                              </w:rPr>
                            </w:pPr>
                            <w:r w:rsidRPr="002F0733">
                              <w:rPr>
                                <w:rFonts w:ascii="標楷體" w:eastAsia="標楷體" w:hAnsi="標楷體" w:hint="eastAsia"/>
                                <w:b/>
                                <w:bCs/>
                                <w:snapToGrid w:val="0"/>
                                <w:kern w:val="0"/>
                                <w:szCs w:val="24"/>
                              </w:rPr>
                              <w:t>表</w:t>
                            </w:r>
                            <w:r>
                              <w:rPr>
                                <w:rFonts w:ascii="標楷體" w:eastAsia="標楷體" w:hAnsi="標楷體"/>
                                <w:b/>
                                <w:bCs/>
                                <w:snapToGrid w:val="0"/>
                                <w:kern w:val="0"/>
                                <w:szCs w:val="24"/>
                              </w:rPr>
                              <w:t>7</w:t>
                            </w:r>
                            <w:r w:rsidRPr="002F0733">
                              <w:rPr>
                                <w:rFonts w:ascii="標楷體" w:eastAsia="標楷體" w:hAnsi="標楷體" w:hint="eastAsia"/>
                                <w:b/>
                                <w:bCs/>
                                <w:snapToGrid w:val="0"/>
                                <w:kern w:val="0"/>
                                <w:szCs w:val="24"/>
                              </w:rPr>
                              <w:t xml:space="preserve">　近10年政府社會福利措施對家庭所得分配之影響</w:t>
                            </w:r>
                          </w:p>
                          <w:p w14:paraId="58D1FA58" w14:textId="696EFC37" w:rsidR="00917657" w:rsidRPr="002F0733" w:rsidRDefault="00917657" w:rsidP="00917657">
                            <w:pPr>
                              <w:widowControl/>
                              <w:spacing w:line="400" w:lineRule="exact"/>
                              <w:ind w:leftChars="236" w:left="566"/>
                              <w:jc w:val="right"/>
                              <w:rPr>
                                <w:rFonts w:ascii="標楷體" w:eastAsia="標楷體" w:hAnsi="標楷體"/>
                                <w:b/>
                                <w:bCs/>
                                <w:snapToGrid w:val="0"/>
                                <w:kern w:val="0"/>
                                <w:szCs w:val="24"/>
                              </w:rPr>
                            </w:pPr>
                            <w:r w:rsidRPr="00905EC1">
                              <w:rPr>
                                <w:rFonts w:ascii="標楷體" w:eastAsia="標楷體" w:hAnsi="標楷體" w:hint="eastAsia"/>
                                <w:snapToGrid w:val="0"/>
                                <w:kern w:val="0"/>
                                <w:sz w:val="20"/>
                              </w:rPr>
                              <w:t>單位：倍</w:t>
                            </w:r>
                          </w:p>
                          <w:tbl>
                            <w:tblPr>
                              <w:tblStyle w:val="afff"/>
                              <w:tblW w:w="0" w:type="auto"/>
                              <w:jc w:val="right"/>
                              <w:tblLook w:val="04A0" w:firstRow="1" w:lastRow="0" w:firstColumn="1" w:lastColumn="0" w:noHBand="0" w:noVBand="1"/>
                            </w:tblPr>
                            <w:tblGrid>
                              <w:gridCol w:w="709"/>
                              <w:gridCol w:w="987"/>
                              <w:gridCol w:w="851"/>
                              <w:gridCol w:w="1205"/>
                              <w:gridCol w:w="1205"/>
                              <w:gridCol w:w="992"/>
                              <w:gridCol w:w="1134"/>
                              <w:gridCol w:w="992"/>
                            </w:tblGrid>
                            <w:tr w:rsidR="00404E67" w:rsidRPr="00404E67" w14:paraId="24FD6D2C" w14:textId="77777777" w:rsidTr="00404E67">
                              <w:trPr>
                                <w:trHeight w:val="283"/>
                                <w:jc w:val="right"/>
                              </w:trPr>
                              <w:tc>
                                <w:tcPr>
                                  <w:tcW w:w="709" w:type="dxa"/>
                                  <w:vMerge w:val="restart"/>
                                  <w:shd w:val="clear" w:color="auto" w:fill="auto"/>
                                  <w:vAlign w:val="center"/>
                                </w:tcPr>
                                <w:p w14:paraId="5DD60D5E" w14:textId="77777777" w:rsidR="00404E67" w:rsidRPr="00404E67" w:rsidRDefault="00404E67" w:rsidP="00917657">
                                  <w:pPr>
                                    <w:widowControl/>
                                    <w:spacing w:line="260" w:lineRule="exact"/>
                                    <w:jc w:val="center"/>
                                    <w:rPr>
                                      <w:rFonts w:ascii="標楷體" w:eastAsia="標楷體" w:hAnsi="標楷體"/>
                                      <w:snapToGrid w:val="0"/>
                                      <w:kern w:val="0"/>
                                      <w:sz w:val="20"/>
                                    </w:rPr>
                                  </w:pPr>
                                  <w:proofErr w:type="gramStart"/>
                                  <w:r w:rsidRPr="00404E67">
                                    <w:rPr>
                                      <w:rFonts w:ascii="標楷體" w:eastAsia="標楷體" w:hAnsi="標楷體" w:hint="eastAsia"/>
                                      <w:snapToGrid w:val="0"/>
                                      <w:kern w:val="0"/>
                                      <w:sz w:val="20"/>
                                    </w:rPr>
                                    <w:t>年別</w:t>
                                  </w:r>
                                  <w:proofErr w:type="gramEnd"/>
                                </w:p>
                              </w:tc>
                              <w:tc>
                                <w:tcPr>
                                  <w:tcW w:w="987" w:type="dxa"/>
                                  <w:vMerge w:val="restart"/>
                                  <w:shd w:val="clear" w:color="auto" w:fill="auto"/>
                                  <w:vAlign w:val="center"/>
                                </w:tcPr>
                                <w:p w14:paraId="77CBC24F" w14:textId="77777777" w:rsidR="00404E67" w:rsidRPr="00404E67" w:rsidRDefault="00404E67" w:rsidP="00917657">
                                  <w:pPr>
                                    <w:widowControl/>
                                    <w:spacing w:line="260" w:lineRule="exact"/>
                                    <w:jc w:val="both"/>
                                    <w:rPr>
                                      <w:rFonts w:ascii="標楷體" w:eastAsia="標楷體" w:hAnsi="標楷體"/>
                                      <w:snapToGrid w:val="0"/>
                                      <w:kern w:val="0"/>
                                      <w:sz w:val="20"/>
                                    </w:rPr>
                                  </w:pPr>
                                  <w:r w:rsidRPr="00404E67">
                                    <w:rPr>
                                      <w:rFonts w:ascii="標楷體" w:eastAsia="標楷體" w:hAnsi="標楷體"/>
                                      <w:snapToGrid w:val="0"/>
                                      <w:spacing w:val="-20"/>
                                      <w:kern w:val="0"/>
                                      <w:sz w:val="20"/>
                                    </w:rPr>
                                    <w:t>政府移轉收支前</w:t>
                                  </w:r>
                                  <w:r w:rsidRPr="00404E67">
                                    <w:rPr>
                                      <w:rFonts w:ascii="標楷體" w:eastAsia="標楷體" w:hAnsi="標楷體" w:hint="eastAsia"/>
                                      <w:snapToGrid w:val="0"/>
                                      <w:spacing w:val="-20"/>
                                      <w:kern w:val="0"/>
                                      <w:sz w:val="20"/>
                                    </w:rPr>
                                    <w:t>所得</w:t>
                                  </w:r>
                                  <w:r w:rsidRPr="00404E67">
                                    <w:rPr>
                                      <w:rFonts w:ascii="標楷體" w:eastAsia="標楷體" w:hAnsi="標楷體"/>
                                      <w:snapToGrid w:val="0"/>
                                      <w:spacing w:val="-20"/>
                                      <w:kern w:val="0"/>
                                      <w:sz w:val="20"/>
                                    </w:rPr>
                                    <w:t>差距倍數</w:t>
                                  </w:r>
                                  <w:r w:rsidRPr="00404E67">
                                    <w:rPr>
                                      <w:rFonts w:ascii="標楷體" w:eastAsia="標楷體" w:hAnsi="標楷體" w:hint="eastAsia"/>
                                      <w:snapToGrid w:val="0"/>
                                      <w:kern w:val="0"/>
                                      <w:sz w:val="20"/>
                                    </w:rPr>
                                    <w:t>（A）</w:t>
                                  </w:r>
                                </w:p>
                              </w:tc>
                              <w:tc>
                                <w:tcPr>
                                  <w:tcW w:w="3261" w:type="dxa"/>
                                  <w:gridSpan w:val="3"/>
                                  <w:shd w:val="clear" w:color="auto" w:fill="auto"/>
                                  <w:vAlign w:val="center"/>
                                </w:tcPr>
                                <w:p w14:paraId="5EEA57DE"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所得差距改善</w:t>
                                  </w:r>
                                  <w:r w:rsidRPr="00404E67">
                                    <w:rPr>
                                      <w:rFonts w:ascii="標楷體" w:eastAsia="標楷體" w:hAnsi="標楷體" w:hint="eastAsia"/>
                                      <w:snapToGrid w:val="0"/>
                                      <w:kern w:val="0"/>
                                      <w:sz w:val="20"/>
                                    </w:rPr>
                                    <w:t>（</w:t>
                                  </w:r>
                                  <w:r w:rsidRPr="00404E67">
                                    <w:rPr>
                                      <w:rFonts w:ascii="標楷體" w:eastAsia="標楷體" w:hAnsi="標楷體"/>
                                      <w:snapToGrid w:val="0"/>
                                      <w:kern w:val="0"/>
                                      <w:sz w:val="20"/>
                                    </w:rPr>
                                    <w:t>縮小</w:t>
                                  </w:r>
                                  <w:r w:rsidRPr="00404E67">
                                    <w:rPr>
                                      <w:rFonts w:ascii="標楷體" w:eastAsia="標楷體" w:hAnsi="標楷體" w:hint="eastAsia"/>
                                      <w:snapToGrid w:val="0"/>
                                      <w:kern w:val="0"/>
                                      <w:sz w:val="20"/>
                                    </w:rPr>
                                    <w:t>）</w:t>
                                  </w:r>
                                  <w:r w:rsidRPr="00404E67">
                                    <w:rPr>
                                      <w:rFonts w:ascii="標楷體" w:eastAsia="標楷體" w:hAnsi="標楷體"/>
                                      <w:snapToGrid w:val="0"/>
                                      <w:kern w:val="0"/>
                                      <w:sz w:val="20"/>
                                    </w:rPr>
                                    <w:t>程度</w:t>
                                  </w:r>
                                  <w:r w:rsidRPr="00404E67">
                                    <w:rPr>
                                      <w:rFonts w:ascii="標楷體" w:eastAsia="標楷體" w:hAnsi="標楷體" w:hint="eastAsia"/>
                                      <w:snapToGrid w:val="0"/>
                                      <w:kern w:val="0"/>
                                      <w:sz w:val="20"/>
                                    </w:rPr>
                                    <w:t>（</w:t>
                                  </w:r>
                                  <w:proofErr w:type="gramStart"/>
                                  <w:r w:rsidRPr="00404E67">
                                    <w:rPr>
                                      <w:rFonts w:ascii="標楷體" w:eastAsia="標楷體" w:hAnsi="標楷體"/>
                                      <w:snapToGrid w:val="0"/>
                                      <w:kern w:val="0"/>
                                      <w:sz w:val="20"/>
                                    </w:rPr>
                                    <w:t>倍</w:t>
                                  </w:r>
                                  <w:proofErr w:type="gramEnd"/>
                                  <w:r w:rsidRPr="00404E67">
                                    <w:rPr>
                                      <w:rFonts w:ascii="標楷體" w:eastAsia="標楷體" w:hAnsi="標楷體" w:hint="eastAsia"/>
                                      <w:snapToGrid w:val="0"/>
                                      <w:kern w:val="0"/>
                                      <w:sz w:val="20"/>
                                    </w:rPr>
                                    <w:t>）</w:t>
                                  </w:r>
                                </w:p>
                              </w:tc>
                              <w:tc>
                                <w:tcPr>
                                  <w:tcW w:w="992" w:type="dxa"/>
                                  <w:vMerge w:val="restart"/>
                                  <w:shd w:val="clear" w:color="auto" w:fill="auto"/>
                                  <w:vAlign w:val="center"/>
                                </w:tcPr>
                                <w:p w14:paraId="5F39D390"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可支配</w:t>
                                  </w:r>
                                </w:p>
                                <w:p w14:paraId="48761514"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所得差</w:t>
                                  </w:r>
                                </w:p>
                                <w:p w14:paraId="75136AF7"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距倍數</w:t>
                                  </w:r>
                                </w:p>
                                <w:p w14:paraId="04FB899C"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（A-B）</w:t>
                                  </w:r>
                                </w:p>
                              </w:tc>
                              <w:tc>
                                <w:tcPr>
                                  <w:tcW w:w="2126" w:type="dxa"/>
                                  <w:gridSpan w:val="2"/>
                                  <w:shd w:val="clear" w:color="auto" w:fill="auto"/>
                                  <w:vAlign w:val="center"/>
                                </w:tcPr>
                                <w:p w14:paraId="40DACD29" w14:textId="77777777" w:rsidR="00404E67" w:rsidRPr="00404E67" w:rsidRDefault="00404E67" w:rsidP="00917657">
                                  <w:pPr>
                                    <w:widowControl/>
                                    <w:spacing w:line="260" w:lineRule="exact"/>
                                    <w:jc w:val="center"/>
                                    <w:rPr>
                                      <w:rFonts w:ascii="標楷體" w:eastAsia="標楷體" w:hAnsi="標楷體"/>
                                      <w:snapToGrid w:val="0"/>
                                      <w:spacing w:val="-6"/>
                                      <w:kern w:val="0"/>
                                      <w:sz w:val="20"/>
                                    </w:rPr>
                                  </w:pPr>
                                  <w:r w:rsidRPr="00404E67">
                                    <w:rPr>
                                      <w:rFonts w:ascii="標楷體" w:eastAsia="標楷體" w:hAnsi="標楷體" w:hint="eastAsia"/>
                                      <w:snapToGrid w:val="0"/>
                                      <w:spacing w:val="-6"/>
                                      <w:kern w:val="0"/>
                                      <w:sz w:val="20"/>
                                    </w:rPr>
                                    <w:t>實物給付效果</w:t>
                                  </w:r>
                                </w:p>
                              </w:tc>
                            </w:tr>
                            <w:tr w:rsidR="00404E67" w:rsidRPr="00404E67" w14:paraId="567F9BFD" w14:textId="77777777" w:rsidTr="00404E67">
                              <w:trPr>
                                <w:jc w:val="right"/>
                              </w:trPr>
                              <w:tc>
                                <w:tcPr>
                                  <w:tcW w:w="709" w:type="dxa"/>
                                  <w:vMerge/>
                                  <w:shd w:val="clear" w:color="auto" w:fill="auto"/>
                                  <w:vAlign w:val="center"/>
                                </w:tcPr>
                                <w:p w14:paraId="2951EB35" w14:textId="77777777" w:rsidR="00404E67" w:rsidRPr="00404E67" w:rsidRDefault="00404E67" w:rsidP="00917657">
                                  <w:pPr>
                                    <w:widowControl/>
                                    <w:spacing w:line="260" w:lineRule="exact"/>
                                    <w:rPr>
                                      <w:rFonts w:ascii="標楷體" w:eastAsia="標楷體" w:hAnsi="標楷體"/>
                                      <w:snapToGrid w:val="0"/>
                                      <w:kern w:val="0"/>
                                      <w:sz w:val="20"/>
                                    </w:rPr>
                                  </w:pPr>
                                </w:p>
                              </w:tc>
                              <w:tc>
                                <w:tcPr>
                                  <w:tcW w:w="987" w:type="dxa"/>
                                  <w:vMerge/>
                                  <w:shd w:val="clear" w:color="auto" w:fill="auto"/>
                                  <w:vAlign w:val="center"/>
                                </w:tcPr>
                                <w:p w14:paraId="46B908E6" w14:textId="77777777" w:rsidR="00404E67" w:rsidRPr="00404E67" w:rsidRDefault="00404E67" w:rsidP="00917657">
                                  <w:pPr>
                                    <w:widowControl/>
                                    <w:spacing w:line="260" w:lineRule="exact"/>
                                    <w:jc w:val="both"/>
                                    <w:rPr>
                                      <w:rFonts w:ascii="標楷體" w:eastAsia="標楷體" w:hAnsi="標楷體"/>
                                      <w:snapToGrid w:val="0"/>
                                      <w:kern w:val="0"/>
                                      <w:sz w:val="20"/>
                                    </w:rPr>
                                  </w:pPr>
                                </w:p>
                              </w:tc>
                              <w:tc>
                                <w:tcPr>
                                  <w:tcW w:w="851" w:type="dxa"/>
                                  <w:shd w:val="clear" w:color="auto" w:fill="auto"/>
                                  <w:vAlign w:val="center"/>
                                </w:tcPr>
                                <w:p w14:paraId="439745AF" w14:textId="77777777" w:rsidR="00404E67" w:rsidRPr="00404E67" w:rsidRDefault="00404E67" w:rsidP="00917657">
                                  <w:pPr>
                                    <w:widowControl/>
                                    <w:spacing w:line="260" w:lineRule="exact"/>
                                    <w:jc w:val="center"/>
                                    <w:rPr>
                                      <w:rFonts w:ascii="標楷體" w:eastAsia="標楷體" w:hAnsi="標楷體"/>
                                      <w:spacing w:val="-8"/>
                                      <w:sz w:val="20"/>
                                    </w:rPr>
                                  </w:pPr>
                                  <w:r w:rsidRPr="00404E67">
                                    <w:rPr>
                                      <w:rFonts w:ascii="標楷體" w:eastAsia="標楷體" w:hAnsi="標楷體"/>
                                      <w:sz w:val="20"/>
                                    </w:rPr>
                                    <w:t>合計</w:t>
                                  </w:r>
                                  <w:r w:rsidRPr="00404E67">
                                    <w:rPr>
                                      <w:rFonts w:ascii="標楷體" w:eastAsia="標楷體" w:hAnsi="標楷體" w:hint="eastAsia"/>
                                      <w:snapToGrid w:val="0"/>
                                      <w:kern w:val="0"/>
                                      <w:sz w:val="20"/>
                                    </w:rPr>
                                    <w:t>（</w:t>
                                  </w:r>
                                  <w:r w:rsidRPr="00404E67">
                                    <w:rPr>
                                      <w:rFonts w:ascii="標楷體" w:eastAsia="標楷體" w:hAnsi="標楷體" w:hint="eastAsia"/>
                                      <w:sz w:val="20"/>
                                    </w:rPr>
                                    <w:t>B</w:t>
                                  </w:r>
                                  <w:r w:rsidRPr="00404E67">
                                    <w:rPr>
                                      <w:rFonts w:ascii="標楷體" w:eastAsia="標楷體" w:hAnsi="標楷體" w:hint="eastAsia"/>
                                      <w:snapToGrid w:val="0"/>
                                      <w:kern w:val="0"/>
                                      <w:sz w:val="20"/>
                                    </w:rPr>
                                    <w:t>）</w:t>
                                  </w:r>
                                </w:p>
                              </w:tc>
                              <w:tc>
                                <w:tcPr>
                                  <w:tcW w:w="1205" w:type="dxa"/>
                                  <w:shd w:val="clear" w:color="auto" w:fill="auto"/>
                                  <w:vAlign w:val="center"/>
                                </w:tcPr>
                                <w:p w14:paraId="1D591428" w14:textId="77777777" w:rsidR="00404E67" w:rsidRPr="00404E67" w:rsidRDefault="00404E67" w:rsidP="00917657">
                                  <w:pPr>
                                    <w:widowControl/>
                                    <w:spacing w:line="260" w:lineRule="exact"/>
                                    <w:jc w:val="both"/>
                                    <w:rPr>
                                      <w:rFonts w:ascii="標楷體" w:eastAsia="標楷體" w:hAnsi="標楷體"/>
                                      <w:spacing w:val="-8"/>
                                      <w:sz w:val="20"/>
                                    </w:rPr>
                                  </w:pPr>
                                  <w:r w:rsidRPr="00404E67">
                                    <w:rPr>
                                      <w:rFonts w:ascii="標楷體" w:eastAsia="標楷體" w:hAnsi="標楷體" w:hint="eastAsia"/>
                                      <w:spacing w:val="-8"/>
                                      <w:sz w:val="20"/>
                                    </w:rPr>
                                    <w:t>自</w:t>
                                  </w:r>
                                  <w:r w:rsidRPr="00404E67">
                                    <w:rPr>
                                      <w:rFonts w:ascii="標楷體" w:eastAsia="標楷體" w:hAnsi="標楷體"/>
                                      <w:spacing w:val="-8"/>
                                      <w:sz w:val="20"/>
                                    </w:rPr>
                                    <w:t>政府移轉收入</w:t>
                                  </w:r>
                                  <w:r w:rsidRPr="00404E67">
                                    <w:rPr>
                                      <w:rFonts w:ascii="標楷體" w:eastAsia="標楷體" w:hAnsi="標楷體" w:hint="eastAsia"/>
                                      <w:spacing w:val="-8"/>
                                      <w:sz w:val="20"/>
                                    </w:rPr>
                                    <w:t>(社福補助等)</w:t>
                                  </w:r>
                                </w:p>
                              </w:tc>
                              <w:tc>
                                <w:tcPr>
                                  <w:tcW w:w="1205" w:type="dxa"/>
                                  <w:shd w:val="clear" w:color="auto" w:fill="auto"/>
                                  <w:vAlign w:val="center"/>
                                </w:tcPr>
                                <w:p w14:paraId="7D67043D"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pacing w:val="-8"/>
                                      <w:sz w:val="20"/>
                                    </w:rPr>
                                    <w:t>對政府移轉支出</w:t>
                                  </w:r>
                                  <w:r w:rsidRPr="00404E67">
                                    <w:rPr>
                                      <w:rFonts w:ascii="標楷體" w:eastAsia="標楷體" w:hAnsi="標楷體" w:hint="eastAsia"/>
                                      <w:spacing w:val="-8"/>
                                      <w:sz w:val="20"/>
                                    </w:rPr>
                                    <w:t>(直接稅規費等)</w:t>
                                  </w:r>
                                </w:p>
                              </w:tc>
                              <w:tc>
                                <w:tcPr>
                                  <w:tcW w:w="992" w:type="dxa"/>
                                  <w:vMerge/>
                                  <w:shd w:val="clear" w:color="auto" w:fill="auto"/>
                                  <w:vAlign w:val="center"/>
                                </w:tcPr>
                                <w:p w14:paraId="741AA3D3" w14:textId="77777777" w:rsidR="00404E67" w:rsidRPr="00404E67" w:rsidRDefault="00404E67" w:rsidP="00917657">
                                  <w:pPr>
                                    <w:widowControl/>
                                    <w:spacing w:line="260" w:lineRule="exact"/>
                                    <w:jc w:val="both"/>
                                    <w:rPr>
                                      <w:rFonts w:ascii="標楷體" w:eastAsia="標楷體" w:hAnsi="標楷體"/>
                                      <w:snapToGrid w:val="0"/>
                                      <w:kern w:val="0"/>
                                      <w:sz w:val="20"/>
                                    </w:rPr>
                                  </w:pPr>
                                </w:p>
                              </w:tc>
                              <w:tc>
                                <w:tcPr>
                                  <w:tcW w:w="1134" w:type="dxa"/>
                                  <w:shd w:val="clear" w:color="auto" w:fill="auto"/>
                                  <w:vAlign w:val="center"/>
                                </w:tcPr>
                                <w:p w14:paraId="3D0BC5AC"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所得差距縮小倍數</w:t>
                                  </w:r>
                                </w:p>
                                <w:p w14:paraId="07AB203E"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（C）</w:t>
                                  </w:r>
                                </w:p>
                              </w:tc>
                              <w:tc>
                                <w:tcPr>
                                  <w:tcW w:w="992" w:type="dxa"/>
                                  <w:shd w:val="clear" w:color="auto" w:fill="auto"/>
                                  <w:vAlign w:val="center"/>
                                </w:tcPr>
                                <w:p w14:paraId="4B00AC4F" w14:textId="77777777" w:rsidR="00404E67" w:rsidRPr="00404E67" w:rsidRDefault="00404E67" w:rsidP="00917657">
                                  <w:pPr>
                                    <w:widowControl/>
                                    <w:spacing w:line="260" w:lineRule="exact"/>
                                    <w:ind w:rightChars="-23" w:right="-55"/>
                                    <w:jc w:val="center"/>
                                    <w:rPr>
                                      <w:rFonts w:ascii="標楷體" w:eastAsia="標楷體" w:hAnsi="標楷體"/>
                                      <w:snapToGrid w:val="0"/>
                                      <w:kern w:val="0"/>
                                      <w:sz w:val="20"/>
                                    </w:rPr>
                                  </w:pPr>
                                  <w:proofErr w:type="gramStart"/>
                                  <w:r w:rsidRPr="00404E67">
                                    <w:rPr>
                                      <w:rFonts w:ascii="標楷體" w:eastAsia="標楷體" w:hAnsi="標楷體" w:hint="eastAsia"/>
                                      <w:snapToGrid w:val="0"/>
                                      <w:spacing w:val="-6"/>
                                      <w:kern w:val="0"/>
                                      <w:sz w:val="20"/>
                                    </w:rPr>
                                    <w:t>併</w:t>
                                  </w:r>
                                  <w:proofErr w:type="gramEnd"/>
                                  <w:r w:rsidRPr="00404E67">
                                    <w:rPr>
                                      <w:rFonts w:ascii="標楷體" w:eastAsia="標楷體" w:hAnsi="標楷體" w:hint="eastAsia"/>
                                      <w:snapToGrid w:val="0"/>
                                      <w:spacing w:val="-6"/>
                                      <w:kern w:val="0"/>
                                      <w:sz w:val="20"/>
                                    </w:rPr>
                                    <w:t>計實物給付後之</w:t>
                                  </w:r>
                                  <w:r w:rsidRPr="00404E67">
                                    <w:rPr>
                                      <w:rFonts w:ascii="標楷體" w:eastAsia="標楷體" w:hAnsi="標楷體" w:hint="eastAsia"/>
                                      <w:snapToGrid w:val="0"/>
                                      <w:kern w:val="0"/>
                                      <w:sz w:val="20"/>
                                    </w:rPr>
                                    <w:t>差距倍數</w:t>
                                  </w:r>
                                </w:p>
                                <w:p w14:paraId="73DF3EF8" w14:textId="77777777" w:rsidR="00404E67" w:rsidRPr="00404E67" w:rsidRDefault="00404E67" w:rsidP="00917657">
                                  <w:pPr>
                                    <w:widowControl/>
                                    <w:spacing w:line="260" w:lineRule="exact"/>
                                    <w:jc w:val="center"/>
                                    <w:rPr>
                                      <w:rFonts w:ascii="標楷體" w:eastAsia="標楷體" w:hAnsi="標楷體"/>
                                      <w:snapToGrid w:val="0"/>
                                      <w:spacing w:val="-20"/>
                                      <w:kern w:val="0"/>
                                      <w:sz w:val="20"/>
                                    </w:rPr>
                                  </w:pPr>
                                  <w:r w:rsidRPr="00404E67">
                                    <w:rPr>
                                      <w:rFonts w:ascii="標楷體" w:eastAsia="標楷體" w:hAnsi="標楷體" w:hint="eastAsia"/>
                                      <w:snapToGrid w:val="0"/>
                                      <w:spacing w:val="-20"/>
                                      <w:kern w:val="0"/>
                                      <w:sz w:val="20"/>
                                    </w:rPr>
                                    <w:t>（A-B-C）</w:t>
                                  </w:r>
                                </w:p>
                              </w:tc>
                            </w:tr>
                            <w:tr w:rsidR="00404E67" w:rsidRPr="00404E67" w14:paraId="73E49541" w14:textId="77777777" w:rsidTr="007E12E4">
                              <w:trPr>
                                <w:jc w:val="right"/>
                              </w:trPr>
                              <w:tc>
                                <w:tcPr>
                                  <w:tcW w:w="709" w:type="dxa"/>
                                  <w:vAlign w:val="center"/>
                                </w:tcPr>
                                <w:p w14:paraId="78902853" w14:textId="77777777" w:rsidR="00404E67" w:rsidRPr="00404E67" w:rsidRDefault="00404E67" w:rsidP="00917657">
                                  <w:pPr>
                                    <w:widowControl/>
                                    <w:spacing w:line="260" w:lineRule="exact"/>
                                    <w:jc w:val="center"/>
                                    <w:rPr>
                                      <w:rFonts w:ascii="標楷體" w:eastAsia="標楷體" w:hAnsi="標楷體"/>
                                      <w:b/>
                                      <w:bCs/>
                                      <w:snapToGrid w:val="0"/>
                                      <w:kern w:val="0"/>
                                      <w:sz w:val="20"/>
                                    </w:rPr>
                                  </w:pPr>
                                  <w:r w:rsidRPr="00404E67">
                                    <w:rPr>
                                      <w:rFonts w:ascii="標楷體" w:eastAsia="標楷體" w:hAnsi="標楷體" w:hint="eastAsia"/>
                                      <w:b/>
                                      <w:bCs/>
                                      <w:snapToGrid w:val="0"/>
                                      <w:kern w:val="0"/>
                                      <w:sz w:val="20"/>
                                    </w:rPr>
                                    <w:t>平均</w:t>
                                  </w:r>
                                </w:p>
                              </w:tc>
                              <w:tc>
                                <w:tcPr>
                                  <w:tcW w:w="987" w:type="dxa"/>
                                  <w:vAlign w:val="center"/>
                                </w:tcPr>
                                <w:p w14:paraId="4D67FC2D"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7.38</w:t>
                                  </w:r>
                                </w:p>
                              </w:tc>
                              <w:tc>
                                <w:tcPr>
                                  <w:tcW w:w="851" w:type="dxa"/>
                                  <w:vAlign w:val="center"/>
                                </w:tcPr>
                                <w:p w14:paraId="29422649"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1.28</w:t>
                                  </w:r>
                                </w:p>
                              </w:tc>
                              <w:tc>
                                <w:tcPr>
                                  <w:tcW w:w="1205" w:type="dxa"/>
                                  <w:vAlign w:val="center"/>
                                </w:tcPr>
                                <w:p w14:paraId="69C3937C"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1.14</w:t>
                                  </w:r>
                                </w:p>
                              </w:tc>
                              <w:tc>
                                <w:tcPr>
                                  <w:tcW w:w="1205" w:type="dxa"/>
                                  <w:vAlign w:val="center"/>
                                </w:tcPr>
                                <w:p w14:paraId="0EFDFB81"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0.14</w:t>
                                  </w:r>
                                </w:p>
                              </w:tc>
                              <w:tc>
                                <w:tcPr>
                                  <w:tcW w:w="992" w:type="dxa"/>
                                  <w:vAlign w:val="center"/>
                                </w:tcPr>
                                <w:p w14:paraId="40A63637"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6.10</w:t>
                                  </w:r>
                                </w:p>
                              </w:tc>
                              <w:tc>
                                <w:tcPr>
                                  <w:tcW w:w="1134" w:type="dxa"/>
                                  <w:vAlign w:val="center"/>
                                </w:tcPr>
                                <w:p w14:paraId="437AB838"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0.39</w:t>
                                  </w:r>
                                </w:p>
                              </w:tc>
                              <w:tc>
                                <w:tcPr>
                                  <w:tcW w:w="992" w:type="dxa"/>
                                  <w:vAlign w:val="center"/>
                                </w:tcPr>
                                <w:p w14:paraId="55FA06D2"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5.71</w:t>
                                  </w:r>
                                </w:p>
                              </w:tc>
                            </w:tr>
                            <w:tr w:rsidR="00404E67" w:rsidRPr="00404E67" w14:paraId="640EBADA" w14:textId="77777777" w:rsidTr="007E12E4">
                              <w:trPr>
                                <w:jc w:val="right"/>
                              </w:trPr>
                              <w:tc>
                                <w:tcPr>
                                  <w:tcW w:w="709" w:type="dxa"/>
                                  <w:vAlign w:val="center"/>
                                </w:tcPr>
                                <w:p w14:paraId="233EDF31"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103</w:t>
                                  </w:r>
                                </w:p>
                              </w:tc>
                              <w:tc>
                                <w:tcPr>
                                  <w:tcW w:w="987" w:type="dxa"/>
                                  <w:vAlign w:val="center"/>
                                </w:tcPr>
                                <w:p w14:paraId="3E0528F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7.40</w:t>
                                  </w:r>
                                </w:p>
                              </w:tc>
                              <w:tc>
                                <w:tcPr>
                                  <w:tcW w:w="851" w:type="dxa"/>
                                  <w:vAlign w:val="center"/>
                                </w:tcPr>
                                <w:p w14:paraId="6700DD6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1.34</w:t>
                                  </w:r>
                                </w:p>
                              </w:tc>
                              <w:tc>
                                <w:tcPr>
                                  <w:tcW w:w="1205" w:type="dxa"/>
                                  <w:vAlign w:val="center"/>
                                </w:tcPr>
                                <w:p w14:paraId="273B6EB3"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1.20</w:t>
                                  </w:r>
                                </w:p>
                              </w:tc>
                              <w:tc>
                                <w:tcPr>
                                  <w:tcW w:w="1205" w:type="dxa"/>
                                  <w:vAlign w:val="center"/>
                                </w:tcPr>
                                <w:p w14:paraId="2E12832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173F070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6.05</w:t>
                                  </w:r>
                                </w:p>
                              </w:tc>
                              <w:tc>
                                <w:tcPr>
                                  <w:tcW w:w="1134" w:type="dxa"/>
                                  <w:vAlign w:val="center"/>
                                </w:tcPr>
                                <w:p w14:paraId="67FD5B6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0.40</w:t>
                                  </w:r>
                                </w:p>
                              </w:tc>
                              <w:tc>
                                <w:tcPr>
                                  <w:tcW w:w="992" w:type="dxa"/>
                                  <w:vAlign w:val="center"/>
                                </w:tcPr>
                                <w:p w14:paraId="7DA9542A"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5.65</w:t>
                                  </w:r>
                                </w:p>
                              </w:tc>
                            </w:tr>
                            <w:tr w:rsidR="00404E67" w:rsidRPr="00404E67" w14:paraId="606358F6" w14:textId="77777777" w:rsidTr="007E12E4">
                              <w:trPr>
                                <w:jc w:val="right"/>
                              </w:trPr>
                              <w:tc>
                                <w:tcPr>
                                  <w:tcW w:w="709" w:type="dxa"/>
                                  <w:vAlign w:val="center"/>
                                </w:tcPr>
                                <w:p w14:paraId="2423371B"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104</w:t>
                                  </w:r>
                                </w:p>
                              </w:tc>
                              <w:tc>
                                <w:tcPr>
                                  <w:tcW w:w="987" w:type="dxa"/>
                                  <w:vAlign w:val="center"/>
                                </w:tcPr>
                                <w:p w14:paraId="7605CE9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7.33</w:t>
                                  </w:r>
                                </w:p>
                              </w:tc>
                              <w:tc>
                                <w:tcPr>
                                  <w:tcW w:w="851" w:type="dxa"/>
                                  <w:vAlign w:val="center"/>
                                </w:tcPr>
                                <w:p w14:paraId="57D3512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1.28</w:t>
                                  </w:r>
                                </w:p>
                              </w:tc>
                              <w:tc>
                                <w:tcPr>
                                  <w:tcW w:w="1205" w:type="dxa"/>
                                  <w:vAlign w:val="center"/>
                                </w:tcPr>
                                <w:p w14:paraId="60DCCDA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1.14</w:t>
                                  </w:r>
                                </w:p>
                              </w:tc>
                              <w:tc>
                                <w:tcPr>
                                  <w:tcW w:w="1205" w:type="dxa"/>
                                  <w:vAlign w:val="center"/>
                                </w:tcPr>
                                <w:p w14:paraId="11C9ADD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011F2A30"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6.06</w:t>
                                  </w:r>
                                </w:p>
                              </w:tc>
                              <w:tc>
                                <w:tcPr>
                                  <w:tcW w:w="1134" w:type="dxa"/>
                                  <w:vAlign w:val="center"/>
                                </w:tcPr>
                                <w:p w14:paraId="23A22A70"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0.40</w:t>
                                  </w:r>
                                </w:p>
                              </w:tc>
                              <w:tc>
                                <w:tcPr>
                                  <w:tcW w:w="992" w:type="dxa"/>
                                  <w:vAlign w:val="center"/>
                                </w:tcPr>
                                <w:p w14:paraId="1F42CA9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5.66</w:t>
                                  </w:r>
                                </w:p>
                              </w:tc>
                            </w:tr>
                            <w:tr w:rsidR="00404E67" w:rsidRPr="00404E67" w14:paraId="0993D086" w14:textId="77777777" w:rsidTr="007E12E4">
                              <w:trPr>
                                <w:jc w:val="right"/>
                              </w:trPr>
                              <w:tc>
                                <w:tcPr>
                                  <w:tcW w:w="709" w:type="dxa"/>
                                  <w:vAlign w:val="center"/>
                                </w:tcPr>
                                <w:p w14:paraId="5E58C3D9"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105</w:t>
                                  </w:r>
                                </w:p>
                              </w:tc>
                              <w:tc>
                                <w:tcPr>
                                  <w:tcW w:w="987" w:type="dxa"/>
                                  <w:vAlign w:val="center"/>
                                </w:tcPr>
                                <w:p w14:paraId="0E5E425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7.28</w:t>
                                  </w:r>
                                </w:p>
                              </w:tc>
                              <w:tc>
                                <w:tcPr>
                                  <w:tcW w:w="851" w:type="dxa"/>
                                  <w:vAlign w:val="center"/>
                                </w:tcPr>
                                <w:p w14:paraId="5123A34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1.21</w:t>
                                  </w:r>
                                </w:p>
                              </w:tc>
                              <w:tc>
                                <w:tcPr>
                                  <w:tcW w:w="1205" w:type="dxa"/>
                                  <w:vAlign w:val="center"/>
                                </w:tcPr>
                                <w:p w14:paraId="5F3C947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1.07</w:t>
                                  </w:r>
                                </w:p>
                              </w:tc>
                              <w:tc>
                                <w:tcPr>
                                  <w:tcW w:w="1205" w:type="dxa"/>
                                  <w:vAlign w:val="center"/>
                                </w:tcPr>
                                <w:p w14:paraId="32179A3A"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4E84817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6.08</w:t>
                                  </w:r>
                                </w:p>
                              </w:tc>
                              <w:tc>
                                <w:tcPr>
                                  <w:tcW w:w="1134" w:type="dxa"/>
                                  <w:vAlign w:val="center"/>
                                </w:tcPr>
                                <w:p w14:paraId="4C68206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0.38</w:t>
                                  </w:r>
                                </w:p>
                              </w:tc>
                              <w:tc>
                                <w:tcPr>
                                  <w:tcW w:w="992" w:type="dxa"/>
                                  <w:vAlign w:val="center"/>
                                </w:tcPr>
                                <w:p w14:paraId="51B0E02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5.70</w:t>
                                  </w:r>
                                </w:p>
                              </w:tc>
                            </w:tr>
                            <w:tr w:rsidR="00404E67" w:rsidRPr="00404E67" w14:paraId="134A3826" w14:textId="77777777" w:rsidTr="007E12E4">
                              <w:trPr>
                                <w:jc w:val="right"/>
                              </w:trPr>
                              <w:tc>
                                <w:tcPr>
                                  <w:tcW w:w="709" w:type="dxa"/>
                                  <w:vAlign w:val="center"/>
                                </w:tcPr>
                                <w:p w14:paraId="06B3596F"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106</w:t>
                                  </w:r>
                                </w:p>
                              </w:tc>
                              <w:tc>
                                <w:tcPr>
                                  <w:tcW w:w="987" w:type="dxa"/>
                                  <w:vAlign w:val="center"/>
                                </w:tcPr>
                                <w:p w14:paraId="297AA60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7.25</w:t>
                                  </w:r>
                                </w:p>
                              </w:tc>
                              <w:tc>
                                <w:tcPr>
                                  <w:tcW w:w="851" w:type="dxa"/>
                                  <w:vAlign w:val="center"/>
                                </w:tcPr>
                                <w:p w14:paraId="613F546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1.18</w:t>
                                  </w:r>
                                </w:p>
                              </w:tc>
                              <w:tc>
                                <w:tcPr>
                                  <w:tcW w:w="1205" w:type="dxa"/>
                                  <w:vAlign w:val="center"/>
                                </w:tcPr>
                                <w:p w14:paraId="559687D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1.04</w:t>
                                  </w:r>
                                </w:p>
                              </w:tc>
                              <w:tc>
                                <w:tcPr>
                                  <w:tcW w:w="1205" w:type="dxa"/>
                                  <w:vAlign w:val="center"/>
                                </w:tcPr>
                                <w:p w14:paraId="0AE5ACA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281C637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6.07</w:t>
                                  </w:r>
                                </w:p>
                              </w:tc>
                              <w:tc>
                                <w:tcPr>
                                  <w:tcW w:w="1134" w:type="dxa"/>
                                  <w:vAlign w:val="center"/>
                                </w:tcPr>
                                <w:p w14:paraId="641FE6C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0.38</w:t>
                                  </w:r>
                                </w:p>
                              </w:tc>
                              <w:tc>
                                <w:tcPr>
                                  <w:tcW w:w="992" w:type="dxa"/>
                                  <w:vAlign w:val="center"/>
                                </w:tcPr>
                                <w:p w14:paraId="36E53C6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5.69</w:t>
                                  </w:r>
                                </w:p>
                              </w:tc>
                            </w:tr>
                            <w:tr w:rsidR="00404E67" w:rsidRPr="00404E67" w14:paraId="3D97AABF" w14:textId="77777777" w:rsidTr="007E12E4">
                              <w:trPr>
                                <w:jc w:val="right"/>
                              </w:trPr>
                              <w:tc>
                                <w:tcPr>
                                  <w:tcW w:w="709" w:type="dxa"/>
                                  <w:vAlign w:val="center"/>
                                </w:tcPr>
                                <w:p w14:paraId="2158B44B"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107</w:t>
                                  </w:r>
                                </w:p>
                              </w:tc>
                              <w:tc>
                                <w:tcPr>
                                  <w:tcW w:w="987" w:type="dxa"/>
                                  <w:vAlign w:val="center"/>
                                </w:tcPr>
                                <w:p w14:paraId="63095458"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7.25</w:t>
                                  </w:r>
                                </w:p>
                              </w:tc>
                              <w:tc>
                                <w:tcPr>
                                  <w:tcW w:w="851" w:type="dxa"/>
                                  <w:vAlign w:val="center"/>
                                </w:tcPr>
                                <w:p w14:paraId="77F5AF8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1.16</w:t>
                                  </w:r>
                                </w:p>
                              </w:tc>
                              <w:tc>
                                <w:tcPr>
                                  <w:tcW w:w="1205" w:type="dxa"/>
                                  <w:vAlign w:val="center"/>
                                </w:tcPr>
                                <w:p w14:paraId="275B95A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1.02</w:t>
                                  </w:r>
                                </w:p>
                              </w:tc>
                              <w:tc>
                                <w:tcPr>
                                  <w:tcW w:w="1205" w:type="dxa"/>
                                  <w:vAlign w:val="center"/>
                                </w:tcPr>
                                <w:p w14:paraId="7F89DA3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6684B3E3"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6.09</w:t>
                                  </w:r>
                                </w:p>
                              </w:tc>
                              <w:tc>
                                <w:tcPr>
                                  <w:tcW w:w="1134" w:type="dxa"/>
                                  <w:vAlign w:val="center"/>
                                </w:tcPr>
                                <w:p w14:paraId="0BF5F1E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0.37</w:t>
                                  </w:r>
                                </w:p>
                              </w:tc>
                              <w:tc>
                                <w:tcPr>
                                  <w:tcW w:w="992" w:type="dxa"/>
                                  <w:vAlign w:val="center"/>
                                </w:tcPr>
                                <w:p w14:paraId="754D9D4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5.71</w:t>
                                  </w:r>
                                </w:p>
                              </w:tc>
                            </w:tr>
                            <w:tr w:rsidR="00404E67" w:rsidRPr="00404E67" w14:paraId="29B524BA" w14:textId="77777777" w:rsidTr="007E12E4">
                              <w:trPr>
                                <w:jc w:val="right"/>
                              </w:trPr>
                              <w:tc>
                                <w:tcPr>
                                  <w:tcW w:w="709" w:type="dxa"/>
                                  <w:vAlign w:val="center"/>
                                </w:tcPr>
                                <w:p w14:paraId="7E7E4843"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108</w:t>
                                  </w:r>
                                </w:p>
                              </w:tc>
                              <w:tc>
                                <w:tcPr>
                                  <w:tcW w:w="987" w:type="dxa"/>
                                  <w:vAlign w:val="center"/>
                                </w:tcPr>
                                <w:p w14:paraId="4DA71B3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7.26</w:t>
                                  </w:r>
                                </w:p>
                              </w:tc>
                              <w:tc>
                                <w:tcPr>
                                  <w:tcW w:w="851" w:type="dxa"/>
                                  <w:vAlign w:val="center"/>
                                </w:tcPr>
                                <w:p w14:paraId="1ECCD86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1.16</w:t>
                                  </w:r>
                                </w:p>
                              </w:tc>
                              <w:tc>
                                <w:tcPr>
                                  <w:tcW w:w="1205" w:type="dxa"/>
                                  <w:vAlign w:val="center"/>
                                </w:tcPr>
                                <w:p w14:paraId="3396370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1.02</w:t>
                                  </w:r>
                                </w:p>
                              </w:tc>
                              <w:tc>
                                <w:tcPr>
                                  <w:tcW w:w="1205" w:type="dxa"/>
                                  <w:vAlign w:val="center"/>
                                </w:tcPr>
                                <w:p w14:paraId="24C9614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5CA4DB6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6.10</w:t>
                                  </w:r>
                                </w:p>
                              </w:tc>
                              <w:tc>
                                <w:tcPr>
                                  <w:tcW w:w="1134" w:type="dxa"/>
                                  <w:vAlign w:val="center"/>
                                </w:tcPr>
                                <w:p w14:paraId="3B828BC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0.38</w:t>
                                  </w:r>
                                </w:p>
                              </w:tc>
                              <w:tc>
                                <w:tcPr>
                                  <w:tcW w:w="992" w:type="dxa"/>
                                  <w:vAlign w:val="center"/>
                                </w:tcPr>
                                <w:p w14:paraId="1A3977C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5.72</w:t>
                                  </w:r>
                                </w:p>
                              </w:tc>
                            </w:tr>
                            <w:tr w:rsidR="00404E67" w:rsidRPr="00404E67" w14:paraId="7267EF10" w14:textId="77777777" w:rsidTr="007E12E4">
                              <w:trPr>
                                <w:jc w:val="right"/>
                              </w:trPr>
                              <w:tc>
                                <w:tcPr>
                                  <w:tcW w:w="709" w:type="dxa"/>
                                  <w:vAlign w:val="center"/>
                                </w:tcPr>
                                <w:p w14:paraId="254EAAB8"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109</w:t>
                                  </w:r>
                                </w:p>
                              </w:tc>
                              <w:tc>
                                <w:tcPr>
                                  <w:tcW w:w="987" w:type="dxa"/>
                                  <w:vAlign w:val="center"/>
                                </w:tcPr>
                                <w:p w14:paraId="55F822B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7.43</w:t>
                                  </w:r>
                                </w:p>
                              </w:tc>
                              <w:tc>
                                <w:tcPr>
                                  <w:tcW w:w="851" w:type="dxa"/>
                                  <w:vAlign w:val="center"/>
                                </w:tcPr>
                                <w:p w14:paraId="2B57D5F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1.30</w:t>
                                  </w:r>
                                </w:p>
                              </w:tc>
                              <w:tc>
                                <w:tcPr>
                                  <w:tcW w:w="1205" w:type="dxa"/>
                                  <w:vAlign w:val="center"/>
                                </w:tcPr>
                                <w:p w14:paraId="63B738C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1.16</w:t>
                                  </w:r>
                                </w:p>
                              </w:tc>
                              <w:tc>
                                <w:tcPr>
                                  <w:tcW w:w="1205" w:type="dxa"/>
                                  <w:vAlign w:val="center"/>
                                </w:tcPr>
                                <w:p w14:paraId="0709BC9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1B943988"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6.13</w:t>
                                  </w:r>
                                </w:p>
                              </w:tc>
                              <w:tc>
                                <w:tcPr>
                                  <w:tcW w:w="1134" w:type="dxa"/>
                                  <w:vAlign w:val="center"/>
                                </w:tcPr>
                                <w:p w14:paraId="206FDFF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0.39</w:t>
                                  </w:r>
                                </w:p>
                              </w:tc>
                              <w:tc>
                                <w:tcPr>
                                  <w:tcW w:w="992" w:type="dxa"/>
                                  <w:vAlign w:val="center"/>
                                </w:tcPr>
                                <w:p w14:paraId="7EF0AE9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5.74</w:t>
                                  </w:r>
                                </w:p>
                              </w:tc>
                            </w:tr>
                            <w:tr w:rsidR="00404E67" w:rsidRPr="00404E67" w14:paraId="3886C888" w14:textId="77777777" w:rsidTr="007E12E4">
                              <w:trPr>
                                <w:jc w:val="right"/>
                              </w:trPr>
                              <w:tc>
                                <w:tcPr>
                                  <w:tcW w:w="709" w:type="dxa"/>
                                  <w:vAlign w:val="center"/>
                                </w:tcPr>
                                <w:p w14:paraId="184B28D5"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110</w:t>
                                  </w:r>
                                </w:p>
                              </w:tc>
                              <w:tc>
                                <w:tcPr>
                                  <w:tcW w:w="987" w:type="dxa"/>
                                  <w:vAlign w:val="center"/>
                                </w:tcPr>
                                <w:p w14:paraId="166A3C23"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7.63</w:t>
                                  </w:r>
                                </w:p>
                              </w:tc>
                              <w:tc>
                                <w:tcPr>
                                  <w:tcW w:w="851" w:type="dxa"/>
                                  <w:vAlign w:val="center"/>
                                </w:tcPr>
                                <w:p w14:paraId="0491CC8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1.48</w:t>
                                  </w:r>
                                </w:p>
                              </w:tc>
                              <w:tc>
                                <w:tcPr>
                                  <w:tcW w:w="1205" w:type="dxa"/>
                                  <w:vAlign w:val="center"/>
                                </w:tcPr>
                                <w:p w14:paraId="685F36C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1.34</w:t>
                                  </w:r>
                                </w:p>
                              </w:tc>
                              <w:tc>
                                <w:tcPr>
                                  <w:tcW w:w="1205" w:type="dxa"/>
                                  <w:vAlign w:val="center"/>
                                </w:tcPr>
                                <w:p w14:paraId="27C50F7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4DEF114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6.15</w:t>
                                  </w:r>
                                </w:p>
                              </w:tc>
                              <w:tc>
                                <w:tcPr>
                                  <w:tcW w:w="1134" w:type="dxa"/>
                                  <w:vAlign w:val="center"/>
                                </w:tcPr>
                                <w:p w14:paraId="6776FB2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0.40</w:t>
                                  </w:r>
                                </w:p>
                              </w:tc>
                              <w:tc>
                                <w:tcPr>
                                  <w:tcW w:w="992" w:type="dxa"/>
                                  <w:vAlign w:val="center"/>
                                </w:tcPr>
                                <w:p w14:paraId="5A8EEF7F"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5.75</w:t>
                                  </w:r>
                                </w:p>
                              </w:tc>
                            </w:tr>
                            <w:tr w:rsidR="00404E67" w:rsidRPr="00404E67" w14:paraId="7B7029CD" w14:textId="77777777" w:rsidTr="007E12E4">
                              <w:trPr>
                                <w:jc w:val="right"/>
                              </w:trPr>
                              <w:tc>
                                <w:tcPr>
                                  <w:tcW w:w="709" w:type="dxa"/>
                                  <w:vAlign w:val="center"/>
                                </w:tcPr>
                                <w:p w14:paraId="25C7EABD"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111</w:t>
                                  </w:r>
                                </w:p>
                              </w:tc>
                              <w:tc>
                                <w:tcPr>
                                  <w:tcW w:w="987" w:type="dxa"/>
                                  <w:vAlign w:val="center"/>
                                </w:tcPr>
                                <w:p w14:paraId="01852CA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7.50</w:t>
                                  </w:r>
                                </w:p>
                              </w:tc>
                              <w:tc>
                                <w:tcPr>
                                  <w:tcW w:w="851" w:type="dxa"/>
                                  <w:vAlign w:val="center"/>
                                </w:tcPr>
                                <w:p w14:paraId="6D0DD96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1.34</w:t>
                                  </w:r>
                                </w:p>
                              </w:tc>
                              <w:tc>
                                <w:tcPr>
                                  <w:tcW w:w="1205" w:type="dxa"/>
                                  <w:vAlign w:val="center"/>
                                </w:tcPr>
                                <w:p w14:paraId="475A381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1.19</w:t>
                                  </w:r>
                                </w:p>
                              </w:tc>
                              <w:tc>
                                <w:tcPr>
                                  <w:tcW w:w="1205" w:type="dxa"/>
                                  <w:vAlign w:val="center"/>
                                </w:tcPr>
                                <w:p w14:paraId="6B275A9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0.15</w:t>
                                  </w:r>
                                </w:p>
                              </w:tc>
                              <w:tc>
                                <w:tcPr>
                                  <w:tcW w:w="992" w:type="dxa"/>
                                  <w:vAlign w:val="center"/>
                                </w:tcPr>
                                <w:p w14:paraId="5FCA690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6.15</w:t>
                                  </w:r>
                                </w:p>
                              </w:tc>
                              <w:tc>
                                <w:tcPr>
                                  <w:tcW w:w="1134" w:type="dxa"/>
                                  <w:vAlign w:val="center"/>
                                </w:tcPr>
                                <w:p w14:paraId="732D2C0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0.42</w:t>
                                  </w:r>
                                </w:p>
                              </w:tc>
                              <w:tc>
                                <w:tcPr>
                                  <w:tcW w:w="992" w:type="dxa"/>
                                  <w:vAlign w:val="center"/>
                                </w:tcPr>
                                <w:p w14:paraId="26FE0E1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5.73</w:t>
                                  </w:r>
                                </w:p>
                              </w:tc>
                            </w:tr>
                            <w:tr w:rsidR="00404E67" w:rsidRPr="00404E67" w14:paraId="52E1E32C" w14:textId="77777777" w:rsidTr="007E12E4">
                              <w:trPr>
                                <w:jc w:val="right"/>
                              </w:trPr>
                              <w:tc>
                                <w:tcPr>
                                  <w:tcW w:w="709" w:type="dxa"/>
                                  <w:vAlign w:val="center"/>
                                </w:tcPr>
                                <w:p w14:paraId="19009151"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112</w:t>
                                  </w:r>
                                </w:p>
                              </w:tc>
                              <w:tc>
                                <w:tcPr>
                                  <w:tcW w:w="987" w:type="dxa"/>
                                  <w:vAlign w:val="center"/>
                                </w:tcPr>
                                <w:p w14:paraId="45D37D0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7.49</w:t>
                                  </w:r>
                                </w:p>
                              </w:tc>
                              <w:tc>
                                <w:tcPr>
                                  <w:tcW w:w="851" w:type="dxa"/>
                                  <w:vAlign w:val="center"/>
                                </w:tcPr>
                                <w:p w14:paraId="5D6F927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1.37</w:t>
                                  </w:r>
                                </w:p>
                              </w:tc>
                              <w:tc>
                                <w:tcPr>
                                  <w:tcW w:w="1205" w:type="dxa"/>
                                  <w:vAlign w:val="center"/>
                                </w:tcPr>
                                <w:p w14:paraId="1C539A4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1.22</w:t>
                                  </w:r>
                                </w:p>
                              </w:tc>
                              <w:tc>
                                <w:tcPr>
                                  <w:tcW w:w="1205" w:type="dxa"/>
                                  <w:vAlign w:val="center"/>
                                </w:tcPr>
                                <w:p w14:paraId="4E53747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0.15</w:t>
                                  </w:r>
                                </w:p>
                              </w:tc>
                              <w:tc>
                                <w:tcPr>
                                  <w:tcW w:w="992" w:type="dxa"/>
                                  <w:vAlign w:val="center"/>
                                </w:tcPr>
                                <w:p w14:paraId="72A7895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6.12</w:t>
                                  </w:r>
                                </w:p>
                              </w:tc>
                              <w:tc>
                                <w:tcPr>
                                  <w:tcW w:w="1134" w:type="dxa"/>
                                  <w:vAlign w:val="center"/>
                                </w:tcPr>
                                <w:p w14:paraId="204CAA78"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0.42</w:t>
                                  </w:r>
                                </w:p>
                              </w:tc>
                              <w:tc>
                                <w:tcPr>
                                  <w:tcW w:w="992" w:type="dxa"/>
                                  <w:vAlign w:val="center"/>
                                </w:tcPr>
                                <w:p w14:paraId="38348BBF"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5.70</w:t>
                                  </w:r>
                                </w:p>
                              </w:tc>
                            </w:tr>
                          </w:tbl>
                          <w:p w14:paraId="2A837B13" w14:textId="77777777" w:rsidR="00667A85" w:rsidRPr="00905EC1" w:rsidRDefault="00667A85" w:rsidP="00667A85">
                            <w:pPr>
                              <w:widowControl/>
                              <w:spacing w:line="240" w:lineRule="exact"/>
                              <w:rPr>
                                <w:rFonts w:ascii="標楷體" w:eastAsia="標楷體" w:hAnsi="標楷體"/>
                                <w:sz w:val="18"/>
                                <w:szCs w:val="18"/>
                              </w:rPr>
                            </w:pPr>
                            <w:r w:rsidRPr="00905EC1">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行政院</w:t>
                            </w:r>
                            <w:r w:rsidRPr="00905EC1">
                              <w:rPr>
                                <w:rFonts w:ascii="標楷體" w:eastAsia="標楷體" w:hAnsi="標楷體" w:hint="eastAsia"/>
                                <w:snapToGrid w:val="0"/>
                                <w:kern w:val="0"/>
                                <w:sz w:val="18"/>
                                <w:szCs w:val="18"/>
                              </w:rPr>
                              <w:t>主計總處家庭收支調查資料。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B0930" id="文字方塊 1939397615" o:spid="_x0000_s1045" type="#_x0000_t202" style="position:absolute;left:0;text-align:left;margin-left:78.35pt;margin-top:11.25pt;width:417.3pt;height:276.4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" filled="f" stroked="f" strokeweight=".5pt">
                <v:textbox>
                  <w:txbxContent>
                    <w:p w14:paraId="30AA3967" w14:textId="6F743995" w:rsidR="00667A85" w:rsidRDefault="00667A85" w:rsidP="00667A85">
                      <w:pPr>
                        <w:widowControl/>
                        <w:spacing w:line="400" w:lineRule="exact"/>
                        <w:ind w:leftChars="236" w:left="566"/>
                        <w:jc w:val="center"/>
                        <w:rPr>
                          <w:rFonts w:ascii="標楷體" w:eastAsia="標楷體" w:hAnsi="標楷體"/>
                          <w:b/>
                          <w:bCs/>
                          <w:snapToGrid w:val="0"/>
                          <w:kern w:val="0"/>
                          <w:szCs w:val="24"/>
                        </w:rPr>
                      </w:pPr>
                      <w:r w:rsidRPr="002F0733">
                        <w:rPr>
                          <w:rFonts w:ascii="標楷體" w:eastAsia="標楷體" w:hAnsi="標楷體" w:hint="eastAsia"/>
                          <w:b/>
                          <w:bCs/>
                          <w:snapToGrid w:val="0"/>
                          <w:kern w:val="0"/>
                          <w:szCs w:val="24"/>
                        </w:rPr>
                        <w:t>表</w:t>
                      </w:r>
                      <w:r>
                        <w:rPr>
                          <w:rFonts w:ascii="標楷體" w:eastAsia="標楷體" w:hAnsi="標楷體"/>
                          <w:b/>
                          <w:bCs/>
                          <w:snapToGrid w:val="0"/>
                          <w:kern w:val="0"/>
                          <w:szCs w:val="24"/>
                        </w:rPr>
                        <w:t>7</w:t>
                      </w:r>
                      <w:r w:rsidRPr="002F0733">
                        <w:rPr>
                          <w:rFonts w:ascii="標楷體" w:eastAsia="標楷體" w:hAnsi="標楷體" w:hint="eastAsia"/>
                          <w:b/>
                          <w:bCs/>
                          <w:snapToGrid w:val="0"/>
                          <w:kern w:val="0"/>
                          <w:szCs w:val="24"/>
                        </w:rPr>
                        <w:t xml:space="preserve">　近10年政府社會福利措施對家庭所得分配之影響</w:t>
                      </w:r>
                    </w:p>
                    <w:p w14:paraId="58D1FA58" w14:textId="696EFC37" w:rsidR="00917657" w:rsidRPr="002F0733" w:rsidRDefault="00917657" w:rsidP="00917657">
                      <w:pPr>
                        <w:widowControl/>
                        <w:spacing w:line="400" w:lineRule="exact"/>
                        <w:ind w:leftChars="236" w:left="566"/>
                        <w:jc w:val="right"/>
                        <w:rPr>
                          <w:rFonts w:ascii="標楷體" w:eastAsia="標楷體" w:hAnsi="標楷體"/>
                          <w:b/>
                          <w:bCs/>
                          <w:snapToGrid w:val="0"/>
                          <w:kern w:val="0"/>
                          <w:szCs w:val="24"/>
                        </w:rPr>
                      </w:pPr>
                      <w:r w:rsidRPr="00905EC1">
                        <w:rPr>
                          <w:rFonts w:ascii="標楷體" w:eastAsia="標楷體" w:hAnsi="標楷體" w:hint="eastAsia"/>
                          <w:snapToGrid w:val="0"/>
                          <w:kern w:val="0"/>
                          <w:sz w:val="20"/>
                        </w:rPr>
                        <w:t>單位：倍</w:t>
                      </w:r>
                    </w:p>
                    <w:tbl>
                      <w:tblPr>
                        <w:tblStyle w:val="afff"/>
                        <w:tblW w:w="0" w:type="auto"/>
                        <w:jc w:val="right"/>
                        <w:tblLook w:val="04A0" w:firstRow="1" w:lastRow="0" w:firstColumn="1" w:lastColumn="0" w:noHBand="0" w:noVBand="1"/>
                      </w:tblPr>
                      <w:tblGrid>
                        <w:gridCol w:w="709"/>
                        <w:gridCol w:w="987"/>
                        <w:gridCol w:w="851"/>
                        <w:gridCol w:w="1205"/>
                        <w:gridCol w:w="1205"/>
                        <w:gridCol w:w="992"/>
                        <w:gridCol w:w="1134"/>
                        <w:gridCol w:w="992"/>
                      </w:tblGrid>
                      <w:tr w:rsidR="00404E67" w:rsidRPr="00404E67" w14:paraId="24FD6D2C" w14:textId="77777777" w:rsidTr="00404E67">
                        <w:trPr>
                          <w:trHeight w:val="283"/>
                          <w:jc w:val="right"/>
                        </w:trPr>
                        <w:tc>
                          <w:tcPr>
                            <w:tcW w:w="709" w:type="dxa"/>
                            <w:vMerge w:val="restart"/>
                            <w:shd w:val="clear" w:color="auto" w:fill="auto"/>
                            <w:vAlign w:val="center"/>
                          </w:tcPr>
                          <w:p w14:paraId="5DD60D5E" w14:textId="77777777" w:rsidR="00404E67" w:rsidRPr="00404E67" w:rsidRDefault="00404E67" w:rsidP="00917657">
                            <w:pPr>
                              <w:widowControl/>
                              <w:spacing w:line="260" w:lineRule="exact"/>
                              <w:jc w:val="center"/>
                              <w:rPr>
                                <w:rFonts w:ascii="標楷體" w:eastAsia="標楷體" w:hAnsi="標楷體"/>
                                <w:snapToGrid w:val="0"/>
                                <w:kern w:val="0"/>
                                <w:sz w:val="20"/>
                              </w:rPr>
                            </w:pPr>
                            <w:proofErr w:type="gramStart"/>
                            <w:r w:rsidRPr="00404E67">
                              <w:rPr>
                                <w:rFonts w:ascii="標楷體" w:eastAsia="標楷體" w:hAnsi="標楷體" w:hint="eastAsia"/>
                                <w:snapToGrid w:val="0"/>
                                <w:kern w:val="0"/>
                                <w:sz w:val="20"/>
                              </w:rPr>
                              <w:t>年別</w:t>
                            </w:r>
                            <w:proofErr w:type="gramEnd"/>
                          </w:p>
                        </w:tc>
                        <w:tc>
                          <w:tcPr>
                            <w:tcW w:w="987" w:type="dxa"/>
                            <w:vMerge w:val="restart"/>
                            <w:shd w:val="clear" w:color="auto" w:fill="auto"/>
                            <w:vAlign w:val="center"/>
                          </w:tcPr>
                          <w:p w14:paraId="77CBC24F" w14:textId="77777777" w:rsidR="00404E67" w:rsidRPr="00404E67" w:rsidRDefault="00404E67" w:rsidP="00917657">
                            <w:pPr>
                              <w:widowControl/>
                              <w:spacing w:line="260" w:lineRule="exact"/>
                              <w:jc w:val="both"/>
                              <w:rPr>
                                <w:rFonts w:ascii="標楷體" w:eastAsia="標楷體" w:hAnsi="標楷體"/>
                                <w:snapToGrid w:val="0"/>
                                <w:kern w:val="0"/>
                                <w:sz w:val="20"/>
                              </w:rPr>
                            </w:pPr>
                            <w:r w:rsidRPr="00404E67">
                              <w:rPr>
                                <w:rFonts w:ascii="標楷體" w:eastAsia="標楷體" w:hAnsi="標楷體"/>
                                <w:snapToGrid w:val="0"/>
                                <w:spacing w:val="-20"/>
                                <w:kern w:val="0"/>
                                <w:sz w:val="20"/>
                              </w:rPr>
                              <w:t>政府移轉收支前</w:t>
                            </w:r>
                            <w:r w:rsidRPr="00404E67">
                              <w:rPr>
                                <w:rFonts w:ascii="標楷體" w:eastAsia="標楷體" w:hAnsi="標楷體" w:hint="eastAsia"/>
                                <w:snapToGrid w:val="0"/>
                                <w:spacing w:val="-20"/>
                                <w:kern w:val="0"/>
                                <w:sz w:val="20"/>
                              </w:rPr>
                              <w:t>所得</w:t>
                            </w:r>
                            <w:r w:rsidRPr="00404E67">
                              <w:rPr>
                                <w:rFonts w:ascii="標楷體" w:eastAsia="標楷體" w:hAnsi="標楷體"/>
                                <w:snapToGrid w:val="0"/>
                                <w:spacing w:val="-20"/>
                                <w:kern w:val="0"/>
                                <w:sz w:val="20"/>
                              </w:rPr>
                              <w:t>差距倍數</w:t>
                            </w:r>
                            <w:r w:rsidRPr="00404E67">
                              <w:rPr>
                                <w:rFonts w:ascii="標楷體" w:eastAsia="標楷體" w:hAnsi="標楷體" w:hint="eastAsia"/>
                                <w:snapToGrid w:val="0"/>
                                <w:kern w:val="0"/>
                                <w:sz w:val="20"/>
                              </w:rPr>
                              <w:t>（A）</w:t>
                            </w:r>
                          </w:p>
                        </w:tc>
                        <w:tc>
                          <w:tcPr>
                            <w:tcW w:w="3261" w:type="dxa"/>
                            <w:gridSpan w:val="3"/>
                            <w:shd w:val="clear" w:color="auto" w:fill="auto"/>
                            <w:vAlign w:val="center"/>
                          </w:tcPr>
                          <w:p w14:paraId="5EEA57DE"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所得差距改善</w:t>
                            </w:r>
                            <w:r w:rsidRPr="00404E67">
                              <w:rPr>
                                <w:rFonts w:ascii="標楷體" w:eastAsia="標楷體" w:hAnsi="標楷體" w:hint="eastAsia"/>
                                <w:snapToGrid w:val="0"/>
                                <w:kern w:val="0"/>
                                <w:sz w:val="20"/>
                              </w:rPr>
                              <w:t>（</w:t>
                            </w:r>
                            <w:r w:rsidRPr="00404E67">
                              <w:rPr>
                                <w:rFonts w:ascii="標楷體" w:eastAsia="標楷體" w:hAnsi="標楷體"/>
                                <w:snapToGrid w:val="0"/>
                                <w:kern w:val="0"/>
                                <w:sz w:val="20"/>
                              </w:rPr>
                              <w:t>縮小</w:t>
                            </w:r>
                            <w:r w:rsidRPr="00404E67">
                              <w:rPr>
                                <w:rFonts w:ascii="標楷體" w:eastAsia="標楷體" w:hAnsi="標楷體" w:hint="eastAsia"/>
                                <w:snapToGrid w:val="0"/>
                                <w:kern w:val="0"/>
                                <w:sz w:val="20"/>
                              </w:rPr>
                              <w:t>）</w:t>
                            </w:r>
                            <w:r w:rsidRPr="00404E67">
                              <w:rPr>
                                <w:rFonts w:ascii="標楷體" w:eastAsia="標楷體" w:hAnsi="標楷體"/>
                                <w:snapToGrid w:val="0"/>
                                <w:kern w:val="0"/>
                                <w:sz w:val="20"/>
                              </w:rPr>
                              <w:t>程度</w:t>
                            </w:r>
                            <w:r w:rsidRPr="00404E67">
                              <w:rPr>
                                <w:rFonts w:ascii="標楷體" w:eastAsia="標楷體" w:hAnsi="標楷體" w:hint="eastAsia"/>
                                <w:snapToGrid w:val="0"/>
                                <w:kern w:val="0"/>
                                <w:sz w:val="20"/>
                              </w:rPr>
                              <w:t>（</w:t>
                            </w:r>
                            <w:proofErr w:type="gramStart"/>
                            <w:r w:rsidRPr="00404E67">
                              <w:rPr>
                                <w:rFonts w:ascii="標楷體" w:eastAsia="標楷體" w:hAnsi="標楷體"/>
                                <w:snapToGrid w:val="0"/>
                                <w:kern w:val="0"/>
                                <w:sz w:val="20"/>
                              </w:rPr>
                              <w:t>倍</w:t>
                            </w:r>
                            <w:proofErr w:type="gramEnd"/>
                            <w:r w:rsidRPr="00404E67">
                              <w:rPr>
                                <w:rFonts w:ascii="標楷體" w:eastAsia="標楷體" w:hAnsi="標楷體" w:hint="eastAsia"/>
                                <w:snapToGrid w:val="0"/>
                                <w:kern w:val="0"/>
                                <w:sz w:val="20"/>
                              </w:rPr>
                              <w:t>）</w:t>
                            </w:r>
                          </w:p>
                        </w:tc>
                        <w:tc>
                          <w:tcPr>
                            <w:tcW w:w="992" w:type="dxa"/>
                            <w:vMerge w:val="restart"/>
                            <w:shd w:val="clear" w:color="auto" w:fill="auto"/>
                            <w:vAlign w:val="center"/>
                          </w:tcPr>
                          <w:p w14:paraId="5F39D390"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可支配</w:t>
                            </w:r>
                          </w:p>
                          <w:p w14:paraId="48761514"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所得差</w:t>
                            </w:r>
                          </w:p>
                          <w:p w14:paraId="75136AF7"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距倍數</w:t>
                            </w:r>
                          </w:p>
                          <w:p w14:paraId="04FB899C"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（A-B）</w:t>
                            </w:r>
                          </w:p>
                        </w:tc>
                        <w:tc>
                          <w:tcPr>
                            <w:tcW w:w="2126" w:type="dxa"/>
                            <w:gridSpan w:val="2"/>
                            <w:shd w:val="clear" w:color="auto" w:fill="auto"/>
                            <w:vAlign w:val="center"/>
                          </w:tcPr>
                          <w:p w14:paraId="40DACD29" w14:textId="77777777" w:rsidR="00404E67" w:rsidRPr="00404E67" w:rsidRDefault="00404E67" w:rsidP="00917657">
                            <w:pPr>
                              <w:widowControl/>
                              <w:spacing w:line="260" w:lineRule="exact"/>
                              <w:jc w:val="center"/>
                              <w:rPr>
                                <w:rFonts w:ascii="標楷體" w:eastAsia="標楷體" w:hAnsi="標楷體"/>
                                <w:snapToGrid w:val="0"/>
                                <w:spacing w:val="-6"/>
                                <w:kern w:val="0"/>
                                <w:sz w:val="20"/>
                              </w:rPr>
                            </w:pPr>
                            <w:r w:rsidRPr="00404E67">
                              <w:rPr>
                                <w:rFonts w:ascii="標楷體" w:eastAsia="標楷體" w:hAnsi="標楷體" w:hint="eastAsia"/>
                                <w:snapToGrid w:val="0"/>
                                <w:spacing w:val="-6"/>
                                <w:kern w:val="0"/>
                                <w:sz w:val="20"/>
                              </w:rPr>
                              <w:t>實物給付效果</w:t>
                            </w:r>
                          </w:p>
                        </w:tc>
                      </w:tr>
                      <w:tr w:rsidR="00404E67" w:rsidRPr="00404E67" w14:paraId="567F9BFD" w14:textId="77777777" w:rsidTr="00404E67">
                        <w:trPr>
                          <w:jc w:val="right"/>
                        </w:trPr>
                        <w:tc>
                          <w:tcPr>
                            <w:tcW w:w="709" w:type="dxa"/>
                            <w:vMerge/>
                            <w:shd w:val="clear" w:color="auto" w:fill="auto"/>
                            <w:vAlign w:val="center"/>
                          </w:tcPr>
                          <w:p w14:paraId="2951EB35" w14:textId="77777777" w:rsidR="00404E67" w:rsidRPr="00404E67" w:rsidRDefault="00404E67" w:rsidP="00917657">
                            <w:pPr>
                              <w:widowControl/>
                              <w:spacing w:line="260" w:lineRule="exact"/>
                              <w:rPr>
                                <w:rFonts w:ascii="標楷體" w:eastAsia="標楷體" w:hAnsi="標楷體"/>
                                <w:snapToGrid w:val="0"/>
                                <w:kern w:val="0"/>
                                <w:sz w:val="20"/>
                              </w:rPr>
                            </w:pPr>
                          </w:p>
                        </w:tc>
                        <w:tc>
                          <w:tcPr>
                            <w:tcW w:w="987" w:type="dxa"/>
                            <w:vMerge/>
                            <w:shd w:val="clear" w:color="auto" w:fill="auto"/>
                            <w:vAlign w:val="center"/>
                          </w:tcPr>
                          <w:p w14:paraId="46B908E6" w14:textId="77777777" w:rsidR="00404E67" w:rsidRPr="00404E67" w:rsidRDefault="00404E67" w:rsidP="00917657">
                            <w:pPr>
                              <w:widowControl/>
                              <w:spacing w:line="260" w:lineRule="exact"/>
                              <w:jc w:val="both"/>
                              <w:rPr>
                                <w:rFonts w:ascii="標楷體" w:eastAsia="標楷體" w:hAnsi="標楷體"/>
                                <w:snapToGrid w:val="0"/>
                                <w:kern w:val="0"/>
                                <w:sz w:val="20"/>
                              </w:rPr>
                            </w:pPr>
                          </w:p>
                        </w:tc>
                        <w:tc>
                          <w:tcPr>
                            <w:tcW w:w="851" w:type="dxa"/>
                            <w:shd w:val="clear" w:color="auto" w:fill="auto"/>
                            <w:vAlign w:val="center"/>
                          </w:tcPr>
                          <w:p w14:paraId="439745AF" w14:textId="77777777" w:rsidR="00404E67" w:rsidRPr="00404E67" w:rsidRDefault="00404E67" w:rsidP="00917657">
                            <w:pPr>
                              <w:widowControl/>
                              <w:spacing w:line="260" w:lineRule="exact"/>
                              <w:jc w:val="center"/>
                              <w:rPr>
                                <w:rFonts w:ascii="標楷體" w:eastAsia="標楷體" w:hAnsi="標楷體"/>
                                <w:spacing w:val="-8"/>
                                <w:sz w:val="20"/>
                              </w:rPr>
                            </w:pPr>
                            <w:r w:rsidRPr="00404E67">
                              <w:rPr>
                                <w:rFonts w:ascii="標楷體" w:eastAsia="標楷體" w:hAnsi="標楷體"/>
                                <w:sz w:val="20"/>
                              </w:rPr>
                              <w:t>合計</w:t>
                            </w:r>
                            <w:r w:rsidRPr="00404E67">
                              <w:rPr>
                                <w:rFonts w:ascii="標楷體" w:eastAsia="標楷體" w:hAnsi="標楷體" w:hint="eastAsia"/>
                                <w:snapToGrid w:val="0"/>
                                <w:kern w:val="0"/>
                                <w:sz w:val="20"/>
                              </w:rPr>
                              <w:t>（</w:t>
                            </w:r>
                            <w:r w:rsidRPr="00404E67">
                              <w:rPr>
                                <w:rFonts w:ascii="標楷體" w:eastAsia="標楷體" w:hAnsi="標楷體" w:hint="eastAsia"/>
                                <w:sz w:val="20"/>
                              </w:rPr>
                              <w:t>B</w:t>
                            </w:r>
                            <w:r w:rsidRPr="00404E67">
                              <w:rPr>
                                <w:rFonts w:ascii="標楷體" w:eastAsia="標楷體" w:hAnsi="標楷體" w:hint="eastAsia"/>
                                <w:snapToGrid w:val="0"/>
                                <w:kern w:val="0"/>
                                <w:sz w:val="20"/>
                              </w:rPr>
                              <w:t>）</w:t>
                            </w:r>
                          </w:p>
                        </w:tc>
                        <w:tc>
                          <w:tcPr>
                            <w:tcW w:w="1205" w:type="dxa"/>
                            <w:shd w:val="clear" w:color="auto" w:fill="auto"/>
                            <w:vAlign w:val="center"/>
                          </w:tcPr>
                          <w:p w14:paraId="1D591428" w14:textId="77777777" w:rsidR="00404E67" w:rsidRPr="00404E67" w:rsidRDefault="00404E67" w:rsidP="00917657">
                            <w:pPr>
                              <w:widowControl/>
                              <w:spacing w:line="260" w:lineRule="exact"/>
                              <w:jc w:val="both"/>
                              <w:rPr>
                                <w:rFonts w:ascii="標楷體" w:eastAsia="標楷體" w:hAnsi="標楷體"/>
                                <w:spacing w:val="-8"/>
                                <w:sz w:val="20"/>
                              </w:rPr>
                            </w:pPr>
                            <w:r w:rsidRPr="00404E67">
                              <w:rPr>
                                <w:rFonts w:ascii="標楷體" w:eastAsia="標楷體" w:hAnsi="標楷體" w:hint="eastAsia"/>
                                <w:spacing w:val="-8"/>
                                <w:sz w:val="20"/>
                              </w:rPr>
                              <w:t>自</w:t>
                            </w:r>
                            <w:r w:rsidRPr="00404E67">
                              <w:rPr>
                                <w:rFonts w:ascii="標楷體" w:eastAsia="標楷體" w:hAnsi="標楷體"/>
                                <w:spacing w:val="-8"/>
                                <w:sz w:val="20"/>
                              </w:rPr>
                              <w:t>政府移轉收入</w:t>
                            </w:r>
                            <w:r w:rsidRPr="00404E67">
                              <w:rPr>
                                <w:rFonts w:ascii="標楷體" w:eastAsia="標楷體" w:hAnsi="標楷體" w:hint="eastAsia"/>
                                <w:spacing w:val="-8"/>
                                <w:sz w:val="20"/>
                              </w:rPr>
                              <w:t>(社福補助等)</w:t>
                            </w:r>
                          </w:p>
                        </w:tc>
                        <w:tc>
                          <w:tcPr>
                            <w:tcW w:w="1205" w:type="dxa"/>
                            <w:shd w:val="clear" w:color="auto" w:fill="auto"/>
                            <w:vAlign w:val="center"/>
                          </w:tcPr>
                          <w:p w14:paraId="7D67043D"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pacing w:val="-8"/>
                                <w:sz w:val="20"/>
                              </w:rPr>
                              <w:t>對政府移轉支出</w:t>
                            </w:r>
                            <w:r w:rsidRPr="00404E67">
                              <w:rPr>
                                <w:rFonts w:ascii="標楷體" w:eastAsia="標楷體" w:hAnsi="標楷體" w:hint="eastAsia"/>
                                <w:spacing w:val="-8"/>
                                <w:sz w:val="20"/>
                              </w:rPr>
                              <w:t>(直接稅規費等)</w:t>
                            </w:r>
                          </w:p>
                        </w:tc>
                        <w:tc>
                          <w:tcPr>
                            <w:tcW w:w="992" w:type="dxa"/>
                            <w:vMerge/>
                            <w:shd w:val="clear" w:color="auto" w:fill="auto"/>
                            <w:vAlign w:val="center"/>
                          </w:tcPr>
                          <w:p w14:paraId="741AA3D3" w14:textId="77777777" w:rsidR="00404E67" w:rsidRPr="00404E67" w:rsidRDefault="00404E67" w:rsidP="00917657">
                            <w:pPr>
                              <w:widowControl/>
                              <w:spacing w:line="260" w:lineRule="exact"/>
                              <w:jc w:val="both"/>
                              <w:rPr>
                                <w:rFonts w:ascii="標楷體" w:eastAsia="標楷體" w:hAnsi="標楷體"/>
                                <w:snapToGrid w:val="0"/>
                                <w:kern w:val="0"/>
                                <w:sz w:val="20"/>
                              </w:rPr>
                            </w:pPr>
                          </w:p>
                        </w:tc>
                        <w:tc>
                          <w:tcPr>
                            <w:tcW w:w="1134" w:type="dxa"/>
                            <w:shd w:val="clear" w:color="auto" w:fill="auto"/>
                            <w:vAlign w:val="center"/>
                          </w:tcPr>
                          <w:p w14:paraId="3D0BC5AC"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所得差距縮小倍數</w:t>
                            </w:r>
                          </w:p>
                          <w:p w14:paraId="07AB203E"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hint="eastAsia"/>
                                <w:snapToGrid w:val="0"/>
                                <w:kern w:val="0"/>
                                <w:sz w:val="20"/>
                              </w:rPr>
                              <w:t>（C）</w:t>
                            </w:r>
                          </w:p>
                        </w:tc>
                        <w:tc>
                          <w:tcPr>
                            <w:tcW w:w="992" w:type="dxa"/>
                            <w:shd w:val="clear" w:color="auto" w:fill="auto"/>
                            <w:vAlign w:val="center"/>
                          </w:tcPr>
                          <w:p w14:paraId="4B00AC4F" w14:textId="77777777" w:rsidR="00404E67" w:rsidRPr="00404E67" w:rsidRDefault="00404E67" w:rsidP="00917657">
                            <w:pPr>
                              <w:widowControl/>
                              <w:spacing w:line="260" w:lineRule="exact"/>
                              <w:ind w:rightChars="-23" w:right="-55"/>
                              <w:jc w:val="center"/>
                              <w:rPr>
                                <w:rFonts w:ascii="標楷體" w:eastAsia="標楷體" w:hAnsi="標楷體"/>
                                <w:snapToGrid w:val="0"/>
                                <w:kern w:val="0"/>
                                <w:sz w:val="20"/>
                              </w:rPr>
                            </w:pPr>
                            <w:proofErr w:type="gramStart"/>
                            <w:r w:rsidRPr="00404E67">
                              <w:rPr>
                                <w:rFonts w:ascii="標楷體" w:eastAsia="標楷體" w:hAnsi="標楷體" w:hint="eastAsia"/>
                                <w:snapToGrid w:val="0"/>
                                <w:spacing w:val="-6"/>
                                <w:kern w:val="0"/>
                                <w:sz w:val="20"/>
                              </w:rPr>
                              <w:t>併</w:t>
                            </w:r>
                            <w:proofErr w:type="gramEnd"/>
                            <w:r w:rsidRPr="00404E67">
                              <w:rPr>
                                <w:rFonts w:ascii="標楷體" w:eastAsia="標楷體" w:hAnsi="標楷體" w:hint="eastAsia"/>
                                <w:snapToGrid w:val="0"/>
                                <w:spacing w:val="-6"/>
                                <w:kern w:val="0"/>
                                <w:sz w:val="20"/>
                              </w:rPr>
                              <w:t>計實物給付後之</w:t>
                            </w:r>
                            <w:r w:rsidRPr="00404E67">
                              <w:rPr>
                                <w:rFonts w:ascii="標楷體" w:eastAsia="標楷體" w:hAnsi="標楷體" w:hint="eastAsia"/>
                                <w:snapToGrid w:val="0"/>
                                <w:kern w:val="0"/>
                                <w:sz w:val="20"/>
                              </w:rPr>
                              <w:t>差距倍數</w:t>
                            </w:r>
                          </w:p>
                          <w:p w14:paraId="73DF3EF8" w14:textId="77777777" w:rsidR="00404E67" w:rsidRPr="00404E67" w:rsidRDefault="00404E67" w:rsidP="00917657">
                            <w:pPr>
                              <w:widowControl/>
                              <w:spacing w:line="260" w:lineRule="exact"/>
                              <w:jc w:val="center"/>
                              <w:rPr>
                                <w:rFonts w:ascii="標楷體" w:eastAsia="標楷體" w:hAnsi="標楷體"/>
                                <w:snapToGrid w:val="0"/>
                                <w:spacing w:val="-20"/>
                                <w:kern w:val="0"/>
                                <w:sz w:val="20"/>
                              </w:rPr>
                            </w:pPr>
                            <w:r w:rsidRPr="00404E67">
                              <w:rPr>
                                <w:rFonts w:ascii="標楷體" w:eastAsia="標楷體" w:hAnsi="標楷體" w:hint="eastAsia"/>
                                <w:snapToGrid w:val="0"/>
                                <w:spacing w:val="-20"/>
                                <w:kern w:val="0"/>
                                <w:sz w:val="20"/>
                              </w:rPr>
                              <w:t>（A-B-C）</w:t>
                            </w:r>
                          </w:p>
                        </w:tc>
                      </w:tr>
                      <w:tr w:rsidR="00404E67" w:rsidRPr="00404E67" w14:paraId="73E49541" w14:textId="77777777" w:rsidTr="007E12E4">
                        <w:trPr>
                          <w:jc w:val="right"/>
                        </w:trPr>
                        <w:tc>
                          <w:tcPr>
                            <w:tcW w:w="709" w:type="dxa"/>
                            <w:vAlign w:val="center"/>
                          </w:tcPr>
                          <w:p w14:paraId="78902853" w14:textId="77777777" w:rsidR="00404E67" w:rsidRPr="00404E67" w:rsidRDefault="00404E67" w:rsidP="00917657">
                            <w:pPr>
                              <w:widowControl/>
                              <w:spacing w:line="260" w:lineRule="exact"/>
                              <w:jc w:val="center"/>
                              <w:rPr>
                                <w:rFonts w:ascii="標楷體" w:eastAsia="標楷體" w:hAnsi="標楷體"/>
                                <w:b/>
                                <w:bCs/>
                                <w:snapToGrid w:val="0"/>
                                <w:kern w:val="0"/>
                                <w:sz w:val="20"/>
                              </w:rPr>
                            </w:pPr>
                            <w:r w:rsidRPr="00404E67">
                              <w:rPr>
                                <w:rFonts w:ascii="標楷體" w:eastAsia="標楷體" w:hAnsi="標楷體" w:hint="eastAsia"/>
                                <w:b/>
                                <w:bCs/>
                                <w:snapToGrid w:val="0"/>
                                <w:kern w:val="0"/>
                                <w:sz w:val="20"/>
                              </w:rPr>
                              <w:t>平均</w:t>
                            </w:r>
                          </w:p>
                        </w:tc>
                        <w:tc>
                          <w:tcPr>
                            <w:tcW w:w="987" w:type="dxa"/>
                            <w:vAlign w:val="center"/>
                          </w:tcPr>
                          <w:p w14:paraId="4D67FC2D"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7.38</w:t>
                            </w:r>
                          </w:p>
                        </w:tc>
                        <w:tc>
                          <w:tcPr>
                            <w:tcW w:w="851" w:type="dxa"/>
                            <w:vAlign w:val="center"/>
                          </w:tcPr>
                          <w:p w14:paraId="29422649"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1.28</w:t>
                            </w:r>
                          </w:p>
                        </w:tc>
                        <w:tc>
                          <w:tcPr>
                            <w:tcW w:w="1205" w:type="dxa"/>
                            <w:vAlign w:val="center"/>
                          </w:tcPr>
                          <w:p w14:paraId="69C3937C"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1.14</w:t>
                            </w:r>
                          </w:p>
                        </w:tc>
                        <w:tc>
                          <w:tcPr>
                            <w:tcW w:w="1205" w:type="dxa"/>
                            <w:vAlign w:val="center"/>
                          </w:tcPr>
                          <w:p w14:paraId="0EFDFB81"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0.14</w:t>
                            </w:r>
                          </w:p>
                        </w:tc>
                        <w:tc>
                          <w:tcPr>
                            <w:tcW w:w="992" w:type="dxa"/>
                            <w:vAlign w:val="center"/>
                          </w:tcPr>
                          <w:p w14:paraId="40A63637"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6.10</w:t>
                            </w:r>
                          </w:p>
                        </w:tc>
                        <w:tc>
                          <w:tcPr>
                            <w:tcW w:w="1134" w:type="dxa"/>
                            <w:vAlign w:val="center"/>
                          </w:tcPr>
                          <w:p w14:paraId="437AB838"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0.39</w:t>
                            </w:r>
                          </w:p>
                        </w:tc>
                        <w:tc>
                          <w:tcPr>
                            <w:tcW w:w="992" w:type="dxa"/>
                            <w:vAlign w:val="center"/>
                          </w:tcPr>
                          <w:p w14:paraId="55FA06D2" w14:textId="77777777" w:rsidR="00404E67" w:rsidRPr="00404E67" w:rsidRDefault="00404E67" w:rsidP="00917657">
                            <w:pPr>
                              <w:widowControl/>
                              <w:spacing w:line="260" w:lineRule="exact"/>
                              <w:jc w:val="right"/>
                              <w:rPr>
                                <w:rFonts w:ascii="標楷體" w:eastAsia="標楷體" w:hAnsi="標楷體"/>
                                <w:b/>
                                <w:bCs/>
                                <w:snapToGrid w:val="0"/>
                                <w:kern w:val="0"/>
                                <w:sz w:val="20"/>
                              </w:rPr>
                            </w:pPr>
                            <w:r w:rsidRPr="00404E67">
                              <w:rPr>
                                <w:rFonts w:ascii="標楷體" w:eastAsia="標楷體" w:hAnsi="標楷體" w:hint="eastAsia"/>
                                <w:b/>
                                <w:bCs/>
                                <w:snapToGrid w:val="0"/>
                                <w:kern w:val="0"/>
                                <w:sz w:val="20"/>
                              </w:rPr>
                              <w:t>5.71</w:t>
                            </w:r>
                          </w:p>
                        </w:tc>
                      </w:tr>
                      <w:tr w:rsidR="00404E67" w:rsidRPr="00404E67" w14:paraId="640EBADA" w14:textId="77777777" w:rsidTr="007E12E4">
                        <w:trPr>
                          <w:jc w:val="right"/>
                        </w:trPr>
                        <w:tc>
                          <w:tcPr>
                            <w:tcW w:w="709" w:type="dxa"/>
                            <w:vAlign w:val="center"/>
                          </w:tcPr>
                          <w:p w14:paraId="233EDF31"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103</w:t>
                            </w:r>
                          </w:p>
                        </w:tc>
                        <w:tc>
                          <w:tcPr>
                            <w:tcW w:w="987" w:type="dxa"/>
                            <w:vAlign w:val="center"/>
                          </w:tcPr>
                          <w:p w14:paraId="3E0528F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7.40</w:t>
                            </w:r>
                          </w:p>
                        </w:tc>
                        <w:tc>
                          <w:tcPr>
                            <w:tcW w:w="851" w:type="dxa"/>
                            <w:vAlign w:val="center"/>
                          </w:tcPr>
                          <w:p w14:paraId="6700DD6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1.34</w:t>
                            </w:r>
                          </w:p>
                        </w:tc>
                        <w:tc>
                          <w:tcPr>
                            <w:tcW w:w="1205" w:type="dxa"/>
                            <w:vAlign w:val="center"/>
                          </w:tcPr>
                          <w:p w14:paraId="273B6EB3"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1.20</w:t>
                            </w:r>
                          </w:p>
                        </w:tc>
                        <w:tc>
                          <w:tcPr>
                            <w:tcW w:w="1205" w:type="dxa"/>
                            <w:vAlign w:val="center"/>
                          </w:tcPr>
                          <w:p w14:paraId="2E12832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173F070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6.05</w:t>
                            </w:r>
                          </w:p>
                        </w:tc>
                        <w:tc>
                          <w:tcPr>
                            <w:tcW w:w="1134" w:type="dxa"/>
                            <w:vAlign w:val="center"/>
                          </w:tcPr>
                          <w:p w14:paraId="67FD5B6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0.40</w:t>
                            </w:r>
                          </w:p>
                        </w:tc>
                        <w:tc>
                          <w:tcPr>
                            <w:tcW w:w="992" w:type="dxa"/>
                            <w:vAlign w:val="center"/>
                          </w:tcPr>
                          <w:p w14:paraId="7DA9542A"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5.65</w:t>
                            </w:r>
                          </w:p>
                        </w:tc>
                      </w:tr>
                      <w:tr w:rsidR="00404E67" w:rsidRPr="00404E67" w14:paraId="606358F6" w14:textId="77777777" w:rsidTr="007E12E4">
                        <w:trPr>
                          <w:jc w:val="right"/>
                        </w:trPr>
                        <w:tc>
                          <w:tcPr>
                            <w:tcW w:w="709" w:type="dxa"/>
                            <w:vAlign w:val="center"/>
                          </w:tcPr>
                          <w:p w14:paraId="2423371B"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104</w:t>
                            </w:r>
                          </w:p>
                        </w:tc>
                        <w:tc>
                          <w:tcPr>
                            <w:tcW w:w="987" w:type="dxa"/>
                            <w:vAlign w:val="center"/>
                          </w:tcPr>
                          <w:p w14:paraId="7605CE9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7.33</w:t>
                            </w:r>
                          </w:p>
                        </w:tc>
                        <w:tc>
                          <w:tcPr>
                            <w:tcW w:w="851" w:type="dxa"/>
                            <w:vAlign w:val="center"/>
                          </w:tcPr>
                          <w:p w14:paraId="57D3512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1.28</w:t>
                            </w:r>
                          </w:p>
                        </w:tc>
                        <w:tc>
                          <w:tcPr>
                            <w:tcW w:w="1205" w:type="dxa"/>
                            <w:vAlign w:val="center"/>
                          </w:tcPr>
                          <w:p w14:paraId="60DCCDA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1.14</w:t>
                            </w:r>
                          </w:p>
                        </w:tc>
                        <w:tc>
                          <w:tcPr>
                            <w:tcW w:w="1205" w:type="dxa"/>
                            <w:vAlign w:val="center"/>
                          </w:tcPr>
                          <w:p w14:paraId="11C9ADD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011F2A30"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6.06</w:t>
                            </w:r>
                          </w:p>
                        </w:tc>
                        <w:tc>
                          <w:tcPr>
                            <w:tcW w:w="1134" w:type="dxa"/>
                            <w:vAlign w:val="center"/>
                          </w:tcPr>
                          <w:p w14:paraId="23A22A70"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0.40</w:t>
                            </w:r>
                          </w:p>
                        </w:tc>
                        <w:tc>
                          <w:tcPr>
                            <w:tcW w:w="992" w:type="dxa"/>
                            <w:vAlign w:val="center"/>
                          </w:tcPr>
                          <w:p w14:paraId="1F42CA9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5.66</w:t>
                            </w:r>
                          </w:p>
                        </w:tc>
                      </w:tr>
                      <w:tr w:rsidR="00404E67" w:rsidRPr="00404E67" w14:paraId="0993D086" w14:textId="77777777" w:rsidTr="007E12E4">
                        <w:trPr>
                          <w:jc w:val="right"/>
                        </w:trPr>
                        <w:tc>
                          <w:tcPr>
                            <w:tcW w:w="709" w:type="dxa"/>
                            <w:vAlign w:val="center"/>
                          </w:tcPr>
                          <w:p w14:paraId="5E58C3D9"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105</w:t>
                            </w:r>
                          </w:p>
                        </w:tc>
                        <w:tc>
                          <w:tcPr>
                            <w:tcW w:w="987" w:type="dxa"/>
                            <w:vAlign w:val="center"/>
                          </w:tcPr>
                          <w:p w14:paraId="0E5E425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7.28</w:t>
                            </w:r>
                          </w:p>
                        </w:tc>
                        <w:tc>
                          <w:tcPr>
                            <w:tcW w:w="851" w:type="dxa"/>
                            <w:vAlign w:val="center"/>
                          </w:tcPr>
                          <w:p w14:paraId="5123A34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1.21</w:t>
                            </w:r>
                          </w:p>
                        </w:tc>
                        <w:tc>
                          <w:tcPr>
                            <w:tcW w:w="1205" w:type="dxa"/>
                            <w:vAlign w:val="center"/>
                          </w:tcPr>
                          <w:p w14:paraId="5F3C947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1.07</w:t>
                            </w:r>
                          </w:p>
                        </w:tc>
                        <w:tc>
                          <w:tcPr>
                            <w:tcW w:w="1205" w:type="dxa"/>
                            <w:vAlign w:val="center"/>
                          </w:tcPr>
                          <w:p w14:paraId="32179A3A"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4E84817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6.08</w:t>
                            </w:r>
                          </w:p>
                        </w:tc>
                        <w:tc>
                          <w:tcPr>
                            <w:tcW w:w="1134" w:type="dxa"/>
                            <w:vAlign w:val="center"/>
                          </w:tcPr>
                          <w:p w14:paraId="4C68206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0.38</w:t>
                            </w:r>
                          </w:p>
                        </w:tc>
                        <w:tc>
                          <w:tcPr>
                            <w:tcW w:w="992" w:type="dxa"/>
                            <w:vAlign w:val="center"/>
                          </w:tcPr>
                          <w:p w14:paraId="51B0E02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5.70</w:t>
                            </w:r>
                          </w:p>
                        </w:tc>
                      </w:tr>
                      <w:tr w:rsidR="00404E67" w:rsidRPr="00404E67" w14:paraId="134A3826" w14:textId="77777777" w:rsidTr="007E12E4">
                        <w:trPr>
                          <w:jc w:val="right"/>
                        </w:trPr>
                        <w:tc>
                          <w:tcPr>
                            <w:tcW w:w="709" w:type="dxa"/>
                            <w:vAlign w:val="center"/>
                          </w:tcPr>
                          <w:p w14:paraId="06B3596F"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106</w:t>
                            </w:r>
                          </w:p>
                        </w:tc>
                        <w:tc>
                          <w:tcPr>
                            <w:tcW w:w="987" w:type="dxa"/>
                            <w:vAlign w:val="center"/>
                          </w:tcPr>
                          <w:p w14:paraId="297AA60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7.25</w:t>
                            </w:r>
                          </w:p>
                        </w:tc>
                        <w:tc>
                          <w:tcPr>
                            <w:tcW w:w="851" w:type="dxa"/>
                            <w:vAlign w:val="center"/>
                          </w:tcPr>
                          <w:p w14:paraId="613F546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1.18</w:t>
                            </w:r>
                          </w:p>
                        </w:tc>
                        <w:tc>
                          <w:tcPr>
                            <w:tcW w:w="1205" w:type="dxa"/>
                            <w:vAlign w:val="center"/>
                          </w:tcPr>
                          <w:p w14:paraId="559687D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1.04</w:t>
                            </w:r>
                          </w:p>
                        </w:tc>
                        <w:tc>
                          <w:tcPr>
                            <w:tcW w:w="1205" w:type="dxa"/>
                            <w:vAlign w:val="center"/>
                          </w:tcPr>
                          <w:p w14:paraId="0AE5ACA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281C637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6.07</w:t>
                            </w:r>
                          </w:p>
                        </w:tc>
                        <w:tc>
                          <w:tcPr>
                            <w:tcW w:w="1134" w:type="dxa"/>
                            <w:vAlign w:val="center"/>
                          </w:tcPr>
                          <w:p w14:paraId="641FE6C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0.38</w:t>
                            </w:r>
                          </w:p>
                        </w:tc>
                        <w:tc>
                          <w:tcPr>
                            <w:tcW w:w="992" w:type="dxa"/>
                            <w:vAlign w:val="center"/>
                          </w:tcPr>
                          <w:p w14:paraId="36E53C6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5.69</w:t>
                            </w:r>
                          </w:p>
                        </w:tc>
                      </w:tr>
                      <w:tr w:rsidR="00404E67" w:rsidRPr="00404E67" w14:paraId="3D97AABF" w14:textId="77777777" w:rsidTr="007E12E4">
                        <w:trPr>
                          <w:jc w:val="right"/>
                        </w:trPr>
                        <w:tc>
                          <w:tcPr>
                            <w:tcW w:w="709" w:type="dxa"/>
                            <w:vAlign w:val="center"/>
                          </w:tcPr>
                          <w:p w14:paraId="2158B44B"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107</w:t>
                            </w:r>
                          </w:p>
                        </w:tc>
                        <w:tc>
                          <w:tcPr>
                            <w:tcW w:w="987" w:type="dxa"/>
                            <w:vAlign w:val="center"/>
                          </w:tcPr>
                          <w:p w14:paraId="63095458"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7.25</w:t>
                            </w:r>
                          </w:p>
                        </w:tc>
                        <w:tc>
                          <w:tcPr>
                            <w:tcW w:w="851" w:type="dxa"/>
                            <w:vAlign w:val="center"/>
                          </w:tcPr>
                          <w:p w14:paraId="77F5AF8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1.16</w:t>
                            </w:r>
                          </w:p>
                        </w:tc>
                        <w:tc>
                          <w:tcPr>
                            <w:tcW w:w="1205" w:type="dxa"/>
                            <w:vAlign w:val="center"/>
                          </w:tcPr>
                          <w:p w14:paraId="275B95A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1.02</w:t>
                            </w:r>
                          </w:p>
                        </w:tc>
                        <w:tc>
                          <w:tcPr>
                            <w:tcW w:w="1205" w:type="dxa"/>
                            <w:vAlign w:val="center"/>
                          </w:tcPr>
                          <w:p w14:paraId="7F89DA3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6684B3E3"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6.09</w:t>
                            </w:r>
                          </w:p>
                        </w:tc>
                        <w:tc>
                          <w:tcPr>
                            <w:tcW w:w="1134" w:type="dxa"/>
                            <w:vAlign w:val="center"/>
                          </w:tcPr>
                          <w:p w14:paraId="0BF5F1E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0.37</w:t>
                            </w:r>
                          </w:p>
                        </w:tc>
                        <w:tc>
                          <w:tcPr>
                            <w:tcW w:w="992" w:type="dxa"/>
                            <w:vAlign w:val="center"/>
                          </w:tcPr>
                          <w:p w14:paraId="754D9D4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5.71</w:t>
                            </w:r>
                          </w:p>
                        </w:tc>
                      </w:tr>
                      <w:tr w:rsidR="00404E67" w:rsidRPr="00404E67" w14:paraId="29B524BA" w14:textId="77777777" w:rsidTr="007E12E4">
                        <w:trPr>
                          <w:jc w:val="right"/>
                        </w:trPr>
                        <w:tc>
                          <w:tcPr>
                            <w:tcW w:w="709" w:type="dxa"/>
                            <w:vAlign w:val="center"/>
                          </w:tcPr>
                          <w:p w14:paraId="7E7E4843"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108</w:t>
                            </w:r>
                          </w:p>
                        </w:tc>
                        <w:tc>
                          <w:tcPr>
                            <w:tcW w:w="987" w:type="dxa"/>
                            <w:vAlign w:val="center"/>
                          </w:tcPr>
                          <w:p w14:paraId="4DA71B3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7.26</w:t>
                            </w:r>
                          </w:p>
                        </w:tc>
                        <w:tc>
                          <w:tcPr>
                            <w:tcW w:w="851" w:type="dxa"/>
                            <w:vAlign w:val="center"/>
                          </w:tcPr>
                          <w:p w14:paraId="1ECCD86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1.16</w:t>
                            </w:r>
                          </w:p>
                        </w:tc>
                        <w:tc>
                          <w:tcPr>
                            <w:tcW w:w="1205" w:type="dxa"/>
                            <w:vAlign w:val="center"/>
                          </w:tcPr>
                          <w:p w14:paraId="3396370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1.02</w:t>
                            </w:r>
                          </w:p>
                        </w:tc>
                        <w:tc>
                          <w:tcPr>
                            <w:tcW w:w="1205" w:type="dxa"/>
                            <w:vAlign w:val="center"/>
                          </w:tcPr>
                          <w:p w14:paraId="24C9614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5CA4DB6B"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6.10</w:t>
                            </w:r>
                          </w:p>
                        </w:tc>
                        <w:tc>
                          <w:tcPr>
                            <w:tcW w:w="1134" w:type="dxa"/>
                            <w:vAlign w:val="center"/>
                          </w:tcPr>
                          <w:p w14:paraId="3B828BC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0.38</w:t>
                            </w:r>
                          </w:p>
                        </w:tc>
                        <w:tc>
                          <w:tcPr>
                            <w:tcW w:w="992" w:type="dxa"/>
                            <w:vAlign w:val="center"/>
                          </w:tcPr>
                          <w:p w14:paraId="1A3977C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5.72</w:t>
                            </w:r>
                          </w:p>
                        </w:tc>
                      </w:tr>
                      <w:tr w:rsidR="00404E67" w:rsidRPr="00404E67" w14:paraId="7267EF10" w14:textId="77777777" w:rsidTr="007E12E4">
                        <w:trPr>
                          <w:jc w:val="right"/>
                        </w:trPr>
                        <w:tc>
                          <w:tcPr>
                            <w:tcW w:w="709" w:type="dxa"/>
                            <w:vAlign w:val="center"/>
                          </w:tcPr>
                          <w:p w14:paraId="254EAAB8"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109</w:t>
                            </w:r>
                          </w:p>
                        </w:tc>
                        <w:tc>
                          <w:tcPr>
                            <w:tcW w:w="987" w:type="dxa"/>
                            <w:vAlign w:val="center"/>
                          </w:tcPr>
                          <w:p w14:paraId="55F822B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7.43</w:t>
                            </w:r>
                          </w:p>
                        </w:tc>
                        <w:tc>
                          <w:tcPr>
                            <w:tcW w:w="851" w:type="dxa"/>
                            <w:vAlign w:val="center"/>
                          </w:tcPr>
                          <w:p w14:paraId="2B57D5F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1.30</w:t>
                            </w:r>
                          </w:p>
                        </w:tc>
                        <w:tc>
                          <w:tcPr>
                            <w:tcW w:w="1205" w:type="dxa"/>
                            <w:vAlign w:val="center"/>
                          </w:tcPr>
                          <w:p w14:paraId="63B738C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1.16</w:t>
                            </w:r>
                          </w:p>
                        </w:tc>
                        <w:tc>
                          <w:tcPr>
                            <w:tcW w:w="1205" w:type="dxa"/>
                            <w:vAlign w:val="center"/>
                          </w:tcPr>
                          <w:p w14:paraId="0709BC94"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1B943988"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6.13</w:t>
                            </w:r>
                          </w:p>
                        </w:tc>
                        <w:tc>
                          <w:tcPr>
                            <w:tcW w:w="1134" w:type="dxa"/>
                            <w:vAlign w:val="center"/>
                          </w:tcPr>
                          <w:p w14:paraId="206FDFF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0.39</w:t>
                            </w:r>
                          </w:p>
                        </w:tc>
                        <w:tc>
                          <w:tcPr>
                            <w:tcW w:w="992" w:type="dxa"/>
                            <w:vAlign w:val="center"/>
                          </w:tcPr>
                          <w:p w14:paraId="7EF0AE9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5.74</w:t>
                            </w:r>
                          </w:p>
                        </w:tc>
                      </w:tr>
                      <w:tr w:rsidR="00404E67" w:rsidRPr="00404E67" w14:paraId="3886C888" w14:textId="77777777" w:rsidTr="007E12E4">
                        <w:trPr>
                          <w:jc w:val="right"/>
                        </w:trPr>
                        <w:tc>
                          <w:tcPr>
                            <w:tcW w:w="709" w:type="dxa"/>
                            <w:vAlign w:val="center"/>
                          </w:tcPr>
                          <w:p w14:paraId="184B28D5"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110</w:t>
                            </w:r>
                          </w:p>
                        </w:tc>
                        <w:tc>
                          <w:tcPr>
                            <w:tcW w:w="987" w:type="dxa"/>
                            <w:vAlign w:val="center"/>
                          </w:tcPr>
                          <w:p w14:paraId="166A3C23"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7.63</w:t>
                            </w:r>
                          </w:p>
                        </w:tc>
                        <w:tc>
                          <w:tcPr>
                            <w:tcW w:w="851" w:type="dxa"/>
                            <w:vAlign w:val="center"/>
                          </w:tcPr>
                          <w:p w14:paraId="0491CC8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1.48</w:t>
                            </w:r>
                          </w:p>
                        </w:tc>
                        <w:tc>
                          <w:tcPr>
                            <w:tcW w:w="1205" w:type="dxa"/>
                            <w:vAlign w:val="center"/>
                          </w:tcPr>
                          <w:p w14:paraId="685F36C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1.34</w:t>
                            </w:r>
                          </w:p>
                        </w:tc>
                        <w:tc>
                          <w:tcPr>
                            <w:tcW w:w="1205" w:type="dxa"/>
                            <w:vAlign w:val="center"/>
                          </w:tcPr>
                          <w:p w14:paraId="27C50F7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0.14</w:t>
                            </w:r>
                          </w:p>
                        </w:tc>
                        <w:tc>
                          <w:tcPr>
                            <w:tcW w:w="992" w:type="dxa"/>
                            <w:vAlign w:val="center"/>
                          </w:tcPr>
                          <w:p w14:paraId="4DEF1149"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6.15</w:t>
                            </w:r>
                          </w:p>
                        </w:tc>
                        <w:tc>
                          <w:tcPr>
                            <w:tcW w:w="1134" w:type="dxa"/>
                            <w:vAlign w:val="center"/>
                          </w:tcPr>
                          <w:p w14:paraId="6776FB2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0.40</w:t>
                            </w:r>
                          </w:p>
                        </w:tc>
                        <w:tc>
                          <w:tcPr>
                            <w:tcW w:w="992" w:type="dxa"/>
                            <w:vAlign w:val="center"/>
                          </w:tcPr>
                          <w:p w14:paraId="5A8EEF7F"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5.75</w:t>
                            </w:r>
                          </w:p>
                        </w:tc>
                      </w:tr>
                      <w:tr w:rsidR="00404E67" w:rsidRPr="00404E67" w14:paraId="7B7029CD" w14:textId="77777777" w:rsidTr="007E12E4">
                        <w:trPr>
                          <w:jc w:val="right"/>
                        </w:trPr>
                        <w:tc>
                          <w:tcPr>
                            <w:tcW w:w="709" w:type="dxa"/>
                            <w:vAlign w:val="center"/>
                          </w:tcPr>
                          <w:p w14:paraId="25C7EABD"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111</w:t>
                            </w:r>
                          </w:p>
                        </w:tc>
                        <w:tc>
                          <w:tcPr>
                            <w:tcW w:w="987" w:type="dxa"/>
                            <w:vAlign w:val="center"/>
                          </w:tcPr>
                          <w:p w14:paraId="01852CA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7.50</w:t>
                            </w:r>
                          </w:p>
                        </w:tc>
                        <w:tc>
                          <w:tcPr>
                            <w:tcW w:w="851" w:type="dxa"/>
                            <w:vAlign w:val="center"/>
                          </w:tcPr>
                          <w:p w14:paraId="6D0DD967"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1.34</w:t>
                            </w:r>
                          </w:p>
                        </w:tc>
                        <w:tc>
                          <w:tcPr>
                            <w:tcW w:w="1205" w:type="dxa"/>
                            <w:vAlign w:val="center"/>
                          </w:tcPr>
                          <w:p w14:paraId="475A381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1.19</w:t>
                            </w:r>
                          </w:p>
                        </w:tc>
                        <w:tc>
                          <w:tcPr>
                            <w:tcW w:w="1205" w:type="dxa"/>
                            <w:vAlign w:val="center"/>
                          </w:tcPr>
                          <w:p w14:paraId="6B275A9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0.15</w:t>
                            </w:r>
                          </w:p>
                        </w:tc>
                        <w:tc>
                          <w:tcPr>
                            <w:tcW w:w="992" w:type="dxa"/>
                            <w:vAlign w:val="center"/>
                          </w:tcPr>
                          <w:p w14:paraId="5FCA690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6.15</w:t>
                            </w:r>
                          </w:p>
                        </w:tc>
                        <w:tc>
                          <w:tcPr>
                            <w:tcW w:w="1134" w:type="dxa"/>
                            <w:vAlign w:val="center"/>
                          </w:tcPr>
                          <w:p w14:paraId="732D2C01"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0.42</w:t>
                            </w:r>
                          </w:p>
                        </w:tc>
                        <w:tc>
                          <w:tcPr>
                            <w:tcW w:w="992" w:type="dxa"/>
                            <w:vAlign w:val="center"/>
                          </w:tcPr>
                          <w:p w14:paraId="26FE0E1D"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5.73</w:t>
                            </w:r>
                          </w:p>
                        </w:tc>
                      </w:tr>
                      <w:tr w:rsidR="00404E67" w:rsidRPr="00404E67" w14:paraId="52E1E32C" w14:textId="77777777" w:rsidTr="007E12E4">
                        <w:trPr>
                          <w:jc w:val="right"/>
                        </w:trPr>
                        <w:tc>
                          <w:tcPr>
                            <w:tcW w:w="709" w:type="dxa"/>
                            <w:vAlign w:val="center"/>
                          </w:tcPr>
                          <w:p w14:paraId="19009151" w14:textId="77777777" w:rsidR="00404E67" w:rsidRPr="00404E67" w:rsidRDefault="00404E67" w:rsidP="00917657">
                            <w:pPr>
                              <w:widowControl/>
                              <w:spacing w:line="260" w:lineRule="exact"/>
                              <w:jc w:val="center"/>
                              <w:rPr>
                                <w:rFonts w:ascii="標楷體" w:eastAsia="標楷體" w:hAnsi="標楷體"/>
                                <w:snapToGrid w:val="0"/>
                                <w:kern w:val="0"/>
                                <w:sz w:val="20"/>
                              </w:rPr>
                            </w:pPr>
                            <w:r w:rsidRPr="00404E67">
                              <w:rPr>
                                <w:rFonts w:ascii="標楷體" w:eastAsia="標楷體" w:hAnsi="標楷體"/>
                                <w:snapToGrid w:val="0"/>
                                <w:kern w:val="0"/>
                                <w:sz w:val="20"/>
                              </w:rPr>
                              <w:t>112</w:t>
                            </w:r>
                          </w:p>
                        </w:tc>
                        <w:tc>
                          <w:tcPr>
                            <w:tcW w:w="987" w:type="dxa"/>
                            <w:vAlign w:val="center"/>
                          </w:tcPr>
                          <w:p w14:paraId="45D37D02"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7.49</w:t>
                            </w:r>
                          </w:p>
                        </w:tc>
                        <w:tc>
                          <w:tcPr>
                            <w:tcW w:w="851" w:type="dxa"/>
                            <w:vAlign w:val="center"/>
                          </w:tcPr>
                          <w:p w14:paraId="5D6F927C"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1.37</w:t>
                            </w:r>
                          </w:p>
                        </w:tc>
                        <w:tc>
                          <w:tcPr>
                            <w:tcW w:w="1205" w:type="dxa"/>
                            <w:vAlign w:val="center"/>
                          </w:tcPr>
                          <w:p w14:paraId="1C539A4E"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1.22</w:t>
                            </w:r>
                          </w:p>
                        </w:tc>
                        <w:tc>
                          <w:tcPr>
                            <w:tcW w:w="1205" w:type="dxa"/>
                            <w:vAlign w:val="center"/>
                          </w:tcPr>
                          <w:p w14:paraId="4E537475"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0.15</w:t>
                            </w:r>
                          </w:p>
                        </w:tc>
                        <w:tc>
                          <w:tcPr>
                            <w:tcW w:w="992" w:type="dxa"/>
                            <w:vAlign w:val="center"/>
                          </w:tcPr>
                          <w:p w14:paraId="72A78956"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6.12</w:t>
                            </w:r>
                          </w:p>
                        </w:tc>
                        <w:tc>
                          <w:tcPr>
                            <w:tcW w:w="1134" w:type="dxa"/>
                            <w:vAlign w:val="center"/>
                          </w:tcPr>
                          <w:p w14:paraId="204CAA78"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0.42</w:t>
                            </w:r>
                          </w:p>
                        </w:tc>
                        <w:tc>
                          <w:tcPr>
                            <w:tcW w:w="992" w:type="dxa"/>
                            <w:vAlign w:val="center"/>
                          </w:tcPr>
                          <w:p w14:paraId="38348BBF" w14:textId="77777777" w:rsidR="00404E67" w:rsidRPr="00404E67" w:rsidRDefault="00404E67" w:rsidP="00917657">
                            <w:pPr>
                              <w:widowControl/>
                              <w:spacing w:line="260" w:lineRule="exact"/>
                              <w:jc w:val="right"/>
                              <w:rPr>
                                <w:rFonts w:ascii="標楷體" w:eastAsia="標楷體" w:hAnsi="標楷體"/>
                                <w:snapToGrid w:val="0"/>
                                <w:kern w:val="0"/>
                                <w:sz w:val="20"/>
                              </w:rPr>
                            </w:pPr>
                            <w:r w:rsidRPr="00404E67">
                              <w:rPr>
                                <w:rFonts w:ascii="標楷體" w:eastAsia="標楷體" w:hAnsi="標楷體"/>
                                <w:sz w:val="20"/>
                              </w:rPr>
                              <w:t>5.70</w:t>
                            </w:r>
                          </w:p>
                        </w:tc>
                      </w:tr>
                    </w:tbl>
                    <w:p w14:paraId="2A837B13" w14:textId="77777777" w:rsidR="00667A85" w:rsidRPr="00905EC1" w:rsidRDefault="00667A85" w:rsidP="00667A85">
                      <w:pPr>
                        <w:widowControl/>
                        <w:spacing w:line="240" w:lineRule="exact"/>
                        <w:rPr>
                          <w:rFonts w:ascii="標楷體" w:eastAsia="標楷體" w:hAnsi="標楷體"/>
                          <w:sz w:val="18"/>
                          <w:szCs w:val="18"/>
                        </w:rPr>
                      </w:pPr>
                      <w:r w:rsidRPr="00905EC1">
                        <w:rPr>
                          <w:rFonts w:ascii="標楷體" w:eastAsia="標楷體" w:hAnsi="標楷體" w:hint="eastAsia"/>
                          <w:snapToGrid w:val="0"/>
                          <w:kern w:val="0"/>
                          <w:sz w:val="18"/>
                          <w:szCs w:val="18"/>
                        </w:rPr>
                        <w:t>資料來源：整理自</w:t>
                      </w:r>
                      <w:r>
                        <w:rPr>
                          <w:rFonts w:ascii="標楷體" w:eastAsia="標楷體" w:hAnsi="標楷體" w:hint="eastAsia"/>
                          <w:snapToGrid w:val="0"/>
                          <w:kern w:val="0"/>
                          <w:sz w:val="18"/>
                          <w:szCs w:val="18"/>
                        </w:rPr>
                        <w:t>行政院</w:t>
                      </w:r>
                      <w:r w:rsidRPr="00905EC1">
                        <w:rPr>
                          <w:rFonts w:ascii="標楷體" w:eastAsia="標楷體" w:hAnsi="標楷體" w:hint="eastAsia"/>
                          <w:snapToGrid w:val="0"/>
                          <w:kern w:val="0"/>
                          <w:sz w:val="18"/>
                          <w:szCs w:val="18"/>
                        </w:rPr>
                        <w:t>主計總處家庭收支調查資料。</w:t>
                      </w:r>
                    </w:p>
                  </w:txbxContent>
                </v:textbox>
                <w10:wrap type="square" anchorx="margin"/>
              </v:shape>
            </w:pict>
          </mc:Fallback>
        </mc:AlternateContent>
      </w:r>
      <w:r w:rsidRPr="001D6933">
        <w:rPr>
          <w:rFonts w:hAnsi="標楷體" w:hint="eastAsia"/>
        </w:rPr>
        <w:t>於112年5月24日公布施行社會福利基本法，</w:t>
      </w:r>
      <w:proofErr w:type="gramStart"/>
      <w:r w:rsidRPr="001D6933">
        <w:rPr>
          <w:rFonts w:hAnsi="標楷體" w:hint="eastAsia"/>
        </w:rPr>
        <w:t>均為引導</w:t>
      </w:r>
      <w:proofErr w:type="gramEnd"/>
      <w:r w:rsidRPr="001D6933">
        <w:rPr>
          <w:rFonts w:hAnsi="標楷體" w:hint="eastAsia"/>
        </w:rPr>
        <w:t>社會福利政策措施之主要規範，宜因應經濟社會變遷之需要調整，以達其立法宗旨。經查社會福利基本法及社會救助法規完備情形，核有下列事項：</w:t>
      </w:r>
    </w:p>
    <w:p w14:paraId="6CD925CB" w14:textId="6B27837A" w:rsidR="00283CE1" w:rsidRPr="004D155E" w:rsidRDefault="00283CE1" w:rsidP="00F855C7">
      <w:pPr>
        <w:overflowPunct w:val="0"/>
        <w:snapToGrid w:val="0"/>
        <w:spacing w:line="420" w:lineRule="exact"/>
        <w:ind w:firstLineChars="450" w:firstLine="1081"/>
        <w:jc w:val="both"/>
        <w:rPr>
          <w:rFonts w:ascii="標楷體" w:eastAsia="標楷體" w:hAnsi="標楷體"/>
          <w:szCs w:val="24"/>
        </w:rPr>
      </w:pPr>
      <w:r w:rsidRPr="004D155E">
        <w:rPr>
          <w:rFonts w:ascii="標楷體" w:eastAsia="標楷體" w:hAnsi="標楷體" w:hint="eastAsia"/>
          <w:b/>
          <w:kern w:val="0"/>
          <w:szCs w:val="24"/>
        </w:rPr>
        <w:t>1.</w:t>
      </w:r>
      <w:r>
        <w:rPr>
          <w:rFonts w:ascii="標楷體" w:eastAsia="標楷體" w:hAnsi="標楷體" w:hint="eastAsia"/>
          <w:b/>
          <w:kern w:val="0"/>
          <w:szCs w:val="24"/>
        </w:rPr>
        <w:t xml:space="preserve">　</w:t>
      </w:r>
      <w:r w:rsidR="00184A8F" w:rsidRPr="00EC5291">
        <w:rPr>
          <w:rFonts w:ascii="標楷體" w:eastAsia="標楷體" w:hAnsi="標楷體" w:hint="eastAsia"/>
          <w:b/>
          <w:snapToGrid w:val="0"/>
          <w:color w:val="000000" w:themeColor="text1"/>
          <w:kern w:val="0"/>
          <w:szCs w:val="24"/>
        </w:rPr>
        <w:t>現行作為社會福利基本政策指引之社會福利政策綱領，已歷時13年未修正，亦未配合基本法施行重</w:t>
      </w:r>
      <w:r w:rsidR="00184A8F" w:rsidRPr="00EC5291">
        <w:rPr>
          <w:rFonts w:ascii="標楷體" w:eastAsia="標楷體" w:hAnsi="標楷體" w:hint="eastAsia"/>
          <w:b/>
          <w:bCs/>
          <w:snapToGrid w:val="0"/>
          <w:color w:val="000000" w:themeColor="text1"/>
          <w:kern w:val="0"/>
          <w:szCs w:val="24"/>
        </w:rPr>
        <w:t>新</w:t>
      </w:r>
      <w:r w:rsidR="00184A8F" w:rsidRPr="00EC5291">
        <w:rPr>
          <w:rFonts w:ascii="標楷體" w:eastAsia="標楷體" w:hAnsi="標楷體" w:hint="eastAsia"/>
          <w:b/>
          <w:snapToGrid w:val="0"/>
          <w:color w:val="000000" w:themeColor="text1"/>
          <w:kern w:val="0"/>
          <w:szCs w:val="24"/>
        </w:rPr>
        <w:t>訂定，允宜督促儘速檢討，以發揮政策引導功能，持續因應經濟社會變遷及政策回應之需要與挑戰：</w:t>
      </w:r>
      <w:r w:rsidR="00184A8F" w:rsidRPr="00EC5291">
        <w:rPr>
          <w:rFonts w:ascii="標楷體" w:eastAsia="標楷體" w:hAnsi="標楷體" w:hint="eastAsia"/>
          <w:snapToGrid w:val="0"/>
          <w:color w:val="000000" w:themeColor="text1"/>
          <w:kern w:val="0"/>
          <w:szCs w:val="24"/>
        </w:rPr>
        <w:t>政府考量社會福利事項龐雜多元，為做總則性、政策性之統整制定，作為各級政府推展社會福利之指引，早於87年全國社會福利會議，即</w:t>
      </w:r>
      <w:proofErr w:type="gramStart"/>
      <w:r w:rsidR="00184A8F" w:rsidRPr="00EC5291">
        <w:rPr>
          <w:rFonts w:ascii="標楷體" w:eastAsia="標楷體" w:hAnsi="標楷體" w:hint="eastAsia"/>
          <w:snapToGrid w:val="0"/>
          <w:color w:val="000000" w:themeColor="text1"/>
          <w:kern w:val="0"/>
          <w:szCs w:val="24"/>
        </w:rPr>
        <w:t>研</w:t>
      </w:r>
      <w:proofErr w:type="gramEnd"/>
      <w:r w:rsidR="00184A8F" w:rsidRPr="00EC5291">
        <w:rPr>
          <w:rFonts w:ascii="標楷體" w:eastAsia="標楷體" w:hAnsi="標楷體" w:hint="eastAsia"/>
          <w:snapToGrid w:val="0"/>
          <w:color w:val="000000" w:themeColor="text1"/>
          <w:kern w:val="0"/>
          <w:szCs w:val="24"/>
        </w:rPr>
        <w:t>議制定</w:t>
      </w:r>
      <w:r w:rsidR="00184A8F" w:rsidRPr="00EC5291">
        <w:rPr>
          <w:rFonts w:ascii="標楷體" w:eastAsia="標楷體" w:hAnsi="標楷體"/>
          <w:snapToGrid w:val="0"/>
          <w:color w:val="000000" w:themeColor="text1"/>
          <w:kern w:val="0"/>
          <w:szCs w:val="24"/>
        </w:rPr>
        <w:t>社會</w:t>
      </w:r>
      <w:r w:rsidR="00184A8F" w:rsidRPr="00EC5291">
        <w:rPr>
          <w:rFonts w:ascii="標楷體" w:eastAsia="標楷體" w:hAnsi="標楷體" w:hint="eastAsia"/>
          <w:snapToGrid w:val="0"/>
          <w:color w:val="000000" w:themeColor="text1"/>
          <w:kern w:val="0"/>
          <w:szCs w:val="24"/>
        </w:rPr>
        <w:t>福利基本</w:t>
      </w:r>
      <w:r w:rsidR="00184A8F" w:rsidRPr="00EC5291">
        <w:rPr>
          <w:rFonts w:ascii="標楷體" w:eastAsia="標楷體" w:hAnsi="標楷體"/>
          <w:snapToGrid w:val="0"/>
          <w:color w:val="000000" w:themeColor="text1"/>
          <w:kern w:val="0"/>
          <w:szCs w:val="24"/>
        </w:rPr>
        <w:t>法</w:t>
      </w:r>
      <w:r w:rsidR="00184A8F" w:rsidRPr="00EC5291">
        <w:rPr>
          <w:rFonts w:ascii="標楷體" w:eastAsia="標楷體" w:hAnsi="標楷體" w:hint="eastAsia"/>
          <w:snapToGrid w:val="0"/>
          <w:color w:val="000000" w:themeColor="text1"/>
          <w:kern w:val="0"/>
          <w:szCs w:val="24"/>
        </w:rPr>
        <w:t>（下稱基本法），歷經25年的努力，立法院於112</w:t>
      </w:r>
      <w:r w:rsidR="00184A8F" w:rsidRPr="00EC5291">
        <w:rPr>
          <w:rFonts w:ascii="標楷體" w:eastAsia="標楷體" w:hAnsi="標楷體"/>
          <w:snapToGrid w:val="0"/>
          <w:color w:val="000000" w:themeColor="text1"/>
          <w:kern w:val="0"/>
          <w:szCs w:val="24"/>
        </w:rPr>
        <w:t>年5月5日三讀通過，</w:t>
      </w:r>
      <w:r w:rsidR="00184A8F" w:rsidRPr="00EC5291">
        <w:rPr>
          <w:rFonts w:ascii="標楷體" w:eastAsia="標楷體" w:hAnsi="標楷體" w:hint="eastAsia"/>
          <w:snapToGrid w:val="0"/>
          <w:color w:val="000000" w:themeColor="text1"/>
          <w:kern w:val="0"/>
          <w:szCs w:val="24"/>
        </w:rPr>
        <w:t>總統</w:t>
      </w:r>
      <w:r w:rsidR="00184A8F" w:rsidRPr="00EC5291">
        <w:rPr>
          <w:rFonts w:ascii="標楷體" w:eastAsia="標楷體" w:hAnsi="標楷體"/>
          <w:snapToGrid w:val="0"/>
          <w:color w:val="000000" w:themeColor="text1"/>
          <w:kern w:val="0"/>
          <w:szCs w:val="24"/>
        </w:rPr>
        <w:t>於同年</w:t>
      </w:r>
      <w:r w:rsidR="00184A8F" w:rsidRPr="00EC5291">
        <w:rPr>
          <w:rFonts w:ascii="標楷體" w:eastAsia="標楷體" w:hAnsi="標楷體" w:hint="eastAsia"/>
          <w:snapToGrid w:val="0"/>
          <w:color w:val="000000" w:themeColor="text1"/>
          <w:kern w:val="0"/>
          <w:szCs w:val="24"/>
        </w:rPr>
        <w:t>月</w:t>
      </w:r>
      <w:r w:rsidR="00184A8F" w:rsidRPr="00EC5291">
        <w:rPr>
          <w:rFonts w:ascii="標楷體" w:eastAsia="標楷體" w:hAnsi="標楷體"/>
          <w:snapToGrid w:val="0"/>
          <w:color w:val="000000" w:themeColor="text1"/>
          <w:kern w:val="0"/>
          <w:szCs w:val="24"/>
        </w:rPr>
        <w:t>24日公布施行</w:t>
      </w:r>
      <w:r w:rsidR="00184A8F" w:rsidRPr="00EC5291">
        <w:rPr>
          <w:rFonts w:ascii="標楷體" w:eastAsia="標楷體" w:hAnsi="標楷體" w:hint="eastAsia"/>
          <w:snapToGrid w:val="0"/>
          <w:color w:val="000000" w:themeColor="text1"/>
          <w:kern w:val="0"/>
          <w:szCs w:val="24"/>
        </w:rPr>
        <w:t>。依基本法第30條規定</w:t>
      </w:r>
      <w:r w:rsidR="00184A8F" w:rsidRPr="00EC5291">
        <w:rPr>
          <w:rFonts w:ascii="標楷體" w:eastAsia="標楷體" w:hAnsi="標楷體"/>
          <w:snapToGrid w:val="0"/>
          <w:color w:val="000000" w:themeColor="text1"/>
          <w:kern w:val="0"/>
          <w:szCs w:val="24"/>
        </w:rPr>
        <w:t>：「</w:t>
      </w:r>
      <w:r w:rsidR="00184A8F" w:rsidRPr="00EC5291">
        <w:rPr>
          <w:rFonts w:ascii="標楷體" w:eastAsia="標楷體" w:hAnsi="標楷體" w:hint="eastAsia"/>
          <w:snapToGrid w:val="0"/>
          <w:color w:val="000000" w:themeColor="text1"/>
          <w:kern w:val="0"/>
          <w:szCs w:val="24"/>
        </w:rPr>
        <w:t>本法施行後，各級政府應依本法之規定，制（訂）定、修正或廢止社會福利相關法規。」據衛生福利部說明，已於112年12月19日函</w:t>
      </w:r>
      <w:r w:rsidR="00184A8F" w:rsidRPr="00EC5291">
        <w:rPr>
          <w:rFonts w:ascii="標楷體" w:eastAsia="標楷體" w:hAnsi="標楷體"/>
          <w:snapToGrid w:val="0"/>
          <w:color w:val="000000" w:themeColor="text1"/>
          <w:kern w:val="0"/>
          <w:szCs w:val="24"/>
        </w:rPr>
        <w:t>請各級政府檢視</w:t>
      </w:r>
      <w:r w:rsidR="00184A8F" w:rsidRPr="00EC5291">
        <w:rPr>
          <w:rFonts w:ascii="標楷體" w:eastAsia="標楷體" w:hAnsi="標楷體" w:hint="eastAsia"/>
          <w:snapToGrid w:val="0"/>
          <w:color w:val="000000" w:themeColor="text1"/>
          <w:kern w:val="0"/>
          <w:szCs w:val="24"/>
        </w:rPr>
        <w:t>現有主管社會福利相關法規是否牴觸基本法，截至11</w:t>
      </w:r>
      <w:r w:rsidR="00184A8F" w:rsidRPr="00EC5291">
        <w:rPr>
          <w:rFonts w:ascii="標楷體" w:eastAsia="標楷體" w:hAnsi="標楷體"/>
          <w:snapToGrid w:val="0"/>
          <w:color w:val="000000" w:themeColor="text1"/>
          <w:kern w:val="0"/>
          <w:szCs w:val="24"/>
        </w:rPr>
        <w:t>3</w:t>
      </w:r>
      <w:r w:rsidR="00184A8F" w:rsidRPr="00EC5291">
        <w:rPr>
          <w:rFonts w:ascii="標楷體" w:eastAsia="標楷體" w:hAnsi="標楷體" w:hint="eastAsia"/>
          <w:snapToGrid w:val="0"/>
          <w:color w:val="000000" w:themeColor="text1"/>
          <w:kern w:val="0"/>
          <w:szCs w:val="24"/>
        </w:rPr>
        <w:t>年8月底止，相關法規</w:t>
      </w:r>
      <w:r w:rsidR="00184A8F" w:rsidRPr="00EC5291">
        <w:rPr>
          <w:rFonts w:ascii="標楷體" w:eastAsia="標楷體" w:hAnsi="標楷體"/>
          <w:snapToGrid w:val="0"/>
          <w:color w:val="000000" w:themeColor="text1"/>
          <w:kern w:val="0"/>
          <w:szCs w:val="24"/>
        </w:rPr>
        <w:t>計8,151部，除</w:t>
      </w:r>
      <w:r w:rsidR="00184A8F" w:rsidRPr="00EC5291">
        <w:rPr>
          <w:rFonts w:ascii="標楷體" w:eastAsia="標楷體" w:hAnsi="標楷體" w:hint="eastAsia"/>
          <w:snapToGrid w:val="0"/>
          <w:color w:val="000000" w:themeColor="text1"/>
          <w:kern w:val="0"/>
          <w:szCs w:val="24"/>
        </w:rPr>
        <w:t>1部有</w:t>
      </w:r>
      <w:r w:rsidR="00184A8F" w:rsidRPr="00EC5291">
        <w:rPr>
          <w:rFonts w:ascii="標楷體" w:eastAsia="標楷體" w:hAnsi="標楷體"/>
          <w:snapToGrid w:val="0"/>
          <w:color w:val="000000" w:themeColor="text1"/>
          <w:kern w:val="0"/>
          <w:szCs w:val="24"/>
        </w:rPr>
        <w:t>牴觸已廢止</w:t>
      </w:r>
      <w:r w:rsidR="00184A8F" w:rsidRPr="00EC5291">
        <w:rPr>
          <w:rFonts w:ascii="標楷體" w:eastAsia="標楷體" w:hAnsi="標楷體" w:hint="eastAsia"/>
          <w:snapToGrid w:val="0"/>
          <w:color w:val="000000" w:themeColor="text1"/>
          <w:kern w:val="0"/>
          <w:szCs w:val="24"/>
        </w:rPr>
        <w:t>外</w:t>
      </w:r>
      <w:r w:rsidR="00184A8F" w:rsidRPr="00EC5291">
        <w:rPr>
          <w:rFonts w:ascii="標楷體" w:eastAsia="標楷體" w:hAnsi="標楷體"/>
          <w:snapToGrid w:val="0"/>
          <w:color w:val="000000" w:themeColor="text1"/>
          <w:kern w:val="0"/>
          <w:szCs w:val="24"/>
        </w:rPr>
        <w:t>，</w:t>
      </w:r>
      <w:r w:rsidR="00184A8F" w:rsidRPr="00EC5291">
        <w:rPr>
          <w:rFonts w:ascii="標楷體" w:eastAsia="標楷體" w:hAnsi="標楷體" w:hint="eastAsia"/>
          <w:snapToGrid w:val="0"/>
          <w:color w:val="000000" w:themeColor="text1"/>
          <w:kern w:val="0"/>
          <w:szCs w:val="24"/>
        </w:rPr>
        <w:t>其餘法規</w:t>
      </w:r>
      <w:r w:rsidR="00184A8F" w:rsidRPr="00EC5291">
        <w:rPr>
          <w:rFonts w:ascii="標楷體" w:eastAsia="標楷體" w:hAnsi="標楷體"/>
          <w:snapToGrid w:val="0"/>
          <w:color w:val="000000" w:themeColor="text1"/>
          <w:kern w:val="0"/>
          <w:szCs w:val="24"/>
        </w:rPr>
        <w:t>無牴觸</w:t>
      </w:r>
      <w:r w:rsidR="00184A8F" w:rsidRPr="00EC5291">
        <w:rPr>
          <w:rFonts w:ascii="標楷體" w:eastAsia="標楷體" w:hAnsi="標楷體" w:hint="eastAsia"/>
          <w:snapToGrid w:val="0"/>
          <w:color w:val="000000" w:themeColor="text1"/>
          <w:kern w:val="0"/>
          <w:szCs w:val="24"/>
        </w:rPr>
        <w:t>情事</w:t>
      </w:r>
      <w:r w:rsidR="00184A8F" w:rsidRPr="00EC5291">
        <w:rPr>
          <w:rFonts w:ascii="標楷體" w:eastAsia="標楷體" w:hAnsi="標楷體"/>
          <w:snapToGrid w:val="0"/>
          <w:color w:val="000000" w:themeColor="text1"/>
          <w:kern w:val="0"/>
          <w:szCs w:val="24"/>
        </w:rPr>
        <w:t>。</w:t>
      </w:r>
      <w:r w:rsidR="00184A8F" w:rsidRPr="00EC5291">
        <w:rPr>
          <w:rFonts w:ascii="標楷體" w:eastAsia="標楷體" w:hAnsi="標楷體" w:hint="eastAsia"/>
          <w:snapToGrid w:val="0"/>
          <w:color w:val="000000" w:themeColor="text1"/>
          <w:kern w:val="0"/>
          <w:szCs w:val="24"/>
        </w:rPr>
        <w:t>惟依基本法第</w:t>
      </w:r>
      <w:r w:rsidR="00184A8F" w:rsidRPr="00EC5291">
        <w:rPr>
          <w:rFonts w:ascii="標楷體" w:eastAsia="標楷體" w:hAnsi="標楷體"/>
          <w:snapToGrid w:val="0"/>
          <w:color w:val="000000" w:themeColor="text1"/>
          <w:kern w:val="0"/>
          <w:szCs w:val="24"/>
        </w:rPr>
        <w:t>2</w:t>
      </w:r>
      <w:r w:rsidR="00184A8F" w:rsidRPr="00EC5291">
        <w:rPr>
          <w:rFonts w:ascii="標楷體" w:eastAsia="標楷體" w:hAnsi="標楷體" w:hint="eastAsia"/>
          <w:snapToGrid w:val="0"/>
          <w:color w:val="000000" w:themeColor="text1"/>
          <w:kern w:val="0"/>
          <w:szCs w:val="24"/>
        </w:rPr>
        <w:t>條</w:t>
      </w:r>
      <w:r w:rsidR="00184A8F" w:rsidRPr="00EC5291">
        <w:rPr>
          <w:rFonts w:ascii="標楷體" w:eastAsia="標楷體" w:hAnsi="標楷體"/>
          <w:snapToGrid w:val="0"/>
          <w:color w:val="000000" w:themeColor="text1"/>
          <w:kern w:val="0"/>
          <w:szCs w:val="24"/>
        </w:rPr>
        <w:t>規定：「</w:t>
      </w:r>
      <w:r w:rsidR="00184A8F" w:rsidRPr="00EC5291">
        <w:rPr>
          <w:rFonts w:ascii="標楷體" w:eastAsia="標楷體" w:hAnsi="標楷體" w:hint="eastAsia"/>
          <w:snapToGrid w:val="0"/>
          <w:color w:val="000000" w:themeColor="text1"/>
          <w:kern w:val="0"/>
          <w:szCs w:val="24"/>
        </w:rPr>
        <w:t>所稱社會福利，指社會保險、社會救助、社會津貼、福利服務、醫療保健、國民就業及社會住宅之福利事項。」及第</w:t>
      </w:r>
      <w:r w:rsidR="00184A8F" w:rsidRPr="00EC5291">
        <w:rPr>
          <w:rFonts w:ascii="標楷體" w:eastAsia="標楷體" w:hAnsi="標楷體"/>
          <w:snapToGrid w:val="0"/>
          <w:color w:val="000000" w:themeColor="text1"/>
          <w:kern w:val="0"/>
          <w:szCs w:val="24"/>
        </w:rPr>
        <w:t>12</w:t>
      </w:r>
      <w:r w:rsidR="00184A8F" w:rsidRPr="00EC5291">
        <w:rPr>
          <w:rFonts w:ascii="標楷體" w:eastAsia="標楷體" w:hAnsi="標楷體" w:hint="eastAsia"/>
          <w:snapToGrid w:val="0"/>
          <w:color w:val="000000" w:themeColor="text1"/>
          <w:kern w:val="0"/>
          <w:szCs w:val="24"/>
        </w:rPr>
        <w:t>條</w:t>
      </w:r>
      <w:r w:rsidR="00184A8F" w:rsidRPr="00EC5291">
        <w:rPr>
          <w:rFonts w:ascii="標楷體" w:eastAsia="標楷體" w:hAnsi="標楷體"/>
          <w:snapToGrid w:val="0"/>
          <w:color w:val="000000" w:themeColor="text1"/>
          <w:kern w:val="0"/>
          <w:szCs w:val="24"/>
        </w:rPr>
        <w:t>規定：「</w:t>
      </w:r>
      <w:r w:rsidR="00184A8F" w:rsidRPr="00EC5291">
        <w:rPr>
          <w:rFonts w:ascii="標楷體" w:eastAsia="標楷體" w:hAnsi="標楷體" w:hint="eastAsia"/>
          <w:snapToGrid w:val="0"/>
          <w:color w:val="000000" w:themeColor="text1"/>
          <w:kern w:val="0"/>
          <w:szCs w:val="24"/>
        </w:rPr>
        <w:t>中央政府應考量國家政策發展方向、經濟與社會結構變遷情況、社會福利需求及總體資源供給，訂定社會福利政策綱領，並至少每五年檢討一次。</w:t>
      </w:r>
      <w:r w:rsidR="00184A8F" w:rsidRPr="00EC5291">
        <w:rPr>
          <w:rFonts w:ascii="標楷體" w:eastAsia="標楷體" w:hAnsi="標楷體"/>
          <w:snapToGrid w:val="0"/>
          <w:color w:val="000000" w:themeColor="text1"/>
          <w:kern w:val="0"/>
          <w:szCs w:val="24"/>
        </w:rPr>
        <w:t>」</w:t>
      </w:r>
      <w:r w:rsidR="00184A8F" w:rsidRPr="00EC5291">
        <w:rPr>
          <w:rFonts w:ascii="標楷體" w:eastAsia="標楷體" w:hAnsi="標楷體" w:hint="eastAsia"/>
          <w:snapToGrid w:val="0"/>
          <w:color w:val="000000" w:themeColor="text1"/>
          <w:kern w:val="0"/>
          <w:szCs w:val="24"/>
        </w:rPr>
        <w:t>其立法理由為依據憲法促進經濟與社會均衡發展之原則，衡酌國家總體資源及政府財力，發揮政策引導功能，逐步建立社會安全制度，作為社會福利之基本政策，</w:t>
      </w:r>
      <w:proofErr w:type="gramStart"/>
      <w:r w:rsidR="00184A8F" w:rsidRPr="00EC5291">
        <w:rPr>
          <w:rFonts w:ascii="標楷體" w:eastAsia="標楷體" w:hAnsi="標楷體" w:hint="eastAsia"/>
          <w:snapToGrid w:val="0"/>
          <w:color w:val="000000" w:themeColor="text1"/>
          <w:kern w:val="0"/>
          <w:szCs w:val="24"/>
        </w:rPr>
        <w:t>爰</w:t>
      </w:r>
      <w:proofErr w:type="gramEnd"/>
      <w:r w:rsidR="00184A8F" w:rsidRPr="00EC5291">
        <w:rPr>
          <w:rFonts w:ascii="標楷體" w:eastAsia="標楷體" w:hAnsi="標楷體" w:hint="eastAsia"/>
          <w:snapToGrid w:val="0"/>
          <w:color w:val="000000" w:themeColor="text1"/>
          <w:kern w:val="0"/>
          <w:szCs w:val="24"/>
        </w:rPr>
        <w:t>明定社會福利政策綱領應考量之事項，並規定至少每五年檢討一次，以因應社會變遷、政策回應之需要。經查，現行適用之社會福利政策綱領係行政院以</w:t>
      </w:r>
      <w:r w:rsidR="00184A8F" w:rsidRPr="00EC5291">
        <w:rPr>
          <w:rFonts w:ascii="標楷體" w:eastAsia="標楷體" w:hAnsi="標楷體"/>
          <w:snapToGrid w:val="0"/>
          <w:color w:val="000000" w:themeColor="text1"/>
          <w:kern w:val="0"/>
          <w:szCs w:val="24"/>
        </w:rPr>
        <w:t>101</w:t>
      </w:r>
      <w:r w:rsidR="00184A8F" w:rsidRPr="00EC5291">
        <w:rPr>
          <w:rFonts w:ascii="標楷體" w:eastAsia="標楷體" w:hAnsi="標楷體" w:hint="eastAsia"/>
          <w:snapToGrid w:val="0"/>
          <w:color w:val="000000" w:themeColor="text1"/>
          <w:kern w:val="0"/>
          <w:szCs w:val="24"/>
        </w:rPr>
        <w:t>年</w:t>
      </w:r>
      <w:r w:rsidR="00184A8F" w:rsidRPr="00EC5291">
        <w:rPr>
          <w:rFonts w:ascii="標楷體" w:eastAsia="標楷體" w:hAnsi="標楷體"/>
          <w:snapToGrid w:val="0"/>
          <w:color w:val="000000" w:themeColor="text1"/>
          <w:kern w:val="0"/>
          <w:szCs w:val="24"/>
        </w:rPr>
        <w:t>1</w:t>
      </w:r>
      <w:r w:rsidR="00184A8F" w:rsidRPr="00EC5291">
        <w:rPr>
          <w:rFonts w:ascii="標楷體" w:eastAsia="標楷體" w:hAnsi="標楷體" w:hint="eastAsia"/>
          <w:snapToGrid w:val="0"/>
          <w:color w:val="000000" w:themeColor="text1"/>
          <w:kern w:val="0"/>
          <w:szCs w:val="24"/>
        </w:rPr>
        <w:t>月</w:t>
      </w:r>
      <w:r w:rsidR="00184A8F" w:rsidRPr="00EC5291">
        <w:rPr>
          <w:rFonts w:ascii="標楷體" w:eastAsia="標楷體" w:hAnsi="標楷體"/>
          <w:snapToGrid w:val="0"/>
          <w:color w:val="000000" w:themeColor="text1"/>
          <w:kern w:val="0"/>
          <w:szCs w:val="24"/>
        </w:rPr>
        <w:t>9</w:t>
      </w:r>
      <w:r w:rsidR="00184A8F" w:rsidRPr="00EC5291">
        <w:rPr>
          <w:rFonts w:ascii="標楷體" w:eastAsia="標楷體" w:hAnsi="標楷體" w:hint="eastAsia"/>
          <w:snapToGrid w:val="0"/>
          <w:color w:val="000000" w:themeColor="text1"/>
          <w:kern w:val="0"/>
          <w:szCs w:val="24"/>
        </w:rPr>
        <w:t>日</w:t>
      </w:r>
      <w:r w:rsidR="00184A8F" w:rsidRPr="00EC5291">
        <w:rPr>
          <w:rFonts w:ascii="標楷體" w:eastAsia="標楷體" w:hAnsi="標楷體"/>
          <w:snapToGrid w:val="0"/>
          <w:color w:val="000000" w:themeColor="text1"/>
          <w:kern w:val="0"/>
          <w:szCs w:val="24"/>
        </w:rPr>
        <w:t>院</w:t>
      </w:r>
      <w:proofErr w:type="gramStart"/>
      <w:r w:rsidR="00184A8F" w:rsidRPr="00EC5291">
        <w:rPr>
          <w:rFonts w:ascii="標楷體" w:eastAsia="標楷體" w:hAnsi="標楷體"/>
          <w:snapToGrid w:val="0"/>
          <w:color w:val="000000" w:themeColor="text1"/>
          <w:kern w:val="0"/>
          <w:szCs w:val="24"/>
        </w:rPr>
        <w:t>臺</w:t>
      </w:r>
      <w:proofErr w:type="gramEnd"/>
      <w:r w:rsidR="00184A8F" w:rsidRPr="00EC5291">
        <w:rPr>
          <w:rFonts w:ascii="標楷體" w:eastAsia="標楷體" w:hAnsi="標楷體"/>
          <w:snapToGrid w:val="0"/>
          <w:color w:val="000000" w:themeColor="text1"/>
          <w:kern w:val="0"/>
          <w:szCs w:val="24"/>
        </w:rPr>
        <w:t>內字第1010120382號函修正核定</w:t>
      </w:r>
      <w:r w:rsidR="00184A8F" w:rsidRPr="00EC5291">
        <w:rPr>
          <w:rFonts w:ascii="標楷體" w:eastAsia="標楷體" w:hAnsi="標楷體" w:hint="eastAsia"/>
          <w:snapToGrid w:val="0"/>
          <w:color w:val="000000" w:themeColor="text1"/>
          <w:kern w:val="0"/>
          <w:szCs w:val="24"/>
        </w:rPr>
        <w:t>之</w:t>
      </w:r>
      <w:r w:rsidR="00184A8F" w:rsidRPr="00EC5291">
        <w:rPr>
          <w:rFonts w:ascii="標楷體" w:eastAsia="標楷體" w:hAnsi="標楷體"/>
          <w:snapToGrid w:val="0"/>
          <w:color w:val="000000" w:themeColor="text1"/>
          <w:kern w:val="0"/>
          <w:szCs w:val="24"/>
        </w:rPr>
        <w:t>中華民國建國一百年社會福利政策綱領</w:t>
      </w:r>
      <w:r w:rsidR="00184A8F" w:rsidRPr="00EC5291">
        <w:rPr>
          <w:rFonts w:ascii="標楷體" w:eastAsia="標楷體" w:hAnsi="標楷體" w:hint="eastAsia"/>
          <w:snapToGrid w:val="0"/>
          <w:color w:val="000000" w:themeColor="text1"/>
          <w:kern w:val="0"/>
          <w:szCs w:val="24"/>
        </w:rPr>
        <w:t>，綱領內涵區分為社會救助與津貼、社會保險、福利服務、健康與醫療照護、就業安全、居住正義與社區營造等六大項目，與基本法所定七大社會福利事項，略有差異，且</w:t>
      </w:r>
      <w:r w:rsidR="00184A8F" w:rsidRPr="00EC5291">
        <w:rPr>
          <w:rFonts w:ascii="標楷體" w:eastAsia="標楷體" w:hAnsi="標楷體" w:hint="eastAsia"/>
          <w:snapToGrid w:val="0"/>
          <w:color w:val="000000" w:themeColor="text1"/>
          <w:kern w:val="0"/>
          <w:szCs w:val="24"/>
        </w:rPr>
        <w:lastRenderedPageBreak/>
        <w:t>至114年6月底止，已歷時13年餘，未再</w:t>
      </w:r>
      <w:r w:rsidR="00184A8F" w:rsidRPr="00EC5291">
        <w:rPr>
          <w:rFonts w:ascii="標楷體" w:eastAsia="標楷體" w:hAnsi="標楷體"/>
          <w:snapToGrid w:val="0"/>
          <w:color w:val="000000" w:themeColor="text1"/>
          <w:kern w:val="0"/>
          <w:szCs w:val="24"/>
        </w:rPr>
        <w:t>修</w:t>
      </w:r>
      <w:r w:rsidR="00184A8F" w:rsidRPr="00EC5291">
        <w:rPr>
          <w:rFonts w:ascii="標楷體" w:eastAsia="標楷體" w:hAnsi="標楷體" w:hint="eastAsia"/>
          <w:snapToGrid w:val="0"/>
          <w:color w:val="000000" w:themeColor="text1"/>
          <w:kern w:val="0"/>
          <w:szCs w:val="24"/>
        </w:rPr>
        <w:t>正，</w:t>
      </w:r>
      <w:r w:rsidR="00184A8F" w:rsidRPr="00EC5291">
        <w:rPr>
          <w:rFonts w:ascii="標楷體" w:eastAsia="標楷體" w:hAnsi="標楷體"/>
          <w:snapToGrid w:val="0"/>
          <w:color w:val="000000" w:themeColor="text1"/>
          <w:kern w:val="0"/>
          <w:szCs w:val="24"/>
        </w:rPr>
        <w:t>或</w:t>
      </w:r>
      <w:r w:rsidR="00184A8F" w:rsidRPr="00EC5291">
        <w:rPr>
          <w:rFonts w:ascii="標楷體" w:eastAsia="標楷體" w:hAnsi="標楷體" w:hint="eastAsia"/>
          <w:snapToGrid w:val="0"/>
          <w:color w:val="000000" w:themeColor="text1"/>
          <w:kern w:val="0"/>
          <w:szCs w:val="24"/>
        </w:rPr>
        <w:t>依基本法規定，考量國家政策發展方向、經濟與社會結構變遷情況、社會福利需求及總體資源供給，重新訂定</w:t>
      </w:r>
      <w:r w:rsidR="00184A8F" w:rsidRPr="00EC5291">
        <w:rPr>
          <w:rFonts w:ascii="標楷體" w:eastAsia="標楷體" w:hAnsi="標楷體"/>
          <w:snapToGrid w:val="0"/>
          <w:color w:val="000000" w:themeColor="text1"/>
          <w:kern w:val="0"/>
          <w:szCs w:val="24"/>
        </w:rPr>
        <w:t>。</w:t>
      </w:r>
      <w:proofErr w:type="gramStart"/>
      <w:r w:rsidR="00184A8F" w:rsidRPr="00EC5291">
        <w:rPr>
          <w:rFonts w:ascii="標楷體" w:eastAsia="標楷體" w:hAnsi="標楷體" w:hint="eastAsia"/>
          <w:bCs/>
          <w:snapToGrid w:val="0"/>
          <w:color w:val="000000" w:themeColor="text1"/>
          <w:kern w:val="0"/>
          <w:szCs w:val="24"/>
        </w:rPr>
        <w:t>鑑</w:t>
      </w:r>
      <w:proofErr w:type="gramEnd"/>
      <w:r w:rsidR="00184A8F" w:rsidRPr="00EC5291">
        <w:rPr>
          <w:rFonts w:ascii="標楷體" w:eastAsia="標楷體" w:hAnsi="標楷體" w:hint="eastAsia"/>
          <w:bCs/>
          <w:snapToGrid w:val="0"/>
          <w:color w:val="000000" w:themeColor="text1"/>
          <w:kern w:val="0"/>
          <w:szCs w:val="24"/>
        </w:rPr>
        <w:t>於</w:t>
      </w:r>
      <w:r w:rsidR="00184A8F" w:rsidRPr="00EC5291">
        <w:rPr>
          <w:rFonts w:ascii="標楷體" w:eastAsia="標楷體" w:hAnsi="標楷體"/>
          <w:bCs/>
          <w:snapToGrid w:val="0"/>
          <w:color w:val="000000" w:themeColor="text1"/>
          <w:kern w:val="0"/>
          <w:szCs w:val="24"/>
        </w:rPr>
        <w:t>基本法</w:t>
      </w:r>
      <w:r w:rsidR="00184A8F" w:rsidRPr="00EC5291">
        <w:rPr>
          <w:rFonts w:ascii="標楷體" w:eastAsia="標楷體" w:hAnsi="標楷體" w:hint="eastAsia"/>
          <w:bCs/>
          <w:snapToGrid w:val="0"/>
          <w:color w:val="000000" w:themeColor="text1"/>
          <w:kern w:val="0"/>
          <w:szCs w:val="24"/>
        </w:rPr>
        <w:t>已施行2年餘，為發揮政策引導功能，逐步建立社會安全制度，作為社會福利之基本政策及各級政府推展社會福利之指引，經函請行政院督促衛生福利部儘速檢討修正或訂定新的社會福利政策綱領，並至少每五年檢討一</w:t>
      </w:r>
      <w:r w:rsidR="00184A8F" w:rsidRPr="00BF3F57">
        <w:rPr>
          <w:rFonts w:ascii="標楷體" w:eastAsia="標楷體" w:hAnsi="標楷體" w:hint="eastAsia"/>
          <w:bCs/>
          <w:snapToGrid w:val="0"/>
          <w:kern w:val="0"/>
          <w:szCs w:val="24"/>
        </w:rPr>
        <w:t>次，以持續因應</w:t>
      </w:r>
      <w:r w:rsidR="00184A8F" w:rsidRPr="00EC5291">
        <w:rPr>
          <w:rFonts w:ascii="標楷體" w:eastAsia="標楷體" w:hAnsi="標楷體" w:hint="eastAsia"/>
          <w:bCs/>
          <w:snapToGrid w:val="0"/>
          <w:color w:val="000000" w:themeColor="text1"/>
          <w:kern w:val="0"/>
          <w:szCs w:val="24"/>
        </w:rPr>
        <w:t>經濟社會變遷及政策</w:t>
      </w:r>
      <w:r w:rsidR="00184A8F" w:rsidRPr="00BF3F57">
        <w:rPr>
          <w:rFonts w:ascii="標楷體" w:eastAsia="標楷體" w:hAnsi="標楷體" w:hint="eastAsia"/>
          <w:bCs/>
          <w:snapToGrid w:val="0"/>
          <w:kern w:val="0"/>
          <w:szCs w:val="24"/>
        </w:rPr>
        <w:t>回應之需要與挑</w:t>
      </w:r>
      <w:r w:rsidR="00184A8F" w:rsidRPr="00DC7CF3">
        <w:rPr>
          <w:rFonts w:ascii="標楷體" w:eastAsia="標楷體" w:hAnsi="標楷體" w:hint="eastAsia"/>
          <w:bCs/>
          <w:snapToGrid w:val="0"/>
          <w:kern w:val="0"/>
          <w:szCs w:val="24"/>
        </w:rPr>
        <w:t>戰。</w:t>
      </w:r>
      <w:r w:rsidR="00184A8F" w:rsidRPr="00BA5A59">
        <w:rPr>
          <w:rFonts w:ascii="標楷體" w:eastAsia="標楷體" w:hAnsi="標楷體" w:hint="eastAsia"/>
          <w:bCs/>
          <w:szCs w:val="24"/>
        </w:rPr>
        <w:t>據復：</w:t>
      </w:r>
      <w:r w:rsidR="00184A8F" w:rsidRPr="00DC7CF3">
        <w:rPr>
          <w:rFonts w:ascii="標楷體" w:eastAsia="標楷體" w:hAnsi="標楷體" w:hint="eastAsia"/>
          <w:snapToGrid w:val="0"/>
          <w:kern w:val="0"/>
          <w:szCs w:val="24"/>
        </w:rPr>
        <w:t>衛生福利部社會及家庭署將自基本法</w:t>
      </w:r>
      <w:r w:rsidR="00184A8F" w:rsidRPr="00DC7CF3">
        <w:rPr>
          <w:rFonts w:ascii="標楷體" w:eastAsia="標楷體" w:hAnsi="標楷體"/>
          <w:snapToGrid w:val="0"/>
          <w:kern w:val="0"/>
          <w:szCs w:val="24"/>
        </w:rPr>
        <w:t>112</w:t>
      </w:r>
      <w:r w:rsidR="00184A8F" w:rsidRPr="00DC7CF3">
        <w:rPr>
          <w:rFonts w:ascii="標楷體" w:eastAsia="標楷體" w:hAnsi="標楷體" w:hint="eastAsia"/>
          <w:snapToGrid w:val="0"/>
          <w:kern w:val="0"/>
          <w:szCs w:val="24"/>
        </w:rPr>
        <w:t>年</w:t>
      </w:r>
      <w:r w:rsidR="00184A8F" w:rsidRPr="00DC7CF3">
        <w:rPr>
          <w:rFonts w:ascii="標楷體" w:eastAsia="標楷體" w:hAnsi="標楷體"/>
          <w:snapToGrid w:val="0"/>
          <w:kern w:val="0"/>
          <w:szCs w:val="24"/>
        </w:rPr>
        <w:t>5</w:t>
      </w:r>
      <w:r w:rsidR="00184A8F" w:rsidRPr="00DC7CF3">
        <w:rPr>
          <w:rFonts w:ascii="標楷體" w:eastAsia="標楷體" w:hAnsi="標楷體" w:hint="eastAsia"/>
          <w:snapToGrid w:val="0"/>
          <w:kern w:val="0"/>
          <w:szCs w:val="24"/>
        </w:rPr>
        <w:t>月</w:t>
      </w:r>
      <w:r w:rsidR="00184A8F" w:rsidRPr="00DC7CF3">
        <w:rPr>
          <w:rFonts w:ascii="標楷體" w:eastAsia="標楷體" w:hAnsi="標楷體"/>
          <w:snapToGrid w:val="0"/>
          <w:kern w:val="0"/>
          <w:szCs w:val="24"/>
        </w:rPr>
        <w:t>24</w:t>
      </w:r>
      <w:r w:rsidR="00184A8F" w:rsidRPr="00DC7CF3">
        <w:rPr>
          <w:rFonts w:ascii="標楷體" w:eastAsia="標楷體" w:hAnsi="標楷體" w:hint="eastAsia"/>
          <w:snapToGrid w:val="0"/>
          <w:kern w:val="0"/>
          <w:szCs w:val="24"/>
        </w:rPr>
        <w:t>日公布施行起</w:t>
      </w:r>
      <w:r w:rsidR="00184A8F" w:rsidRPr="00DC7CF3">
        <w:rPr>
          <w:rFonts w:ascii="標楷體" w:eastAsia="標楷體" w:hAnsi="標楷體"/>
          <w:snapToGrid w:val="0"/>
          <w:kern w:val="0"/>
          <w:szCs w:val="24"/>
        </w:rPr>
        <w:t>5</w:t>
      </w:r>
      <w:r w:rsidR="00184A8F" w:rsidRPr="00DC7CF3">
        <w:rPr>
          <w:rFonts w:ascii="標楷體" w:eastAsia="標楷體" w:hAnsi="標楷體" w:hint="eastAsia"/>
          <w:snapToGrid w:val="0"/>
          <w:kern w:val="0"/>
          <w:szCs w:val="24"/>
        </w:rPr>
        <w:t>年內辦理社會福利政策綱領之檢討，</w:t>
      </w:r>
      <w:r w:rsidR="00184A8F" w:rsidRPr="00EC5291">
        <w:rPr>
          <w:rFonts w:ascii="標楷體" w:eastAsia="標楷體" w:hAnsi="標楷體" w:hint="eastAsia"/>
          <w:snapToGrid w:val="0"/>
          <w:color w:val="000000" w:themeColor="text1"/>
          <w:kern w:val="0"/>
          <w:szCs w:val="24"/>
        </w:rPr>
        <w:t>規劃委託國內學術、研究或民間單位，邀集相關單位及專家學者盤點政策發展方向</w:t>
      </w:r>
      <w:r w:rsidR="00184A8F" w:rsidRPr="00EC5291">
        <w:rPr>
          <w:rFonts w:ascii="標楷體" w:eastAsia="標楷體" w:hAnsi="標楷體" w:hint="eastAsia"/>
          <w:bCs/>
          <w:snapToGrid w:val="0"/>
          <w:color w:val="000000" w:themeColor="text1"/>
          <w:kern w:val="0"/>
          <w:szCs w:val="24"/>
        </w:rPr>
        <w:t>等，以形成社會福利政策綱領草案，並於</w:t>
      </w:r>
      <w:r w:rsidR="00184A8F" w:rsidRPr="00EC5291">
        <w:rPr>
          <w:rFonts w:ascii="標楷體" w:eastAsia="標楷體" w:hAnsi="標楷體"/>
          <w:bCs/>
          <w:snapToGrid w:val="0"/>
          <w:color w:val="000000" w:themeColor="text1"/>
          <w:kern w:val="0"/>
          <w:szCs w:val="24"/>
        </w:rPr>
        <w:t>117</w:t>
      </w:r>
      <w:r w:rsidR="00184A8F" w:rsidRPr="00EC5291">
        <w:rPr>
          <w:rFonts w:ascii="標楷體" w:eastAsia="標楷體" w:hAnsi="標楷體" w:hint="eastAsia"/>
          <w:bCs/>
          <w:snapToGrid w:val="0"/>
          <w:color w:val="000000" w:themeColor="text1"/>
          <w:kern w:val="0"/>
          <w:szCs w:val="24"/>
        </w:rPr>
        <w:t>年完成檢討修正</w:t>
      </w:r>
      <w:r w:rsidR="00184A8F" w:rsidRPr="00EC5291">
        <w:rPr>
          <w:rFonts w:ascii="標楷體" w:eastAsia="標楷體" w:hAnsi="標楷體" w:hint="eastAsia"/>
          <w:bCs/>
          <w:color w:val="000000" w:themeColor="text1"/>
          <w:szCs w:val="24"/>
        </w:rPr>
        <w:t>。</w:t>
      </w:r>
    </w:p>
    <w:p w14:paraId="0B503AEB" w14:textId="20EAF5D0" w:rsidR="00CB75DF" w:rsidRDefault="00A55057" w:rsidP="00492893">
      <w:pPr>
        <w:overflowPunct w:val="0"/>
        <w:snapToGrid w:val="0"/>
        <w:spacing w:line="442" w:lineRule="exact"/>
        <w:ind w:firstLineChars="450" w:firstLine="1080"/>
        <w:jc w:val="both"/>
        <w:rPr>
          <w:rFonts w:ascii="標楷體" w:eastAsia="標楷體" w:hAnsi="標楷體" w:cstheme="minorBidi"/>
          <w:spacing w:val="-4"/>
          <w:szCs w:val="24"/>
        </w:rPr>
      </w:pPr>
      <w:r w:rsidRPr="009A42C7">
        <w:rPr>
          <w:rFonts w:ascii="標楷體" w:eastAsia="標楷體" w:hAnsi="標楷體" w:cstheme="minorBidi" w:hint="eastAsia"/>
          <w:noProof/>
          <w:szCs w:val="24"/>
        </w:rPr>
        <mc:AlternateContent>
          <mc:Choice Requires="wps">
            <w:drawing>
              <wp:anchor distT="0" distB="0" distL="114300" distR="114300" simplePos="0" relativeHeight="251637760" behindDoc="1" locked="0" layoutInCell="1" allowOverlap="1" wp14:anchorId="7E739CB7" wp14:editId="2990021F">
                <wp:simplePos x="0" y="0"/>
                <wp:positionH relativeFrom="margin">
                  <wp:posOffset>2943225</wp:posOffset>
                </wp:positionH>
                <wp:positionV relativeFrom="paragraph">
                  <wp:posOffset>4077970</wp:posOffset>
                </wp:positionV>
                <wp:extent cx="3295650" cy="1774190"/>
                <wp:effectExtent l="0" t="0" r="0" b="0"/>
                <wp:wrapSquare wrapText="bothSides"/>
                <wp:docPr id="1219933986" name="文字方塊 1219933986"/>
                <wp:cNvGraphicFramePr/>
                <a:graphic xmlns:a="http://schemas.openxmlformats.org/drawingml/2006/main">
                  <a:graphicData uri="http://schemas.microsoft.com/office/word/2010/wordprocessingShape">
                    <wps:wsp>
                      <wps:cNvSpPr txBox="1"/>
                      <wps:spPr>
                        <a:xfrm>
                          <a:off x="0" y="0"/>
                          <a:ext cx="3295650" cy="1774190"/>
                        </a:xfrm>
                        <a:prstGeom prst="rect">
                          <a:avLst/>
                        </a:prstGeom>
                        <a:noFill/>
                        <a:ln w="6350">
                          <a:noFill/>
                        </a:ln>
                      </wps:spPr>
                      <wps:txbx>
                        <w:txbxContent>
                          <w:tbl>
                            <w:tblPr>
                              <w:tblStyle w:val="SGSTableBasic14"/>
                              <w:tblW w:w="0" w:type="auto"/>
                              <w:jc w:val="center"/>
                              <w:tblLook w:val="04A0" w:firstRow="1" w:lastRow="0" w:firstColumn="1" w:lastColumn="0" w:noHBand="0" w:noVBand="1"/>
                            </w:tblPr>
                            <w:tblGrid>
                              <w:gridCol w:w="1843"/>
                              <w:gridCol w:w="1086"/>
                              <w:gridCol w:w="848"/>
                              <w:gridCol w:w="842"/>
                            </w:tblGrid>
                            <w:tr w:rsidR="009A42C7" w:rsidRPr="005561D8" w14:paraId="7FD08E63" w14:textId="77777777" w:rsidTr="000360E1">
                              <w:trPr>
                                <w:trHeight w:val="794"/>
                                <w:jc w:val="center"/>
                              </w:trPr>
                              <w:tc>
                                <w:tcPr>
                                  <w:tcW w:w="4619" w:type="dxa"/>
                                  <w:gridSpan w:val="4"/>
                                  <w:tcBorders>
                                    <w:top w:val="nil"/>
                                    <w:left w:val="nil"/>
                                    <w:right w:val="nil"/>
                                  </w:tcBorders>
                                </w:tcPr>
                                <w:p w14:paraId="4FF80D87" w14:textId="36BB8F78" w:rsidR="009A42C7" w:rsidRDefault="009A42C7" w:rsidP="006C702B">
                                  <w:pPr>
                                    <w:overflowPunct w:val="0"/>
                                    <w:spacing w:line="300" w:lineRule="exact"/>
                                    <w:ind w:left="673" w:rightChars="-45" w:right="-108" w:hangingChars="280" w:hanging="673"/>
                                    <w:rPr>
                                      <w:rFonts w:ascii="標楷體" w:eastAsia="標楷體" w:hAnsi="標楷體"/>
                                      <w:b/>
                                      <w:color w:val="000000"/>
                                      <w:szCs w:val="24"/>
                                    </w:rPr>
                                  </w:pPr>
                                  <w:r w:rsidRPr="001D12A4">
                                    <w:rPr>
                                      <w:rFonts w:ascii="標楷體" w:eastAsia="標楷體" w:hAnsi="標楷體" w:hint="eastAsia"/>
                                      <w:b/>
                                      <w:color w:val="000000"/>
                                      <w:szCs w:val="24"/>
                                    </w:rPr>
                                    <w:t>表</w:t>
                                  </w:r>
                                  <w:r>
                                    <w:rPr>
                                      <w:rFonts w:ascii="標楷體" w:eastAsia="標楷體" w:hAnsi="標楷體" w:hint="eastAsia"/>
                                      <w:b/>
                                      <w:color w:val="000000"/>
                                      <w:szCs w:val="24"/>
                                    </w:rPr>
                                    <w:t>8</w:t>
                                  </w:r>
                                  <w:r w:rsidRPr="001D12A4">
                                    <w:rPr>
                                      <w:rFonts w:ascii="標楷體" w:eastAsia="標楷體" w:hAnsi="標楷體" w:hint="eastAsia"/>
                                      <w:b/>
                                      <w:color w:val="000000"/>
                                      <w:szCs w:val="24"/>
                                    </w:rPr>
                                    <w:t xml:space="preserve">　</w:t>
                                  </w:r>
                                  <w:r w:rsidRPr="005561D8">
                                    <w:rPr>
                                      <w:rFonts w:ascii="標楷體" w:eastAsia="標楷體" w:hAnsi="標楷體" w:hint="eastAsia"/>
                                      <w:b/>
                                      <w:color w:val="000000"/>
                                      <w:szCs w:val="24"/>
                                    </w:rPr>
                                    <w:t>我國與日本、韓國</w:t>
                                  </w:r>
                                  <w:r>
                                    <w:rPr>
                                      <w:rFonts w:ascii="標楷體" w:eastAsia="標楷體" w:hAnsi="標楷體" w:hint="eastAsia"/>
                                      <w:b/>
                                      <w:color w:val="000000"/>
                                      <w:szCs w:val="24"/>
                                    </w:rPr>
                                    <w:t>相對</w:t>
                                  </w:r>
                                  <w:r w:rsidRPr="005561D8">
                                    <w:rPr>
                                      <w:rFonts w:ascii="標楷體" w:eastAsia="標楷體" w:hAnsi="標楷體" w:hint="eastAsia"/>
                                      <w:b/>
                                      <w:color w:val="000000"/>
                                      <w:szCs w:val="24"/>
                                    </w:rPr>
                                    <w:t>貧窮率</w:t>
                                  </w:r>
                                  <w:r>
                                    <w:rPr>
                                      <w:rFonts w:ascii="標楷體" w:eastAsia="標楷體" w:hAnsi="標楷體" w:hint="eastAsia"/>
                                      <w:b/>
                                      <w:color w:val="000000"/>
                                      <w:szCs w:val="24"/>
                                    </w:rPr>
                                    <w:t>、</w:t>
                                  </w:r>
                                  <w:r w:rsidRPr="005561D8">
                                    <w:rPr>
                                      <w:rFonts w:ascii="標楷體" w:eastAsia="標楷體" w:hAnsi="標楷體" w:hint="eastAsia"/>
                                      <w:b/>
                                      <w:color w:val="000000"/>
                                      <w:szCs w:val="24"/>
                                    </w:rPr>
                                    <w:t>救助制度涵蓋率、賦稅負擔率比較</w:t>
                                  </w:r>
                                </w:p>
                                <w:p w14:paraId="7A2BDD2A" w14:textId="70A0A773" w:rsidR="009A42C7" w:rsidRPr="00A55057" w:rsidRDefault="009A42C7" w:rsidP="00A42E20">
                                  <w:pPr>
                                    <w:overflowPunct w:val="0"/>
                                    <w:spacing w:line="240" w:lineRule="exact"/>
                                    <w:ind w:left="540" w:rightChars="-45" w:right="-108" w:hangingChars="270" w:hanging="540"/>
                                    <w:jc w:val="right"/>
                                    <w:rPr>
                                      <w:rFonts w:ascii="標楷體" w:eastAsia="標楷體" w:hAnsi="標楷體"/>
                                      <w:color w:val="000000"/>
                                      <w:sz w:val="20"/>
                                      <w:szCs w:val="20"/>
                                    </w:rPr>
                                  </w:pPr>
                                  <w:r w:rsidRPr="00A55057">
                                    <w:rPr>
                                      <w:rFonts w:ascii="標楷體" w:eastAsia="標楷體" w:hAnsi="標楷體" w:hint="eastAsia"/>
                                      <w:color w:val="000000"/>
                                      <w:sz w:val="20"/>
                                      <w:szCs w:val="20"/>
                                    </w:rPr>
                                    <w:t>單位</w:t>
                                  </w:r>
                                  <w:r w:rsidRPr="0089626B">
                                    <w:rPr>
                                      <w:rFonts w:ascii="標楷體" w:eastAsia="標楷體" w:hAnsi="標楷體" w:hint="eastAsia"/>
                                      <w:color w:val="000000"/>
                                      <w:sz w:val="20"/>
                                      <w:szCs w:val="20"/>
                                    </w:rPr>
                                    <w:t>：</w:t>
                                  </w:r>
                                  <w:r w:rsidR="0089626B" w:rsidRPr="0089626B">
                                    <w:rPr>
                                      <w:rFonts w:ascii="標楷體" w:eastAsia="標楷體" w:hAnsi="標楷體" w:hint="eastAsia"/>
                                      <w:color w:val="000000"/>
                                      <w:sz w:val="20"/>
                                      <w:szCs w:val="20"/>
                                    </w:rPr>
                                    <w:t>％</w:t>
                                  </w:r>
                                </w:p>
                              </w:tc>
                            </w:tr>
                            <w:tr w:rsidR="009A42C7" w:rsidRPr="001D12A4" w14:paraId="53294BCE" w14:textId="77777777" w:rsidTr="000360E1">
                              <w:trPr>
                                <w:jc w:val="center"/>
                              </w:trPr>
                              <w:tc>
                                <w:tcPr>
                                  <w:tcW w:w="1843" w:type="dxa"/>
                                  <w:vAlign w:val="center"/>
                                </w:tcPr>
                                <w:p w14:paraId="7EF36F29"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項目</w:t>
                                  </w:r>
                                </w:p>
                              </w:tc>
                              <w:tc>
                                <w:tcPr>
                                  <w:tcW w:w="1086" w:type="dxa"/>
                                  <w:vAlign w:val="center"/>
                                </w:tcPr>
                                <w:p w14:paraId="5BFC7A32"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我國</w:t>
                                  </w:r>
                                </w:p>
                              </w:tc>
                              <w:tc>
                                <w:tcPr>
                                  <w:tcW w:w="848" w:type="dxa"/>
                                  <w:vAlign w:val="center"/>
                                </w:tcPr>
                                <w:p w14:paraId="7FE8A534"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日本</w:t>
                                  </w:r>
                                </w:p>
                              </w:tc>
                              <w:tc>
                                <w:tcPr>
                                  <w:tcW w:w="842" w:type="dxa"/>
                                  <w:vAlign w:val="center"/>
                                </w:tcPr>
                                <w:p w14:paraId="1B16C251"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韓國</w:t>
                                  </w:r>
                                </w:p>
                              </w:tc>
                            </w:tr>
                            <w:tr w:rsidR="009A42C7" w:rsidRPr="001D12A4" w14:paraId="4A63E481" w14:textId="77777777" w:rsidTr="000360E1">
                              <w:trPr>
                                <w:jc w:val="center"/>
                              </w:trPr>
                              <w:tc>
                                <w:tcPr>
                                  <w:tcW w:w="1843" w:type="dxa"/>
                                  <w:vAlign w:val="center"/>
                                </w:tcPr>
                                <w:p w14:paraId="724E0862" w14:textId="77777777" w:rsidR="009A42C7" w:rsidRPr="00A42E20" w:rsidRDefault="009A42C7" w:rsidP="00CB488B">
                                  <w:pPr>
                                    <w:overflowPunct w:val="0"/>
                                    <w:spacing w:line="280" w:lineRule="exact"/>
                                    <w:jc w:val="both"/>
                                    <w:rPr>
                                      <w:rFonts w:ascii="標楷體" w:eastAsia="標楷體" w:hAnsi="標楷體"/>
                                      <w:color w:val="000000"/>
                                      <w:sz w:val="20"/>
                                      <w:szCs w:val="20"/>
                                    </w:rPr>
                                  </w:pPr>
                                  <w:r w:rsidRPr="00A42E20">
                                    <w:rPr>
                                      <w:rFonts w:ascii="標楷體" w:eastAsia="標楷體" w:hAnsi="標楷體" w:hint="eastAsia"/>
                                      <w:color w:val="000000"/>
                                      <w:sz w:val="20"/>
                                      <w:szCs w:val="20"/>
                                    </w:rPr>
                                    <w:t>相對貧窮率</w:t>
                                  </w:r>
                                </w:p>
                              </w:tc>
                              <w:tc>
                                <w:tcPr>
                                  <w:tcW w:w="1086" w:type="dxa"/>
                                  <w:vAlign w:val="center"/>
                                </w:tcPr>
                                <w:p w14:paraId="5F4FFA66" w14:textId="3E2765DC" w:rsidR="009A42C7" w:rsidRPr="00A42E20" w:rsidRDefault="009A42C7" w:rsidP="006C702B">
                                  <w:pPr>
                                    <w:overflowPunct w:val="0"/>
                                    <w:spacing w:line="26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7.43</w:t>
                                  </w:r>
                                </w:p>
                              </w:tc>
                              <w:tc>
                                <w:tcPr>
                                  <w:tcW w:w="848" w:type="dxa"/>
                                  <w:vAlign w:val="center"/>
                                </w:tcPr>
                                <w:p w14:paraId="1A45F712"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15.7</w:t>
                                  </w:r>
                                </w:p>
                              </w:tc>
                              <w:tc>
                                <w:tcPr>
                                  <w:tcW w:w="842" w:type="dxa"/>
                                  <w:vAlign w:val="center"/>
                                </w:tcPr>
                                <w:p w14:paraId="0924231E"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15.3</w:t>
                                  </w:r>
                                </w:p>
                              </w:tc>
                            </w:tr>
                            <w:tr w:rsidR="009A42C7" w:rsidRPr="001D12A4" w14:paraId="38869459" w14:textId="77777777" w:rsidTr="000360E1">
                              <w:trPr>
                                <w:trHeight w:val="283"/>
                                <w:jc w:val="center"/>
                              </w:trPr>
                              <w:tc>
                                <w:tcPr>
                                  <w:tcW w:w="1843" w:type="dxa"/>
                                  <w:vAlign w:val="center"/>
                                </w:tcPr>
                                <w:p w14:paraId="754201F3" w14:textId="77777777" w:rsidR="009A42C7" w:rsidRPr="00A42E20" w:rsidRDefault="009A42C7" w:rsidP="00CB488B">
                                  <w:pPr>
                                    <w:overflowPunct w:val="0"/>
                                    <w:spacing w:line="280" w:lineRule="exact"/>
                                    <w:jc w:val="both"/>
                                    <w:rPr>
                                      <w:rFonts w:ascii="標楷體" w:eastAsia="標楷體" w:hAnsi="標楷體"/>
                                      <w:color w:val="000000"/>
                                      <w:sz w:val="20"/>
                                      <w:szCs w:val="20"/>
                                    </w:rPr>
                                  </w:pPr>
                                  <w:r w:rsidRPr="00A42E20">
                                    <w:rPr>
                                      <w:rFonts w:ascii="標楷體" w:eastAsia="標楷體" w:hAnsi="標楷體" w:hint="eastAsia"/>
                                      <w:color w:val="000000"/>
                                      <w:sz w:val="20"/>
                                      <w:szCs w:val="20"/>
                                    </w:rPr>
                                    <w:t>救助制度涵蓋率</w:t>
                                  </w:r>
                                </w:p>
                              </w:tc>
                              <w:tc>
                                <w:tcPr>
                                  <w:tcW w:w="1086" w:type="dxa"/>
                                  <w:vAlign w:val="center"/>
                                </w:tcPr>
                                <w:p w14:paraId="0051C65C"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2.41</w:t>
                                  </w:r>
                                </w:p>
                              </w:tc>
                              <w:tc>
                                <w:tcPr>
                                  <w:tcW w:w="848" w:type="dxa"/>
                                  <w:vAlign w:val="center"/>
                                </w:tcPr>
                                <w:p w14:paraId="5C336D4B"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1.62</w:t>
                                  </w:r>
                                </w:p>
                              </w:tc>
                              <w:tc>
                                <w:tcPr>
                                  <w:tcW w:w="842" w:type="dxa"/>
                                  <w:vAlign w:val="center"/>
                                </w:tcPr>
                                <w:p w14:paraId="3BF4C717"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4.5</w:t>
                                  </w:r>
                                </w:p>
                              </w:tc>
                            </w:tr>
                            <w:tr w:rsidR="009A42C7" w:rsidRPr="001D12A4" w14:paraId="3FD27797" w14:textId="77777777" w:rsidTr="000360E1">
                              <w:trPr>
                                <w:trHeight w:val="283"/>
                                <w:jc w:val="center"/>
                              </w:trPr>
                              <w:tc>
                                <w:tcPr>
                                  <w:tcW w:w="1843" w:type="dxa"/>
                                  <w:vAlign w:val="center"/>
                                </w:tcPr>
                                <w:p w14:paraId="1DF5EFC1" w14:textId="77777777" w:rsidR="009A42C7" w:rsidRPr="00A42E20" w:rsidRDefault="009A42C7" w:rsidP="00CB488B">
                                  <w:pPr>
                                    <w:overflowPunct w:val="0"/>
                                    <w:spacing w:line="280" w:lineRule="exact"/>
                                    <w:jc w:val="both"/>
                                    <w:rPr>
                                      <w:rFonts w:ascii="標楷體" w:eastAsia="標楷體" w:hAnsi="標楷體"/>
                                      <w:color w:val="000000"/>
                                      <w:sz w:val="20"/>
                                      <w:szCs w:val="20"/>
                                    </w:rPr>
                                  </w:pPr>
                                  <w:r w:rsidRPr="00A42E20">
                                    <w:rPr>
                                      <w:rFonts w:ascii="標楷體" w:eastAsia="標楷體" w:hAnsi="標楷體" w:hint="eastAsia"/>
                                      <w:color w:val="000000"/>
                                      <w:sz w:val="20"/>
                                      <w:szCs w:val="20"/>
                                    </w:rPr>
                                    <w:t>賦稅負擔率</w:t>
                                  </w:r>
                                </w:p>
                              </w:tc>
                              <w:tc>
                                <w:tcPr>
                                  <w:tcW w:w="1086" w:type="dxa"/>
                                  <w:vAlign w:val="center"/>
                                </w:tcPr>
                                <w:p w14:paraId="7EFB7548"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14.3</w:t>
                                  </w:r>
                                </w:p>
                              </w:tc>
                              <w:tc>
                                <w:tcPr>
                                  <w:tcW w:w="848" w:type="dxa"/>
                                  <w:vAlign w:val="center"/>
                                </w:tcPr>
                                <w:p w14:paraId="0FCF57E0"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19.8</w:t>
                                  </w:r>
                                </w:p>
                              </w:tc>
                              <w:tc>
                                <w:tcPr>
                                  <w:tcW w:w="842" w:type="dxa"/>
                                  <w:vAlign w:val="center"/>
                                </w:tcPr>
                                <w:p w14:paraId="206AE4A6"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23.8</w:t>
                                  </w:r>
                                </w:p>
                              </w:tc>
                            </w:tr>
                            <w:tr w:rsidR="009A42C7" w:rsidRPr="001D12A4" w14:paraId="02E7F7D7" w14:textId="77777777" w:rsidTr="000360E1">
                              <w:trPr>
                                <w:jc w:val="center"/>
                              </w:trPr>
                              <w:tc>
                                <w:tcPr>
                                  <w:tcW w:w="4619" w:type="dxa"/>
                                  <w:gridSpan w:val="4"/>
                                  <w:tcBorders>
                                    <w:left w:val="nil"/>
                                    <w:bottom w:val="nil"/>
                                    <w:right w:val="nil"/>
                                  </w:tcBorders>
                                </w:tcPr>
                                <w:p w14:paraId="0842BA0B" w14:textId="77777777" w:rsidR="009A42C7" w:rsidRPr="00AA06F1" w:rsidRDefault="009A42C7" w:rsidP="00C04C19">
                                  <w:pPr>
                                    <w:overflowPunct w:val="0"/>
                                    <w:spacing w:line="240" w:lineRule="exact"/>
                                    <w:ind w:leftChars="-45" w:left="765" w:hangingChars="485" w:hanging="873"/>
                                    <w:rPr>
                                      <w:rFonts w:ascii="標楷體" w:eastAsia="標楷體" w:hAnsi="標楷體"/>
                                      <w:color w:val="000000"/>
                                      <w:sz w:val="18"/>
                                      <w:szCs w:val="18"/>
                                    </w:rPr>
                                  </w:pPr>
                                  <w:r w:rsidRPr="00AA06F1">
                                    <w:rPr>
                                      <w:rFonts w:ascii="標楷體" w:eastAsia="標楷體" w:hAnsi="標楷體" w:hint="eastAsia"/>
                                      <w:color w:val="000000"/>
                                      <w:sz w:val="18"/>
                                      <w:szCs w:val="18"/>
                                    </w:rPr>
                                    <w:t>資料來源：整理自衛生福利部113年12月「他國比較」簡報資料。</w:t>
                                  </w:r>
                                </w:p>
                              </w:tc>
                            </w:tr>
                          </w:tbl>
                          <w:p w14:paraId="181B9D4B" w14:textId="77777777" w:rsidR="009A42C7" w:rsidRPr="002D71E4" w:rsidRDefault="009A42C7" w:rsidP="009A42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39CB7" id="文字方塊 1219933986" o:spid="_x0000_s1046" type="#_x0000_t202" style="position:absolute;left:0;text-align:left;margin-left:231.75pt;margin-top:321.1pt;width:259.5pt;height:139.7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" filled="f" stroked="f" strokeweight=".5pt">
                <v:textbox>
                  <w:txbxContent>
                    <w:tbl>
                      <w:tblPr>
                        <w:tblStyle w:val="SGSTableBasic14"/>
                        <w:tblW w:w="0" w:type="auto"/>
                        <w:jc w:val="center"/>
                        <w:tblLook w:val="04A0" w:firstRow="1" w:lastRow="0" w:firstColumn="1" w:lastColumn="0" w:noHBand="0" w:noVBand="1"/>
                      </w:tblPr>
                      <w:tblGrid>
                        <w:gridCol w:w="1843"/>
                        <w:gridCol w:w="1086"/>
                        <w:gridCol w:w="848"/>
                        <w:gridCol w:w="842"/>
                      </w:tblGrid>
                      <w:tr w:rsidR="009A42C7" w:rsidRPr="005561D8" w14:paraId="7FD08E63" w14:textId="77777777" w:rsidTr="000360E1">
                        <w:trPr>
                          <w:trHeight w:val="794"/>
                          <w:jc w:val="center"/>
                        </w:trPr>
                        <w:tc>
                          <w:tcPr>
                            <w:tcW w:w="4619" w:type="dxa"/>
                            <w:gridSpan w:val="4"/>
                            <w:tcBorders>
                              <w:top w:val="nil"/>
                              <w:left w:val="nil"/>
                              <w:right w:val="nil"/>
                            </w:tcBorders>
                          </w:tcPr>
                          <w:p w14:paraId="4FF80D87" w14:textId="36BB8F78" w:rsidR="009A42C7" w:rsidRDefault="009A42C7" w:rsidP="006C702B">
                            <w:pPr>
                              <w:overflowPunct w:val="0"/>
                              <w:spacing w:line="300" w:lineRule="exact"/>
                              <w:ind w:left="673" w:rightChars="-45" w:right="-108" w:hangingChars="280" w:hanging="673"/>
                              <w:rPr>
                                <w:rFonts w:ascii="標楷體" w:eastAsia="標楷體" w:hAnsi="標楷體"/>
                                <w:b/>
                                <w:color w:val="000000"/>
                                <w:szCs w:val="24"/>
                              </w:rPr>
                            </w:pPr>
                            <w:r w:rsidRPr="001D12A4">
                              <w:rPr>
                                <w:rFonts w:ascii="標楷體" w:eastAsia="標楷體" w:hAnsi="標楷體" w:hint="eastAsia"/>
                                <w:b/>
                                <w:color w:val="000000"/>
                                <w:szCs w:val="24"/>
                              </w:rPr>
                              <w:t>表</w:t>
                            </w:r>
                            <w:r>
                              <w:rPr>
                                <w:rFonts w:ascii="標楷體" w:eastAsia="標楷體" w:hAnsi="標楷體" w:hint="eastAsia"/>
                                <w:b/>
                                <w:color w:val="000000"/>
                                <w:szCs w:val="24"/>
                              </w:rPr>
                              <w:t>8</w:t>
                            </w:r>
                            <w:r w:rsidRPr="001D12A4">
                              <w:rPr>
                                <w:rFonts w:ascii="標楷體" w:eastAsia="標楷體" w:hAnsi="標楷體" w:hint="eastAsia"/>
                                <w:b/>
                                <w:color w:val="000000"/>
                                <w:szCs w:val="24"/>
                              </w:rPr>
                              <w:t xml:space="preserve">　</w:t>
                            </w:r>
                            <w:r w:rsidRPr="005561D8">
                              <w:rPr>
                                <w:rFonts w:ascii="標楷體" w:eastAsia="標楷體" w:hAnsi="標楷體" w:hint="eastAsia"/>
                                <w:b/>
                                <w:color w:val="000000"/>
                                <w:szCs w:val="24"/>
                              </w:rPr>
                              <w:t>我國與日本、韓國</w:t>
                            </w:r>
                            <w:r>
                              <w:rPr>
                                <w:rFonts w:ascii="標楷體" w:eastAsia="標楷體" w:hAnsi="標楷體" w:hint="eastAsia"/>
                                <w:b/>
                                <w:color w:val="000000"/>
                                <w:szCs w:val="24"/>
                              </w:rPr>
                              <w:t>相對</w:t>
                            </w:r>
                            <w:r w:rsidRPr="005561D8">
                              <w:rPr>
                                <w:rFonts w:ascii="標楷體" w:eastAsia="標楷體" w:hAnsi="標楷體" w:hint="eastAsia"/>
                                <w:b/>
                                <w:color w:val="000000"/>
                                <w:szCs w:val="24"/>
                              </w:rPr>
                              <w:t>貧窮率</w:t>
                            </w:r>
                            <w:r>
                              <w:rPr>
                                <w:rFonts w:ascii="標楷體" w:eastAsia="標楷體" w:hAnsi="標楷體" w:hint="eastAsia"/>
                                <w:b/>
                                <w:color w:val="000000"/>
                                <w:szCs w:val="24"/>
                              </w:rPr>
                              <w:t>、</w:t>
                            </w:r>
                            <w:r w:rsidRPr="005561D8">
                              <w:rPr>
                                <w:rFonts w:ascii="標楷體" w:eastAsia="標楷體" w:hAnsi="標楷體" w:hint="eastAsia"/>
                                <w:b/>
                                <w:color w:val="000000"/>
                                <w:szCs w:val="24"/>
                              </w:rPr>
                              <w:t>救助制度涵蓋率、賦稅負擔率比較</w:t>
                            </w:r>
                          </w:p>
                          <w:p w14:paraId="7A2BDD2A" w14:textId="70A0A773" w:rsidR="009A42C7" w:rsidRPr="00A55057" w:rsidRDefault="009A42C7" w:rsidP="00A42E20">
                            <w:pPr>
                              <w:overflowPunct w:val="0"/>
                              <w:spacing w:line="240" w:lineRule="exact"/>
                              <w:ind w:left="540" w:rightChars="-45" w:right="-108" w:hangingChars="270" w:hanging="540"/>
                              <w:jc w:val="right"/>
                              <w:rPr>
                                <w:rFonts w:ascii="標楷體" w:eastAsia="標楷體" w:hAnsi="標楷體"/>
                                <w:color w:val="000000"/>
                                <w:sz w:val="20"/>
                                <w:szCs w:val="20"/>
                              </w:rPr>
                            </w:pPr>
                            <w:r w:rsidRPr="00A55057">
                              <w:rPr>
                                <w:rFonts w:ascii="標楷體" w:eastAsia="標楷體" w:hAnsi="標楷體" w:hint="eastAsia"/>
                                <w:color w:val="000000"/>
                                <w:sz w:val="20"/>
                                <w:szCs w:val="20"/>
                              </w:rPr>
                              <w:t>單位</w:t>
                            </w:r>
                            <w:r w:rsidRPr="0089626B">
                              <w:rPr>
                                <w:rFonts w:ascii="標楷體" w:eastAsia="標楷體" w:hAnsi="標楷體" w:hint="eastAsia"/>
                                <w:color w:val="000000"/>
                                <w:sz w:val="20"/>
                                <w:szCs w:val="20"/>
                              </w:rPr>
                              <w:t>：</w:t>
                            </w:r>
                            <w:r w:rsidR="0089626B" w:rsidRPr="0089626B">
                              <w:rPr>
                                <w:rFonts w:ascii="標楷體" w:eastAsia="標楷體" w:hAnsi="標楷體" w:hint="eastAsia"/>
                                <w:color w:val="000000"/>
                                <w:sz w:val="20"/>
                                <w:szCs w:val="20"/>
                              </w:rPr>
                              <w:t>％</w:t>
                            </w:r>
                          </w:p>
                        </w:tc>
                      </w:tr>
                      <w:tr w:rsidR="009A42C7" w:rsidRPr="001D12A4" w14:paraId="53294BCE" w14:textId="77777777" w:rsidTr="000360E1">
                        <w:trPr>
                          <w:jc w:val="center"/>
                        </w:trPr>
                        <w:tc>
                          <w:tcPr>
                            <w:tcW w:w="1843" w:type="dxa"/>
                            <w:vAlign w:val="center"/>
                          </w:tcPr>
                          <w:p w14:paraId="7EF36F29"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項目</w:t>
                            </w:r>
                          </w:p>
                        </w:tc>
                        <w:tc>
                          <w:tcPr>
                            <w:tcW w:w="1086" w:type="dxa"/>
                            <w:vAlign w:val="center"/>
                          </w:tcPr>
                          <w:p w14:paraId="5BFC7A32"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我國</w:t>
                            </w:r>
                          </w:p>
                        </w:tc>
                        <w:tc>
                          <w:tcPr>
                            <w:tcW w:w="848" w:type="dxa"/>
                            <w:vAlign w:val="center"/>
                          </w:tcPr>
                          <w:p w14:paraId="7FE8A534"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日本</w:t>
                            </w:r>
                          </w:p>
                        </w:tc>
                        <w:tc>
                          <w:tcPr>
                            <w:tcW w:w="842" w:type="dxa"/>
                            <w:vAlign w:val="center"/>
                          </w:tcPr>
                          <w:p w14:paraId="1B16C251" w14:textId="77777777" w:rsidR="009A42C7" w:rsidRPr="00A42E20" w:rsidRDefault="009A42C7" w:rsidP="00CB488B">
                            <w:pPr>
                              <w:overflowPunct w:val="0"/>
                              <w:spacing w:line="280" w:lineRule="exact"/>
                              <w:jc w:val="center"/>
                              <w:rPr>
                                <w:rFonts w:ascii="標楷體" w:eastAsia="標楷體" w:hAnsi="標楷體"/>
                                <w:color w:val="000000"/>
                                <w:sz w:val="20"/>
                                <w:szCs w:val="20"/>
                              </w:rPr>
                            </w:pPr>
                            <w:r w:rsidRPr="00A42E20">
                              <w:rPr>
                                <w:rFonts w:ascii="標楷體" w:eastAsia="標楷體" w:hAnsi="標楷體" w:hint="eastAsia"/>
                                <w:color w:val="000000"/>
                                <w:sz w:val="20"/>
                                <w:szCs w:val="20"/>
                              </w:rPr>
                              <w:t>韓國</w:t>
                            </w:r>
                          </w:p>
                        </w:tc>
                      </w:tr>
                      <w:tr w:rsidR="009A42C7" w:rsidRPr="001D12A4" w14:paraId="4A63E481" w14:textId="77777777" w:rsidTr="000360E1">
                        <w:trPr>
                          <w:jc w:val="center"/>
                        </w:trPr>
                        <w:tc>
                          <w:tcPr>
                            <w:tcW w:w="1843" w:type="dxa"/>
                            <w:vAlign w:val="center"/>
                          </w:tcPr>
                          <w:p w14:paraId="724E0862" w14:textId="77777777" w:rsidR="009A42C7" w:rsidRPr="00A42E20" w:rsidRDefault="009A42C7" w:rsidP="00CB488B">
                            <w:pPr>
                              <w:overflowPunct w:val="0"/>
                              <w:spacing w:line="280" w:lineRule="exact"/>
                              <w:jc w:val="both"/>
                              <w:rPr>
                                <w:rFonts w:ascii="標楷體" w:eastAsia="標楷體" w:hAnsi="標楷體"/>
                                <w:color w:val="000000"/>
                                <w:sz w:val="20"/>
                                <w:szCs w:val="20"/>
                              </w:rPr>
                            </w:pPr>
                            <w:r w:rsidRPr="00A42E20">
                              <w:rPr>
                                <w:rFonts w:ascii="標楷體" w:eastAsia="標楷體" w:hAnsi="標楷體" w:hint="eastAsia"/>
                                <w:color w:val="000000"/>
                                <w:sz w:val="20"/>
                                <w:szCs w:val="20"/>
                              </w:rPr>
                              <w:t>相對貧窮率</w:t>
                            </w:r>
                          </w:p>
                        </w:tc>
                        <w:tc>
                          <w:tcPr>
                            <w:tcW w:w="1086" w:type="dxa"/>
                            <w:vAlign w:val="center"/>
                          </w:tcPr>
                          <w:p w14:paraId="5F4FFA66" w14:textId="3E2765DC" w:rsidR="009A42C7" w:rsidRPr="00A42E20" w:rsidRDefault="009A42C7" w:rsidP="006C702B">
                            <w:pPr>
                              <w:overflowPunct w:val="0"/>
                              <w:spacing w:line="26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7.43</w:t>
                            </w:r>
                          </w:p>
                        </w:tc>
                        <w:tc>
                          <w:tcPr>
                            <w:tcW w:w="848" w:type="dxa"/>
                            <w:vAlign w:val="center"/>
                          </w:tcPr>
                          <w:p w14:paraId="1A45F712"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15.7</w:t>
                            </w:r>
                          </w:p>
                        </w:tc>
                        <w:tc>
                          <w:tcPr>
                            <w:tcW w:w="842" w:type="dxa"/>
                            <w:vAlign w:val="center"/>
                          </w:tcPr>
                          <w:p w14:paraId="0924231E"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15.3</w:t>
                            </w:r>
                          </w:p>
                        </w:tc>
                      </w:tr>
                      <w:tr w:rsidR="009A42C7" w:rsidRPr="001D12A4" w14:paraId="38869459" w14:textId="77777777" w:rsidTr="000360E1">
                        <w:trPr>
                          <w:trHeight w:val="283"/>
                          <w:jc w:val="center"/>
                        </w:trPr>
                        <w:tc>
                          <w:tcPr>
                            <w:tcW w:w="1843" w:type="dxa"/>
                            <w:vAlign w:val="center"/>
                          </w:tcPr>
                          <w:p w14:paraId="754201F3" w14:textId="77777777" w:rsidR="009A42C7" w:rsidRPr="00A42E20" w:rsidRDefault="009A42C7" w:rsidP="00CB488B">
                            <w:pPr>
                              <w:overflowPunct w:val="0"/>
                              <w:spacing w:line="280" w:lineRule="exact"/>
                              <w:jc w:val="both"/>
                              <w:rPr>
                                <w:rFonts w:ascii="標楷體" w:eastAsia="標楷體" w:hAnsi="標楷體"/>
                                <w:color w:val="000000"/>
                                <w:sz w:val="20"/>
                                <w:szCs w:val="20"/>
                              </w:rPr>
                            </w:pPr>
                            <w:r w:rsidRPr="00A42E20">
                              <w:rPr>
                                <w:rFonts w:ascii="標楷體" w:eastAsia="標楷體" w:hAnsi="標楷體" w:hint="eastAsia"/>
                                <w:color w:val="000000"/>
                                <w:sz w:val="20"/>
                                <w:szCs w:val="20"/>
                              </w:rPr>
                              <w:t>救助制度涵蓋率</w:t>
                            </w:r>
                          </w:p>
                        </w:tc>
                        <w:tc>
                          <w:tcPr>
                            <w:tcW w:w="1086" w:type="dxa"/>
                            <w:vAlign w:val="center"/>
                          </w:tcPr>
                          <w:p w14:paraId="0051C65C"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2.41</w:t>
                            </w:r>
                          </w:p>
                        </w:tc>
                        <w:tc>
                          <w:tcPr>
                            <w:tcW w:w="848" w:type="dxa"/>
                            <w:vAlign w:val="center"/>
                          </w:tcPr>
                          <w:p w14:paraId="5C336D4B"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1.62</w:t>
                            </w:r>
                          </w:p>
                        </w:tc>
                        <w:tc>
                          <w:tcPr>
                            <w:tcW w:w="842" w:type="dxa"/>
                            <w:vAlign w:val="center"/>
                          </w:tcPr>
                          <w:p w14:paraId="3BF4C717"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4.5</w:t>
                            </w:r>
                          </w:p>
                        </w:tc>
                      </w:tr>
                      <w:tr w:rsidR="009A42C7" w:rsidRPr="001D12A4" w14:paraId="3FD27797" w14:textId="77777777" w:rsidTr="000360E1">
                        <w:trPr>
                          <w:trHeight w:val="283"/>
                          <w:jc w:val="center"/>
                        </w:trPr>
                        <w:tc>
                          <w:tcPr>
                            <w:tcW w:w="1843" w:type="dxa"/>
                            <w:vAlign w:val="center"/>
                          </w:tcPr>
                          <w:p w14:paraId="1DF5EFC1" w14:textId="77777777" w:rsidR="009A42C7" w:rsidRPr="00A42E20" w:rsidRDefault="009A42C7" w:rsidP="00CB488B">
                            <w:pPr>
                              <w:overflowPunct w:val="0"/>
                              <w:spacing w:line="280" w:lineRule="exact"/>
                              <w:jc w:val="both"/>
                              <w:rPr>
                                <w:rFonts w:ascii="標楷體" w:eastAsia="標楷體" w:hAnsi="標楷體"/>
                                <w:color w:val="000000"/>
                                <w:sz w:val="20"/>
                                <w:szCs w:val="20"/>
                              </w:rPr>
                            </w:pPr>
                            <w:r w:rsidRPr="00A42E20">
                              <w:rPr>
                                <w:rFonts w:ascii="標楷體" w:eastAsia="標楷體" w:hAnsi="標楷體" w:hint="eastAsia"/>
                                <w:color w:val="000000"/>
                                <w:sz w:val="20"/>
                                <w:szCs w:val="20"/>
                              </w:rPr>
                              <w:t>賦稅負擔率</w:t>
                            </w:r>
                          </w:p>
                        </w:tc>
                        <w:tc>
                          <w:tcPr>
                            <w:tcW w:w="1086" w:type="dxa"/>
                            <w:vAlign w:val="center"/>
                          </w:tcPr>
                          <w:p w14:paraId="7EFB7548"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14.3</w:t>
                            </w:r>
                          </w:p>
                        </w:tc>
                        <w:tc>
                          <w:tcPr>
                            <w:tcW w:w="848" w:type="dxa"/>
                            <w:vAlign w:val="center"/>
                          </w:tcPr>
                          <w:p w14:paraId="0FCF57E0"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19.8</w:t>
                            </w:r>
                          </w:p>
                        </w:tc>
                        <w:tc>
                          <w:tcPr>
                            <w:tcW w:w="842" w:type="dxa"/>
                            <w:vAlign w:val="center"/>
                          </w:tcPr>
                          <w:p w14:paraId="206AE4A6" w14:textId="77777777" w:rsidR="009A42C7" w:rsidRPr="00A42E20" w:rsidRDefault="009A42C7" w:rsidP="00CB488B">
                            <w:pPr>
                              <w:overflowPunct w:val="0"/>
                              <w:spacing w:line="280" w:lineRule="exact"/>
                              <w:jc w:val="right"/>
                              <w:rPr>
                                <w:rFonts w:ascii="標楷體" w:eastAsia="標楷體" w:hAnsi="標楷體"/>
                                <w:color w:val="000000"/>
                                <w:sz w:val="20"/>
                                <w:szCs w:val="20"/>
                              </w:rPr>
                            </w:pPr>
                            <w:r w:rsidRPr="00A42E20">
                              <w:rPr>
                                <w:rFonts w:ascii="標楷體" w:eastAsia="標楷體" w:hAnsi="標楷體" w:hint="eastAsia"/>
                                <w:color w:val="000000"/>
                                <w:sz w:val="20"/>
                                <w:szCs w:val="20"/>
                              </w:rPr>
                              <w:t>23.8</w:t>
                            </w:r>
                          </w:p>
                        </w:tc>
                      </w:tr>
                      <w:tr w:rsidR="009A42C7" w:rsidRPr="001D12A4" w14:paraId="02E7F7D7" w14:textId="77777777" w:rsidTr="000360E1">
                        <w:trPr>
                          <w:jc w:val="center"/>
                        </w:trPr>
                        <w:tc>
                          <w:tcPr>
                            <w:tcW w:w="4619" w:type="dxa"/>
                            <w:gridSpan w:val="4"/>
                            <w:tcBorders>
                              <w:left w:val="nil"/>
                              <w:bottom w:val="nil"/>
                              <w:right w:val="nil"/>
                            </w:tcBorders>
                          </w:tcPr>
                          <w:p w14:paraId="0842BA0B" w14:textId="77777777" w:rsidR="009A42C7" w:rsidRPr="00AA06F1" w:rsidRDefault="009A42C7" w:rsidP="00C04C19">
                            <w:pPr>
                              <w:overflowPunct w:val="0"/>
                              <w:spacing w:line="240" w:lineRule="exact"/>
                              <w:ind w:leftChars="-45" w:left="765" w:hangingChars="485" w:hanging="873"/>
                              <w:rPr>
                                <w:rFonts w:ascii="標楷體" w:eastAsia="標楷體" w:hAnsi="標楷體"/>
                                <w:color w:val="000000"/>
                                <w:sz w:val="18"/>
                                <w:szCs w:val="18"/>
                              </w:rPr>
                            </w:pPr>
                            <w:r w:rsidRPr="00AA06F1">
                              <w:rPr>
                                <w:rFonts w:ascii="標楷體" w:eastAsia="標楷體" w:hAnsi="標楷體" w:hint="eastAsia"/>
                                <w:color w:val="000000"/>
                                <w:sz w:val="18"/>
                                <w:szCs w:val="18"/>
                              </w:rPr>
                              <w:t>資料來源：整理自衛生福利部113年12月「他國比較」簡報資料。</w:t>
                            </w:r>
                          </w:p>
                        </w:tc>
                      </w:tr>
                    </w:tbl>
                    <w:p w14:paraId="181B9D4B" w14:textId="77777777" w:rsidR="009A42C7" w:rsidRPr="002D71E4" w:rsidRDefault="009A42C7" w:rsidP="009A42C7"/>
                  </w:txbxContent>
                </v:textbox>
                <w10:wrap type="square" anchorx="margin"/>
              </v:shape>
            </w:pict>
          </mc:Fallback>
        </mc:AlternateContent>
      </w:r>
      <w:r w:rsidR="00283CE1" w:rsidRPr="004D155E">
        <w:rPr>
          <w:rFonts w:ascii="標楷體" w:eastAsia="標楷體" w:hAnsi="標楷體" w:hint="eastAsia"/>
          <w:b/>
          <w:kern w:val="0"/>
          <w:szCs w:val="24"/>
        </w:rPr>
        <w:t>2.</w:t>
      </w:r>
      <w:r w:rsidR="00283CE1">
        <w:rPr>
          <w:rFonts w:ascii="標楷體" w:eastAsia="標楷體" w:hAnsi="標楷體" w:hint="eastAsia"/>
          <w:b/>
          <w:kern w:val="0"/>
          <w:szCs w:val="24"/>
        </w:rPr>
        <w:t xml:space="preserve">　</w:t>
      </w:r>
      <w:r w:rsidR="009A42C7" w:rsidRPr="009A42C7">
        <w:rPr>
          <w:rFonts w:ascii="標楷體" w:eastAsia="標楷體" w:hAnsi="標楷體" w:cstheme="minorBidi" w:hint="eastAsia"/>
          <w:b/>
          <w:snapToGrid w:val="0"/>
          <w:kern w:val="0"/>
          <w:szCs w:val="24"/>
        </w:rPr>
        <w:t>近</w:t>
      </w:r>
      <w:proofErr w:type="gramStart"/>
      <w:r w:rsidR="009A42C7" w:rsidRPr="009A42C7">
        <w:rPr>
          <w:rFonts w:ascii="標楷體" w:eastAsia="標楷體" w:hAnsi="標楷體" w:cstheme="minorBidi" w:hint="eastAsia"/>
          <w:b/>
          <w:snapToGrid w:val="0"/>
          <w:kern w:val="0"/>
          <w:szCs w:val="24"/>
        </w:rPr>
        <w:t>5</w:t>
      </w:r>
      <w:proofErr w:type="gramEnd"/>
      <w:r w:rsidR="009A42C7" w:rsidRPr="009A42C7">
        <w:rPr>
          <w:rFonts w:ascii="標楷體" w:eastAsia="標楷體" w:hAnsi="標楷體" w:cstheme="minorBidi" w:hint="eastAsia"/>
          <w:b/>
          <w:snapToGrid w:val="0"/>
          <w:kern w:val="0"/>
          <w:szCs w:val="24"/>
        </w:rPr>
        <w:t>年度我國低收入戶及中低收入戶人數下降近10萬人，惟111及</w:t>
      </w:r>
      <w:proofErr w:type="gramStart"/>
      <w:r w:rsidR="009A42C7" w:rsidRPr="009A42C7">
        <w:rPr>
          <w:rFonts w:ascii="標楷體" w:eastAsia="標楷體" w:hAnsi="標楷體" w:cstheme="minorBidi" w:hint="eastAsia"/>
          <w:b/>
          <w:snapToGrid w:val="0"/>
          <w:kern w:val="0"/>
          <w:szCs w:val="24"/>
        </w:rPr>
        <w:t>112</w:t>
      </w:r>
      <w:proofErr w:type="gramEnd"/>
      <w:r w:rsidR="009A42C7" w:rsidRPr="009A42C7">
        <w:rPr>
          <w:rFonts w:ascii="標楷體" w:eastAsia="標楷體" w:hAnsi="標楷體" w:cstheme="minorBidi" w:hint="eastAsia"/>
          <w:b/>
          <w:snapToGrid w:val="0"/>
          <w:kern w:val="0"/>
          <w:szCs w:val="24"/>
        </w:rPr>
        <w:t>年度仍有11萬餘筆申請低收福利未通過，社會救助法修正草案雖已規劃放寬申請認定條件，惟尚未完成法制作業，允宜加速協調及化解歧異，以擴大照顧經濟弱勢民眾：</w:t>
      </w:r>
      <w:r w:rsidR="009A42C7" w:rsidRPr="009A42C7">
        <w:rPr>
          <w:rFonts w:ascii="標楷體" w:eastAsia="標楷體" w:hAnsi="標楷體" w:cstheme="minorBidi" w:hint="eastAsia"/>
          <w:snapToGrid w:val="0"/>
          <w:kern w:val="0"/>
          <w:szCs w:val="24"/>
        </w:rPr>
        <w:t>近年來世界主要國家之所得差距多呈現長期擴大趨勢，為避免部分貧困人</w:t>
      </w:r>
      <w:r w:rsidR="009A42C7" w:rsidRPr="009A42C7">
        <w:rPr>
          <w:rFonts w:ascii="標楷體" w:eastAsia="標楷體" w:hAnsi="標楷體" w:cstheme="minorBidi" w:hint="eastAsia"/>
          <w:szCs w:val="24"/>
        </w:rPr>
        <w:t>口無法滿足生活標準，聯合國、世界銀行、美國、英國、韓國、德國及歐盟等，按其國家（地區）民眾</w:t>
      </w:r>
      <w:r w:rsidR="009A42C7" w:rsidRPr="009A42C7">
        <w:rPr>
          <w:rFonts w:ascii="標楷體" w:eastAsia="標楷體" w:hAnsi="標楷體" w:cstheme="minorBidi" w:hint="eastAsia"/>
          <w:snapToGrid w:val="0"/>
          <w:kern w:val="0"/>
          <w:szCs w:val="24"/>
        </w:rPr>
        <w:t>收入</w:t>
      </w:r>
      <w:r w:rsidR="009A42C7" w:rsidRPr="009A42C7">
        <w:rPr>
          <w:rFonts w:ascii="標楷體" w:eastAsia="標楷體" w:hAnsi="標楷體" w:cstheme="minorBidi" w:hint="eastAsia"/>
          <w:szCs w:val="24"/>
        </w:rPr>
        <w:t>程度，訂有貧窮門檻（</w:t>
      </w:r>
      <w:r w:rsidR="009A42C7" w:rsidRPr="009A42C7">
        <w:rPr>
          <w:rFonts w:ascii="標楷體" w:eastAsia="標楷體" w:hAnsi="標楷體" w:cstheme="minorBidi"/>
          <w:szCs w:val="24"/>
        </w:rPr>
        <w:t>poverty threshold</w:t>
      </w:r>
      <w:r w:rsidR="009A42C7" w:rsidRPr="009A42C7">
        <w:rPr>
          <w:rFonts w:ascii="標楷體" w:eastAsia="標楷體" w:hAnsi="標楷體" w:cstheme="minorBidi" w:hint="eastAsia"/>
          <w:szCs w:val="24"/>
        </w:rPr>
        <w:t>），透過社會救助與失業保險等政策，扶助民眾達到滿足生活標準之最低需求收入。按我國有關貧窮人口，係以100年7月1日施行之社會救助法第4條第1至3項及第4條之1第1項等規定，計算低收</w:t>
      </w:r>
      <w:r w:rsidR="00F855C7">
        <w:rPr>
          <w:rFonts w:ascii="標楷體" w:eastAsia="標楷體" w:hAnsi="標楷體" w:cstheme="minorBidi" w:hint="eastAsia"/>
          <w:szCs w:val="24"/>
        </w:rPr>
        <w:t>入</w:t>
      </w:r>
      <w:r w:rsidR="009A42C7" w:rsidRPr="009A42C7">
        <w:rPr>
          <w:rFonts w:ascii="標楷體" w:eastAsia="標楷體" w:hAnsi="標楷體" w:cstheme="minorBidi" w:hint="eastAsia"/>
          <w:szCs w:val="24"/>
        </w:rPr>
        <w:t>戶及中低收入戶人數，並提供生活扶助、特殊項目救助、輔導就業等補助與救助，據衛生福利部統計，</w:t>
      </w:r>
      <w:proofErr w:type="gramStart"/>
      <w:r w:rsidR="009A42C7" w:rsidRPr="009A42C7">
        <w:rPr>
          <w:rFonts w:ascii="標楷體" w:eastAsia="標楷體" w:hAnsi="標楷體" w:cstheme="minorBidi" w:hint="eastAsia"/>
          <w:szCs w:val="24"/>
        </w:rPr>
        <w:t>113</w:t>
      </w:r>
      <w:proofErr w:type="gramEnd"/>
      <w:r w:rsidR="009A42C7" w:rsidRPr="009A42C7">
        <w:rPr>
          <w:rFonts w:ascii="標楷體" w:eastAsia="標楷體" w:hAnsi="標楷體" w:cstheme="minorBidi" w:hint="eastAsia"/>
          <w:szCs w:val="24"/>
        </w:rPr>
        <w:t>年度低收入戶及中低收入戶數（人數）分別為24萬4</w:t>
      </w:r>
      <w:r w:rsidR="009A42C7" w:rsidRPr="009A42C7">
        <w:rPr>
          <w:rFonts w:ascii="標楷體" w:eastAsia="標楷體" w:hAnsi="標楷體" w:cstheme="minorBidi"/>
          <w:szCs w:val="24"/>
        </w:rPr>
        <w:t>,</w:t>
      </w:r>
      <w:r w:rsidR="009A42C7" w:rsidRPr="009A42C7">
        <w:rPr>
          <w:rFonts w:ascii="標楷體" w:eastAsia="標楷體" w:hAnsi="標楷體" w:cstheme="minorBidi" w:hint="eastAsia"/>
          <w:szCs w:val="24"/>
        </w:rPr>
        <w:t>493戶（52萬9</w:t>
      </w:r>
      <w:r w:rsidR="009A42C7" w:rsidRPr="009A42C7">
        <w:rPr>
          <w:rFonts w:ascii="標楷體" w:eastAsia="標楷體" w:hAnsi="標楷體" w:cstheme="minorBidi"/>
          <w:szCs w:val="24"/>
        </w:rPr>
        <w:t>,</w:t>
      </w:r>
      <w:r w:rsidR="009A42C7" w:rsidRPr="009A42C7">
        <w:rPr>
          <w:rFonts w:ascii="標楷體" w:eastAsia="標楷體" w:hAnsi="標楷體" w:cstheme="minorBidi" w:hint="eastAsia"/>
          <w:szCs w:val="24"/>
        </w:rPr>
        <w:t>713人）。又為利國際間進行比較，行政院主計總處比照經濟合作暨發展組織（OECD）衡量方式，以每人可支配所得中位數之50％作為貧窮線標準（相對貧窮概念），並按家庭收支調查資料推估我國相對貧窮率，108至112年度我國相對貧窮率分別為7.36％、7.05％、7.53％、7.43％、7.13％，已略為下降，且據衛生福利部說明，我國相對貧窮率低於日本（15.7％）、韓國（15.3％），主要係</w:t>
      </w:r>
      <w:r w:rsidR="00030C85">
        <w:rPr>
          <w:rFonts w:ascii="標楷體" w:eastAsia="標楷體" w:hAnsi="標楷體" w:cstheme="minorBidi" w:hint="eastAsia"/>
          <w:szCs w:val="24"/>
        </w:rPr>
        <w:t>救助制度涵蓋率及</w:t>
      </w:r>
      <w:r w:rsidR="009A42C7" w:rsidRPr="009A42C7">
        <w:rPr>
          <w:rFonts w:ascii="標楷體" w:eastAsia="標楷體" w:hAnsi="標楷體" w:cstheme="minorBidi" w:hint="eastAsia"/>
          <w:szCs w:val="24"/>
        </w:rPr>
        <w:t>賦稅負擔率相較日本及韓國，我國社會救助照顧相對貧窮者比率較高</w:t>
      </w:r>
      <w:r w:rsidR="009A42C7" w:rsidRPr="009A42C7">
        <w:rPr>
          <w:rFonts w:ascii="標楷體" w:eastAsia="標楷體" w:hAnsi="標楷體" w:cstheme="minorBidi" w:hint="eastAsia"/>
          <w:bCs/>
          <w:color w:val="000000" w:themeColor="text1"/>
          <w:szCs w:val="24"/>
        </w:rPr>
        <w:t>（表</w:t>
      </w:r>
      <w:r w:rsidR="009A42C7">
        <w:rPr>
          <w:rFonts w:ascii="標楷體" w:eastAsia="標楷體" w:hAnsi="標楷體" w:cstheme="minorBidi" w:hint="eastAsia"/>
          <w:bCs/>
          <w:color w:val="000000" w:themeColor="text1"/>
          <w:szCs w:val="24"/>
        </w:rPr>
        <w:t>8</w:t>
      </w:r>
      <w:r w:rsidR="009A42C7" w:rsidRPr="009A42C7">
        <w:rPr>
          <w:rFonts w:ascii="標楷體" w:eastAsia="標楷體" w:hAnsi="標楷體" w:cstheme="minorBidi" w:hint="eastAsia"/>
          <w:bCs/>
          <w:color w:val="000000" w:themeColor="text1"/>
          <w:szCs w:val="24"/>
        </w:rPr>
        <w:t>）</w:t>
      </w:r>
      <w:r w:rsidR="009A42C7" w:rsidRPr="009A42C7">
        <w:rPr>
          <w:rFonts w:ascii="標楷體" w:eastAsia="標楷體" w:hAnsi="標楷體" w:cstheme="minorBidi" w:hint="eastAsia"/>
          <w:color w:val="000000" w:themeColor="text1"/>
          <w:szCs w:val="24"/>
        </w:rPr>
        <w:t>。</w:t>
      </w:r>
      <w:r w:rsidR="009A42C7" w:rsidRPr="003A1F97">
        <w:rPr>
          <w:rFonts w:ascii="標楷體" w:eastAsia="標楷體" w:hAnsi="標楷體" w:cstheme="minorBidi" w:hint="eastAsia"/>
          <w:color w:val="000000" w:themeColor="text1"/>
          <w:szCs w:val="24"/>
        </w:rPr>
        <w:t>惟</w:t>
      </w:r>
      <w:r w:rsidR="009A42C7" w:rsidRPr="003A1F97">
        <w:rPr>
          <w:rFonts w:ascii="標楷體" w:eastAsia="標楷體" w:hAnsi="標楷體" w:cstheme="minorBidi" w:hint="eastAsia"/>
          <w:szCs w:val="24"/>
        </w:rPr>
        <w:t>按現行社會救助法第4條及第4之1條規定，申請低收入戶及中低</w:t>
      </w:r>
      <w:proofErr w:type="gramStart"/>
      <w:r w:rsidR="009A42C7" w:rsidRPr="003A1F97">
        <w:rPr>
          <w:rFonts w:ascii="標楷體" w:eastAsia="標楷體" w:hAnsi="標楷體" w:cstheme="minorBidi" w:hint="eastAsia"/>
          <w:szCs w:val="24"/>
        </w:rPr>
        <w:t>收入戶者</w:t>
      </w:r>
      <w:proofErr w:type="gramEnd"/>
      <w:r w:rsidR="009A42C7" w:rsidRPr="003A1F97">
        <w:rPr>
          <w:rFonts w:ascii="標楷體" w:eastAsia="標楷體" w:hAnsi="標楷體" w:cstheme="minorBidi" w:hint="eastAsia"/>
          <w:szCs w:val="24"/>
        </w:rPr>
        <w:t>，係以家庭總收入平均分配全家人口，每人每月低於最低生活費及家庭財產未超過主管機關公告之當年度一定金額等予以認定，由於申請者尚須考量家庭總收入、人口及資產等審查條件，致與</w:t>
      </w:r>
      <w:proofErr w:type="gramStart"/>
      <w:r w:rsidR="009A42C7" w:rsidRPr="003A1F97">
        <w:rPr>
          <w:rFonts w:ascii="標楷體" w:eastAsia="標楷體" w:hAnsi="標楷體" w:cstheme="minorBidi" w:hint="eastAsia"/>
          <w:szCs w:val="24"/>
        </w:rPr>
        <w:t>國際間如德國</w:t>
      </w:r>
      <w:proofErr w:type="gramEnd"/>
      <w:r w:rsidR="009A42C7" w:rsidRPr="003A1F97">
        <w:rPr>
          <w:rFonts w:ascii="標楷體" w:eastAsia="標楷體" w:hAnsi="標楷體" w:cstheme="minorBidi" w:hint="eastAsia"/>
          <w:szCs w:val="24"/>
        </w:rPr>
        <w:t>以淨收入概念結果相較，我國計算貧窮標準較為</w:t>
      </w:r>
      <w:proofErr w:type="gramStart"/>
      <w:r w:rsidR="009A42C7" w:rsidRPr="003A1F97">
        <w:rPr>
          <w:rFonts w:ascii="標楷體" w:eastAsia="標楷體" w:hAnsi="標楷體" w:cstheme="minorBidi" w:hint="eastAsia"/>
          <w:szCs w:val="24"/>
        </w:rPr>
        <w:t>嚴格，</w:t>
      </w:r>
      <w:proofErr w:type="gramEnd"/>
      <w:r w:rsidR="009A42C7" w:rsidRPr="003A1F97">
        <w:rPr>
          <w:rFonts w:ascii="標楷體" w:eastAsia="標楷體" w:hAnsi="標楷體" w:cstheme="minorBidi" w:hint="eastAsia"/>
          <w:szCs w:val="24"/>
        </w:rPr>
        <w:t>衍生近年來民間團體倡議修改社會救助法中虛擬所得制，放寬家庭收入免計人口等，期望囊括更多潛在貧窮人口，經依衛生福利部統計，分析我國低收</w:t>
      </w:r>
      <w:r w:rsidR="00F855C7" w:rsidRPr="003A1F97">
        <w:rPr>
          <w:rFonts w:ascii="標楷體" w:eastAsia="標楷體" w:hAnsi="標楷體" w:cstheme="minorBidi" w:hint="eastAsia"/>
          <w:szCs w:val="24"/>
        </w:rPr>
        <w:t>入</w:t>
      </w:r>
      <w:r w:rsidR="009A42C7" w:rsidRPr="003A1F97">
        <w:rPr>
          <w:rFonts w:ascii="標楷體" w:eastAsia="標楷體" w:hAnsi="標楷體" w:cstheme="minorBidi" w:hint="eastAsia"/>
          <w:szCs w:val="24"/>
        </w:rPr>
        <w:t>戶及中低收入戶數（人數），自</w:t>
      </w:r>
      <w:proofErr w:type="gramStart"/>
      <w:r w:rsidR="009A42C7" w:rsidRPr="003A1F97">
        <w:rPr>
          <w:rFonts w:ascii="標楷體" w:eastAsia="標楷體" w:hAnsi="標楷體" w:cstheme="minorBidi" w:hint="eastAsia"/>
          <w:szCs w:val="24"/>
        </w:rPr>
        <w:t>109</w:t>
      </w:r>
      <w:proofErr w:type="gramEnd"/>
      <w:r w:rsidR="009A42C7" w:rsidRPr="003A1F97">
        <w:rPr>
          <w:rFonts w:ascii="標楷體" w:eastAsia="標楷體" w:hAnsi="標楷體" w:cstheme="minorBidi" w:hint="eastAsia"/>
          <w:szCs w:val="24"/>
        </w:rPr>
        <w:t>年度之26萬1</w:t>
      </w:r>
      <w:r w:rsidR="009A42C7" w:rsidRPr="003A1F97">
        <w:rPr>
          <w:rFonts w:ascii="標楷體" w:eastAsia="標楷體" w:hAnsi="標楷體" w:cstheme="minorBidi"/>
          <w:szCs w:val="24"/>
        </w:rPr>
        <w:t>,</w:t>
      </w:r>
      <w:r w:rsidR="009A42C7" w:rsidRPr="003A1F97">
        <w:rPr>
          <w:rFonts w:ascii="標楷體" w:eastAsia="標楷體" w:hAnsi="標楷體" w:cstheme="minorBidi" w:hint="eastAsia"/>
          <w:szCs w:val="24"/>
        </w:rPr>
        <w:t>182戶</w:t>
      </w:r>
      <w:proofErr w:type="gramStart"/>
      <w:r w:rsidR="009A42C7" w:rsidRPr="003A1F97">
        <w:rPr>
          <w:rFonts w:ascii="標楷體" w:eastAsia="標楷體" w:hAnsi="標楷體" w:cstheme="minorBidi" w:hint="eastAsia"/>
          <w:szCs w:val="24"/>
        </w:rPr>
        <w:t>（</w:t>
      </w:r>
      <w:proofErr w:type="gramEnd"/>
      <w:r w:rsidR="009A42C7" w:rsidRPr="003A1F97">
        <w:rPr>
          <w:rFonts w:ascii="標楷體" w:eastAsia="標楷體" w:hAnsi="標楷體" w:cstheme="minorBidi" w:hint="eastAsia"/>
          <w:szCs w:val="24"/>
        </w:rPr>
        <w:t>62萬5</w:t>
      </w:r>
      <w:r w:rsidR="009A42C7" w:rsidRPr="003A1F97">
        <w:rPr>
          <w:rFonts w:ascii="標楷體" w:eastAsia="標楷體" w:hAnsi="標楷體" w:cstheme="minorBidi"/>
          <w:szCs w:val="24"/>
        </w:rPr>
        <w:t>,</w:t>
      </w:r>
      <w:r w:rsidR="009A42C7" w:rsidRPr="003A1F97">
        <w:rPr>
          <w:rFonts w:ascii="標楷體" w:eastAsia="標楷體" w:hAnsi="標楷體" w:cstheme="minorBidi" w:hint="eastAsia"/>
          <w:szCs w:val="24"/>
        </w:rPr>
        <w:t>922</w:t>
      </w:r>
      <w:r w:rsidR="001B1F8D">
        <w:rPr>
          <w:rFonts w:ascii="標楷體" w:eastAsia="標楷體" w:hAnsi="標楷體" w:cstheme="minorBidi"/>
          <w:spacing w:val="-4"/>
          <w:szCs w:val="24"/>
        </w:rPr>
        <w:t xml:space="preserve"> </w:t>
      </w:r>
    </w:p>
    <w:p w14:paraId="5D2BE6FC" w14:textId="70E4EA87" w:rsidR="008518BF" w:rsidRPr="005777D1" w:rsidRDefault="001B1F8D" w:rsidP="00C64A0F">
      <w:pPr>
        <w:overflowPunct w:val="0"/>
        <w:snapToGrid w:val="0"/>
        <w:spacing w:line="422" w:lineRule="exact"/>
        <w:jc w:val="both"/>
        <w:rPr>
          <w:rFonts w:ascii="標楷體" w:eastAsia="標楷體" w:hAnsi="標楷體" w:cstheme="minorBidi"/>
          <w:snapToGrid w:val="0"/>
          <w:kern w:val="0"/>
          <w:szCs w:val="24"/>
        </w:rPr>
      </w:pPr>
      <w:r w:rsidRPr="009A42C7">
        <w:rPr>
          <w:rFonts w:ascii="標楷體" w:eastAsia="標楷體" w:hAnsi="標楷體" w:cstheme="minorBidi" w:hint="eastAsia"/>
          <w:spacing w:val="-4"/>
          <w:szCs w:val="24"/>
        </w:rPr>
        <w:lastRenderedPageBreak/>
        <w:t>人</w:t>
      </w:r>
      <w:proofErr w:type="gramStart"/>
      <w:r w:rsidRPr="009A42C7">
        <w:rPr>
          <w:rFonts w:ascii="標楷體" w:eastAsia="標楷體" w:hAnsi="標楷體" w:cstheme="minorBidi" w:hint="eastAsia"/>
          <w:spacing w:val="-4"/>
          <w:szCs w:val="24"/>
        </w:rPr>
        <w:t>）</w:t>
      </w:r>
      <w:proofErr w:type="gramEnd"/>
      <w:r w:rsidRPr="009A42C7">
        <w:rPr>
          <w:rFonts w:ascii="標楷體" w:eastAsia="標楷體" w:hAnsi="標楷體" w:cstheme="minorBidi" w:hint="eastAsia"/>
          <w:spacing w:val="-4"/>
          <w:szCs w:val="24"/>
        </w:rPr>
        <w:t>，下</w:t>
      </w:r>
      <w:r w:rsidR="00AD0430">
        <w:rPr>
          <w:rFonts w:ascii="標楷體" w:eastAsia="標楷體" w:hAnsi="標楷體" w:cstheme="minorBidi" w:hint="eastAsia"/>
          <w:noProof/>
          <w:spacing w:val="-4"/>
          <w:szCs w:val="24"/>
        </w:rPr>
        <mc:AlternateContent>
          <mc:Choice Requires="wps">
            <w:drawing>
              <wp:anchor distT="0" distB="0" distL="114300" distR="114300" simplePos="0" relativeHeight="251698176" behindDoc="0" locked="0" layoutInCell="1" allowOverlap="1" wp14:anchorId="0E4CD9EE" wp14:editId="14AE2B64">
                <wp:simplePos x="0" y="0"/>
                <wp:positionH relativeFrom="column">
                  <wp:posOffset>2143907</wp:posOffset>
                </wp:positionH>
                <wp:positionV relativeFrom="paragraph">
                  <wp:posOffset>189230</wp:posOffset>
                </wp:positionV>
                <wp:extent cx="574089" cy="281207"/>
                <wp:effectExtent l="0" t="0" r="0" b="5080"/>
                <wp:wrapNone/>
                <wp:docPr id="21" name="文字方塊 21"/>
                <wp:cNvGraphicFramePr/>
                <a:graphic xmlns:a="http://schemas.openxmlformats.org/drawingml/2006/main">
                  <a:graphicData uri="http://schemas.microsoft.com/office/word/2010/wordprocessingShape">
                    <wps:wsp>
                      <wps:cNvSpPr txBox="1"/>
                      <wps:spPr>
                        <a:xfrm>
                          <a:off x="0" y="0"/>
                          <a:ext cx="574089" cy="281207"/>
                        </a:xfrm>
                        <a:prstGeom prst="rect">
                          <a:avLst/>
                        </a:prstGeom>
                        <a:solidFill>
                          <a:schemeClr val="lt1"/>
                        </a:solidFill>
                        <a:ln w="6350">
                          <a:noFill/>
                        </a:ln>
                      </wps:spPr>
                      <wps:txbx>
                        <w:txbxContent>
                          <w:p w14:paraId="03749611" w14:textId="4D48E738" w:rsidR="00AD0430" w:rsidRPr="00AD0430" w:rsidRDefault="00AD0430">
                            <w:pPr>
                              <w:rPr>
                                <w:rFonts w:ascii="標楷體" w:eastAsia="標楷體" w:hAnsi="標楷體"/>
                                <w:sz w:val="20"/>
                              </w:rPr>
                            </w:pPr>
                            <w:r>
                              <w:rPr>
                                <w:rFonts w:ascii="標楷體" w:eastAsia="標楷體" w:hAnsi="標楷體" w:hint="eastAsia"/>
                                <w:sz w:val="20"/>
                              </w:rPr>
                              <w:t>戶、人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CD9EE" id="文字方塊 21" o:spid="_x0000_s1047" type="#_x0000_t202" style="position:absolute;left:0;text-align:left;margin-left:168.8pt;margin-top:14.9pt;width:45.2pt;height:22.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" fillcolor="white [3201]" stroked="f" strokeweight=".5pt">
                <v:textbox>
                  <w:txbxContent>
                    <w:p w14:paraId="03749611" w14:textId="4D48E738" w:rsidR="00AD0430" w:rsidRPr="00AD0430" w:rsidRDefault="00AD0430">
                      <w:pPr>
                        <w:rPr>
                          <w:rFonts w:ascii="標楷體" w:eastAsia="標楷體" w:hAnsi="標楷體"/>
                          <w:sz w:val="20"/>
                        </w:rPr>
                      </w:pPr>
                      <w:r>
                        <w:rPr>
                          <w:rFonts w:ascii="標楷體" w:eastAsia="標楷體" w:hAnsi="標楷體" w:hint="eastAsia"/>
                          <w:sz w:val="20"/>
                        </w:rPr>
                        <w:t>戶、人</w:t>
                      </w:r>
                    </w:p>
                  </w:txbxContent>
                </v:textbox>
              </v:shape>
            </w:pict>
          </mc:Fallback>
        </mc:AlternateContent>
      </w:r>
      <w:r w:rsidR="003A1F97" w:rsidRPr="009A42C7">
        <w:rPr>
          <w:rFonts w:ascii="標楷體" w:eastAsia="標楷體" w:hAnsi="標楷體" w:cstheme="minorBidi" w:hint="eastAsia"/>
          <w:spacing w:val="-4"/>
          <w:szCs w:val="24"/>
        </w:rPr>
        <w:t>降</w:t>
      </w:r>
      <w:r w:rsidR="00CB75DF" w:rsidRPr="008F7DA6">
        <w:rPr>
          <w:rFonts w:ascii="標楷體" w:eastAsia="標楷體" w:hAnsi="標楷體" w:cstheme="minorBidi" w:hint="eastAsia"/>
          <w:noProof/>
          <w:color w:val="000000"/>
          <w:sz w:val="32"/>
          <w:szCs w:val="32"/>
        </w:rPr>
        <mc:AlternateContent>
          <mc:Choice Requires="wps">
            <w:drawing>
              <wp:anchor distT="0" distB="0" distL="114300" distR="114300" simplePos="0" relativeHeight="251655168" behindDoc="1" locked="0" layoutInCell="1" allowOverlap="1" wp14:anchorId="1866E23F" wp14:editId="78C363C8">
                <wp:simplePos x="0" y="0"/>
                <wp:positionH relativeFrom="margin">
                  <wp:posOffset>1920875</wp:posOffset>
                </wp:positionH>
                <wp:positionV relativeFrom="paragraph">
                  <wp:posOffset>52070</wp:posOffset>
                </wp:positionV>
                <wp:extent cx="4381500" cy="3276600"/>
                <wp:effectExtent l="0" t="0" r="0" b="0"/>
                <wp:wrapSquare wrapText="bothSides"/>
                <wp:docPr id="7" name="文字方塊 7"/>
                <wp:cNvGraphicFramePr/>
                <a:graphic xmlns:a="http://schemas.openxmlformats.org/drawingml/2006/main">
                  <a:graphicData uri="http://schemas.microsoft.com/office/word/2010/wordprocessingShape">
                    <wps:wsp>
                      <wps:cNvSpPr txBox="1"/>
                      <wps:spPr>
                        <a:xfrm>
                          <a:off x="0" y="0"/>
                          <a:ext cx="4381500" cy="3276600"/>
                        </a:xfrm>
                        <a:prstGeom prst="rect">
                          <a:avLst/>
                        </a:prstGeom>
                        <a:noFill/>
                        <a:ln w="6350">
                          <a:noFill/>
                        </a:ln>
                      </wps:spPr>
                      <wps:txbx>
                        <w:txbxContent>
                          <w:p w14:paraId="5B7B714F" w14:textId="74F00CC0" w:rsidR="008F7DA6" w:rsidRPr="00546BD3" w:rsidRDefault="008F7DA6" w:rsidP="008F7DA6">
                            <w:pPr>
                              <w:jc w:val="center"/>
                              <w:rPr>
                                <w:rFonts w:ascii="標楷體" w:eastAsia="標楷體" w:hAnsi="標楷體"/>
                                <w:b/>
                              </w:rPr>
                            </w:pPr>
                            <w:r w:rsidRPr="00831A7D">
                              <w:rPr>
                                <w:rFonts w:ascii="標楷體" w:eastAsia="標楷體" w:hAnsi="標楷體" w:hint="eastAsia"/>
                                <w:b/>
                              </w:rPr>
                              <w:t>圖</w:t>
                            </w:r>
                            <w:r w:rsidR="00750992">
                              <w:rPr>
                                <w:rFonts w:ascii="標楷體" w:eastAsia="標楷體" w:hAnsi="標楷體"/>
                                <w:b/>
                              </w:rPr>
                              <w:t>4</w:t>
                            </w:r>
                            <w:r>
                              <w:rPr>
                                <w:rFonts w:ascii="標楷體" w:eastAsia="標楷體" w:hAnsi="標楷體"/>
                                <w:b/>
                              </w:rPr>
                              <w:t xml:space="preserve">　</w:t>
                            </w:r>
                            <w:r w:rsidRPr="00546BD3">
                              <w:rPr>
                                <w:rFonts w:ascii="標楷體" w:eastAsia="標楷體" w:hAnsi="標楷體" w:hint="eastAsia"/>
                                <w:b/>
                              </w:rPr>
                              <w:t>我國</w:t>
                            </w:r>
                            <w:r w:rsidRPr="00546BD3">
                              <w:rPr>
                                <w:rFonts w:ascii="標楷體" w:eastAsia="標楷體" w:hAnsi="標楷體"/>
                                <w:b/>
                              </w:rPr>
                              <w:t>低收入</w:t>
                            </w:r>
                            <w:r w:rsidRPr="00546BD3">
                              <w:rPr>
                                <w:rFonts w:ascii="標楷體" w:eastAsia="標楷體" w:hAnsi="標楷體" w:hint="eastAsia"/>
                                <w:b/>
                              </w:rPr>
                              <w:t>及中低收入</w:t>
                            </w:r>
                            <w:r w:rsidRPr="00546BD3">
                              <w:rPr>
                                <w:rFonts w:ascii="標楷體" w:eastAsia="標楷體" w:hAnsi="標楷體"/>
                                <w:b/>
                              </w:rPr>
                              <w:t>戶數及人數</w:t>
                            </w:r>
                          </w:p>
                          <w:p w14:paraId="29B6CEC6" w14:textId="77777777" w:rsidR="008F7DA6" w:rsidRDefault="008F7DA6" w:rsidP="008F7DA6">
                            <w:pPr>
                              <w:ind w:firstLineChars="78" w:firstLine="187"/>
                              <w:rPr>
                                <w:rFonts w:ascii="標楷體" w:eastAsia="標楷體" w:hAnsi="標楷體"/>
                                <w:sz w:val="18"/>
                                <w:szCs w:val="18"/>
                              </w:rPr>
                            </w:pPr>
                            <w:r>
                              <w:rPr>
                                <w:noProof/>
                              </w:rPr>
                              <w:drawing>
                                <wp:inline distT="0" distB="0" distL="0" distR="0" wp14:anchorId="2F776314" wp14:editId="52406A3A">
                                  <wp:extent cx="4099560" cy="2545715"/>
                                  <wp:effectExtent l="0" t="0" r="0" b="6985"/>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5274B0F" w14:textId="77777777" w:rsidR="008F7DA6" w:rsidRPr="00F65A4F" w:rsidRDefault="008F7DA6" w:rsidP="008F7DA6">
                            <w:pPr>
                              <w:ind w:firstLineChars="236" w:firstLine="425"/>
                              <w:rPr>
                                <w:rFonts w:ascii="標楷體" w:eastAsia="標楷體" w:hAnsi="標楷體"/>
                                <w:sz w:val="18"/>
                                <w:szCs w:val="18"/>
                              </w:rPr>
                            </w:pPr>
                            <w:r>
                              <w:rPr>
                                <w:rFonts w:ascii="標楷體" w:eastAsia="標楷體" w:hAnsi="標楷體" w:hint="eastAsia"/>
                                <w:sz w:val="18"/>
                                <w:szCs w:val="18"/>
                              </w:rPr>
                              <w:t>資料來源</w:t>
                            </w:r>
                            <w:r w:rsidRPr="00F65A4F">
                              <w:rPr>
                                <w:rFonts w:ascii="標楷體" w:eastAsia="標楷體" w:hAnsi="標楷體" w:hint="eastAsia"/>
                                <w:sz w:val="18"/>
                                <w:szCs w:val="18"/>
                              </w:rPr>
                              <w:t>：整理自衛生福利部</w:t>
                            </w:r>
                            <w:r>
                              <w:rPr>
                                <w:rFonts w:ascii="標楷體" w:eastAsia="標楷體" w:hAnsi="標楷體" w:hint="eastAsia"/>
                                <w:sz w:val="18"/>
                                <w:szCs w:val="18"/>
                              </w:rPr>
                              <w:t>統計處社會福利公務統計一覽表</w:t>
                            </w:r>
                            <w:r>
                              <w:rPr>
                                <w:rFonts w:ascii="新細明體" w:hAnsi="新細明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6E23F" id="文字方塊 7" o:spid="_x0000_s1048" type="#_x0000_t202" style="position:absolute;left:0;text-align:left;margin-left:151.25pt;margin-top:4.1pt;width:345pt;height:258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" filled="f" stroked="f" strokeweight=".5pt">
                <v:textbox>
                  <w:txbxContent>
                    <w:p w14:paraId="5B7B714F" w14:textId="74F00CC0" w:rsidR="008F7DA6" w:rsidRPr="00546BD3" w:rsidRDefault="008F7DA6" w:rsidP="008F7DA6">
                      <w:pPr>
                        <w:jc w:val="center"/>
                        <w:rPr>
                          <w:rFonts w:ascii="標楷體" w:eastAsia="標楷體" w:hAnsi="標楷體"/>
                          <w:b/>
                        </w:rPr>
                      </w:pPr>
                      <w:r w:rsidRPr="00831A7D">
                        <w:rPr>
                          <w:rFonts w:ascii="標楷體" w:eastAsia="標楷體" w:hAnsi="標楷體" w:hint="eastAsia"/>
                          <w:b/>
                        </w:rPr>
                        <w:t>圖</w:t>
                      </w:r>
                      <w:r w:rsidR="00750992">
                        <w:rPr>
                          <w:rFonts w:ascii="標楷體" w:eastAsia="標楷體" w:hAnsi="標楷體"/>
                          <w:b/>
                        </w:rPr>
                        <w:t>4</w:t>
                      </w:r>
                      <w:r>
                        <w:rPr>
                          <w:rFonts w:ascii="標楷體" w:eastAsia="標楷體" w:hAnsi="標楷體"/>
                          <w:b/>
                        </w:rPr>
                        <w:t xml:space="preserve">　</w:t>
                      </w:r>
                      <w:r w:rsidRPr="00546BD3">
                        <w:rPr>
                          <w:rFonts w:ascii="標楷體" w:eastAsia="標楷體" w:hAnsi="標楷體" w:hint="eastAsia"/>
                          <w:b/>
                        </w:rPr>
                        <w:t>我國</w:t>
                      </w:r>
                      <w:r w:rsidRPr="00546BD3">
                        <w:rPr>
                          <w:rFonts w:ascii="標楷體" w:eastAsia="標楷體" w:hAnsi="標楷體"/>
                          <w:b/>
                        </w:rPr>
                        <w:t>低收入</w:t>
                      </w:r>
                      <w:r w:rsidRPr="00546BD3">
                        <w:rPr>
                          <w:rFonts w:ascii="標楷體" w:eastAsia="標楷體" w:hAnsi="標楷體" w:hint="eastAsia"/>
                          <w:b/>
                        </w:rPr>
                        <w:t>及中低收入</w:t>
                      </w:r>
                      <w:r w:rsidRPr="00546BD3">
                        <w:rPr>
                          <w:rFonts w:ascii="標楷體" w:eastAsia="標楷體" w:hAnsi="標楷體"/>
                          <w:b/>
                        </w:rPr>
                        <w:t>戶數及人數</w:t>
                      </w:r>
                    </w:p>
                    <w:p w14:paraId="29B6CEC6" w14:textId="77777777" w:rsidR="008F7DA6" w:rsidRDefault="008F7DA6" w:rsidP="008F7DA6">
                      <w:pPr>
                        <w:ind w:firstLineChars="78" w:firstLine="187"/>
                        <w:rPr>
                          <w:rFonts w:ascii="標楷體" w:eastAsia="標楷體" w:hAnsi="標楷體"/>
                          <w:sz w:val="18"/>
                          <w:szCs w:val="18"/>
                        </w:rPr>
                      </w:pPr>
                      <w:r>
                        <w:rPr>
                          <w:noProof/>
                        </w:rPr>
                        <w:drawing>
                          <wp:inline distT="0" distB="0" distL="0" distR="0" wp14:anchorId="2F776314" wp14:editId="52406A3A">
                            <wp:extent cx="4099560" cy="2545715"/>
                            <wp:effectExtent l="0" t="0" r="0" b="6985"/>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5274B0F" w14:textId="77777777" w:rsidR="008F7DA6" w:rsidRPr="00F65A4F" w:rsidRDefault="008F7DA6" w:rsidP="008F7DA6">
                      <w:pPr>
                        <w:ind w:firstLineChars="236" w:firstLine="425"/>
                        <w:rPr>
                          <w:rFonts w:ascii="標楷體" w:eastAsia="標楷體" w:hAnsi="標楷體"/>
                          <w:sz w:val="18"/>
                          <w:szCs w:val="18"/>
                        </w:rPr>
                      </w:pPr>
                      <w:r>
                        <w:rPr>
                          <w:rFonts w:ascii="標楷體" w:eastAsia="標楷體" w:hAnsi="標楷體" w:hint="eastAsia"/>
                          <w:sz w:val="18"/>
                          <w:szCs w:val="18"/>
                        </w:rPr>
                        <w:t>資料來源</w:t>
                      </w:r>
                      <w:r w:rsidRPr="00F65A4F">
                        <w:rPr>
                          <w:rFonts w:ascii="標楷體" w:eastAsia="標楷體" w:hAnsi="標楷體" w:hint="eastAsia"/>
                          <w:sz w:val="18"/>
                          <w:szCs w:val="18"/>
                        </w:rPr>
                        <w:t>：整理自衛生福利部</w:t>
                      </w:r>
                      <w:r>
                        <w:rPr>
                          <w:rFonts w:ascii="標楷體" w:eastAsia="標楷體" w:hAnsi="標楷體" w:hint="eastAsia"/>
                          <w:sz w:val="18"/>
                          <w:szCs w:val="18"/>
                        </w:rPr>
                        <w:t>統計處社會福利公務統計一覽表</w:t>
                      </w:r>
                      <w:r>
                        <w:rPr>
                          <w:rFonts w:ascii="新細明體" w:hAnsi="新細明體" w:hint="eastAsia"/>
                          <w:sz w:val="18"/>
                          <w:szCs w:val="18"/>
                        </w:rPr>
                        <w:t>。</w:t>
                      </w:r>
                    </w:p>
                  </w:txbxContent>
                </v:textbox>
                <w10:wrap type="square" anchorx="margin"/>
              </v:shape>
            </w:pict>
          </mc:Fallback>
        </mc:AlternateContent>
      </w:r>
      <w:r w:rsidR="009A42C7" w:rsidRPr="009A42C7">
        <w:rPr>
          <w:rFonts w:ascii="標楷體" w:eastAsia="標楷體" w:hAnsi="標楷體" w:cstheme="minorBidi" w:hint="eastAsia"/>
          <w:spacing w:val="-4"/>
          <w:szCs w:val="24"/>
        </w:rPr>
        <w:t>至</w:t>
      </w:r>
      <w:proofErr w:type="gramStart"/>
      <w:r w:rsidR="009A42C7" w:rsidRPr="009A42C7">
        <w:rPr>
          <w:rFonts w:ascii="標楷體" w:eastAsia="標楷體" w:hAnsi="標楷體" w:cstheme="minorBidi" w:hint="eastAsia"/>
          <w:spacing w:val="-4"/>
          <w:szCs w:val="24"/>
        </w:rPr>
        <w:t>113</w:t>
      </w:r>
      <w:proofErr w:type="gramEnd"/>
      <w:r w:rsidR="009A42C7" w:rsidRPr="009A42C7">
        <w:rPr>
          <w:rFonts w:ascii="標楷體" w:eastAsia="標楷體" w:hAnsi="標楷體" w:cstheme="minorBidi" w:hint="eastAsia"/>
          <w:spacing w:val="-4"/>
          <w:szCs w:val="24"/>
        </w:rPr>
        <w:t>年度之24萬4,493戶</w:t>
      </w:r>
      <w:proofErr w:type="gramStart"/>
      <w:r w:rsidR="009A42C7" w:rsidRPr="009A42C7">
        <w:rPr>
          <w:rFonts w:ascii="標楷體" w:eastAsia="標楷體" w:hAnsi="標楷體" w:cstheme="minorBidi" w:hint="eastAsia"/>
          <w:spacing w:val="-4"/>
          <w:szCs w:val="24"/>
        </w:rPr>
        <w:t>（</w:t>
      </w:r>
      <w:proofErr w:type="gramEnd"/>
      <w:r w:rsidR="009A42C7" w:rsidRPr="009A42C7">
        <w:rPr>
          <w:rFonts w:ascii="標楷體" w:eastAsia="標楷體" w:hAnsi="標楷體" w:cstheme="minorBidi" w:hint="eastAsia"/>
          <w:spacing w:val="-4"/>
          <w:szCs w:val="24"/>
        </w:rPr>
        <w:t>52萬9,713萬人；圖</w:t>
      </w:r>
      <w:r w:rsidR="00750992">
        <w:rPr>
          <w:rFonts w:ascii="標楷體" w:eastAsia="標楷體" w:hAnsi="標楷體" w:cstheme="minorBidi" w:hint="eastAsia"/>
          <w:spacing w:val="-4"/>
          <w:szCs w:val="24"/>
        </w:rPr>
        <w:t>4</w:t>
      </w:r>
      <w:proofErr w:type="gramStart"/>
      <w:r w:rsidR="009A42C7" w:rsidRPr="009A42C7">
        <w:rPr>
          <w:rFonts w:ascii="標楷體" w:eastAsia="標楷體" w:hAnsi="標楷體" w:cstheme="minorBidi" w:hint="eastAsia"/>
          <w:spacing w:val="-4"/>
          <w:szCs w:val="24"/>
        </w:rPr>
        <w:t>）</w:t>
      </w:r>
      <w:proofErr w:type="gramEnd"/>
      <w:r w:rsidR="009A42C7" w:rsidRPr="009A42C7">
        <w:rPr>
          <w:rFonts w:ascii="標楷體" w:eastAsia="標楷體" w:hAnsi="標楷體" w:cstheme="minorBidi" w:hint="eastAsia"/>
          <w:spacing w:val="-4"/>
          <w:szCs w:val="24"/>
        </w:rPr>
        <w:t>，戶數（人數）分別下降1萬6</w:t>
      </w:r>
      <w:r w:rsidR="009A42C7" w:rsidRPr="009A42C7">
        <w:rPr>
          <w:rFonts w:ascii="標楷體" w:eastAsia="標楷體" w:hAnsi="標楷體" w:cstheme="minorBidi"/>
          <w:spacing w:val="-4"/>
          <w:szCs w:val="24"/>
        </w:rPr>
        <w:t>,</w:t>
      </w:r>
      <w:r w:rsidR="009A42C7" w:rsidRPr="009A42C7">
        <w:rPr>
          <w:rFonts w:ascii="標楷體" w:eastAsia="標楷體" w:hAnsi="標楷體" w:cstheme="minorBidi" w:hint="eastAsia"/>
          <w:spacing w:val="-4"/>
          <w:szCs w:val="24"/>
        </w:rPr>
        <w:t>689戶（9萬6,209人），幅度為6.39％</w:t>
      </w:r>
      <w:r w:rsidR="008F7DA6">
        <w:rPr>
          <w:rFonts w:ascii="標楷體" w:eastAsia="標楷體" w:hAnsi="標楷體" w:cstheme="minorBidi" w:hint="eastAsia"/>
          <w:spacing w:val="-4"/>
          <w:szCs w:val="24"/>
        </w:rPr>
        <w:t>（</w:t>
      </w:r>
      <w:r w:rsidR="001B7A03">
        <w:rPr>
          <w:rFonts w:ascii="標楷體" w:eastAsia="標楷體" w:hAnsi="標楷體" w:cstheme="minorBidi" w:hint="eastAsia"/>
          <w:spacing w:val="-4"/>
          <w:szCs w:val="24"/>
        </w:rPr>
        <w:t>1</w:t>
      </w:r>
      <w:r w:rsidR="009A42C7" w:rsidRPr="009A42C7">
        <w:rPr>
          <w:rFonts w:ascii="標楷體" w:eastAsia="標楷體" w:hAnsi="標楷體" w:cstheme="minorBidi" w:hint="eastAsia"/>
          <w:spacing w:val="-4"/>
          <w:szCs w:val="24"/>
        </w:rPr>
        <w:t>5.37％）。</w:t>
      </w:r>
      <w:r w:rsidR="009A42C7" w:rsidRPr="009A42C7">
        <w:rPr>
          <w:rFonts w:ascii="標楷體" w:eastAsia="標楷體" w:hAnsi="標楷體" w:cstheme="minorBidi" w:hint="eastAsia"/>
          <w:szCs w:val="24"/>
        </w:rPr>
        <w:t>又據113年3月衛生福利部委託臺灣社會工作專業人員協會「社會救助法修法規劃研究案」期末報告，指出111及</w:t>
      </w:r>
      <w:proofErr w:type="gramStart"/>
      <w:r w:rsidR="009A42C7" w:rsidRPr="009A42C7">
        <w:rPr>
          <w:rFonts w:ascii="標楷體" w:eastAsia="標楷體" w:hAnsi="標楷體" w:cstheme="minorBidi" w:hint="eastAsia"/>
          <w:szCs w:val="24"/>
        </w:rPr>
        <w:t>112</w:t>
      </w:r>
      <w:proofErr w:type="gramEnd"/>
      <w:r w:rsidR="009A42C7" w:rsidRPr="009A42C7">
        <w:rPr>
          <w:rFonts w:ascii="標楷體" w:eastAsia="標楷體" w:hAnsi="標楷體" w:cstheme="minorBidi" w:hint="eastAsia"/>
          <w:szCs w:val="24"/>
        </w:rPr>
        <w:t>年度弱勢E關懷全國福利資源整合系統「申請低收福利但沒有通過」者計有11萬2,720筆，顯示仍有多數潛在經濟弱勢者排除於低收入戶資格。按衛生</w:t>
      </w:r>
      <w:proofErr w:type="gramStart"/>
      <w:r w:rsidR="009A42C7" w:rsidRPr="009A42C7">
        <w:rPr>
          <w:rFonts w:ascii="標楷體" w:eastAsia="標楷體" w:hAnsi="標楷體" w:cstheme="minorBidi" w:hint="eastAsia"/>
          <w:szCs w:val="24"/>
        </w:rPr>
        <w:t>福利部前於</w:t>
      </w:r>
      <w:proofErr w:type="gramEnd"/>
      <w:r w:rsidR="009A42C7" w:rsidRPr="009A42C7">
        <w:rPr>
          <w:rFonts w:ascii="標楷體" w:eastAsia="標楷體" w:hAnsi="標楷體" w:cstheme="minorBidi" w:hint="eastAsia"/>
          <w:szCs w:val="24"/>
        </w:rPr>
        <w:t>113年4月公告預告社會救助法修正草案，規劃放寬申請認定條件及加強就業脫貧等措</w:t>
      </w:r>
      <w:r w:rsidR="009A42C7" w:rsidRPr="009A42C7">
        <w:rPr>
          <w:rFonts w:ascii="標楷體" w:eastAsia="標楷體" w:hAnsi="標楷體" w:cstheme="minorBidi" w:hint="eastAsia"/>
          <w:snapToGrid w:val="0"/>
          <w:kern w:val="0"/>
          <w:szCs w:val="24"/>
        </w:rPr>
        <w:t>施，擴大照顧貧窮及弱勢民眾，惟因修正條文草案內容與民間團體期望仍有歧異，迄至114年3月底，仍未定案，且</w:t>
      </w:r>
      <w:proofErr w:type="gramStart"/>
      <w:r w:rsidR="009A42C7" w:rsidRPr="009A42C7">
        <w:rPr>
          <w:rFonts w:ascii="標楷體" w:eastAsia="標楷體" w:hAnsi="標楷體" w:cstheme="minorBidi" w:hint="eastAsia"/>
          <w:snapToGrid w:val="0"/>
          <w:kern w:val="0"/>
          <w:szCs w:val="24"/>
        </w:rPr>
        <w:t>囿</w:t>
      </w:r>
      <w:proofErr w:type="gramEnd"/>
      <w:r w:rsidR="009A42C7" w:rsidRPr="009A42C7">
        <w:rPr>
          <w:rFonts w:ascii="標楷體" w:eastAsia="標楷體" w:hAnsi="標楷體" w:cstheme="minorBidi" w:hint="eastAsia"/>
          <w:snapToGrid w:val="0"/>
          <w:kern w:val="0"/>
          <w:szCs w:val="24"/>
        </w:rPr>
        <w:t>於114年3月21日總統令公布刪除並修正財政收支劃分法部分條文，大幅影響中央及地方政府預算分配，</w:t>
      </w:r>
      <w:r w:rsidR="009A42C7" w:rsidRPr="00C64A0F">
        <w:rPr>
          <w:rFonts w:ascii="標楷體" w:eastAsia="標楷體" w:hAnsi="標楷體" w:cstheme="minorBidi" w:hint="eastAsia"/>
          <w:snapToGrid w:val="0"/>
          <w:spacing w:val="-2"/>
          <w:kern w:val="0"/>
          <w:szCs w:val="24"/>
        </w:rPr>
        <w:t>其中涉及</w:t>
      </w:r>
      <w:proofErr w:type="gramStart"/>
      <w:r w:rsidR="009A42C7" w:rsidRPr="00C64A0F">
        <w:rPr>
          <w:rFonts w:ascii="標楷體" w:eastAsia="標楷體" w:hAnsi="標楷體" w:cstheme="minorBidi" w:hint="eastAsia"/>
          <w:snapToGrid w:val="0"/>
          <w:spacing w:val="-2"/>
          <w:kern w:val="0"/>
          <w:szCs w:val="24"/>
        </w:rPr>
        <w:t>115</w:t>
      </w:r>
      <w:proofErr w:type="gramEnd"/>
      <w:r w:rsidR="009A42C7" w:rsidRPr="00C64A0F">
        <w:rPr>
          <w:rFonts w:ascii="標楷體" w:eastAsia="標楷體" w:hAnsi="標楷體" w:cstheme="minorBidi" w:hint="eastAsia"/>
          <w:snapToGrid w:val="0"/>
          <w:spacing w:val="-2"/>
          <w:kern w:val="0"/>
          <w:szCs w:val="24"/>
        </w:rPr>
        <w:t>年度中央及地方政府總預算案有關社會救助經費之編列，相關權責項目與執行配套措施等尚未確定，如以</w:t>
      </w:r>
      <w:proofErr w:type="gramStart"/>
      <w:r w:rsidR="009A42C7" w:rsidRPr="00C64A0F">
        <w:rPr>
          <w:rFonts w:ascii="標楷體" w:eastAsia="標楷體" w:hAnsi="標楷體" w:cstheme="minorBidi" w:hint="eastAsia"/>
          <w:snapToGrid w:val="0"/>
          <w:spacing w:val="-2"/>
          <w:kern w:val="0"/>
          <w:szCs w:val="24"/>
        </w:rPr>
        <w:t>113</w:t>
      </w:r>
      <w:proofErr w:type="gramEnd"/>
      <w:r w:rsidR="009A42C7" w:rsidRPr="00C64A0F">
        <w:rPr>
          <w:rFonts w:ascii="標楷體" w:eastAsia="標楷體" w:hAnsi="標楷體" w:cstheme="minorBidi" w:hint="eastAsia"/>
          <w:snapToGrid w:val="0"/>
          <w:spacing w:val="-2"/>
          <w:kern w:val="0"/>
          <w:szCs w:val="24"/>
        </w:rPr>
        <w:t>年度衛生福利部補助地方政府新增之低收入戶家庭生活、就學生活補助、低收入戶及中低收入戶醫療補助、低收入戶健保病患住院膳食費及住院看護補助經費等需求計</w:t>
      </w:r>
      <w:proofErr w:type="gramStart"/>
      <w:r w:rsidR="009A42C7" w:rsidRPr="00C64A0F">
        <w:rPr>
          <w:rFonts w:ascii="標楷體" w:eastAsia="標楷體" w:hAnsi="標楷體" w:cstheme="minorBidi" w:hint="eastAsia"/>
          <w:snapToGrid w:val="0"/>
          <w:spacing w:val="-2"/>
          <w:kern w:val="0"/>
          <w:szCs w:val="24"/>
        </w:rPr>
        <w:t>5.76億元衡</w:t>
      </w:r>
      <w:proofErr w:type="gramEnd"/>
      <w:r w:rsidR="009A42C7" w:rsidRPr="00C64A0F">
        <w:rPr>
          <w:rFonts w:ascii="標楷體" w:eastAsia="標楷體" w:hAnsi="標楷體" w:cstheme="minorBidi" w:hint="eastAsia"/>
          <w:snapToGrid w:val="0"/>
          <w:spacing w:val="-2"/>
          <w:kern w:val="0"/>
          <w:szCs w:val="24"/>
        </w:rPr>
        <w:t>之，</w:t>
      </w:r>
      <w:proofErr w:type="gramStart"/>
      <w:r w:rsidR="009A42C7" w:rsidRPr="00C64A0F">
        <w:rPr>
          <w:rFonts w:ascii="標楷體" w:eastAsia="標楷體" w:hAnsi="標楷體" w:cstheme="minorBidi" w:hint="eastAsia"/>
          <w:snapToGrid w:val="0"/>
          <w:spacing w:val="-2"/>
          <w:kern w:val="0"/>
          <w:szCs w:val="24"/>
        </w:rPr>
        <w:t>115</w:t>
      </w:r>
      <w:proofErr w:type="gramEnd"/>
      <w:r w:rsidR="009A42C7" w:rsidRPr="00C64A0F">
        <w:rPr>
          <w:rFonts w:ascii="標楷體" w:eastAsia="標楷體" w:hAnsi="標楷體" w:cstheme="minorBidi" w:hint="eastAsia"/>
          <w:snapToGrid w:val="0"/>
          <w:spacing w:val="-2"/>
          <w:kern w:val="0"/>
          <w:szCs w:val="24"/>
        </w:rPr>
        <w:t>年度中央政府可協助直轄市及縣（市）政府照顧弱勢民眾之社會福利經費</w:t>
      </w:r>
      <w:proofErr w:type="gramStart"/>
      <w:r w:rsidR="009A42C7" w:rsidRPr="00C64A0F">
        <w:rPr>
          <w:rFonts w:ascii="標楷體" w:eastAsia="標楷體" w:hAnsi="標楷體" w:cstheme="minorBidi" w:hint="eastAsia"/>
          <w:snapToGrid w:val="0"/>
          <w:spacing w:val="-2"/>
          <w:kern w:val="0"/>
          <w:szCs w:val="24"/>
        </w:rPr>
        <w:t>恐</w:t>
      </w:r>
      <w:proofErr w:type="gramEnd"/>
      <w:r w:rsidR="009A42C7" w:rsidRPr="00C64A0F">
        <w:rPr>
          <w:rFonts w:ascii="標楷體" w:eastAsia="標楷體" w:hAnsi="標楷體" w:cstheme="minorBidi" w:hint="eastAsia"/>
          <w:snapToGrid w:val="0"/>
          <w:spacing w:val="-2"/>
          <w:kern w:val="0"/>
          <w:szCs w:val="24"/>
        </w:rPr>
        <w:t>減少。為避免我國多數潛在弱勢者因貧窮威脅生命尊嚴，剝奪最基本生活水準之權利和自由，經函請行政院督促衛生福利部協調財政部，就可能受財政收支劃分法影響之福利權責或補助項目加速盤點，以利評估社會救助法修正草案放寬規定之影響人數及經費，並積極化解修法歧異，加速完成法制作業，以擴大照顧經濟弱勢民眾。據復</w:t>
      </w:r>
      <w:r w:rsidR="009A42C7" w:rsidRPr="00F8001C">
        <w:rPr>
          <w:rFonts w:ascii="標楷體" w:eastAsia="標楷體" w:hAnsi="標楷體" w:cstheme="minorBidi" w:hint="eastAsia"/>
          <w:snapToGrid w:val="0"/>
          <w:spacing w:val="-2"/>
          <w:kern w:val="0"/>
          <w:szCs w:val="24"/>
        </w:rPr>
        <w:t>：</w:t>
      </w:r>
      <w:r w:rsidR="009A42C7" w:rsidRPr="00C64A0F">
        <w:rPr>
          <w:rFonts w:ascii="標楷體" w:eastAsia="標楷體" w:hAnsi="標楷體" w:cstheme="minorBidi" w:hint="eastAsia"/>
          <w:snapToGrid w:val="0"/>
          <w:spacing w:val="-2"/>
          <w:kern w:val="0"/>
          <w:szCs w:val="24"/>
        </w:rPr>
        <w:t>衛生福利部對於財政收支劃分法修法所影響社會救助法修法須增加經費與法案進行，及整體</w:t>
      </w:r>
      <w:proofErr w:type="gramStart"/>
      <w:r w:rsidR="009A42C7" w:rsidRPr="00C64A0F">
        <w:rPr>
          <w:rFonts w:ascii="標楷體" w:eastAsia="標楷體" w:hAnsi="標楷體" w:cstheme="minorBidi" w:hint="eastAsia"/>
          <w:snapToGrid w:val="0"/>
          <w:spacing w:val="-2"/>
          <w:kern w:val="0"/>
          <w:szCs w:val="24"/>
        </w:rPr>
        <w:t>財源暨縣</w:t>
      </w:r>
      <w:proofErr w:type="gramEnd"/>
      <w:r w:rsidR="009A42C7" w:rsidRPr="00C64A0F">
        <w:rPr>
          <w:rFonts w:ascii="標楷體" w:eastAsia="標楷體" w:hAnsi="標楷體" w:cstheme="minorBidi" w:hint="eastAsia"/>
          <w:snapToGrid w:val="0"/>
          <w:spacing w:val="-2"/>
          <w:kern w:val="0"/>
          <w:szCs w:val="24"/>
        </w:rPr>
        <w:t>（市）政府相關機制，將再全面整體思考評估，持續</w:t>
      </w:r>
      <w:proofErr w:type="gramStart"/>
      <w:r w:rsidR="009A42C7" w:rsidRPr="00C64A0F">
        <w:rPr>
          <w:rFonts w:ascii="標楷體" w:eastAsia="標楷體" w:hAnsi="標楷體" w:cstheme="minorBidi" w:hint="eastAsia"/>
          <w:snapToGrid w:val="0"/>
          <w:spacing w:val="-2"/>
          <w:kern w:val="0"/>
          <w:szCs w:val="24"/>
        </w:rPr>
        <w:t>研</w:t>
      </w:r>
      <w:proofErr w:type="gramEnd"/>
      <w:r w:rsidR="009A42C7" w:rsidRPr="00C64A0F">
        <w:rPr>
          <w:rFonts w:ascii="標楷體" w:eastAsia="標楷體" w:hAnsi="標楷體" w:cstheme="minorBidi" w:hint="eastAsia"/>
          <w:snapToGrid w:val="0"/>
          <w:spacing w:val="-2"/>
          <w:kern w:val="0"/>
          <w:szCs w:val="24"/>
        </w:rPr>
        <w:t>議兼顧簡政便民、公平客觀、財政可負擔之務實可行作法。</w:t>
      </w:r>
    </w:p>
    <w:p w14:paraId="5AC399D2" w14:textId="52B1AC04" w:rsidR="00BB173C" w:rsidRPr="00E31547" w:rsidRDefault="00BB173C" w:rsidP="00C64A0F">
      <w:pPr>
        <w:overflowPunct w:val="0"/>
        <w:autoSpaceDE w:val="0"/>
        <w:autoSpaceDN w:val="0"/>
        <w:spacing w:beforeLines="20" w:before="72" w:afterLines="20" w:after="72" w:line="420" w:lineRule="exact"/>
        <w:ind w:firstLineChars="200" w:firstLine="577"/>
        <w:jc w:val="both"/>
        <w:outlineLvl w:val="1"/>
        <w:rPr>
          <w:rFonts w:ascii="標楷體" w:eastAsia="標楷體" w:hAnsi="標楷體" w:cs="新細明體"/>
          <w:color w:val="0D0D0D" w:themeColor="text1" w:themeTint="F2"/>
          <w:spacing w:val="4"/>
          <w:kern w:val="0"/>
          <w:szCs w:val="24"/>
        </w:rPr>
      </w:pPr>
      <w:r w:rsidRPr="00E31547">
        <w:rPr>
          <w:rFonts w:ascii="標楷體" w:eastAsia="標楷體" w:hAnsi="標楷體" w:hint="eastAsia"/>
          <w:b/>
          <w:color w:val="000000" w:themeColor="text1"/>
          <w:spacing w:val="4"/>
          <w:sz w:val="28"/>
          <w:szCs w:val="28"/>
        </w:rPr>
        <w:t>（六）</w:t>
      </w:r>
      <w:r w:rsidRPr="00E31547">
        <w:rPr>
          <w:rFonts w:ascii="標楷體" w:eastAsia="標楷體" w:hAnsi="標楷體" w:hint="eastAsia"/>
          <w:b/>
          <w:bCs/>
          <w:snapToGrid w:val="0"/>
          <w:color w:val="0D0D0D" w:themeColor="text1" w:themeTint="F2"/>
          <w:spacing w:val="4"/>
          <w:kern w:val="0"/>
          <w:sz w:val="28"/>
          <w:szCs w:val="28"/>
        </w:rPr>
        <w:t xml:space="preserve">　</w:t>
      </w:r>
      <w:r w:rsidR="005777D1" w:rsidRPr="005777D1">
        <w:rPr>
          <w:rFonts w:ascii="標楷體" w:eastAsia="標楷體" w:hAnsi="標楷體" w:hint="eastAsia"/>
          <w:b/>
          <w:bCs/>
          <w:snapToGrid w:val="0"/>
          <w:color w:val="0D0D0D" w:themeColor="text1" w:themeTint="F2"/>
          <w:spacing w:val="4"/>
          <w:kern w:val="0"/>
          <w:sz w:val="28"/>
          <w:szCs w:val="28"/>
        </w:rPr>
        <w:t>政府為因應美國關稅政策，已提出「因應美國關稅我國出口供應鏈支持方案」，協助受影響業者因應調整，以穩定國家經濟、產業發展及國人生活，</w:t>
      </w:r>
      <w:proofErr w:type="gramStart"/>
      <w:r w:rsidR="005777D1" w:rsidRPr="005777D1">
        <w:rPr>
          <w:rFonts w:ascii="標楷體" w:eastAsia="標楷體" w:hAnsi="標楷體" w:hint="eastAsia"/>
          <w:b/>
          <w:bCs/>
          <w:snapToGrid w:val="0"/>
          <w:color w:val="0D0D0D" w:themeColor="text1" w:themeTint="F2"/>
          <w:spacing w:val="4"/>
          <w:kern w:val="0"/>
          <w:sz w:val="28"/>
          <w:szCs w:val="28"/>
        </w:rPr>
        <w:t>鑑</w:t>
      </w:r>
      <w:proofErr w:type="gramEnd"/>
      <w:r w:rsidR="005777D1" w:rsidRPr="005777D1">
        <w:rPr>
          <w:rFonts w:ascii="標楷體" w:eastAsia="標楷體" w:hAnsi="標楷體" w:hint="eastAsia"/>
          <w:b/>
          <w:bCs/>
          <w:snapToGrid w:val="0"/>
          <w:color w:val="0D0D0D" w:themeColor="text1" w:themeTint="F2"/>
          <w:spacing w:val="4"/>
          <w:kern w:val="0"/>
          <w:sz w:val="28"/>
          <w:szCs w:val="28"/>
        </w:rPr>
        <w:t>於美國對等關稅政策仍具高度不確定性，影響國際經濟與金融變動時間將延長，又我國對美國貿易順差逐年擴大，允宜積極溝通協商，並確實掌握美國對等關稅最新發展，滾動檢討因應方案協助業者因應調整，及強化出口市場與產品分散，以降低對經濟與金融之衝擊，及促進出口成長動能。</w:t>
      </w:r>
    </w:p>
    <w:p w14:paraId="5119B357" w14:textId="4BD788E6" w:rsidR="00A94FE8" w:rsidRDefault="00C64A0F" w:rsidP="00E9782C">
      <w:pPr>
        <w:overflowPunct w:val="0"/>
        <w:spacing w:line="424" w:lineRule="exact"/>
        <w:ind w:firstLineChars="200" w:firstLine="480"/>
        <w:jc w:val="distribute"/>
        <w:rPr>
          <w:rFonts w:ascii="標楷體" w:eastAsia="標楷體" w:hAnsi="標楷體"/>
          <w:kern w:val="0"/>
          <w:szCs w:val="24"/>
        </w:rPr>
      </w:pPr>
      <w:r w:rsidRPr="00EE5695">
        <w:rPr>
          <w:rFonts w:ascii="標楷體" w:eastAsia="標楷體" w:hAnsi="標楷體" w:cstheme="minorBidi" w:hint="eastAsia"/>
          <w:noProof/>
          <w:spacing w:val="-2"/>
          <w:kern w:val="0"/>
          <w:szCs w:val="24"/>
        </w:rPr>
        <w:lastRenderedPageBreak/>
        <mc:AlternateContent>
          <mc:Choice Requires="wps">
            <w:drawing>
              <wp:anchor distT="0" distB="0" distL="114300" distR="114300" simplePos="0" relativeHeight="251652096" behindDoc="1" locked="0" layoutInCell="1" allowOverlap="1" wp14:anchorId="01582A5E" wp14:editId="7AD7E24B">
                <wp:simplePos x="0" y="0"/>
                <wp:positionH relativeFrom="column">
                  <wp:posOffset>1710055</wp:posOffset>
                </wp:positionH>
                <wp:positionV relativeFrom="paragraph">
                  <wp:posOffset>5934710</wp:posOffset>
                </wp:positionV>
                <wp:extent cx="4587240" cy="2938780"/>
                <wp:effectExtent l="0" t="0" r="3810" b="0"/>
                <wp:wrapTight wrapText="bothSides">
                  <wp:wrapPolygon edited="0">
                    <wp:start x="0" y="0"/>
                    <wp:lineTo x="0" y="21423"/>
                    <wp:lineTo x="21528" y="21423"/>
                    <wp:lineTo x="21528" y="0"/>
                    <wp:lineTo x="0" y="0"/>
                  </wp:wrapPolygon>
                </wp:wrapTight>
                <wp:docPr id="2008327055" name="文字方塊 2008327055"/>
                <wp:cNvGraphicFramePr/>
                <a:graphic xmlns:a="http://schemas.openxmlformats.org/drawingml/2006/main">
                  <a:graphicData uri="http://schemas.microsoft.com/office/word/2010/wordprocessingShape">
                    <wps:wsp>
                      <wps:cNvSpPr txBox="1"/>
                      <wps:spPr>
                        <a:xfrm>
                          <a:off x="0" y="0"/>
                          <a:ext cx="4587240" cy="2938780"/>
                        </a:xfrm>
                        <a:prstGeom prst="rect">
                          <a:avLst/>
                        </a:prstGeom>
                        <a:solidFill>
                          <a:sysClr val="window" lastClr="FFFFFF"/>
                        </a:solidFill>
                        <a:ln w="6350">
                          <a:noFill/>
                        </a:ln>
                      </wps:spPr>
                      <wps:txbx>
                        <w:txbxContent>
                          <w:p w14:paraId="5133409C" w14:textId="00014BF0" w:rsidR="00C64A0F" w:rsidRDefault="00083485" w:rsidP="00C64A0F">
                            <w:pPr>
                              <w:jc w:val="both"/>
                              <w:rPr>
                                <w:rFonts w:ascii="標楷體" w:eastAsia="標楷體" w:hAnsi="標楷體"/>
                                <w:sz w:val="18"/>
                                <w:szCs w:val="18"/>
                              </w:rPr>
                            </w:pPr>
                            <w:r>
                              <w:rPr>
                                <w:noProof/>
                              </w:rPr>
                              <w:drawing>
                                <wp:inline distT="0" distB="0" distL="0" distR="0" wp14:anchorId="4CCAF5BA" wp14:editId="62C35547">
                                  <wp:extent cx="4398010" cy="2550248"/>
                                  <wp:effectExtent l="0" t="0" r="2540" b="2540"/>
                                  <wp:docPr id="2008327054" name="圖表 2008327054">
                                    <a:extLst xmlns:a="http://schemas.openxmlformats.org/drawingml/2006/main">
                                      <a:ext uri="{FF2B5EF4-FFF2-40B4-BE49-F238E27FC236}">
                                        <a16:creationId xmlns:a16="http://schemas.microsoft.com/office/drawing/2014/main" id="{3F824473-DCF4-8D63-F8C5-5F792E2972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642902B" w14:textId="77777777" w:rsidR="00C64A0F" w:rsidRPr="00ED2F91" w:rsidRDefault="00C64A0F" w:rsidP="00C64A0F">
                            <w:pPr>
                              <w:spacing w:line="160" w:lineRule="exact"/>
                              <w:ind w:firstLineChars="200" w:firstLine="360"/>
                              <w:jc w:val="both"/>
                              <w:rPr>
                                <w:rFonts w:ascii="標楷體" w:eastAsia="標楷體" w:hAnsi="標楷體"/>
                                <w:sz w:val="18"/>
                                <w:szCs w:val="18"/>
                              </w:rPr>
                            </w:pPr>
                            <w:r w:rsidRPr="00ED2F91">
                              <w:rPr>
                                <w:rFonts w:ascii="標楷體" w:eastAsia="標楷體" w:hAnsi="標楷體" w:hint="eastAsia"/>
                                <w:sz w:val="18"/>
                                <w:szCs w:val="18"/>
                              </w:rPr>
                              <w:t>資料來源</w:t>
                            </w:r>
                            <w:proofErr w:type="gramStart"/>
                            <w:r w:rsidRPr="00ED2F91">
                              <w:rPr>
                                <w:rFonts w:ascii="標楷體" w:eastAsia="標楷體" w:hAnsi="標楷體" w:hint="eastAsia"/>
                                <w:sz w:val="18"/>
                                <w:szCs w:val="18"/>
                              </w:rPr>
                              <w:t>︰</w:t>
                            </w:r>
                            <w:proofErr w:type="gramEnd"/>
                            <w:r w:rsidRPr="00ED2F91">
                              <w:rPr>
                                <w:rFonts w:ascii="標楷體" w:eastAsia="標楷體" w:hAnsi="標楷體" w:hint="eastAsia"/>
                                <w:sz w:val="18"/>
                                <w:szCs w:val="18"/>
                              </w:rPr>
                              <w:t>整理自財政部網站公開資料。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82A5E" id="文字方塊 2008327055" o:spid="_x0000_s1049" type="#_x0000_t202" style="position:absolute;left:0;text-align:left;margin-left:134.65pt;margin-top:467.3pt;width:361.2pt;height:23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" fillcolor="window" stroked="f" strokeweight=".5pt">
                <v:textbox>
                  <w:txbxContent>
                    <w:p w14:paraId="5133409C" w14:textId="00014BF0" w:rsidR="00C64A0F" w:rsidRDefault="00083485" w:rsidP="00C64A0F">
                      <w:pPr>
                        <w:jc w:val="both"/>
                        <w:rPr>
                          <w:rFonts w:ascii="標楷體" w:eastAsia="標楷體" w:hAnsi="標楷體"/>
                          <w:sz w:val="18"/>
                          <w:szCs w:val="18"/>
                        </w:rPr>
                      </w:pPr>
                      <w:r>
                        <w:rPr>
                          <w:noProof/>
                        </w:rPr>
                        <w:drawing>
                          <wp:inline distT="0" distB="0" distL="0" distR="0" wp14:anchorId="4CCAF5BA" wp14:editId="62C35547">
                            <wp:extent cx="4398010" cy="2550248"/>
                            <wp:effectExtent l="0" t="0" r="2540" b="2540"/>
                            <wp:docPr id="2008327054" name="圖表 2008327054">
                              <a:extLst xmlns:a="http://schemas.openxmlformats.org/drawingml/2006/main">
                                <a:ext uri="{FF2B5EF4-FFF2-40B4-BE49-F238E27FC236}">
                                  <a16:creationId xmlns:a16="http://schemas.microsoft.com/office/drawing/2014/main" id="{3F824473-DCF4-8D63-F8C5-5F792E2972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642902B" w14:textId="77777777" w:rsidR="00C64A0F" w:rsidRPr="00ED2F91" w:rsidRDefault="00C64A0F" w:rsidP="00C64A0F">
                      <w:pPr>
                        <w:spacing w:line="160" w:lineRule="exact"/>
                        <w:ind w:firstLineChars="200" w:firstLine="360"/>
                        <w:jc w:val="both"/>
                        <w:rPr>
                          <w:rFonts w:ascii="標楷體" w:eastAsia="標楷體" w:hAnsi="標楷體"/>
                          <w:sz w:val="18"/>
                          <w:szCs w:val="18"/>
                        </w:rPr>
                      </w:pPr>
                      <w:r w:rsidRPr="00ED2F91">
                        <w:rPr>
                          <w:rFonts w:ascii="標楷體" w:eastAsia="標楷體" w:hAnsi="標楷體" w:hint="eastAsia"/>
                          <w:sz w:val="18"/>
                          <w:szCs w:val="18"/>
                        </w:rPr>
                        <w:t>資料來源</w:t>
                      </w:r>
                      <w:proofErr w:type="gramStart"/>
                      <w:r w:rsidRPr="00ED2F91">
                        <w:rPr>
                          <w:rFonts w:ascii="標楷體" w:eastAsia="標楷體" w:hAnsi="標楷體" w:hint="eastAsia"/>
                          <w:sz w:val="18"/>
                          <w:szCs w:val="18"/>
                        </w:rPr>
                        <w:t>︰</w:t>
                      </w:r>
                      <w:proofErr w:type="gramEnd"/>
                      <w:r w:rsidRPr="00ED2F91">
                        <w:rPr>
                          <w:rFonts w:ascii="標楷體" w:eastAsia="標楷體" w:hAnsi="標楷體" w:hint="eastAsia"/>
                          <w:sz w:val="18"/>
                          <w:szCs w:val="18"/>
                        </w:rPr>
                        <w:t>整理自財政部網站公開資料。</w:t>
                      </w:r>
                    </w:p>
                  </w:txbxContent>
                </v:textbox>
                <w10:wrap type="tight"/>
              </v:shape>
            </w:pict>
          </mc:Fallback>
        </mc:AlternateContent>
      </w:r>
      <w:r w:rsidR="00ED2F91" w:rsidRPr="00EE5695">
        <w:rPr>
          <w:rFonts w:ascii="標楷體" w:eastAsia="標楷體" w:hAnsi="標楷體" w:hint="eastAsia"/>
          <w:spacing w:val="-2"/>
          <w:kern w:val="0"/>
          <w:szCs w:val="24"/>
        </w:rPr>
        <w:t>行政院</w:t>
      </w:r>
      <w:proofErr w:type="gramStart"/>
      <w:r w:rsidR="00ED2F91" w:rsidRPr="00EE5695">
        <w:rPr>
          <w:rFonts w:ascii="標楷體" w:eastAsia="標楷體" w:hAnsi="標楷體" w:hint="eastAsia"/>
          <w:spacing w:val="-2"/>
          <w:kern w:val="0"/>
          <w:szCs w:val="24"/>
        </w:rPr>
        <w:t>鑑</w:t>
      </w:r>
      <w:proofErr w:type="gramEnd"/>
      <w:r w:rsidR="00ED2F91" w:rsidRPr="00EE5695">
        <w:rPr>
          <w:rFonts w:ascii="標楷體" w:eastAsia="標楷體" w:hAnsi="標楷體" w:hint="eastAsia"/>
          <w:spacing w:val="-2"/>
          <w:kern w:val="0"/>
          <w:szCs w:val="24"/>
        </w:rPr>
        <w:t>於美國政府為解決長期存在之貿易失衡問題，於2025年4月2日宣布，自2025年4月5日起對全球多國實施「對等關稅」政策，已整合經濟部、財政部、農業部、</w:t>
      </w:r>
      <w:proofErr w:type="gramStart"/>
      <w:r w:rsidR="00ED2F91" w:rsidRPr="00EE5695">
        <w:rPr>
          <w:rFonts w:ascii="標楷體" w:eastAsia="標楷體" w:hAnsi="標楷體" w:hint="eastAsia"/>
          <w:spacing w:val="-2"/>
          <w:kern w:val="0"/>
          <w:szCs w:val="24"/>
        </w:rPr>
        <w:t>勞動部等跨</w:t>
      </w:r>
      <w:proofErr w:type="gramEnd"/>
      <w:r w:rsidR="00ED2F91" w:rsidRPr="00EE5695">
        <w:rPr>
          <w:rFonts w:ascii="標楷體" w:eastAsia="標楷體" w:hAnsi="標楷體" w:hint="eastAsia"/>
          <w:spacing w:val="-2"/>
          <w:kern w:val="0"/>
          <w:szCs w:val="24"/>
        </w:rPr>
        <w:t>部會資源，並聽取產業界意見，於同年月24日行政院院會通過「因應國際情勢強化經濟社會及國土安全韌性特別條例」草案，提出4,100億元之經費規模，其中930億元將</w:t>
      </w:r>
      <w:proofErr w:type="gramStart"/>
      <w:r w:rsidR="00ED2F91" w:rsidRPr="00EE5695">
        <w:rPr>
          <w:rFonts w:ascii="標楷體" w:eastAsia="標楷體" w:hAnsi="標楷體" w:hint="eastAsia"/>
          <w:spacing w:val="-2"/>
          <w:kern w:val="0"/>
          <w:szCs w:val="24"/>
        </w:rPr>
        <w:t>挹</w:t>
      </w:r>
      <w:proofErr w:type="gramEnd"/>
      <w:r w:rsidR="00ED2F91" w:rsidRPr="00EE5695">
        <w:rPr>
          <w:rFonts w:ascii="標楷體" w:eastAsia="標楷體" w:hAnsi="標楷體" w:hint="eastAsia"/>
          <w:spacing w:val="-2"/>
          <w:kern w:val="0"/>
          <w:szCs w:val="24"/>
        </w:rPr>
        <w:t>注「因應美國關稅我國出口供應鏈支持方案」，另亦組成談判小組與美國磋商，全力爭取改善關稅。按美國政府於2025年4月2日宣布加徵對等關稅，至同年月9日宣布除各國課徵10％關稅及中國大陸提高至125％外，其餘加徵對等關稅國家或地區暫緩實施90天，期間全球股市重挫，臺灣加權指數跌幅達18.34％，不僅大於鄰近之日本（跌11.23％）、南韓（跌8.47％）、中國大陸（跌4.87％），亦高於美國那斯達克指數（跌2.70％）。又立法院財政委員會114年4月10日邀請中央銀行、金融監督管理委員會、行政院主計總處、財政部、經濟部及農業部等財經及農業主管機關首長，就「川普對等關稅政策實施，對我國股</w:t>
      </w:r>
      <w:proofErr w:type="gramStart"/>
      <w:r w:rsidR="00ED2F91" w:rsidRPr="00EE5695">
        <w:rPr>
          <w:rFonts w:ascii="標楷體" w:eastAsia="標楷體" w:hAnsi="標楷體" w:hint="eastAsia"/>
          <w:spacing w:val="-2"/>
          <w:kern w:val="0"/>
          <w:szCs w:val="24"/>
        </w:rPr>
        <w:t>匯</w:t>
      </w:r>
      <w:proofErr w:type="gramEnd"/>
      <w:r w:rsidR="00ED2F91" w:rsidRPr="00EE5695">
        <w:rPr>
          <w:rFonts w:ascii="標楷體" w:eastAsia="標楷體" w:hAnsi="標楷體" w:hint="eastAsia"/>
          <w:spacing w:val="-2"/>
          <w:kern w:val="0"/>
          <w:szCs w:val="24"/>
        </w:rPr>
        <w:t>市、經濟成長、物價、房市等項所造成之衝擊與因應措施」進行專題報告，上開機關針對美國政府高額關稅政策施行，羅列我國可能面臨之衝擊與影響，包括制約全球經濟成長動能，依牛津經濟研究院（Oxford Economic）預估114年全球經濟成長將下調至2％以下，野村（Nomura）等國際投資銀行則預測我國經濟成長率將減少0.4至1.1個百分點；加徵關稅衝擊全球供應鏈，倘</w:t>
      </w:r>
      <w:proofErr w:type="gramStart"/>
      <w:r w:rsidR="00ED2F91" w:rsidRPr="00EE5695">
        <w:rPr>
          <w:rFonts w:ascii="標楷體" w:eastAsia="標楷體" w:hAnsi="標楷體" w:hint="eastAsia"/>
          <w:spacing w:val="-2"/>
          <w:kern w:val="0"/>
          <w:szCs w:val="24"/>
        </w:rPr>
        <w:t>引發斷鏈危機</w:t>
      </w:r>
      <w:proofErr w:type="gramEnd"/>
      <w:r w:rsidR="00ED2F91" w:rsidRPr="00EE5695">
        <w:rPr>
          <w:rFonts w:ascii="標楷體" w:eastAsia="標楷體" w:hAnsi="標楷體" w:hint="eastAsia"/>
          <w:spacing w:val="-2"/>
          <w:kern w:val="0"/>
          <w:szCs w:val="24"/>
        </w:rPr>
        <w:t>，將使廠商生產成本提高，轉嫁至終端產品價格，增加長期物價變動不確定性；美國對等關稅政策可能透過對國內經濟金融情勢之衝擊，而間接影響房市，另經濟部及農業部亦就美國實施對等關稅，盤點及評估相關工業、農業受影響情形等。又美國政府復於2025年4月12日宣布暫時豁免部分消費性電子產品關稅，</w:t>
      </w:r>
      <w:r w:rsidR="00ED2F91" w:rsidRPr="00684106">
        <w:rPr>
          <w:rFonts w:ascii="標楷體" w:eastAsia="標楷體" w:hAnsi="標楷體" w:hint="eastAsia"/>
          <w:spacing w:val="-2"/>
          <w:kern w:val="0"/>
          <w:szCs w:val="24"/>
        </w:rPr>
        <w:t>各國對等關稅實際稅率將視與美國協商結果而定，顯示美國政府對等關稅政策具高度不確定性，取決於雙方協商談判結果，影響國際經濟與金融變動時間將延長。另我國因受惠美中貿易與科技爭端、美國</w:t>
      </w:r>
      <w:proofErr w:type="gramStart"/>
      <w:r w:rsidR="00ED2F91" w:rsidRPr="00684106">
        <w:rPr>
          <w:rFonts w:ascii="標楷體" w:eastAsia="標楷體" w:hAnsi="標楷體" w:hint="eastAsia"/>
          <w:spacing w:val="-2"/>
          <w:kern w:val="0"/>
          <w:szCs w:val="24"/>
        </w:rPr>
        <w:t>強化資安防護</w:t>
      </w:r>
      <w:proofErr w:type="gramEnd"/>
      <w:r w:rsidR="00ED2F91" w:rsidRPr="00684106">
        <w:rPr>
          <w:rFonts w:ascii="標楷體" w:eastAsia="標楷體" w:hAnsi="標楷體" w:hint="eastAsia"/>
          <w:spacing w:val="-2"/>
          <w:kern w:val="0"/>
          <w:szCs w:val="24"/>
        </w:rPr>
        <w:t>、</w:t>
      </w:r>
      <w:proofErr w:type="gramStart"/>
      <w:r w:rsidR="00ED2F91" w:rsidRPr="00684106">
        <w:rPr>
          <w:rFonts w:ascii="標楷體" w:eastAsia="標楷體" w:hAnsi="標楷體" w:hint="eastAsia"/>
          <w:spacing w:val="-2"/>
          <w:kern w:val="0"/>
          <w:szCs w:val="24"/>
        </w:rPr>
        <w:t>新型冠</w:t>
      </w:r>
      <w:proofErr w:type="gramEnd"/>
      <w:r w:rsidR="00ED2F91" w:rsidRPr="00684106">
        <w:rPr>
          <w:rFonts w:ascii="標楷體" w:eastAsia="標楷體" w:hAnsi="標楷體" w:hint="eastAsia"/>
          <w:spacing w:val="-2"/>
          <w:kern w:val="0"/>
          <w:szCs w:val="24"/>
        </w:rPr>
        <w:t>狀病毒肺炎（COVID-19）</w:t>
      </w:r>
      <w:proofErr w:type="gramStart"/>
      <w:r w:rsidR="00ED2F91" w:rsidRPr="00684106">
        <w:rPr>
          <w:rFonts w:ascii="標楷體" w:eastAsia="標楷體" w:hAnsi="標楷體" w:hint="eastAsia"/>
          <w:spacing w:val="-2"/>
          <w:kern w:val="0"/>
          <w:szCs w:val="24"/>
        </w:rPr>
        <w:t>疫情及</w:t>
      </w:r>
      <w:proofErr w:type="gramEnd"/>
      <w:r w:rsidR="00ED2F91" w:rsidRPr="00684106">
        <w:rPr>
          <w:rFonts w:ascii="標楷體" w:eastAsia="標楷體" w:hAnsi="標楷體" w:hint="eastAsia"/>
          <w:spacing w:val="-2"/>
          <w:kern w:val="0"/>
          <w:szCs w:val="24"/>
        </w:rPr>
        <w:t>人工智慧（Artificial Intelligence, AI）等影響，帶動美國對我國資通與視聽等高科技產品需求增加，我國對美國出口金額由</w:t>
      </w:r>
      <w:proofErr w:type="gramStart"/>
      <w:r w:rsidR="00ED2F91" w:rsidRPr="00684106">
        <w:rPr>
          <w:rFonts w:ascii="標楷體" w:eastAsia="標楷體" w:hAnsi="標楷體" w:hint="eastAsia"/>
          <w:spacing w:val="-2"/>
          <w:kern w:val="0"/>
          <w:szCs w:val="24"/>
        </w:rPr>
        <w:t>107</w:t>
      </w:r>
      <w:proofErr w:type="gramEnd"/>
      <w:r w:rsidR="00ED2F91" w:rsidRPr="00684106">
        <w:rPr>
          <w:rFonts w:ascii="標楷體" w:eastAsia="標楷體" w:hAnsi="標楷體" w:hint="eastAsia"/>
          <w:spacing w:val="-2"/>
          <w:kern w:val="0"/>
          <w:szCs w:val="24"/>
        </w:rPr>
        <w:t>年度之395億美元，逐年增加至</w:t>
      </w:r>
      <w:proofErr w:type="gramStart"/>
      <w:r w:rsidR="00ED2F91" w:rsidRPr="00684106">
        <w:rPr>
          <w:rFonts w:ascii="標楷體" w:eastAsia="標楷體" w:hAnsi="標楷體" w:hint="eastAsia"/>
          <w:spacing w:val="-2"/>
          <w:kern w:val="0"/>
          <w:szCs w:val="24"/>
        </w:rPr>
        <w:t>113</w:t>
      </w:r>
      <w:proofErr w:type="gramEnd"/>
      <w:r w:rsidR="00ED2F91" w:rsidRPr="00684106">
        <w:rPr>
          <w:rFonts w:ascii="標楷體" w:eastAsia="標楷體" w:hAnsi="標楷體" w:hint="eastAsia"/>
          <w:spacing w:val="-2"/>
          <w:kern w:val="0"/>
          <w:szCs w:val="24"/>
        </w:rPr>
        <w:t>年度之1,114億美元，6年間增加719億美元，約182.03％；同期間對美國進口金額雖由331億美元，增加至465億美元，惟6年間僅增加134億美元，約40.48％，導致出超金額由</w:t>
      </w:r>
      <w:proofErr w:type="gramStart"/>
      <w:r w:rsidR="00ED2F91" w:rsidRPr="00684106">
        <w:rPr>
          <w:rFonts w:ascii="標楷體" w:eastAsia="標楷體" w:hAnsi="標楷體" w:hint="eastAsia"/>
          <w:spacing w:val="-2"/>
          <w:kern w:val="0"/>
          <w:szCs w:val="24"/>
        </w:rPr>
        <w:t>107</w:t>
      </w:r>
      <w:proofErr w:type="gramEnd"/>
      <w:r w:rsidR="00ED2F91" w:rsidRPr="00684106">
        <w:rPr>
          <w:rFonts w:ascii="標楷體" w:eastAsia="標楷體" w:hAnsi="標楷體" w:hint="eastAsia"/>
          <w:spacing w:val="-2"/>
          <w:kern w:val="0"/>
          <w:szCs w:val="24"/>
        </w:rPr>
        <w:t>年度之64億美元增加至113</w:t>
      </w:r>
      <w:r w:rsidR="00ED2F91" w:rsidRPr="00684106">
        <w:rPr>
          <w:rFonts w:ascii="標楷體" w:eastAsia="標楷體" w:hAnsi="標楷體" w:cstheme="minorBidi" w:hint="eastAsia"/>
          <w:noProof/>
          <w:spacing w:val="-2"/>
          <w:kern w:val="0"/>
          <w:szCs w:val="24"/>
        </w:rPr>
        <w:t xml:space="preserve"> </w:t>
      </w:r>
      <w:r w:rsidR="00ED2F91" w:rsidRPr="00684106">
        <w:rPr>
          <w:rFonts w:ascii="標楷體" w:eastAsia="標楷體" w:hAnsi="標楷體" w:hint="eastAsia"/>
          <w:spacing w:val="-2"/>
          <w:kern w:val="0"/>
          <w:szCs w:val="24"/>
        </w:rPr>
        <w:t>年度</w:t>
      </w:r>
    </w:p>
    <w:p w14:paraId="0442A7DD" w14:textId="7DDD7EE9" w:rsidR="00AB6D0E" w:rsidRPr="00577FE2" w:rsidRDefault="004B58DF" w:rsidP="00577FE2">
      <w:pPr>
        <w:overflowPunct w:val="0"/>
        <w:spacing w:line="410" w:lineRule="exact"/>
        <w:jc w:val="both"/>
        <w:rPr>
          <w:rFonts w:ascii="標楷體" w:eastAsia="標楷體" w:hAnsi="標楷體"/>
          <w:spacing w:val="-2"/>
          <w:kern w:val="0"/>
          <w:szCs w:val="24"/>
          <w:shd w:val="pct15" w:color="auto" w:fill="FFFFFF"/>
        </w:rPr>
      </w:pPr>
      <w:r w:rsidRPr="004B58DF">
        <w:rPr>
          <w:rFonts w:ascii="標楷體" w:eastAsia="標楷體" w:hAnsi="標楷體" w:hint="eastAsia"/>
          <w:kern w:val="0"/>
          <w:szCs w:val="24"/>
        </w:rPr>
        <w:t>之649億美元（圖</w:t>
      </w:r>
      <w:r w:rsidR="009E3955">
        <w:rPr>
          <w:rFonts w:ascii="標楷體" w:eastAsia="標楷體" w:hAnsi="標楷體" w:hint="eastAsia"/>
          <w:kern w:val="0"/>
          <w:szCs w:val="24"/>
        </w:rPr>
        <w:t>5</w:t>
      </w:r>
      <w:r w:rsidRPr="004B58DF">
        <w:rPr>
          <w:rFonts w:ascii="標楷體" w:eastAsia="標楷體" w:hAnsi="標楷體" w:hint="eastAsia"/>
          <w:kern w:val="0"/>
          <w:szCs w:val="24"/>
        </w:rPr>
        <w:t>），</w:t>
      </w:r>
      <w:r w:rsidRPr="00475C29">
        <w:rPr>
          <w:rFonts w:ascii="標楷體" w:eastAsia="標楷體" w:hAnsi="標楷體" w:cstheme="minorBidi" w:hint="eastAsia"/>
          <w:noProof/>
          <w:kern w:val="0"/>
          <w:szCs w:val="24"/>
        </w:rPr>
        <w:lastRenderedPageBreak/>
        <mc:AlternateContent>
          <mc:Choice Requires="wps">
            <w:drawing>
              <wp:anchor distT="0" distB="0" distL="114300" distR="114300" simplePos="0" relativeHeight="251673600" behindDoc="1" locked="0" layoutInCell="1" allowOverlap="1" wp14:anchorId="41AAA8F0" wp14:editId="47115427">
                <wp:simplePos x="0" y="0"/>
                <wp:positionH relativeFrom="column">
                  <wp:posOffset>2192655</wp:posOffset>
                </wp:positionH>
                <wp:positionV relativeFrom="paragraph">
                  <wp:posOffset>7620</wp:posOffset>
                </wp:positionV>
                <wp:extent cx="4114800" cy="2781300"/>
                <wp:effectExtent l="0" t="0" r="0" b="0"/>
                <wp:wrapSquare wrapText="bothSides"/>
                <wp:docPr id="2008327056" name="文字方塊 2008327056"/>
                <wp:cNvGraphicFramePr/>
                <a:graphic xmlns:a="http://schemas.openxmlformats.org/drawingml/2006/main">
                  <a:graphicData uri="http://schemas.microsoft.com/office/word/2010/wordprocessingShape">
                    <wps:wsp>
                      <wps:cNvSpPr txBox="1"/>
                      <wps:spPr>
                        <a:xfrm>
                          <a:off x="0" y="0"/>
                          <a:ext cx="4114800" cy="2781300"/>
                        </a:xfrm>
                        <a:prstGeom prst="rect">
                          <a:avLst/>
                        </a:prstGeom>
                        <a:solidFill>
                          <a:sysClr val="window" lastClr="FFFFFF"/>
                        </a:solidFill>
                        <a:ln w="6350">
                          <a:noFill/>
                        </a:ln>
                      </wps:spPr>
                      <wps:txbx>
                        <w:txbxContent>
                          <w:p w14:paraId="0930BAC6" w14:textId="6C0FE6AA" w:rsidR="00A94FE8" w:rsidRDefault="000E4E08" w:rsidP="00A94FE8">
                            <w:r w:rsidRPr="00021B3C">
                              <w:rPr>
                                <w:noProof/>
                                <w:color w:val="FFFFFF" w:themeColor="background1"/>
                              </w:rPr>
                              <w:drawing>
                                <wp:inline distT="0" distB="0" distL="0" distR="0" wp14:anchorId="391107BC" wp14:editId="5D629A6D">
                                  <wp:extent cx="3726180" cy="2519680"/>
                                  <wp:effectExtent l="0" t="0" r="7620" b="0"/>
                                  <wp:docPr id="55" name="圖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AA8F0" id="文字方塊 2008327056" o:spid="_x0000_s1050" type="#_x0000_t202" style="position:absolute;left:0;text-align:left;margin-left:172.65pt;margin-top:.6pt;width:324pt;height:21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" fillcolor="window" stroked="f" strokeweight=".5pt">
                <v:textbox>
                  <w:txbxContent>
                    <w:p w14:paraId="0930BAC6" w14:textId="6C0FE6AA" w:rsidR="00A94FE8" w:rsidRDefault="000E4E08" w:rsidP="00A94FE8">
                      <w:r w:rsidRPr="00021B3C">
                        <w:rPr>
                          <w:noProof/>
                          <w:color w:val="FFFFFF" w:themeColor="background1"/>
                        </w:rPr>
                        <w:drawing>
                          <wp:inline distT="0" distB="0" distL="0" distR="0" wp14:anchorId="391107BC" wp14:editId="5D629A6D">
                            <wp:extent cx="3726180" cy="2519680"/>
                            <wp:effectExtent l="0" t="0" r="7620" b="0"/>
                            <wp:docPr id="55" name="圖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w10:wrap type="square"/>
              </v:shape>
            </w:pict>
          </mc:Fallback>
        </mc:AlternateContent>
      </w:r>
      <w:r w:rsidR="00ED2F91" w:rsidRPr="00475C29">
        <w:rPr>
          <w:rFonts w:ascii="標楷體" w:eastAsia="標楷體" w:hAnsi="標楷體" w:hint="eastAsia"/>
          <w:kern w:val="0"/>
          <w:szCs w:val="24"/>
        </w:rPr>
        <w:t>6年間增加585億美元，約914.06％</w:t>
      </w:r>
      <w:r w:rsidR="00447BC5">
        <w:rPr>
          <w:rFonts w:ascii="標楷體" w:eastAsia="標楷體" w:hAnsi="標楷體" w:hint="eastAsia"/>
          <w:kern w:val="0"/>
          <w:szCs w:val="24"/>
        </w:rPr>
        <w:t>。</w:t>
      </w:r>
      <w:r w:rsidR="00ED2F91" w:rsidRPr="00475C29">
        <w:rPr>
          <w:rFonts w:ascii="標楷體" w:eastAsia="標楷體" w:hAnsi="標楷體" w:hint="eastAsia"/>
          <w:kern w:val="0"/>
          <w:szCs w:val="24"/>
        </w:rPr>
        <w:t>據美國商務部統計資料，2024年我國已為美國第6大入超國，僅次於中國大陸、墨西哥、越南、愛爾蘭及德國</w:t>
      </w:r>
      <w:r w:rsidR="008E0190">
        <w:rPr>
          <w:rFonts w:ascii="標楷體" w:eastAsia="標楷體" w:hAnsi="標楷體" w:hint="eastAsia"/>
          <w:kern w:val="0"/>
          <w:szCs w:val="24"/>
        </w:rPr>
        <w:t>，</w:t>
      </w:r>
      <w:r w:rsidR="00ED2F91" w:rsidRPr="00475C29">
        <w:rPr>
          <w:rFonts w:ascii="標楷體" w:eastAsia="標楷體" w:hAnsi="標楷體" w:hint="eastAsia"/>
          <w:kern w:val="0"/>
          <w:szCs w:val="24"/>
        </w:rPr>
        <w:t>又</w:t>
      </w:r>
      <w:proofErr w:type="gramStart"/>
      <w:r w:rsidR="00ED2F91" w:rsidRPr="00475C29">
        <w:rPr>
          <w:rFonts w:ascii="標楷體" w:eastAsia="標楷體" w:hAnsi="標楷體" w:hint="eastAsia"/>
          <w:kern w:val="0"/>
          <w:szCs w:val="24"/>
        </w:rPr>
        <w:t>113</w:t>
      </w:r>
      <w:proofErr w:type="gramEnd"/>
      <w:r w:rsidR="00ED2F91" w:rsidRPr="00475C29">
        <w:rPr>
          <w:rFonts w:ascii="標楷體" w:eastAsia="標楷體" w:hAnsi="標楷體" w:hint="eastAsia"/>
          <w:kern w:val="0"/>
          <w:szCs w:val="24"/>
        </w:rPr>
        <w:t>年度我國對美國出口值占整體出口值比重達23.4％，僅次於中國大陸（含香港）31.7％，為我國第二大出口市場，且出口產品中，「資通與視聽產品」及「電子零組件」等2類比重逾</w:t>
      </w:r>
      <w:proofErr w:type="gramStart"/>
      <w:r w:rsidR="00ED2F91" w:rsidRPr="00475C29">
        <w:rPr>
          <w:rFonts w:ascii="標楷體" w:eastAsia="標楷體" w:hAnsi="標楷體" w:hint="eastAsia"/>
          <w:kern w:val="0"/>
          <w:szCs w:val="24"/>
        </w:rPr>
        <w:t>6成</w:t>
      </w:r>
      <w:proofErr w:type="gramEnd"/>
      <w:r w:rsidR="00ED2F91" w:rsidRPr="00475C29">
        <w:rPr>
          <w:rFonts w:ascii="標楷體" w:eastAsia="標楷體" w:hAnsi="標楷體" w:hint="eastAsia"/>
          <w:kern w:val="0"/>
          <w:szCs w:val="24"/>
        </w:rPr>
        <w:t>（圖</w:t>
      </w:r>
      <w:r w:rsidR="00FC2949" w:rsidRPr="00475C29">
        <w:rPr>
          <w:rFonts w:ascii="標楷體" w:eastAsia="標楷體" w:hAnsi="標楷體" w:hint="eastAsia"/>
          <w:kern w:val="0"/>
          <w:szCs w:val="24"/>
        </w:rPr>
        <w:t>6</w:t>
      </w:r>
      <w:r w:rsidR="00ED2F91" w:rsidRPr="00475C29">
        <w:rPr>
          <w:rFonts w:ascii="標楷體" w:eastAsia="標楷體" w:hAnsi="標楷體" w:hint="eastAsia"/>
          <w:kern w:val="0"/>
          <w:szCs w:val="24"/>
        </w:rPr>
        <w:t>），</w:t>
      </w:r>
      <w:proofErr w:type="gramStart"/>
      <w:r w:rsidR="00ED2F91" w:rsidRPr="00475C29">
        <w:rPr>
          <w:rFonts w:ascii="標楷體" w:eastAsia="標楷體" w:hAnsi="標楷體" w:hint="eastAsia"/>
          <w:kern w:val="0"/>
          <w:szCs w:val="24"/>
        </w:rPr>
        <w:t>恐係美國</w:t>
      </w:r>
      <w:proofErr w:type="gramEnd"/>
      <w:r w:rsidR="00ED2F91" w:rsidRPr="00475C29">
        <w:rPr>
          <w:rFonts w:ascii="標楷體" w:eastAsia="標楷體" w:hAnsi="標楷體" w:hint="eastAsia"/>
          <w:kern w:val="0"/>
          <w:szCs w:val="24"/>
        </w:rPr>
        <w:t>加徵對等關稅之主因。</w:t>
      </w:r>
      <w:r w:rsidR="00ED2F91" w:rsidRPr="00577FE2">
        <w:rPr>
          <w:rFonts w:ascii="標楷體" w:eastAsia="標楷體" w:hAnsi="標楷體" w:hint="eastAsia"/>
          <w:spacing w:val="-2"/>
          <w:kern w:val="0"/>
          <w:szCs w:val="24"/>
        </w:rPr>
        <w:t>經函請行政院督促權責機關確實掌握美國對等關稅最新發展、各國因應方式，積極溝通協商，並滾動檢討因應對策，暨強化出口市場與產品之分散，針對不同產業與市場，擬定拓銷策略，以降低對我國經濟與金融之衝擊，及促進出口成長動能。據復：</w:t>
      </w:r>
      <w:r w:rsidR="00577FE2" w:rsidRPr="00577FE2">
        <w:rPr>
          <w:rFonts w:ascii="標楷體" w:eastAsia="標楷體" w:hAnsi="標楷體" w:hint="eastAsia"/>
          <w:spacing w:val="-2"/>
          <w:kern w:val="0"/>
          <w:szCs w:val="24"/>
        </w:rPr>
        <w:t>已訂定出口廠商金融支持及勞工安定就業等執行或推動要點，並提出包含</w:t>
      </w:r>
      <w:r w:rsidR="00577FE2" w:rsidRPr="00577FE2">
        <w:rPr>
          <w:rFonts w:ascii="標楷體" w:eastAsia="標楷體" w:hAnsi="標楷體"/>
          <w:spacing w:val="-2"/>
          <w:kern w:val="0"/>
          <w:szCs w:val="24"/>
        </w:rPr>
        <w:t>4</w:t>
      </w:r>
      <w:r w:rsidR="00577FE2" w:rsidRPr="00577FE2">
        <w:rPr>
          <w:rFonts w:ascii="標楷體" w:eastAsia="標楷體" w:hAnsi="標楷體" w:hint="eastAsia"/>
          <w:spacing w:val="-2"/>
          <w:kern w:val="0"/>
          <w:szCs w:val="24"/>
        </w:rPr>
        <w:t>項主軸、</w:t>
      </w:r>
      <w:r w:rsidR="00577FE2" w:rsidRPr="00577FE2">
        <w:rPr>
          <w:rFonts w:ascii="標楷體" w:eastAsia="標楷體" w:hAnsi="標楷體"/>
          <w:spacing w:val="-2"/>
          <w:kern w:val="0"/>
          <w:szCs w:val="24"/>
        </w:rPr>
        <w:t>10</w:t>
      </w:r>
      <w:r w:rsidR="00577FE2" w:rsidRPr="00577FE2">
        <w:rPr>
          <w:rFonts w:ascii="標楷體" w:eastAsia="標楷體" w:hAnsi="標楷體" w:hint="eastAsia"/>
          <w:spacing w:val="-2"/>
          <w:kern w:val="0"/>
          <w:szCs w:val="24"/>
        </w:rPr>
        <w:t>項支持措施之特別預算條例草案，於</w:t>
      </w:r>
      <w:r w:rsidR="00577FE2" w:rsidRPr="00577FE2">
        <w:rPr>
          <w:rFonts w:ascii="標楷體" w:eastAsia="標楷體" w:hAnsi="標楷體"/>
          <w:spacing w:val="-2"/>
          <w:kern w:val="0"/>
          <w:szCs w:val="24"/>
        </w:rPr>
        <w:t>114</w:t>
      </w:r>
      <w:r w:rsidR="00577FE2" w:rsidRPr="00577FE2">
        <w:rPr>
          <w:rFonts w:ascii="標楷體" w:eastAsia="標楷體" w:hAnsi="標楷體" w:hint="eastAsia"/>
          <w:spacing w:val="-2"/>
          <w:kern w:val="0"/>
          <w:szCs w:val="24"/>
        </w:rPr>
        <w:t>年</w:t>
      </w:r>
      <w:r w:rsidR="00577FE2" w:rsidRPr="00577FE2">
        <w:rPr>
          <w:rFonts w:ascii="標楷體" w:eastAsia="標楷體" w:hAnsi="標楷體"/>
          <w:spacing w:val="-2"/>
          <w:kern w:val="0"/>
          <w:szCs w:val="24"/>
        </w:rPr>
        <w:t>4</w:t>
      </w:r>
      <w:r w:rsidR="00577FE2" w:rsidRPr="00577FE2">
        <w:rPr>
          <w:rFonts w:ascii="標楷體" w:eastAsia="標楷體" w:hAnsi="標楷體" w:hint="eastAsia"/>
          <w:spacing w:val="-2"/>
          <w:kern w:val="0"/>
          <w:szCs w:val="24"/>
        </w:rPr>
        <w:t>月</w:t>
      </w:r>
      <w:r w:rsidR="00577FE2" w:rsidRPr="00577FE2">
        <w:rPr>
          <w:rFonts w:ascii="標楷體" w:eastAsia="標楷體" w:hAnsi="標楷體"/>
          <w:spacing w:val="-2"/>
          <w:kern w:val="0"/>
          <w:szCs w:val="24"/>
        </w:rPr>
        <w:t>24</w:t>
      </w:r>
      <w:r w:rsidR="00577FE2" w:rsidRPr="00577FE2">
        <w:rPr>
          <w:rFonts w:ascii="標楷體" w:eastAsia="標楷體" w:hAnsi="標楷體" w:hint="eastAsia"/>
          <w:spacing w:val="-2"/>
          <w:kern w:val="0"/>
          <w:szCs w:val="24"/>
        </w:rPr>
        <w:t>日函送立法院審議中。未來將持續密切關注與美國就關稅等經貿議題磋商結果，就各產業主管機關評估產業所受影響及國際情勢，</w:t>
      </w:r>
      <w:proofErr w:type="gramStart"/>
      <w:r w:rsidR="00577FE2" w:rsidRPr="00577FE2">
        <w:rPr>
          <w:rFonts w:ascii="標楷體" w:eastAsia="標楷體" w:hAnsi="標楷體" w:hint="eastAsia"/>
          <w:spacing w:val="-2"/>
          <w:kern w:val="0"/>
          <w:szCs w:val="24"/>
        </w:rPr>
        <w:t>賡</w:t>
      </w:r>
      <w:proofErr w:type="gramEnd"/>
      <w:r w:rsidR="00577FE2" w:rsidRPr="00577FE2">
        <w:rPr>
          <w:rFonts w:ascii="標楷體" w:eastAsia="標楷體" w:hAnsi="標楷體" w:hint="eastAsia"/>
          <w:spacing w:val="-2"/>
          <w:kern w:val="0"/>
          <w:szCs w:val="24"/>
        </w:rPr>
        <w:t>續輔導產業發展、提供金融支持及協助勞工穩定就業，以達成維持物價與金融穩定，並協助經濟發展。</w:t>
      </w:r>
    </w:p>
    <w:p w14:paraId="2BC4F56C" w14:textId="7E696C05" w:rsidR="00122919" w:rsidRPr="00122919" w:rsidRDefault="00122919" w:rsidP="008F0E54">
      <w:pPr>
        <w:overflowPunct w:val="0"/>
        <w:spacing w:beforeLines="20" w:before="72" w:afterLines="20" w:after="72" w:line="440" w:lineRule="exact"/>
        <w:ind w:firstLineChars="200" w:firstLine="561"/>
        <w:jc w:val="both"/>
        <w:outlineLvl w:val="1"/>
        <w:rPr>
          <w:rFonts w:ascii="標楷體" w:eastAsia="標楷體"/>
          <w:b/>
          <w:sz w:val="28"/>
          <w:szCs w:val="28"/>
          <w:lang w:val="x-none"/>
        </w:rPr>
      </w:pPr>
      <w:r w:rsidRPr="00122919">
        <w:rPr>
          <w:rFonts w:ascii="標楷體" w:eastAsia="標楷體" w:hint="eastAsia"/>
          <w:b/>
          <w:sz w:val="28"/>
          <w:szCs w:val="28"/>
          <w:lang w:eastAsia="x-none"/>
        </w:rPr>
        <w:t>（</w:t>
      </w:r>
      <w:r>
        <w:rPr>
          <w:rFonts w:ascii="標楷體" w:eastAsia="標楷體" w:hint="eastAsia"/>
          <w:b/>
          <w:sz w:val="28"/>
          <w:szCs w:val="28"/>
          <w:lang w:val="x-none"/>
        </w:rPr>
        <w:t>七</w:t>
      </w:r>
      <w:r w:rsidRPr="00122919">
        <w:rPr>
          <w:rFonts w:ascii="標楷體" w:eastAsia="標楷體" w:hint="eastAsia"/>
          <w:b/>
          <w:sz w:val="28"/>
          <w:szCs w:val="28"/>
          <w:lang w:eastAsia="x-none"/>
        </w:rPr>
        <w:t xml:space="preserve">）　</w:t>
      </w:r>
      <w:r w:rsidR="00AB6D0E" w:rsidRPr="00AB6D0E">
        <w:rPr>
          <w:rFonts w:ascii="標楷體" w:eastAsia="標楷體" w:hint="eastAsia"/>
          <w:b/>
          <w:sz w:val="28"/>
          <w:szCs w:val="28"/>
          <w:lang w:val="x-none"/>
        </w:rPr>
        <w:t>政府為強化防制詐欺危害，嚴懲詐欺犯罪，推動新世代打擊詐欺策略行動綱領1.5版及通過</w:t>
      </w:r>
      <w:proofErr w:type="gramStart"/>
      <w:r w:rsidR="00AB6D0E" w:rsidRPr="00AB6D0E">
        <w:rPr>
          <w:rFonts w:ascii="標楷體" w:eastAsia="標楷體" w:hint="eastAsia"/>
          <w:b/>
          <w:sz w:val="28"/>
          <w:szCs w:val="28"/>
          <w:lang w:val="x-none"/>
        </w:rPr>
        <w:t>打詐新</w:t>
      </w:r>
      <w:proofErr w:type="gramEnd"/>
      <w:r w:rsidR="00AB6D0E" w:rsidRPr="00AB6D0E">
        <w:rPr>
          <w:rFonts w:ascii="標楷體" w:eastAsia="標楷體" w:hint="eastAsia"/>
          <w:b/>
          <w:sz w:val="28"/>
          <w:szCs w:val="28"/>
          <w:lang w:val="x-none"/>
        </w:rPr>
        <w:t>4法，並轉型</w:t>
      </w:r>
      <w:proofErr w:type="gramStart"/>
      <w:r w:rsidR="00AB6D0E" w:rsidRPr="00AB6D0E">
        <w:rPr>
          <w:rFonts w:ascii="標楷體" w:eastAsia="標楷體" w:hint="eastAsia"/>
          <w:b/>
          <w:sz w:val="28"/>
          <w:szCs w:val="28"/>
          <w:lang w:val="x-none"/>
        </w:rPr>
        <w:t>打詐組織</w:t>
      </w:r>
      <w:proofErr w:type="gramEnd"/>
      <w:r w:rsidR="00AB6D0E" w:rsidRPr="00AB6D0E">
        <w:rPr>
          <w:rFonts w:ascii="標楷體" w:eastAsia="標楷體" w:hint="eastAsia"/>
          <w:b/>
          <w:sz w:val="28"/>
          <w:szCs w:val="28"/>
          <w:lang w:val="x-none"/>
        </w:rPr>
        <w:t>，</w:t>
      </w:r>
      <w:proofErr w:type="gramStart"/>
      <w:r w:rsidR="00AB6D0E" w:rsidRPr="00AB6D0E">
        <w:rPr>
          <w:rFonts w:ascii="標楷體" w:eastAsia="標楷體" w:hint="eastAsia"/>
          <w:b/>
          <w:sz w:val="28"/>
          <w:szCs w:val="28"/>
          <w:lang w:val="x-none"/>
        </w:rPr>
        <w:t>整合打詐量能</w:t>
      </w:r>
      <w:proofErr w:type="gramEnd"/>
      <w:r w:rsidR="00AB6D0E" w:rsidRPr="00AB6D0E">
        <w:rPr>
          <w:rFonts w:ascii="標楷體" w:eastAsia="標楷體" w:hint="eastAsia"/>
          <w:b/>
          <w:sz w:val="28"/>
          <w:szCs w:val="28"/>
          <w:lang w:val="x-none"/>
        </w:rPr>
        <w:t>推展策略工作，已有相當執行成果，惟詐欺案件及財損金額持續</w:t>
      </w:r>
      <w:proofErr w:type="gramStart"/>
      <w:r w:rsidR="00AB6D0E" w:rsidRPr="00AB6D0E">
        <w:rPr>
          <w:rFonts w:ascii="標楷體" w:eastAsia="標楷體" w:hint="eastAsia"/>
          <w:b/>
          <w:sz w:val="28"/>
          <w:szCs w:val="28"/>
          <w:lang w:val="x-none"/>
        </w:rPr>
        <w:t>高發，打詐新</w:t>
      </w:r>
      <w:proofErr w:type="gramEnd"/>
      <w:r w:rsidR="00AB6D0E" w:rsidRPr="00AB6D0E">
        <w:rPr>
          <w:rFonts w:ascii="標楷體" w:eastAsia="標楷體" w:hint="eastAsia"/>
          <w:b/>
          <w:sz w:val="28"/>
          <w:szCs w:val="28"/>
          <w:lang w:val="x-none"/>
        </w:rPr>
        <w:t>4法部分條文迄未公布施行或配套措施未完成，</w:t>
      </w:r>
      <w:proofErr w:type="gramStart"/>
      <w:r w:rsidR="00AB6D0E" w:rsidRPr="00AB6D0E">
        <w:rPr>
          <w:rFonts w:ascii="標楷體" w:eastAsia="標楷體" w:hint="eastAsia"/>
          <w:b/>
          <w:sz w:val="28"/>
          <w:szCs w:val="28"/>
          <w:lang w:val="x-none"/>
        </w:rPr>
        <w:t>打詐策略</w:t>
      </w:r>
      <w:proofErr w:type="gramEnd"/>
      <w:r w:rsidR="00AB6D0E" w:rsidRPr="00AB6D0E">
        <w:rPr>
          <w:rFonts w:ascii="標楷體" w:eastAsia="標楷體" w:hint="eastAsia"/>
          <w:b/>
          <w:sz w:val="28"/>
          <w:szCs w:val="28"/>
          <w:lang w:val="x-none"/>
        </w:rPr>
        <w:t>工作仍待整合精進推動</w:t>
      </w:r>
      <w:r w:rsidR="002546AE">
        <w:rPr>
          <w:rFonts w:ascii="標楷體" w:eastAsia="標楷體" w:hint="eastAsia"/>
          <w:b/>
          <w:sz w:val="28"/>
          <w:szCs w:val="28"/>
          <w:lang w:val="x-none"/>
        </w:rPr>
        <w:t>，</w:t>
      </w:r>
      <w:r w:rsidR="00AB6D0E" w:rsidRPr="00AB6D0E">
        <w:rPr>
          <w:rFonts w:ascii="標楷體" w:eastAsia="標楷體" w:hint="eastAsia"/>
          <w:b/>
          <w:sz w:val="28"/>
          <w:szCs w:val="28"/>
          <w:lang w:val="x-none"/>
        </w:rPr>
        <w:t>允宜持續善用資通訊及多元科技技術，強化應對作為，及早完備法制與</w:t>
      </w:r>
      <w:proofErr w:type="gramStart"/>
      <w:r w:rsidR="00AB6D0E" w:rsidRPr="00AB6D0E">
        <w:rPr>
          <w:rFonts w:ascii="標楷體" w:eastAsia="標楷體" w:hint="eastAsia"/>
          <w:b/>
          <w:sz w:val="28"/>
          <w:szCs w:val="28"/>
          <w:lang w:val="x-none"/>
        </w:rPr>
        <w:t>踐行</w:t>
      </w:r>
      <w:proofErr w:type="gramEnd"/>
      <w:r w:rsidR="00AB6D0E" w:rsidRPr="00AB6D0E">
        <w:rPr>
          <w:rFonts w:ascii="標楷體" w:eastAsia="標楷體" w:hint="eastAsia"/>
          <w:b/>
          <w:sz w:val="28"/>
          <w:szCs w:val="28"/>
          <w:lang w:val="x-none"/>
        </w:rPr>
        <w:t>，以有效</w:t>
      </w:r>
      <w:proofErr w:type="gramStart"/>
      <w:r w:rsidR="00AB6D0E" w:rsidRPr="00AB6D0E">
        <w:rPr>
          <w:rFonts w:ascii="標楷體" w:eastAsia="標楷體" w:hint="eastAsia"/>
          <w:b/>
          <w:sz w:val="28"/>
          <w:szCs w:val="28"/>
          <w:lang w:val="x-none"/>
        </w:rPr>
        <w:t>防杜及阻</w:t>
      </w:r>
      <w:proofErr w:type="gramEnd"/>
      <w:r w:rsidR="00AB6D0E" w:rsidRPr="00AB6D0E">
        <w:rPr>
          <w:rFonts w:ascii="標楷體" w:eastAsia="標楷體" w:hint="eastAsia"/>
          <w:b/>
          <w:sz w:val="28"/>
          <w:szCs w:val="28"/>
          <w:lang w:val="x-none"/>
        </w:rPr>
        <w:t>絕詐欺，維護國家社會安定與發展。</w:t>
      </w:r>
    </w:p>
    <w:p w14:paraId="3E080A39" w14:textId="1DDC06D5" w:rsidR="00122919" w:rsidRPr="008F0E54" w:rsidRDefault="00724686" w:rsidP="008F0E54">
      <w:pPr>
        <w:overflowPunct w:val="0"/>
        <w:spacing w:line="430" w:lineRule="exact"/>
        <w:ind w:firstLineChars="200" w:firstLine="472"/>
        <w:jc w:val="both"/>
        <w:rPr>
          <w:rFonts w:ascii="標楷體" w:eastAsia="標楷體" w:hAnsi="標楷體"/>
          <w:spacing w:val="-2"/>
          <w:szCs w:val="24"/>
        </w:rPr>
      </w:pPr>
      <w:r w:rsidRPr="008F0E54">
        <w:rPr>
          <w:rFonts w:ascii="標楷體" w:eastAsia="標楷體" w:hAnsi="標楷體" w:hint="eastAsia"/>
          <w:spacing w:val="-2"/>
          <w:szCs w:val="24"/>
        </w:rPr>
        <w:t>行政院</w:t>
      </w:r>
      <w:proofErr w:type="gramStart"/>
      <w:r w:rsidRPr="008F0E54">
        <w:rPr>
          <w:rFonts w:ascii="標楷體" w:eastAsia="標楷體" w:hAnsi="標楷體" w:hint="eastAsia"/>
          <w:spacing w:val="-2"/>
          <w:szCs w:val="24"/>
        </w:rPr>
        <w:t>鑑</w:t>
      </w:r>
      <w:proofErr w:type="gramEnd"/>
      <w:r w:rsidRPr="008F0E54">
        <w:rPr>
          <w:rFonts w:ascii="標楷體" w:eastAsia="標楷體" w:hAnsi="標楷體" w:hint="eastAsia"/>
          <w:spacing w:val="-2"/>
          <w:szCs w:val="24"/>
        </w:rPr>
        <w:t>於詐欺犯罪集團組織層面廣泛且犯罪手法日新月異，衍生社會治安及國家安全問題，於111年7月訂頒「新世代打擊詐欺策略行動綱領」（下稱打詐綱領）。</w:t>
      </w:r>
      <w:proofErr w:type="gramStart"/>
      <w:r w:rsidRPr="008F0E54">
        <w:rPr>
          <w:rFonts w:ascii="標楷體" w:eastAsia="標楷體" w:hAnsi="標楷體" w:hint="eastAsia"/>
          <w:spacing w:val="-4"/>
          <w:szCs w:val="24"/>
        </w:rPr>
        <w:t>嗣</w:t>
      </w:r>
      <w:proofErr w:type="gramEnd"/>
      <w:r w:rsidRPr="008F0E54">
        <w:rPr>
          <w:rFonts w:ascii="標楷體" w:eastAsia="標楷體" w:hAnsi="標楷體" w:hint="eastAsia"/>
          <w:spacing w:val="-4"/>
          <w:szCs w:val="24"/>
        </w:rPr>
        <w:t>為因應詐欺案量</w:t>
      </w:r>
      <w:proofErr w:type="gramStart"/>
      <w:r w:rsidRPr="008F0E54">
        <w:rPr>
          <w:rFonts w:ascii="標楷體" w:eastAsia="標楷體" w:hAnsi="標楷體" w:hint="eastAsia"/>
          <w:spacing w:val="-4"/>
          <w:szCs w:val="24"/>
        </w:rPr>
        <w:t>持續高發</w:t>
      </w:r>
      <w:proofErr w:type="gramEnd"/>
      <w:r w:rsidRPr="008F0E54">
        <w:rPr>
          <w:rFonts w:ascii="標楷體" w:eastAsia="標楷體" w:hAnsi="標楷體" w:hint="eastAsia"/>
          <w:spacing w:val="-4"/>
          <w:szCs w:val="24"/>
        </w:rPr>
        <w:t>，滾動檢討打擊詐欺策略，於112年5月通過</w:t>
      </w:r>
      <w:proofErr w:type="gramStart"/>
      <w:r w:rsidRPr="008F0E54">
        <w:rPr>
          <w:rFonts w:ascii="標楷體" w:eastAsia="標楷體" w:hAnsi="標楷體" w:hint="eastAsia"/>
          <w:spacing w:val="-4"/>
          <w:szCs w:val="24"/>
        </w:rPr>
        <w:t>打詐綱領</w:t>
      </w:r>
      <w:proofErr w:type="gramEnd"/>
      <w:r w:rsidRPr="008F0E54">
        <w:rPr>
          <w:rFonts w:ascii="標楷體" w:eastAsia="標楷體" w:hAnsi="標楷體" w:hint="eastAsia"/>
          <w:spacing w:val="-4"/>
          <w:szCs w:val="24"/>
        </w:rPr>
        <w:t>1.5版，並設置行政院打擊詐欺辦公室，</w:t>
      </w:r>
      <w:proofErr w:type="gramStart"/>
      <w:r w:rsidRPr="008F0E54">
        <w:rPr>
          <w:rFonts w:ascii="標楷體" w:eastAsia="標楷體" w:hAnsi="標楷體" w:hint="eastAsia"/>
          <w:spacing w:val="-4"/>
          <w:szCs w:val="24"/>
        </w:rPr>
        <w:t>打詐綱領</w:t>
      </w:r>
      <w:proofErr w:type="gramEnd"/>
      <w:r w:rsidRPr="008F0E54">
        <w:rPr>
          <w:rFonts w:ascii="標楷體" w:eastAsia="標楷體" w:hAnsi="標楷體" w:hint="eastAsia"/>
          <w:spacing w:val="-4"/>
          <w:szCs w:val="24"/>
        </w:rPr>
        <w:t>1.5版執行</w:t>
      </w:r>
      <w:proofErr w:type="gramStart"/>
      <w:r w:rsidRPr="008F0E54">
        <w:rPr>
          <w:rFonts w:ascii="標楷體" w:eastAsia="標楷體" w:hAnsi="標楷體" w:hint="eastAsia"/>
          <w:spacing w:val="-4"/>
          <w:szCs w:val="24"/>
        </w:rPr>
        <w:t>期程至</w:t>
      </w:r>
      <w:proofErr w:type="gramEnd"/>
      <w:r w:rsidRPr="008F0E54">
        <w:rPr>
          <w:rFonts w:ascii="標楷體" w:eastAsia="標楷體" w:hAnsi="標楷體" w:hint="eastAsia"/>
          <w:spacing w:val="-4"/>
          <w:szCs w:val="24"/>
        </w:rPr>
        <w:t>113年底止，112及</w:t>
      </w:r>
      <w:proofErr w:type="gramStart"/>
      <w:r w:rsidRPr="008F0E54">
        <w:rPr>
          <w:rFonts w:ascii="標楷體" w:eastAsia="標楷體" w:hAnsi="標楷體" w:hint="eastAsia"/>
          <w:spacing w:val="-4"/>
          <w:szCs w:val="24"/>
        </w:rPr>
        <w:t>113</w:t>
      </w:r>
      <w:proofErr w:type="gramEnd"/>
      <w:r w:rsidRPr="008F0E54">
        <w:rPr>
          <w:rFonts w:ascii="標楷體" w:eastAsia="標楷體" w:hAnsi="標楷體" w:hint="eastAsia"/>
          <w:spacing w:val="-4"/>
          <w:szCs w:val="24"/>
        </w:rPr>
        <w:t>年度相關預算15億760萬餘元，截至113年底止，累計實現數13億9,839萬餘元，實現率92.76％。經查推動</w:t>
      </w:r>
      <w:proofErr w:type="gramStart"/>
      <w:r w:rsidRPr="008F0E54">
        <w:rPr>
          <w:rFonts w:ascii="標楷體" w:eastAsia="標楷體" w:hAnsi="標楷體" w:hint="eastAsia"/>
          <w:spacing w:val="-4"/>
          <w:szCs w:val="24"/>
        </w:rPr>
        <w:t>打詐情形</w:t>
      </w:r>
      <w:proofErr w:type="gramEnd"/>
      <w:r w:rsidRPr="008F0E54">
        <w:rPr>
          <w:rFonts w:ascii="標楷體" w:eastAsia="標楷體" w:hAnsi="標楷體" w:hint="eastAsia"/>
          <w:spacing w:val="-4"/>
          <w:szCs w:val="24"/>
        </w:rPr>
        <w:t>，核有下列事項：</w:t>
      </w:r>
    </w:p>
    <w:p w14:paraId="33FD7736" w14:textId="77777777" w:rsidR="00B93AF9" w:rsidRDefault="00122919" w:rsidP="008F0E54">
      <w:pPr>
        <w:overflowPunct w:val="0"/>
        <w:spacing w:line="416" w:lineRule="exact"/>
        <w:ind w:firstLineChars="450" w:firstLine="1081"/>
        <w:jc w:val="both"/>
        <w:rPr>
          <w:rFonts w:ascii="標楷體" w:eastAsia="標楷體" w:hAnsi="標楷體" w:cs="新細明體"/>
          <w:color w:val="000000" w:themeColor="text1"/>
          <w:spacing w:val="-4"/>
          <w:szCs w:val="24"/>
        </w:rPr>
      </w:pPr>
      <w:r w:rsidRPr="00122919">
        <w:rPr>
          <w:rFonts w:ascii="標楷體" w:eastAsia="標楷體" w:hAnsi="標楷體" w:cs="新細明體" w:hint="eastAsia"/>
          <w:b/>
          <w:bCs/>
          <w:color w:val="000000" w:themeColor="text1"/>
          <w:szCs w:val="24"/>
        </w:rPr>
        <w:t xml:space="preserve">1.　</w:t>
      </w:r>
      <w:r w:rsidR="001A7F14" w:rsidRPr="001A7F14">
        <w:rPr>
          <w:rFonts w:ascii="標楷體" w:eastAsia="標楷體" w:hAnsi="標楷體" w:cs="新細明體" w:hint="eastAsia"/>
          <w:b/>
          <w:bCs/>
          <w:color w:val="000000" w:themeColor="text1"/>
          <w:szCs w:val="24"/>
        </w:rPr>
        <w:t>政府推動</w:t>
      </w:r>
      <w:proofErr w:type="gramStart"/>
      <w:r w:rsidR="001A7F14" w:rsidRPr="001A7F14">
        <w:rPr>
          <w:rFonts w:ascii="標楷體" w:eastAsia="標楷體" w:hAnsi="標楷體" w:cs="新細明體" w:hint="eastAsia"/>
          <w:b/>
          <w:bCs/>
          <w:color w:val="000000" w:themeColor="text1"/>
          <w:szCs w:val="24"/>
        </w:rPr>
        <w:t>打詐綱領</w:t>
      </w:r>
      <w:proofErr w:type="gramEnd"/>
      <w:r w:rsidR="001A7F14" w:rsidRPr="001A7F14">
        <w:rPr>
          <w:rFonts w:ascii="標楷體" w:eastAsia="標楷體" w:hAnsi="標楷體" w:cs="新細明體" w:hint="eastAsia"/>
          <w:b/>
          <w:bCs/>
          <w:color w:val="000000" w:themeColor="text1"/>
          <w:szCs w:val="24"/>
        </w:rPr>
        <w:t>1.5版，轉型</w:t>
      </w:r>
      <w:proofErr w:type="gramStart"/>
      <w:r w:rsidR="001A7F14" w:rsidRPr="001A7F14">
        <w:rPr>
          <w:rFonts w:ascii="標楷體" w:eastAsia="標楷體" w:hAnsi="標楷體" w:cs="新細明體" w:hint="eastAsia"/>
          <w:b/>
          <w:bCs/>
          <w:color w:val="000000" w:themeColor="text1"/>
          <w:szCs w:val="24"/>
        </w:rPr>
        <w:t>打詐組織</w:t>
      </w:r>
      <w:proofErr w:type="gramEnd"/>
      <w:r w:rsidR="001A7F14" w:rsidRPr="001A7F14">
        <w:rPr>
          <w:rFonts w:ascii="標楷體" w:eastAsia="標楷體" w:hAnsi="標楷體" w:cs="新細明體" w:hint="eastAsia"/>
          <w:b/>
          <w:bCs/>
          <w:color w:val="000000" w:themeColor="text1"/>
          <w:szCs w:val="24"/>
        </w:rPr>
        <w:t>，</w:t>
      </w:r>
      <w:proofErr w:type="gramStart"/>
      <w:r w:rsidR="001A7F14" w:rsidRPr="001A7F14">
        <w:rPr>
          <w:rFonts w:ascii="標楷體" w:eastAsia="標楷體" w:hAnsi="標楷體" w:cs="新細明體" w:hint="eastAsia"/>
          <w:b/>
          <w:bCs/>
          <w:color w:val="000000" w:themeColor="text1"/>
          <w:szCs w:val="24"/>
        </w:rPr>
        <w:t>整合打詐量能</w:t>
      </w:r>
      <w:proofErr w:type="gramEnd"/>
      <w:r w:rsidR="001A7F14" w:rsidRPr="001A7F14">
        <w:rPr>
          <w:rFonts w:ascii="標楷體" w:eastAsia="標楷體" w:hAnsi="標楷體" w:cs="新細明體" w:hint="eastAsia"/>
          <w:b/>
          <w:bCs/>
          <w:color w:val="000000" w:themeColor="text1"/>
          <w:szCs w:val="24"/>
        </w:rPr>
        <w:t>推展策略，已有相當執行成果，惟詐欺案件及財損金額</w:t>
      </w:r>
      <w:proofErr w:type="gramStart"/>
      <w:r w:rsidR="001A7F14" w:rsidRPr="001A7F14">
        <w:rPr>
          <w:rFonts w:ascii="標楷體" w:eastAsia="標楷體" w:hAnsi="標楷體" w:cs="新細明體" w:hint="eastAsia"/>
          <w:b/>
          <w:bCs/>
          <w:color w:val="000000" w:themeColor="text1"/>
          <w:szCs w:val="24"/>
        </w:rPr>
        <w:t>持續高發</w:t>
      </w:r>
      <w:proofErr w:type="gramEnd"/>
      <w:r w:rsidR="001A7F14" w:rsidRPr="001A7F14">
        <w:rPr>
          <w:rFonts w:ascii="標楷體" w:eastAsia="標楷體" w:hAnsi="標楷體" w:cs="新細明體" w:hint="eastAsia"/>
          <w:b/>
          <w:bCs/>
          <w:color w:val="000000" w:themeColor="text1"/>
          <w:szCs w:val="24"/>
        </w:rPr>
        <w:t>，且綱領指標尚乏減少詐欺案量及財損金額目標；派駐</w:t>
      </w:r>
      <w:proofErr w:type="gramStart"/>
      <w:r w:rsidR="001A7F14" w:rsidRPr="001A7F14">
        <w:rPr>
          <w:rFonts w:ascii="標楷體" w:eastAsia="標楷體" w:hAnsi="標楷體" w:cs="新細明體" w:hint="eastAsia"/>
          <w:b/>
          <w:bCs/>
          <w:color w:val="000000" w:themeColor="text1"/>
          <w:szCs w:val="24"/>
        </w:rPr>
        <w:t>打詐指揮</w:t>
      </w:r>
      <w:proofErr w:type="gramEnd"/>
      <w:r w:rsidR="001A7F14" w:rsidRPr="001A7F14">
        <w:rPr>
          <w:rFonts w:ascii="標楷體" w:eastAsia="標楷體" w:hAnsi="標楷體" w:cs="新細明體" w:hint="eastAsia"/>
          <w:b/>
          <w:bCs/>
          <w:color w:val="000000" w:themeColor="text1"/>
          <w:szCs w:val="24"/>
        </w:rPr>
        <w:t>中心人力未建立穩定輪調模式，允宜持續善用資通訊及多元科技技術，強化應對作為，發揮中心統籌功能，以提升</w:t>
      </w:r>
      <w:proofErr w:type="gramStart"/>
      <w:r w:rsidR="001A7F14" w:rsidRPr="001A7F14">
        <w:rPr>
          <w:rFonts w:ascii="標楷體" w:eastAsia="標楷體" w:hAnsi="標楷體" w:cs="新細明體" w:hint="eastAsia"/>
          <w:b/>
          <w:bCs/>
          <w:color w:val="000000" w:themeColor="text1"/>
          <w:szCs w:val="24"/>
        </w:rPr>
        <w:t>打詐實質</w:t>
      </w:r>
      <w:proofErr w:type="gramEnd"/>
      <w:r w:rsidR="001A7F14" w:rsidRPr="001A7F14">
        <w:rPr>
          <w:rFonts w:ascii="標楷體" w:eastAsia="標楷體" w:hAnsi="標楷體" w:cs="新細明體" w:hint="eastAsia"/>
          <w:b/>
          <w:bCs/>
          <w:color w:val="000000" w:themeColor="text1"/>
          <w:szCs w:val="24"/>
        </w:rPr>
        <w:t>效能，有效</w:t>
      </w:r>
      <w:proofErr w:type="gramStart"/>
      <w:r w:rsidR="001A7F14" w:rsidRPr="001A7F14">
        <w:rPr>
          <w:rFonts w:ascii="標楷體" w:eastAsia="標楷體" w:hAnsi="標楷體" w:cs="新細明體" w:hint="eastAsia"/>
          <w:b/>
          <w:bCs/>
          <w:color w:val="000000" w:themeColor="text1"/>
          <w:szCs w:val="24"/>
        </w:rPr>
        <w:t>防杜及阻</w:t>
      </w:r>
      <w:proofErr w:type="gramEnd"/>
      <w:r w:rsidR="001A7F14" w:rsidRPr="001A7F14">
        <w:rPr>
          <w:rFonts w:ascii="標楷體" w:eastAsia="標楷體" w:hAnsi="標楷體" w:cs="新細明體" w:hint="eastAsia"/>
          <w:b/>
          <w:bCs/>
          <w:color w:val="000000" w:themeColor="text1"/>
          <w:szCs w:val="24"/>
        </w:rPr>
        <w:t>絕詐欺：</w:t>
      </w:r>
      <w:proofErr w:type="gramStart"/>
      <w:r w:rsidR="001A7F14" w:rsidRPr="00950A8C">
        <w:rPr>
          <w:rFonts w:ascii="標楷體" w:eastAsia="標楷體" w:hAnsi="標楷體" w:cs="新細明體" w:hint="eastAsia"/>
          <w:color w:val="000000" w:themeColor="text1"/>
          <w:spacing w:val="-4"/>
          <w:szCs w:val="24"/>
        </w:rPr>
        <w:t>打詐綱領</w:t>
      </w:r>
      <w:proofErr w:type="gramEnd"/>
      <w:r w:rsidR="001A7F14" w:rsidRPr="00950A8C">
        <w:rPr>
          <w:rFonts w:ascii="標楷體" w:eastAsia="標楷體" w:hAnsi="標楷體" w:cs="新細明體" w:hint="eastAsia"/>
          <w:color w:val="000000" w:themeColor="text1"/>
          <w:spacing w:val="-4"/>
          <w:szCs w:val="24"/>
        </w:rPr>
        <w:t>1.5版由內政部、</w:t>
      </w:r>
    </w:p>
    <w:p w14:paraId="557D0C51" w14:textId="0F977AAF" w:rsidR="00122919" w:rsidRPr="00122919" w:rsidRDefault="00964EA1" w:rsidP="00B93AF9">
      <w:pPr>
        <w:overflowPunct w:val="0"/>
        <w:spacing w:line="410" w:lineRule="exact"/>
        <w:jc w:val="both"/>
        <w:rPr>
          <w:rFonts w:ascii="標楷體" w:eastAsia="標楷體" w:hAnsi="標楷體" w:cs="新細明體"/>
          <w:bCs/>
          <w:color w:val="000000" w:themeColor="text1"/>
          <w:szCs w:val="24"/>
        </w:rPr>
      </w:pPr>
      <w:r w:rsidRPr="00950A8C">
        <w:rPr>
          <w:rFonts w:ascii="標楷體" w:eastAsia="標楷體" w:hAnsi="標楷體"/>
          <w:b/>
          <w:bCs/>
          <w:noProof/>
          <w:snapToGrid w:val="0"/>
          <w:spacing w:val="-4"/>
          <w:szCs w:val="24"/>
          <w:lang w:val="x-none"/>
        </w:rPr>
        <w:lastRenderedPageBreak/>
        <mc:AlternateContent>
          <mc:Choice Requires="wps">
            <w:drawing>
              <wp:anchor distT="45720" distB="45720" distL="114300" distR="114300" simplePos="0" relativeHeight="251638784" behindDoc="0" locked="0" layoutInCell="1" allowOverlap="1" wp14:anchorId="382A66CE" wp14:editId="7ED62E36">
                <wp:simplePos x="0" y="0"/>
                <wp:positionH relativeFrom="column">
                  <wp:posOffset>2492375</wp:posOffset>
                </wp:positionH>
                <wp:positionV relativeFrom="paragraph">
                  <wp:posOffset>2198370</wp:posOffset>
                </wp:positionV>
                <wp:extent cx="3791585" cy="211455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1585" cy="2114550"/>
                        </a:xfrm>
                        <a:prstGeom prst="rect">
                          <a:avLst/>
                        </a:prstGeom>
                        <a:noFill/>
                        <a:ln w="9525">
                          <a:noFill/>
                          <a:miter lim="800000"/>
                          <a:headEnd/>
                          <a:tailEnd/>
                        </a:ln>
                      </wps:spPr>
                      <wps:txbx>
                        <w:txbxContent>
                          <w:tbl>
                            <w:tblPr>
                              <w:tblW w:w="5670" w:type="dxa"/>
                              <w:tblLayout w:type="fixed"/>
                              <w:tblCellMar>
                                <w:left w:w="28" w:type="dxa"/>
                                <w:right w:w="28" w:type="dxa"/>
                              </w:tblCellMar>
                              <w:tblLook w:val="04A0" w:firstRow="1" w:lastRow="0" w:firstColumn="1" w:lastColumn="0" w:noHBand="0" w:noVBand="1"/>
                            </w:tblPr>
                            <w:tblGrid>
                              <w:gridCol w:w="993"/>
                              <w:gridCol w:w="779"/>
                              <w:gridCol w:w="780"/>
                              <w:gridCol w:w="779"/>
                              <w:gridCol w:w="780"/>
                              <w:gridCol w:w="779"/>
                              <w:gridCol w:w="780"/>
                            </w:tblGrid>
                            <w:tr w:rsidR="00045A7E" w:rsidRPr="00045A7E" w14:paraId="49B30CC7" w14:textId="77777777" w:rsidTr="00950A8C">
                              <w:trPr>
                                <w:trHeight w:val="146"/>
                              </w:trPr>
                              <w:tc>
                                <w:tcPr>
                                  <w:tcW w:w="5670" w:type="dxa"/>
                                  <w:gridSpan w:val="7"/>
                                  <w:tcBorders>
                                    <w:top w:val="nil"/>
                                    <w:left w:val="nil"/>
                                    <w:bottom w:val="nil"/>
                                    <w:right w:val="nil"/>
                                  </w:tcBorders>
                                  <w:shd w:val="clear" w:color="auto" w:fill="auto"/>
                                  <w:noWrap/>
                                  <w:vAlign w:val="center"/>
                                  <w:hideMark/>
                                </w:tcPr>
                                <w:p w14:paraId="3552EF4C" w14:textId="18EF2475" w:rsidR="00045A7E" w:rsidRPr="00045A7E" w:rsidRDefault="00045A7E" w:rsidP="00964EA1">
                                  <w:pPr>
                                    <w:widowControl/>
                                    <w:spacing w:line="280" w:lineRule="exact"/>
                                    <w:jc w:val="center"/>
                                    <w:rPr>
                                      <w:rFonts w:ascii="標楷體" w:eastAsia="標楷體" w:hAnsi="標楷體" w:cs="新細明體"/>
                                      <w:b/>
                                      <w:bCs/>
                                      <w:color w:val="000000"/>
                                      <w:kern w:val="0"/>
                                    </w:rPr>
                                  </w:pPr>
                                  <w:r w:rsidRPr="00045A7E">
                                    <w:rPr>
                                      <w:rFonts w:ascii="標楷體" w:eastAsia="標楷體" w:hAnsi="標楷體" w:cs="新細明體" w:hint="eastAsia"/>
                                      <w:b/>
                                      <w:bCs/>
                                      <w:color w:val="000000"/>
                                      <w:kern w:val="0"/>
                                    </w:rPr>
                                    <w:t>表</w:t>
                                  </w:r>
                                  <w:r>
                                    <w:rPr>
                                      <w:rFonts w:ascii="標楷體" w:eastAsia="標楷體" w:hAnsi="標楷體" w:cs="新細明體"/>
                                      <w:b/>
                                      <w:bCs/>
                                      <w:color w:val="000000"/>
                                      <w:kern w:val="0"/>
                                    </w:rPr>
                                    <w:t>9</w:t>
                                  </w:r>
                                  <w:r w:rsidRPr="00045A7E">
                                    <w:rPr>
                                      <w:rFonts w:ascii="標楷體" w:eastAsia="標楷體" w:hAnsi="標楷體" w:cs="新細明體" w:hint="eastAsia"/>
                                      <w:b/>
                                      <w:bCs/>
                                      <w:color w:val="000000"/>
                                      <w:kern w:val="0"/>
                                    </w:rPr>
                                    <w:t xml:space="preserve">　全般詐欺案件發生數及財損金額</w:t>
                                  </w:r>
                                </w:p>
                              </w:tc>
                            </w:tr>
                            <w:tr w:rsidR="00045A7E" w:rsidRPr="00045A7E" w14:paraId="4FE41986" w14:textId="77777777" w:rsidTr="005822C2">
                              <w:trPr>
                                <w:trHeight w:val="340"/>
                              </w:trPr>
                              <w:tc>
                                <w:tcPr>
                                  <w:tcW w:w="5670" w:type="dxa"/>
                                  <w:gridSpan w:val="7"/>
                                  <w:tcBorders>
                                    <w:top w:val="nil"/>
                                    <w:left w:val="nil"/>
                                    <w:bottom w:val="single" w:sz="4" w:space="0" w:color="auto"/>
                                    <w:right w:val="nil"/>
                                  </w:tcBorders>
                                  <w:shd w:val="clear" w:color="auto" w:fill="auto"/>
                                  <w:noWrap/>
                                  <w:vAlign w:val="center"/>
                                  <w:hideMark/>
                                </w:tcPr>
                                <w:p w14:paraId="74FE03C9" w14:textId="77777777" w:rsidR="00045A7E" w:rsidRPr="00045A7E" w:rsidRDefault="00045A7E" w:rsidP="00964EA1">
                                  <w:pPr>
                                    <w:widowControl/>
                                    <w:spacing w:line="280" w:lineRule="exact"/>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單位：件、新臺幣億元</w:t>
                                  </w:r>
                                </w:p>
                              </w:tc>
                            </w:tr>
                            <w:tr w:rsidR="00045A7E" w:rsidRPr="00045A7E" w14:paraId="07391969" w14:textId="77777777" w:rsidTr="005822C2">
                              <w:trPr>
                                <w:trHeight w:val="3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CB40BE8"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年度</w:t>
                                  </w:r>
                                </w:p>
                              </w:tc>
                              <w:tc>
                                <w:tcPr>
                                  <w:tcW w:w="779" w:type="dxa"/>
                                  <w:tcBorders>
                                    <w:top w:val="nil"/>
                                    <w:left w:val="nil"/>
                                    <w:bottom w:val="single" w:sz="4" w:space="0" w:color="auto"/>
                                    <w:right w:val="single" w:sz="4" w:space="0" w:color="auto"/>
                                  </w:tcBorders>
                                  <w:shd w:val="clear" w:color="auto" w:fill="auto"/>
                                  <w:noWrap/>
                                  <w:vAlign w:val="center"/>
                                  <w:hideMark/>
                                </w:tcPr>
                                <w:p w14:paraId="2239C882"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108</w:t>
                                  </w:r>
                                </w:p>
                              </w:tc>
                              <w:tc>
                                <w:tcPr>
                                  <w:tcW w:w="780" w:type="dxa"/>
                                  <w:tcBorders>
                                    <w:top w:val="nil"/>
                                    <w:left w:val="nil"/>
                                    <w:bottom w:val="single" w:sz="4" w:space="0" w:color="auto"/>
                                    <w:right w:val="single" w:sz="4" w:space="0" w:color="auto"/>
                                  </w:tcBorders>
                                  <w:shd w:val="clear" w:color="auto" w:fill="auto"/>
                                  <w:noWrap/>
                                  <w:vAlign w:val="center"/>
                                  <w:hideMark/>
                                </w:tcPr>
                                <w:p w14:paraId="1DCDD535"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109</w:t>
                                  </w:r>
                                </w:p>
                              </w:tc>
                              <w:tc>
                                <w:tcPr>
                                  <w:tcW w:w="779" w:type="dxa"/>
                                  <w:tcBorders>
                                    <w:top w:val="nil"/>
                                    <w:left w:val="nil"/>
                                    <w:bottom w:val="single" w:sz="4" w:space="0" w:color="auto"/>
                                    <w:right w:val="single" w:sz="4" w:space="0" w:color="auto"/>
                                  </w:tcBorders>
                                  <w:shd w:val="clear" w:color="auto" w:fill="auto"/>
                                  <w:noWrap/>
                                  <w:vAlign w:val="center"/>
                                  <w:hideMark/>
                                </w:tcPr>
                                <w:p w14:paraId="7C790BA5"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110</w:t>
                                  </w:r>
                                </w:p>
                              </w:tc>
                              <w:tc>
                                <w:tcPr>
                                  <w:tcW w:w="780" w:type="dxa"/>
                                  <w:tcBorders>
                                    <w:top w:val="nil"/>
                                    <w:left w:val="nil"/>
                                    <w:bottom w:val="single" w:sz="4" w:space="0" w:color="auto"/>
                                    <w:right w:val="single" w:sz="4" w:space="0" w:color="auto"/>
                                  </w:tcBorders>
                                  <w:shd w:val="clear" w:color="auto" w:fill="auto"/>
                                  <w:noWrap/>
                                  <w:vAlign w:val="center"/>
                                  <w:hideMark/>
                                </w:tcPr>
                                <w:p w14:paraId="4AC0BE63"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111</w:t>
                                  </w:r>
                                </w:p>
                              </w:tc>
                              <w:tc>
                                <w:tcPr>
                                  <w:tcW w:w="779" w:type="dxa"/>
                                  <w:tcBorders>
                                    <w:top w:val="nil"/>
                                    <w:left w:val="nil"/>
                                    <w:bottom w:val="single" w:sz="4" w:space="0" w:color="auto"/>
                                    <w:right w:val="single" w:sz="4" w:space="0" w:color="auto"/>
                                  </w:tcBorders>
                                  <w:shd w:val="clear" w:color="auto" w:fill="auto"/>
                                  <w:noWrap/>
                                  <w:vAlign w:val="center"/>
                                  <w:hideMark/>
                                </w:tcPr>
                                <w:p w14:paraId="5F54C922"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112</w:t>
                                  </w:r>
                                </w:p>
                              </w:tc>
                              <w:tc>
                                <w:tcPr>
                                  <w:tcW w:w="780" w:type="dxa"/>
                                  <w:tcBorders>
                                    <w:top w:val="nil"/>
                                    <w:left w:val="nil"/>
                                    <w:bottom w:val="single" w:sz="4" w:space="0" w:color="auto"/>
                                    <w:right w:val="single" w:sz="4" w:space="0" w:color="auto"/>
                                  </w:tcBorders>
                                  <w:shd w:val="clear" w:color="auto" w:fill="auto"/>
                                  <w:noWrap/>
                                  <w:vAlign w:val="center"/>
                                  <w:hideMark/>
                                </w:tcPr>
                                <w:p w14:paraId="52B51024"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113</w:t>
                                  </w:r>
                                </w:p>
                              </w:tc>
                            </w:tr>
                            <w:tr w:rsidR="00045A7E" w:rsidRPr="00045A7E" w14:paraId="7190EDB1" w14:textId="77777777" w:rsidTr="005822C2">
                              <w:trPr>
                                <w:trHeight w:val="3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4908CF0"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發生數</w:t>
                                  </w:r>
                                </w:p>
                              </w:tc>
                              <w:tc>
                                <w:tcPr>
                                  <w:tcW w:w="779" w:type="dxa"/>
                                  <w:tcBorders>
                                    <w:top w:val="nil"/>
                                    <w:left w:val="nil"/>
                                    <w:bottom w:val="single" w:sz="4" w:space="0" w:color="auto"/>
                                    <w:right w:val="single" w:sz="4" w:space="0" w:color="auto"/>
                                  </w:tcBorders>
                                  <w:shd w:val="clear" w:color="auto" w:fill="auto"/>
                                  <w:noWrap/>
                                  <w:vAlign w:val="center"/>
                                  <w:hideMark/>
                                </w:tcPr>
                                <w:p w14:paraId="287BAB15"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23,647</w:t>
                                  </w:r>
                                </w:p>
                              </w:tc>
                              <w:tc>
                                <w:tcPr>
                                  <w:tcW w:w="780" w:type="dxa"/>
                                  <w:tcBorders>
                                    <w:top w:val="nil"/>
                                    <w:left w:val="nil"/>
                                    <w:bottom w:val="single" w:sz="4" w:space="0" w:color="auto"/>
                                    <w:right w:val="single" w:sz="4" w:space="0" w:color="auto"/>
                                  </w:tcBorders>
                                  <w:shd w:val="clear" w:color="auto" w:fill="auto"/>
                                  <w:noWrap/>
                                  <w:vAlign w:val="center"/>
                                  <w:hideMark/>
                                </w:tcPr>
                                <w:p w14:paraId="2B5EFA94"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23,054</w:t>
                                  </w:r>
                                </w:p>
                              </w:tc>
                              <w:tc>
                                <w:tcPr>
                                  <w:tcW w:w="779" w:type="dxa"/>
                                  <w:tcBorders>
                                    <w:top w:val="nil"/>
                                    <w:left w:val="nil"/>
                                    <w:bottom w:val="single" w:sz="4" w:space="0" w:color="auto"/>
                                    <w:right w:val="single" w:sz="4" w:space="0" w:color="auto"/>
                                  </w:tcBorders>
                                  <w:shd w:val="clear" w:color="auto" w:fill="auto"/>
                                  <w:noWrap/>
                                  <w:vAlign w:val="center"/>
                                  <w:hideMark/>
                                </w:tcPr>
                                <w:p w14:paraId="75BFD136"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24,724</w:t>
                                  </w:r>
                                </w:p>
                              </w:tc>
                              <w:tc>
                                <w:tcPr>
                                  <w:tcW w:w="780" w:type="dxa"/>
                                  <w:tcBorders>
                                    <w:top w:val="nil"/>
                                    <w:left w:val="nil"/>
                                    <w:bottom w:val="single" w:sz="4" w:space="0" w:color="auto"/>
                                    <w:right w:val="single" w:sz="4" w:space="0" w:color="auto"/>
                                  </w:tcBorders>
                                  <w:shd w:val="clear" w:color="auto" w:fill="auto"/>
                                  <w:noWrap/>
                                  <w:vAlign w:val="center"/>
                                  <w:hideMark/>
                                </w:tcPr>
                                <w:p w14:paraId="5AC9EF77"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29,509</w:t>
                                  </w:r>
                                </w:p>
                              </w:tc>
                              <w:tc>
                                <w:tcPr>
                                  <w:tcW w:w="779" w:type="dxa"/>
                                  <w:tcBorders>
                                    <w:top w:val="nil"/>
                                    <w:left w:val="nil"/>
                                    <w:bottom w:val="single" w:sz="4" w:space="0" w:color="auto"/>
                                    <w:right w:val="single" w:sz="4" w:space="0" w:color="auto"/>
                                  </w:tcBorders>
                                  <w:shd w:val="clear" w:color="auto" w:fill="auto"/>
                                  <w:noWrap/>
                                  <w:vAlign w:val="center"/>
                                  <w:hideMark/>
                                </w:tcPr>
                                <w:p w14:paraId="0FF482F9"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37,823</w:t>
                                  </w:r>
                                </w:p>
                              </w:tc>
                              <w:tc>
                                <w:tcPr>
                                  <w:tcW w:w="780" w:type="dxa"/>
                                  <w:tcBorders>
                                    <w:top w:val="nil"/>
                                    <w:left w:val="nil"/>
                                    <w:bottom w:val="single" w:sz="4" w:space="0" w:color="auto"/>
                                    <w:right w:val="single" w:sz="4" w:space="0" w:color="auto"/>
                                  </w:tcBorders>
                                  <w:shd w:val="clear" w:color="auto" w:fill="auto"/>
                                  <w:noWrap/>
                                  <w:vAlign w:val="center"/>
                                  <w:hideMark/>
                                </w:tcPr>
                                <w:p w14:paraId="32513CA9"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118,535</w:t>
                                  </w:r>
                                </w:p>
                              </w:tc>
                            </w:tr>
                            <w:tr w:rsidR="00045A7E" w:rsidRPr="00045A7E" w14:paraId="6E7BE64A" w14:textId="77777777" w:rsidTr="005822C2">
                              <w:trPr>
                                <w:trHeight w:val="3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FFB9862"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財損金額</w:t>
                                  </w:r>
                                </w:p>
                              </w:tc>
                              <w:tc>
                                <w:tcPr>
                                  <w:tcW w:w="779" w:type="dxa"/>
                                  <w:tcBorders>
                                    <w:top w:val="nil"/>
                                    <w:left w:val="nil"/>
                                    <w:bottom w:val="single" w:sz="4" w:space="0" w:color="auto"/>
                                    <w:right w:val="single" w:sz="4" w:space="0" w:color="auto"/>
                                  </w:tcBorders>
                                  <w:shd w:val="clear" w:color="auto" w:fill="auto"/>
                                  <w:noWrap/>
                                  <w:vAlign w:val="center"/>
                                  <w:hideMark/>
                                </w:tcPr>
                                <w:p w14:paraId="5211D5D2"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42.93</w:t>
                                  </w:r>
                                </w:p>
                              </w:tc>
                              <w:tc>
                                <w:tcPr>
                                  <w:tcW w:w="780" w:type="dxa"/>
                                  <w:tcBorders>
                                    <w:top w:val="nil"/>
                                    <w:left w:val="nil"/>
                                    <w:bottom w:val="single" w:sz="4" w:space="0" w:color="auto"/>
                                    <w:right w:val="single" w:sz="4" w:space="0" w:color="auto"/>
                                  </w:tcBorders>
                                  <w:shd w:val="clear" w:color="auto" w:fill="auto"/>
                                  <w:noWrap/>
                                  <w:vAlign w:val="center"/>
                                  <w:hideMark/>
                                </w:tcPr>
                                <w:p w14:paraId="1144BA8D"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42.55</w:t>
                                  </w:r>
                                </w:p>
                              </w:tc>
                              <w:tc>
                                <w:tcPr>
                                  <w:tcW w:w="779" w:type="dxa"/>
                                  <w:tcBorders>
                                    <w:top w:val="nil"/>
                                    <w:left w:val="nil"/>
                                    <w:bottom w:val="single" w:sz="4" w:space="0" w:color="auto"/>
                                    <w:right w:val="single" w:sz="4" w:space="0" w:color="auto"/>
                                  </w:tcBorders>
                                  <w:shd w:val="clear" w:color="auto" w:fill="auto"/>
                                  <w:noWrap/>
                                  <w:vAlign w:val="center"/>
                                  <w:hideMark/>
                                </w:tcPr>
                                <w:p w14:paraId="14B55DDC"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56.1</w:t>
                                  </w:r>
                                  <w:r w:rsidRPr="00045A7E">
                                    <w:rPr>
                                      <w:rFonts w:ascii="標楷體" w:eastAsia="標楷體" w:hAnsi="標楷體" w:cs="新細明體"/>
                                      <w:color w:val="000000"/>
                                      <w:kern w:val="0"/>
                                      <w:sz w:val="20"/>
                                    </w:rPr>
                                    <w:t>0</w:t>
                                  </w:r>
                                </w:p>
                              </w:tc>
                              <w:tc>
                                <w:tcPr>
                                  <w:tcW w:w="780" w:type="dxa"/>
                                  <w:tcBorders>
                                    <w:top w:val="nil"/>
                                    <w:left w:val="nil"/>
                                    <w:bottom w:val="single" w:sz="4" w:space="0" w:color="auto"/>
                                    <w:right w:val="single" w:sz="4" w:space="0" w:color="auto"/>
                                  </w:tcBorders>
                                  <w:shd w:val="clear" w:color="auto" w:fill="auto"/>
                                  <w:noWrap/>
                                  <w:vAlign w:val="center"/>
                                  <w:hideMark/>
                                </w:tcPr>
                                <w:p w14:paraId="0CDE81F7"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73.28</w:t>
                                  </w:r>
                                </w:p>
                              </w:tc>
                              <w:tc>
                                <w:tcPr>
                                  <w:tcW w:w="779" w:type="dxa"/>
                                  <w:tcBorders>
                                    <w:top w:val="nil"/>
                                    <w:left w:val="nil"/>
                                    <w:bottom w:val="single" w:sz="4" w:space="0" w:color="auto"/>
                                    <w:right w:val="single" w:sz="4" w:space="0" w:color="auto"/>
                                  </w:tcBorders>
                                  <w:shd w:val="clear" w:color="auto" w:fill="auto"/>
                                  <w:noWrap/>
                                  <w:vAlign w:val="center"/>
                                  <w:hideMark/>
                                </w:tcPr>
                                <w:p w14:paraId="4F2C8751"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89.44</w:t>
                                  </w:r>
                                </w:p>
                              </w:tc>
                              <w:tc>
                                <w:tcPr>
                                  <w:tcW w:w="780" w:type="dxa"/>
                                  <w:tcBorders>
                                    <w:top w:val="nil"/>
                                    <w:left w:val="nil"/>
                                    <w:bottom w:val="single" w:sz="4" w:space="0" w:color="auto"/>
                                    <w:right w:val="single" w:sz="4" w:space="0" w:color="auto"/>
                                  </w:tcBorders>
                                  <w:shd w:val="clear" w:color="auto" w:fill="auto"/>
                                  <w:noWrap/>
                                  <w:vAlign w:val="center"/>
                                  <w:hideMark/>
                                </w:tcPr>
                                <w:p w14:paraId="7A501D2B"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487.64</w:t>
                                  </w:r>
                                </w:p>
                              </w:tc>
                            </w:tr>
                          </w:tbl>
                          <w:p w14:paraId="223EA5D6" w14:textId="77777777" w:rsidR="00045A7E" w:rsidRPr="00045A7E" w:rsidRDefault="00045A7E" w:rsidP="00964EA1">
                            <w:pPr>
                              <w:overflowPunct w:val="0"/>
                              <w:snapToGrid w:val="0"/>
                              <w:spacing w:line="200" w:lineRule="exact"/>
                              <w:ind w:left="517" w:rightChars="-8" w:right="-19" w:hangingChars="287" w:hanging="517"/>
                              <w:contextualSpacing/>
                              <w:jc w:val="both"/>
                              <w:rPr>
                                <w:rFonts w:ascii="標楷體" w:eastAsia="標楷體" w:hAnsi="標楷體"/>
                                <w:sz w:val="18"/>
                                <w:szCs w:val="18"/>
                              </w:rPr>
                            </w:pPr>
                            <w:proofErr w:type="gramStart"/>
                            <w:r w:rsidRPr="00045A7E">
                              <w:rPr>
                                <w:rFonts w:ascii="標楷體" w:eastAsia="標楷體" w:hAnsi="標楷體" w:hint="eastAsia"/>
                                <w:sz w:val="18"/>
                                <w:szCs w:val="18"/>
                              </w:rPr>
                              <w:t>註</w:t>
                            </w:r>
                            <w:proofErr w:type="gramEnd"/>
                            <w:r w:rsidRPr="00045A7E">
                              <w:rPr>
                                <w:rFonts w:ascii="標楷體" w:eastAsia="標楷體" w:hAnsi="標楷體"/>
                                <w:sz w:val="18"/>
                                <w:szCs w:val="18"/>
                              </w:rPr>
                              <w:t>：1.</w:t>
                            </w:r>
                            <w:r w:rsidRPr="00045A7E">
                              <w:rPr>
                                <w:rFonts w:ascii="標楷體" w:eastAsia="標楷體" w:hAnsi="標楷體" w:hint="eastAsia"/>
                                <w:sz w:val="18"/>
                                <w:szCs w:val="18"/>
                              </w:rPr>
                              <w:t>內政部警政署考量為符合實際治安現況，自113年9月起，詐欺案件發生數計算方式由「1案1發生數」改為受理報案「1被害人1發生數」。</w:t>
                            </w:r>
                          </w:p>
                          <w:p w14:paraId="586CCD72" w14:textId="77777777" w:rsidR="00045A7E" w:rsidRPr="00045A7E" w:rsidRDefault="00045A7E" w:rsidP="00964EA1">
                            <w:pPr>
                              <w:overflowPunct w:val="0"/>
                              <w:snapToGrid w:val="0"/>
                              <w:spacing w:line="200" w:lineRule="exact"/>
                              <w:ind w:leftChars="139" w:left="528" w:rightChars="-8" w:right="-19" w:hangingChars="108" w:hanging="194"/>
                              <w:contextualSpacing/>
                              <w:jc w:val="both"/>
                              <w:rPr>
                                <w:rFonts w:ascii="標楷體" w:eastAsia="標楷體" w:hAnsi="標楷體"/>
                                <w:sz w:val="18"/>
                                <w:szCs w:val="18"/>
                              </w:rPr>
                            </w:pPr>
                            <w:r w:rsidRPr="00045A7E">
                              <w:rPr>
                                <w:rFonts w:ascii="標楷體" w:eastAsia="標楷體" w:hAnsi="標楷體"/>
                                <w:sz w:val="18"/>
                                <w:szCs w:val="18"/>
                              </w:rPr>
                              <w:t>2.</w:t>
                            </w:r>
                            <w:r w:rsidRPr="00045A7E">
                              <w:rPr>
                                <w:rFonts w:ascii="標楷體" w:eastAsia="標楷體" w:hAnsi="標楷體" w:hint="eastAsia"/>
                                <w:sz w:val="18"/>
                                <w:szCs w:val="18"/>
                              </w:rPr>
                              <w:t>112年度數據與</w:t>
                            </w:r>
                            <w:proofErr w:type="gramStart"/>
                            <w:r w:rsidRPr="00045A7E">
                              <w:rPr>
                                <w:rFonts w:ascii="標楷體" w:eastAsia="標楷體" w:hAnsi="標楷體" w:hint="eastAsia"/>
                                <w:sz w:val="18"/>
                                <w:szCs w:val="18"/>
                              </w:rPr>
                              <w:t>112</w:t>
                            </w:r>
                            <w:proofErr w:type="gramEnd"/>
                            <w:r w:rsidRPr="00045A7E">
                              <w:rPr>
                                <w:rFonts w:ascii="標楷體" w:eastAsia="標楷體" w:hAnsi="標楷體" w:hint="eastAsia"/>
                                <w:sz w:val="18"/>
                                <w:szCs w:val="18"/>
                              </w:rPr>
                              <w:t>年度中央政府總決算審核報告揭露數據略有差異，係該年度審核報告按原行政院打擊詐欺辦公室提供之初步統計資料揭露，現配合內政部警政署正式公布年度警政統計更新。</w:t>
                            </w:r>
                          </w:p>
                          <w:p w14:paraId="61126BEC" w14:textId="77777777" w:rsidR="00045A7E" w:rsidRPr="00045A7E" w:rsidRDefault="00045A7E" w:rsidP="00964EA1">
                            <w:pPr>
                              <w:overflowPunct w:val="0"/>
                              <w:spacing w:line="200" w:lineRule="exact"/>
                              <w:ind w:leftChars="145" w:left="532" w:rightChars="-8" w:right="-19" w:hangingChars="102" w:hanging="184"/>
                              <w:jc w:val="both"/>
                              <w:rPr>
                                <w:rFonts w:ascii="標楷體" w:eastAsia="標楷體" w:hAnsi="標楷體"/>
                                <w:sz w:val="18"/>
                                <w:szCs w:val="18"/>
                              </w:rPr>
                            </w:pPr>
                            <w:r w:rsidRPr="00045A7E">
                              <w:rPr>
                                <w:rFonts w:ascii="標楷體" w:eastAsia="標楷體" w:hAnsi="標楷體"/>
                                <w:sz w:val="18"/>
                                <w:szCs w:val="18"/>
                              </w:rPr>
                              <w:t>3.</w:t>
                            </w:r>
                            <w:r w:rsidRPr="00045A7E">
                              <w:rPr>
                                <w:rFonts w:ascii="標楷體" w:eastAsia="標楷體" w:hAnsi="標楷體" w:hint="eastAsia"/>
                                <w:sz w:val="18"/>
                                <w:szCs w:val="18"/>
                              </w:rPr>
                              <w:t>資料來源</w:t>
                            </w:r>
                            <w:proofErr w:type="gramStart"/>
                            <w:r w:rsidRPr="00045A7E">
                              <w:rPr>
                                <w:rFonts w:ascii="標楷體" w:eastAsia="標楷體" w:hAnsi="標楷體" w:hint="eastAsia"/>
                                <w:sz w:val="18"/>
                                <w:szCs w:val="18"/>
                              </w:rPr>
                              <w:t>︰</w:t>
                            </w:r>
                            <w:proofErr w:type="gramEnd"/>
                            <w:r w:rsidRPr="00045A7E">
                              <w:rPr>
                                <w:rFonts w:ascii="標楷體" w:eastAsia="標楷體" w:hAnsi="標楷體" w:hint="eastAsia"/>
                                <w:sz w:val="18"/>
                                <w:szCs w:val="18"/>
                              </w:rPr>
                              <w:t>整理自內政部警政署刑事警察局提供刑案紀錄資料。</w:t>
                            </w:r>
                          </w:p>
                          <w:p w14:paraId="1AC330F3" w14:textId="77777777" w:rsidR="00045A7E" w:rsidRPr="00045A7E" w:rsidRDefault="00045A7E" w:rsidP="00045A7E">
                            <w:pPr>
                              <w:spacing w:line="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2A66CE" id="文字方塊 2" o:spid="_x0000_s1051" type="#_x0000_t202" style="position:absolute;left:0;text-align:left;margin-left:196.25pt;margin-top:173.1pt;width:298.55pt;height:166.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" filled="f" stroked="f">
                <v:textbox>
                  <w:txbxContent>
                    <w:tbl>
                      <w:tblPr>
                        <w:tblW w:w="5670" w:type="dxa"/>
                        <w:tblLayout w:type="fixed"/>
                        <w:tblCellMar>
                          <w:left w:w="28" w:type="dxa"/>
                          <w:right w:w="28" w:type="dxa"/>
                        </w:tblCellMar>
                        <w:tblLook w:val="04A0" w:firstRow="1" w:lastRow="0" w:firstColumn="1" w:lastColumn="0" w:noHBand="0" w:noVBand="1"/>
                      </w:tblPr>
                      <w:tblGrid>
                        <w:gridCol w:w="993"/>
                        <w:gridCol w:w="779"/>
                        <w:gridCol w:w="780"/>
                        <w:gridCol w:w="779"/>
                        <w:gridCol w:w="780"/>
                        <w:gridCol w:w="779"/>
                        <w:gridCol w:w="780"/>
                      </w:tblGrid>
                      <w:tr w:rsidR="00045A7E" w:rsidRPr="00045A7E" w14:paraId="49B30CC7" w14:textId="77777777" w:rsidTr="00950A8C">
                        <w:trPr>
                          <w:trHeight w:val="146"/>
                        </w:trPr>
                        <w:tc>
                          <w:tcPr>
                            <w:tcW w:w="5670" w:type="dxa"/>
                            <w:gridSpan w:val="7"/>
                            <w:tcBorders>
                              <w:top w:val="nil"/>
                              <w:left w:val="nil"/>
                              <w:bottom w:val="nil"/>
                              <w:right w:val="nil"/>
                            </w:tcBorders>
                            <w:shd w:val="clear" w:color="auto" w:fill="auto"/>
                            <w:noWrap/>
                            <w:vAlign w:val="center"/>
                            <w:hideMark/>
                          </w:tcPr>
                          <w:p w14:paraId="3552EF4C" w14:textId="18EF2475" w:rsidR="00045A7E" w:rsidRPr="00045A7E" w:rsidRDefault="00045A7E" w:rsidP="00964EA1">
                            <w:pPr>
                              <w:widowControl/>
                              <w:spacing w:line="280" w:lineRule="exact"/>
                              <w:jc w:val="center"/>
                              <w:rPr>
                                <w:rFonts w:ascii="標楷體" w:eastAsia="標楷體" w:hAnsi="標楷體" w:cs="新細明體"/>
                                <w:b/>
                                <w:bCs/>
                                <w:color w:val="000000"/>
                                <w:kern w:val="0"/>
                              </w:rPr>
                            </w:pPr>
                            <w:r w:rsidRPr="00045A7E">
                              <w:rPr>
                                <w:rFonts w:ascii="標楷體" w:eastAsia="標楷體" w:hAnsi="標楷體" w:cs="新細明體" w:hint="eastAsia"/>
                                <w:b/>
                                <w:bCs/>
                                <w:color w:val="000000"/>
                                <w:kern w:val="0"/>
                              </w:rPr>
                              <w:t>表</w:t>
                            </w:r>
                            <w:r>
                              <w:rPr>
                                <w:rFonts w:ascii="標楷體" w:eastAsia="標楷體" w:hAnsi="標楷體" w:cs="新細明體"/>
                                <w:b/>
                                <w:bCs/>
                                <w:color w:val="000000"/>
                                <w:kern w:val="0"/>
                              </w:rPr>
                              <w:t>9</w:t>
                            </w:r>
                            <w:r w:rsidRPr="00045A7E">
                              <w:rPr>
                                <w:rFonts w:ascii="標楷體" w:eastAsia="標楷體" w:hAnsi="標楷體" w:cs="新細明體" w:hint="eastAsia"/>
                                <w:b/>
                                <w:bCs/>
                                <w:color w:val="000000"/>
                                <w:kern w:val="0"/>
                              </w:rPr>
                              <w:t xml:space="preserve">　全般詐欺案件發生數及財損金額</w:t>
                            </w:r>
                          </w:p>
                        </w:tc>
                      </w:tr>
                      <w:tr w:rsidR="00045A7E" w:rsidRPr="00045A7E" w14:paraId="4FE41986" w14:textId="77777777" w:rsidTr="005822C2">
                        <w:trPr>
                          <w:trHeight w:val="340"/>
                        </w:trPr>
                        <w:tc>
                          <w:tcPr>
                            <w:tcW w:w="5670" w:type="dxa"/>
                            <w:gridSpan w:val="7"/>
                            <w:tcBorders>
                              <w:top w:val="nil"/>
                              <w:left w:val="nil"/>
                              <w:bottom w:val="single" w:sz="4" w:space="0" w:color="auto"/>
                              <w:right w:val="nil"/>
                            </w:tcBorders>
                            <w:shd w:val="clear" w:color="auto" w:fill="auto"/>
                            <w:noWrap/>
                            <w:vAlign w:val="center"/>
                            <w:hideMark/>
                          </w:tcPr>
                          <w:p w14:paraId="74FE03C9" w14:textId="77777777" w:rsidR="00045A7E" w:rsidRPr="00045A7E" w:rsidRDefault="00045A7E" w:rsidP="00964EA1">
                            <w:pPr>
                              <w:widowControl/>
                              <w:spacing w:line="280" w:lineRule="exact"/>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單位：件、新臺幣億元</w:t>
                            </w:r>
                          </w:p>
                        </w:tc>
                      </w:tr>
                      <w:tr w:rsidR="00045A7E" w:rsidRPr="00045A7E" w14:paraId="07391969" w14:textId="77777777" w:rsidTr="005822C2">
                        <w:trPr>
                          <w:trHeight w:val="3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7CB40BE8"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年度</w:t>
                            </w:r>
                          </w:p>
                        </w:tc>
                        <w:tc>
                          <w:tcPr>
                            <w:tcW w:w="779" w:type="dxa"/>
                            <w:tcBorders>
                              <w:top w:val="nil"/>
                              <w:left w:val="nil"/>
                              <w:bottom w:val="single" w:sz="4" w:space="0" w:color="auto"/>
                              <w:right w:val="single" w:sz="4" w:space="0" w:color="auto"/>
                            </w:tcBorders>
                            <w:shd w:val="clear" w:color="auto" w:fill="auto"/>
                            <w:noWrap/>
                            <w:vAlign w:val="center"/>
                            <w:hideMark/>
                          </w:tcPr>
                          <w:p w14:paraId="2239C882"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108</w:t>
                            </w:r>
                          </w:p>
                        </w:tc>
                        <w:tc>
                          <w:tcPr>
                            <w:tcW w:w="780" w:type="dxa"/>
                            <w:tcBorders>
                              <w:top w:val="nil"/>
                              <w:left w:val="nil"/>
                              <w:bottom w:val="single" w:sz="4" w:space="0" w:color="auto"/>
                              <w:right w:val="single" w:sz="4" w:space="0" w:color="auto"/>
                            </w:tcBorders>
                            <w:shd w:val="clear" w:color="auto" w:fill="auto"/>
                            <w:noWrap/>
                            <w:vAlign w:val="center"/>
                            <w:hideMark/>
                          </w:tcPr>
                          <w:p w14:paraId="1DCDD535"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109</w:t>
                            </w:r>
                          </w:p>
                        </w:tc>
                        <w:tc>
                          <w:tcPr>
                            <w:tcW w:w="779" w:type="dxa"/>
                            <w:tcBorders>
                              <w:top w:val="nil"/>
                              <w:left w:val="nil"/>
                              <w:bottom w:val="single" w:sz="4" w:space="0" w:color="auto"/>
                              <w:right w:val="single" w:sz="4" w:space="0" w:color="auto"/>
                            </w:tcBorders>
                            <w:shd w:val="clear" w:color="auto" w:fill="auto"/>
                            <w:noWrap/>
                            <w:vAlign w:val="center"/>
                            <w:hideMark/>
                          </w:tcPr>
                          <w:p w14:paraId="7C790BA5"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110</w:t>
                            </w:r>
                          </w:p>
                        </w:tc>
                        <w:tc>
                          <w:tcPr>
                            <w:tcW w:w="780" w:type="dxa"/>
                            <w:tcBorders>
                              <w:top w:val="nil"/>
                              <w:left w:val="nil"/>
                              <w:bottom w:val="single" w:sz="4" w:space="0" w:color="auto"/>
                              <w:right w:val="single" w:sz="4" w:space="0" w:color="auto"/>
                            </w:tcBorders>
                            <w:shd w:val="clear" w:color="auto" w:fill="auto"/>
                            <w:noWrap/>
                            <w:vAlign w:val="center"/>
                            <w:hideMark/>
                          </w:tcPr>
                          <w:p w14:paraId="4AC0BE63"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111</w:t>
                            </w:r>
                          </w:p>
                        </w:tc>
                        <w:tc>
                          <w:tcPr>
                            <w:tcW w:w="779" w:type="dxa"/>
                            <w:tcBorders>
                              <w:top w:val="nil"/>
                              <w:left w:val="nil"/>
                              <w:bottom w:val="single" w:sz="4" w:space="0" w:color="auto"/>
                              <w:right w:val="single" w:sz="4" w:space="0" w:color="auto"/>
                            </w:tcBorders>
                            <w:shd w:val="clear" w:color="auto" w:fill="auto"/>
                            <w:noWrap/>
                            <w:vAlign w:val="center"/>
                            <w:hideMark/>
                          </w:tcPr>
                          <w:p w14:paraId="5F54C922"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112</w:t>
                            </w:r>
                          </w:p>
                        </w:tc>
                        <w:tc>
                          <w:tcPr>
                            <w:tcW w:w="780" w:type="dxa"/>
                            <w:tcBorders>
                              <w:top w:val="nil"/>
                              <w:left w:val="nil"/>
                              <w:bottom w:val="single" w:sz="4" w:space="0" w:color="auto"/>
                              <w:right w:val="single" w:sz="4" w:space="0" w:color="auto"/>
                            </w:tcBorders>
                            <w:shd w:val="clear" w:color="auto" w:fill="auto"/>
                            <w:noWrap/>
                            <w:vAlign w:val="center"/>
                            <w:hideMark/>
                          </w:tcPr>
                          <w:p w14:paraId="52B51024"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113</w:t>
                            </w:r>
                          </w:p>
                        </w:tc>
                      </w:tr>
                      <w:tr w:rsidR="00045A7E" w:rsidRPr="00045A7E" w14:paraId="7190EDB1" w14:textId="77777777" w:rsidTr="005822C2">
                        <w:trPr>
                          <w:trHeight w:val="3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4908CF0"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發生數</w:t>
                            </w:r>
                          </w:p>
                        </w:tc>
                        <w:tc>
                          <w:tcPr>
                            <w:tcW w:w="779" w:type="dxa"/>
                            <w:tcBorders>
                              <w:top w:val="nil"/>
                              <w:left w:val="nil"/>
                              <w:bottom w:val="single" w:sz="4" w:space="0" w:color="auto"/>
                              <w:right w:val="single" w:sz="4" w:space="0" w:color="auto"/>
                            </w:tcBorders>
                            <w:shd w:val="clear" w:color="auto" w:fill="auto"/>
                            <w:noWrap/>
                            <w:vAlign w:val="center"/>
                            <w:hideMark/>
                          </w:tcPr>
                          <w:p w14:paraId="287BAB15"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23,647</w:t>
                            </w:r>
                          </w:p>
                        </w:tc>
                        <w:tc>
                          <w:tcPr>
                            <w:tcW w:w="780" w:type="dxa"/>
                            <w:tcBorders>
                              <w:top w:val="nil"/>
                              <w:left w:val="nil"/>
                              <w:bottom w:val="single" w:sz="4" w:space="0" w:color="auto"/>
                              <w:right w:val="single" w:sz="4" w:space="0" w:color="auto"/>
                            </w:tcBorders>
                            <w:shd w:val="clear" w:color="auto" w:fill="auto"/>
                            <w:noWrap/>
                            <w:vAlign w:val="center"/>
                            <w:hideMark/>
                          </w:tcPr>
                          <w:p w14:paraId="2B5EFA94"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23,054</w:t>
                            </w:r>
                          </w:p>
                        </w:tc>
                        <w:tc>
                          <w:tcPr>
                            <w:tcW w:w="779" w:type="dxa"/>
                            <w:tcBorders>
                              <w:top w:val="nil"/>
                              <w:left w:val="nil"/>
                              <w:bottom w:val="single" w:sz="4" w:space="0" w:color="auto"/>
                              <w:right w:val="single" w:sz="4" w:space="0" w:color="auto"/>
                            </w:tcBorders>
                            <w:shd w:val="clear" w:color="auto" w:fill="auto"/>
                            <w:noWrap/>
                            <w:vAlign w:val="center"/>
                            <w:hideMark/>
                          </w:tcPr>
                          <w:p w14:paraId="75BFD136"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24,724</w:t>
                            </w:r>
                          </w:p>
                        </w:tc>
                        <w:tc>
                          <w:tcPr>
                            <w:tcW w:w="780" w:type="dxa"/>
                            <w:tcBorders>
                              <w:top w:val="nil"/>
                              <w:left w:val="nil"/>
                              <w:bottom w:val="single" w:sz="4" w:space="0" w:color="auto"/>
                              <w:right w:val="single" w:sz="4" w:space="0" w:color="auto"/>
                            </w:tcBorders>
                            <w:shd w:val="clear" w:color="auto" w:fill="auto"/>
                            <w:noWrap/>
                            <w:vAlign w:val="center"/>
                            <w:hideMark/>
                          </w:tcPr>
                          <w:p w14:paraId="5AC9EF77"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29,509</w:t>
                            </w:r>
                          </w:p>
                        </w:tc>
                        <w:tc>
                          <w:tcPr>
                            <w:tcW w:w="779" w:type="dxa"/>
                            <w:tcBorders>
                              <w:top w:val="nil"/>
                              <w:left w:val="nil"/>
                              <w:bottom w:val="single" w:sz="4" w:space="0" w:color="auto"/>
                              <w:right w:val="single" w:sz="4" w:space="0" w:color="auto"/>
                            </w:tcBorders>
                            <w:shd w:val="clear" w:color="auto" w:fill="auto"/>
                            <w:noWrap/>
                            <w:vAlign w:val="center"/>
                            <w:hideMark/>
                          </w:tcPr>
                          <w:p w14:paraId="0FF482F9"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37,823</w:t>
                            </w:r>
                          </w:p>
                        </w:tc>
                        <w:tc>
                          <w:tcPr>
                            <w:tcW w:w="780" w:type="dxa"/>
                            <w:tcBorders>
                              <w:top w:val="nil"/>
                              <w:left w:val="nil"/>
                              <w:bottom w:val="single" w:sz="4" w:space="0" w:color="auto"/>
                              <w:right w:val="single" w:sz="4" w:space="0" w:color="auto"/>
                            </w:tcBorders>
                            <w:shd w:val="clear" w:color="auto" w:fill="auto"/>
                            <w:noWrap/>
                            <w:vAlign w:val="center"/>
                            <w:hideMark/>
                          </w:tcPr>
                          <w:p w14:paraId="32513CA9"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118,535</w:t>
                            </w:r>
                          </w:p>
                        </w:tc>
                      </w:tr>
                      <w:tr w:rsidR="00045A7E" w:rsidRPr="00045A7E" w14:paraId="6E7BE64A" w14:textId="77777777" w:rsidTr="005822C2">
                        <w:trPr>
                          <w:trHeight w:val="34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FFB9862" w14:textId="77777777" w:rsidR="00045A7E" w:rsidRPr="00045A7E" w:rsidRDefault="00045A7E" w:rsidP="00DE7866">
                            <w:pPr>
                              <w:widowControl/>
                              <w:jc w:val="center"/>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財損金額</w:t>
                            </w:r>
                          </w:p>
                        </w:tc>
                        <w:tc>
                          <w:tcPr>
                            <w:tcW w:w="779" w:type="dxa"/>
                            <w:tcBorders>
                              <w:top w:val="nil"/>
                              <w:left w:val="nil"/>
                              <w:bottom w:val="single" w:sz="4" w:space="0" w:color="auto"/>
                              <w:right w:val="single" w:sz="4" w:space="0" w:color="auto"/>
                            </w:tcBorders>
                            <w:shd w:val="clear" w:color="auto" w:fill="auto"/>
                            <w:noWrap/>
                            <w:vAlign w:val="center"/>
                            <w:hideMark/>
                          </w:tcPr>
                          <w:p w14:paraId="5211D5D2"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42.93</w:t>
                            </w:r>
                          </w:p>
                        </w:tc>
                        <w:tc>
                          <w:tcPr>
                            <w:tcW w:w="780" w:type="dxa"/>
                            <w:tcBorders>
                              <w:top w:val="nil"/>
                              <w:left w:val="nil"/>
                              <w:bottom w:val="single" w:sz="4" w:space="0" w:color="auto"/>
                              <w:right w:val="single" w:sz="4" w:space="0" w:color="auto"/>
                            </w:tcBorders>
                            <w:shd w:val="clear" w:color="auto" w:fill="auto"/>
                            <w:noWrap/>
                            <w:vAlign w:val="center"/>
                            <w:hideMark/>
                          </w:tcPr>
                          <w:p w14:paraId="1144BA8D"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42.55</w:t>
                            </w:r>
                          </w:p>
                        </w:tc>
                        <w:tc>
                          <w:tcPr>
                            <w:tcW w:w="779" w:type="dxa"/>
                            <w:tcBorders>
                              <w:top w:val="nil"/>
                              <w:left w:val="nil"/>
                              <w:bottom w:val="single" w:sz="4" w:space="0" w:color="auto"/>
                              <w:right w:val="single" w:sz="4" w:space="0" w:color="auto"/>
                            </w:tcBorders>
                            <w:shd w:val="clear" w:color="auto" w:fill="auto"/>
                            <w:noWrap/>
                            <w:vAlign w:val="center"/>
                            <w:hideMark/>
                          </w:tcPr>
                          <w:p w14:paraId="14B55DDC"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56.1</w:t>
                            </w:r>
                            <w:r w:rsidRPr="00045A7E">
                              <w:rPr>
                                <w:rFonts w:ascii="標楷體" w:eastAsia="標楷體" w:hAnsi="標楷體" w:cs="新細明體"/>
                                <w:color w:val="000000"/>
                                <w:kern w:val="0"/>
                                <w:sz w:val="20"/>
                              </w:rPr>
                              <w:t>0</w:t>
                            </w:r>
                          </w:p>
                        </w:tc>
                        <w:tc>
                          <w:tcPr>
                            <w:tcW w:w="780" w:type="dxa"/>
                            <w:tcBorders>
                              <w:top w:val="nil"/>
                              <w:left w:val="nil"/>
                              <w:bottom w:val="single" w:sz="4" w:space="0" w:color="auto"/>
                              <w:right w:val="single" w:sz="4" w:space="0" w:color="auto"/>
                            </w:tcBorders>
                            <w:shd w:val="clear" w:color="auto" w:fill="auto"/>
                            <w:noWrap/>
                            <w:vAlign w:val="center"/>
                            <w:hideMark/>
                          </w:tcPr>
                          <w:p w14:paraId="0CDE81F7"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73.28</w:t>
                            </w:r>
                          </w:p>
                        </w:tc>
                        <w:tc>
                          <w:tcPr>
                            <w:tcW w:w="779" w:type="dxa"/>
                            <w:tcBorders>
                              <w:top w:val="nil"/>
                              <w:left w:val="nil"/>
                              <w:bottom w:val="single" w:sz="4" w:space="0" w:color="auto"/>
                              <w:right w:val="single" w:sz="4" w:space="0" w:color="auto"/>
                            </w:tcBorders>
                            <w:shd w:val="clear" w:color="auto" w:fill="auto"/>
                            <w:noWrap/>
                            <w:vAlign w:val="center"/>
                            <w:hideMark/>
                          </w:tcPr>
                          <w:p w14:paraId="4F2C8751"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89.44</w:t>
                            </w:r>
                          </w:p>
                        </w:tc>
                        <w:tc>
                          <w:tcPr>
                            <w:tcW w:w="780" w:type="dxa"/>
                            <w:tcBorders>
                              <w:top w:val="nil"/>
                              <w:left w:val="nil"/>
                              <w:bottom w:val="single" w:sz="4" w:space="0" w:color="auto"/>
                              <w:right w:val="single" w:sz="4" w:space="0" w:color="auto"/>
                            </w:tcBorders>
                            <w:shd w:val="clear" w:color="auto" w:fill="auto"/>
                            <w:noWrap/>
                            <w:vAlign w:val="center"/>
                            <w:hideMark/>
                          </w:tcPr>
                          <w:p w14:paraId="7A501D2B" w14:textId="77777777" w:rsidR="00045A7E" w:rsidRPr="00045A7E" w:rsidRDefault="00045A7E" w:rsidP="00DE7866">
                            <w:pPr>
                              <w:widowControl/>
                              <w:jc w:val="right"/>
                              <w:rPr>
                                <w:rFonts w:ascii="標楷體" w:eastAsia="標楷體" w:hAnsi="標楷體" w:cs="新細明體"/>
                                <w:color w:val="000000"/>
                                <w:kern w:val="0"/>
                                <w:sz w:val="20"/>
                              </w:rPr>
                            </w:pPr>
                            <w:r w:rsidRPr="00045A7E">
                              <w:rPr>
                                <w:rFonts w:ascii="標楷體" w:eastAsia="標楷體" w:hAnsi="標楷體" w:cs="新細明體" w:hint="eastAsia"/>
                                <w:color w:val="000000"/>
                                <w:kern w:val="0"/>
                                <w:sz w:val="20"/>
                              </w:rPr>
                              <w:t>487.64</w:t>
                            </w:r>
                          </w:p>
                        </w:tc>
                      </w:tr>
                    </w:tbl>
                    <w:p w14:paraId="223EA5D6" w14:textId="77777777" w:rsidR="00045A7E" w:rsidRPr="00045A7E" w:rsidRDefault="00045A7E" w:rsidP="00964EA1">
                      <w:pPr>
                        <w:overflowPunct w:val="0"/>
                        <w:snapToGrid w:val="0"/>
                        <w:spacing w:line="200" w:lineRule="exact"/>
                        <w:ind w:left="517" w:rightChars="-8" w:right="-19" w:hangingChars="287" w:hanging="517"/>
                        <w:contextualSpacing/>
                        <w:jc w:val="both"/>
                        <w:rPr>
                          <w:rFonts w:ascii="標楷體" w:eastAsia="標楷體" w:hAnsi="標楷體"/>
                          <w:sz w:val="18"/>
                          <w:szCs w:val="18"/>
                        </w:rPr>
                      </w:pPr>
                      <w:proofErr w:type="gramStart"/>
                      <w:r w:rsidRPr="00045A7E">
                        <w:rPr>
                          <w:rFonts w:ascii="標楷體" w:eastAsia="標楷體" w:hAnsi="標楷體" w:hint="eastAsia"/>
                          <w:sz w:val="18"/>
                          <w:szCs w:val="18"/>
                        </w:rPr>
                        <w:t>註</w:t>
                      </w:r>
                      <w:proofErr w:type="gramEnd"/>
                      <w:r w:rsidRPr="00045A7E">
                        <w:rPr>
                          <w:rFonts w:ascii="標楷體" w:eastAsia="標楷體" w:hAnsi="標楷體"/>
                          <w:sz w:val="18"/>
                          <w:szCs w:val="18"/>
                        </w:rPr>
                        <w:t>：1.</w:t>
                      </w:r>
                      <w:r w:rsidRPr="00045A7E">
                        <w:rPr>
                          <w:rFonts w:ascii="標楷體" w:eastAsia="標楷體" w:hAnsi="標楷體" w:hint="eastAsia"/>
                          <w:sz w:val="18"/>
                          <w:szCs w:val="18"/>
                        </w:rPr>
                        <w:t>內政部警政署考量為符合實際治安現況，自113年9月起，詐欺案件發生數計算方式由「1案1發生數」改為受理報案「1被害人1發生數」。</w:t>
                      </w:r>
                    </w:p>
                    <w:p w14:paraId="586CCD72" w14:textId="77777777" w:rsidR="00045A7E" w:rsidRPr="00045A7E" w:rsidRDefault="00045A7E" w:rsidP="00964EA1">
                      <w:pPr>
                        <w:overflowPunct w:val="0"/>
                        <w:snapToGrid w:val="0"/>
                        <w:spacing w:line="200" w:lineRule="exact"/>
                        <w:ind w:leftChars="139" w:left="528" w:rightChars="-8" w:right="-19" w:hangingChars="108" w:hanging="194"/>
                        <w:contextualSpacing/>
                        <w:jc w:val="both"/>
                        <w:rPr>
                          <w:rFonts w:ascii="標楷體" w:eastAsia="標楷體" w:hAnsi="標楷體"/>
                          <w:sz w:val="18"/>
                          <w:szCs w:val="18"/>
                        </w:rPr>
                      </w:pPr>
                      <w:r w:rsidRPr="00045A7E">
                        <w:rPr>
                          <w:rFonts w:ascii="標楷體" w:eastAsia="標楷體" w:hAnsi="標楷體"/>
                          <w:sz w:val="18"/>
                          <w:szCs w:val="18"/>
                        </w:rPr>
                        <w:t>2.</w:t>
                      </w:r>
                      <w:r w:rsidRPr="00045A7E">
                        <w:rPr>
                          <w:rFonts w:ascii="標楷體" w:eastAsia="標楷體" w:hAnsi="標楷體" w:hint="eastAsia"/>
                          <w:sz w:val="18"/>
                          <w:szCs w:val="18"/>
                        </w:rPr>
                        <w:t>112年度數據與</w:t>
                      </w:r>
                      <w:proofErr w:type="gramStart"/>
                      <w:r w:rsidRPr="00045A7E">
                        <w:rPr>
                          <w:rFonts w:ascii="標楷體" w:eastAsia="標楷體" w:hAnsi="標楷體" w:hint="eastAsia"/>
                          <w:sz w:val="18"/>
                          <w:szCs w:val="18"/>
                        </w:rPr>
                        <w:t>112</w:t>
                      </w:r>
                      <w:proofErr w:type="gramEnd"/>
                      <w:r w:rsidRPr="00045A7E">
                        <w:rPr>
                          <w:rFonts w:ascii="標楷體" w:eastAsia="標楷體" w:hAnsi="標楷體" w:hint="eastAsia"/>
                          <w:sz w:val="18"/>
                          <w:szCs w:val="18"/>
                        </w:rPr>
                        <w:t>年度中央政府總決算審核報告揭露數據略有差異，係該年度審核報告按原行政院打擊詐欺辦公室提供之初步統計資料揭露，現配合內政部警政署正式公布年度警政統計更新。</w:t>
                      </w:r>
                    </w:p>
                    <w:p w14:paraId="61126BEC" w14:textId="77777777" w:rsidR="00045A7E" w:rsidRPr="00045A7E" w:rsidRDefault="00045A7E" w:rsidP="00964EA1">
                      <w:pPr>
                        <w:overflowPunct w:val="0"/>
                        <w:spacing w:line="200" w:lineRule="exact"/>
                        <w:ind w:leftChars="145" w:left="532" w:rightChars="-8" w:right="-19" w:hangingChars="102" w:hanging="184"/>
                        <w:jc w:val="both"/>
                        <w:rPr>
                          <w:rFonts w:ascii="標楷體" w:eastAsia="標楷體" w:hAnsi="標楷體"/>
                          <w:sz w:val="18"/>
                          <w:szCs w:val="18"/>
                        </w:rPr>
                      </w:pPr>
                      <w:r w:rsidRPr="00045A7E">
                        <w:rPr>
                          <w:rFonts w:ascii="標楷體" w:eastAsia="標楷體" w:hAnsi="標楷體"/>
                          <w:sz w:val="18"/>
                          <w:szCs w:val="18"/>
                        </w:rPr>
                        <w:t>3.</w:t>
                      </w:r>
                      <w:r w:rsidRPr="00045A7E">
                        <w:rPr>
                          <w:rFonts w:ascii="標楷體" w:eastAsia="標楷體" w:hAnsi="標楷體" w:hint="eastAsia"/>
                          <w:sz w:val="18"/>
                          <w:szCs w:val="18"/>
                        </w:rPr>
                        <w:t>資料來源</w:t>
                      </w:r>
                      <w:proofErr w:type="gramStart"/>
                      <w:r w:rsidRPr="00045A7E">
                        <w:rPr>
                          <w:rFonts w:ascii="標楷體" w:eastAsia="標楷體" w:hAnsi="標楷體" w:hint="eastAsia"/>
                          <w:sz w:val="18"/>
                          <w:szCs w:val="18"/>
                        </w:rPr>
                        <w:t>︰</w:t>
                      </w:r>
                      <w:proofErr w:type="gramEnd"/>
                      <w:r w:rsidRPr="00045A7E">
                        <w:rPr>
                          <w:rFonts w:ascii="標楷體" w:eastAsia="標楷體" w:hAnsi="標楷體" w:hint="eastAsia"/>
                          <w:sz w:val="18"/>
                          <w:szCs w:val="18"/>
                        </w:rPr>
                        <w:t>整理自內政部警政署刑事警察局提供刑案紀錄資料。</w:t>
                      </w:r>
                    </w:p>
                    <w:p w14:paraId="1AC330F3" w14:textId="77777777" w:rsidR="00045A7E" w:rsidRPr="00045A7E" w:rsidRDefault="00045A7E" w:rsidP="00045A7E">
                      <w:pPr>
                        <w:spacing w:line="40" w:lineRule="exact"/>
                        <w:rPr>
                          <w:rFonts w:ascii="標楷體" w:eastAsia="標楷體" w:hAnsi="標楷體"/>
                        </w:rPr>
                      </w:pPr>
                    </w:p>
                  </w:txbxContent>
                </v:textbox>
                <w10:wrap type="square"/>
              </v:shape>
            </w:pict>
          </mc:Fallback>
        </mc:AlternateContent>
      </w:r>
      <w:r w:rsidR="001A7F14" w:rsidRPr="00950A8C">
        <w:rPr>
          <w:rFonts w:ascii="標楷體" w:eastAsia="標楷體" w:hAnsi="標楷體" w:cs="新細明體" w:hint="eastAsia"/>
          <w:color w:val="000000" w:themeColor="text1"/>
          <w:spacing w:val="-4"/>
          <w:szCs w:val="24"/>
        </w:rPr>
        <w:t>國家通訊傳播委員會（下稱通傳會）、金融監督管理委員會（下稱金管會）、法務部分別負責統籌與相關機關執行「</w:t>
      </w:r>
      <w:proofErr w:type="gramStart"/>
      <w:r w:rsidR="001A7F14" w:rsidRPr="00950A8C">
        <w:rPr>
          <w:rFonts w:ascii="標楷體" w:eastAsia="標楷體" w:hAnsi="標楷體" w:cs="新細明體" w:hint="eastAsia"/>
          <w:color w:val="000000" w:themeColor="text1"/>
          <w:spacing w:val="-4"/>
          <w:szCs w:val="24"/>
        </w:rPr>
        <w:t>識詐」</w:t>
      </w:r>
      <w:proofErr w:type="gramEnd"/>
      <w:r w:rsidR="001A7F14" w:rsidRPr="00950A8C">
        <w:rPr>
          <w:rFonts w:ascii="標楷體" w:eastAsia="標楷體" w:hAnsi="標楷體" w:cs="新細明體" w:hint="eastAsia"/>
          <w:color w:val="000000" w:themeColor="text1"/>
          <w:spacing w:val="-4"/>
          <w:szCs w:val="24"/>
        </w:rPr>
        <w:t>、「</w:t>
      </w:r>
      <w:proofErr w:type="gramStart"/>
      <w:r w:rsidR="001A7F14" w:rsidRPr="00950A8C">
        <w:rPr>
          <w:rFonts w:ascii="標楷體" w:eastAsia="標楷體" w:hAnsi="標楷體" w:cs="新細明體" w:hint="eastAsia"/>
          <w:color w:val="000000" w:themeColor="text1"/>
          <w:spacing w:val="-4"/>
          <w:szCs w:val="24"/>
        </w:rPr>
        <w:t>堵詐」</w:t>
      </w:r>
      <w:proofErr w:type="gramEnd"/>
      <w:r w:rsidR="001A7F14" w:rsidRPr="00950A8C">
        <w:rPr>
          <w:rFonts w:ascii="標楷體" w:eastAsia="標楷體" w:hAnsi="標楷體" w:cs="新細明體" w:hint="eastAsia"/>
          <w:color w:val="000000" w:themeColor="text1"/>
          <w:spacing w:val="-4"/>
          <w:szCs w:val="24"/>
        </w:rPr>
        <w:t>、「</w:t>
      </w:r>
      <w:proofErr w:type="gramStart"/>
      <w:r w:rsidR="001A7F14" w:rsidRPr="00950A8C">
        <w:rPr>
          <w:rFonts w:ascii="標楷體" w:eastAsia="標楷體" w:hAnsi="標楷體" w:cs="新細明體" w:hint="eastAsia"/>
          <w:color w:val="000000" w:themeColor="text1"/>
          <w:spacing w:val="-4"/>
          <w:szCs w:val="24"/>
        </w:rPr>
        <w:t>阻詐」</w:t>
      </w:r>
      <w:proofErr w:type="gramEnd"/>
      <w:r w:rsidR="001A7F14" w:rsidRPr="00950A8C">
        <w:rPr>
          <w:rFonts w:ascii="標楷體" w:eastAsia="標楷體" w:hAnsi="標楷體" w:cs="新細明體" w:hint="eastAsia"/>
          <w:color w:val="000000" w:themeColor="text1"/>
          <w:spacing w:val="-4"/>
          <w:szCs w:val="24"/>
        </w:rPr>
        <w:t>及「</w:t>
      </w:r>
      <w:proofErr w:type="gramStart"/>
      <w:r w:rsidR="001A7F14" w:rsidRPr="00950A8C">
        <w:rPr>
          <w:rFonts w:ascii="標楷體" w:eastAsia="標楷體" w:hAnsi="標楷體" w:cs="新細明體" w:hint="eastAsia"/>
          <w:color w:val="000000" w:themeColor="text1"/>
          <w:spacing w:val="-4"/>
          <w:szCs w:val="24"/>
        </w:rPr>
        <w:t>懲詐」</w:t>
      </w:r>
      <w:proofErr w:type="gramEnd"/>
      <w:r w:rsidR="001A7F14" w:rsidRPr="00950A8C">
        <w:rPr>
          <w:rFonts w:ascii="標楷體" w:eastAsia="標楷體" w:hAnsi="標楷體" w:cs="新細明體" w:hint="eastAsia"/>
          <w:color w:val="000000" w:themeColor="text1"/>
          <w:spacing w:val="-4"/>
          <w:szCs w:val="24"/>
        </w:rPr>
        <w:t>等面向策略。行政院於113年8月將打擊詐欺辦公室轉型為打擊詐欺指揮中心（下稱打詐指揮中心），新增「防詐－數位經濟面」面向策略，由數位發展部（下稱數發部）負責統籌。依據</w:t>
      </w:r>
      <w:proofErr w:type="gramStart"/>
      <w:r w:rsidR="001A7F14" w:rsidRPr="00950A8C">
        <w:rPr>
          <w:rFonts w:ascii="標楷體" w:eastAsia="標楷體" w:hAnsi="標楷體" w:cs="新細明體" w:hint="eastAsia"/>
          <w:color w:val="000000" w:themeColor="text1"/>
          <w:spacing w:val="-4"/>
          <w:szCs w:val="24"/>
        </w:rPr>
        <w:t>打詐指揮</w:t>
      </w:r>
      <w:proofErr w:type="gramEnd"/>
      <w:r w:rsidR="001A7F14" w:rsidRPr="00950A8C">
        <w:rPr>
          <w:rFonts w:ascii="標楷體" w:eastAsia="標楷體" w:hAnsi="標楷體" w:cs="新細明體" w:hint="eastAsia"/>
          <w:color w:val="000000" w:themeColor="text1"/>
          <w:spacing w:val="-4"/>
          <w:szCs w:val="24"/>
        </w:rPr>
        <w:t>中心提供資料，</w:t>
      </w:r>
      <w:proofErr w:type="gramStart"/>
      <w:r w:rsidR="001A7F14" w:rsidRPr="00950A8C">
        <w:rPr>
          <w:rFonts w:ascii="標楷體" w:eastAsia="標楷體" w:hAnsi="標楷體" w:cs="新細明體" w:hint="eastAsia"/>
          <w:color w:val="000000" w:themeColor="text1"/>
          <w:spacing w:val="-4"/>
          <w:szCs w:val="24"/>
        </w:rPr>
        <w:t>113</w:t>
      </w:r>
      <w:proofErr w:type="gramEnd"/>
      <w:r w:rsidR="001A7F14" w:rsidRPr="00950A8C">
        <w:rPr>
          <w:rFonts w:ascii="標楷體" w:eastAsia="標楷體" w:hAnsi="標楷體" w:cs="新細明體" w:hint="eastAsia"/>
          <w:color w:val="000000" w:themeColor="text1"/>
          <w:spacing w:val="-4"/>
          <w:szCs w:val="24"/>
        </w:rPr>
        <w:t>年度已</w:t>
      </w:r>
      <w:proofErr w:type="gramStart"/>
      <w:r w:rsidR="001A7F14" w:rsidRPr="00950A8C">
        <w:rPr>
          <w:rFonts w:ascii="標楷體" w:eastAsia="標楷體" w:hAnsi="標楷體" w:cs="新細明體" w:hint="eastAsia"/>
          <w:color w:val="000000" w:themeColor="text1"/>
          <w:spacing w:val="-4"/>
          <w:szCs w:val="24"/>
        </w:rPr>
        <w:t>辦理識詐宣導</w:t>
      </w:r>
      <w:proofErr w:type="gramEnd"/>
      <w:r w:rsidR="001A7F14" w:rsidRPr="00950A8C">
        <w:rPr>
          <w:rFonts w:ascii="標楷體" w:eastAsia="標楷體" w:hAnsi="標楷體" w:cs="新細明體" w:hint="eastAsia"/>
          <w:color w:val="000000" w:themeColor="text1"/>
          <w:spacing w:val="-4"/>
          <w:szCs w:val="24"/>
        </w:rPr>
        <w:t>觸及1億餘</w:t>
      </w:r>
      <w:proofErr w:type="gramStart"/>
      <w:r w:rsidR="001A7F14" w:rsidRPr="00950A8C">
        <w:rPr>
          <w:rFonts w:ascii="標楷體" w:eastAsia="標楷體" w:hAnsi="標楷體" w:cs="新細明體" w:hint="eastAsia"/>
          <w:color w:val="000000" w:themeColor="text1"/>
          <w:spacing w:val="-4"/>
          <w:szCs w:val="24"/>
        </w:rPr>
        <w:t>人次、</w:t>
      </w:r>
      <w:proofErr w:type="gramEnd"/>
      <w:r w:rsidR="001A7F14" w:rsidRPr="00950A8C">
        <w:rPr>
          <w:rFonts w:ascii="標楷體" w:eastAsia="標楷體" w:hAnsi="標楷體" w:cs="新細明體" w:hint="eastAsia"/>
          <w:color w:val="000000" w:themeColor="text1"/>
          <w:spacing w:val="-4"/>
          <w:szCs w:val="24"/>
        </w:rPr>
        <w:t>金融機構關懷提問攔阻金額101億餘元、查獲電信詐欺集團數2千餘件、2萬餘人等，且</w:t>
      </w:r>
      <w:proofErr w:type="gramStart"/>
      <w:r w:rsidR="001A7F14" w:rsidRPr="00950A8C">
        <w:rPr>
          <w:rFonts w:ascii="標楷體" w:eastAsia="標楷體" w:hAnsi="標楷體" w:cs="新細明體" w:hint="eastAsia"/>
          <w:color w:val="000000" w:themeColor="text1"/>
          <w:spacing w:val="-4"/>
          <w:szCs w:val="24"/>
        </w:rPr>
        <w:t>打詐綱領</w:t>
      </w:r>
      <w:proofErr w:type="gramEnd"/>
      <w:r w:rsidR="001A7F14" w:rsidRPr="00950A8C">
        <w:rPr>
          <w:rFonts w:ascii="標楷體" w:eastAsia="標楷體" w:hAnsi="標楷體" w:cs="新細明體" w:hint="eastAsia"/>
          <w:color w:val="000000" w:themeColor="text1"/>
          <w:spacing w:val="-4"/>
          <w:szCs w:val="24"/>
        </w:rPr>
        <w:t>1.5版各面向工作之分項指標，</w:t>
      </w:r>
      <w:proofErr w:type="gramStart"/>
      <w:r w:rsidR="001A7F14" w:rsidRPr="00950A8C">
        <w:rPr>
          <w:rFonts w:ascii="標楷體" w:eastAsia="標楷體" w:hAnsi="標楷體" w:cs="新細明體" w:hint="eastAsia"/>
          <w:color w:val="000000" w:themeColor="text1"/>
          <w:spacing w:val="-4"/>
          <w:szCs w:val="24"/>
        </w:rPr>
        <w:t>除堵詐</w:t>
      </w:r>
      <w:proofErr w:type="gramEnd"/>
      <w:r w:rsidR="001A7F14" w:rsidRPr="00950A8C">
        <w:rPr>
          <w:rFonts w:ascii="標楷體" w:eastAsia="標楷體" w:hAnsi="標楷體" w:cs="新細明體" w:hint="eastAsia"/>
          <w:color w:val="000000" w:themeColor="text1"/>
          <w:spacing w:val="-4"/>
          <w:szCs w:val="24"/>
        </w:rPr>
        <w:t>面向指標，因通傳會</w:t>
      </w:r>
      <w:proofErr w:type="gramStart"/>
      <w:r w:rsidR="001A7F14" w:rsidRPr="00950A8C">
        <w:rPr>
          <w:rFonts w:ascii="標楷體" w:eastAsia="標楷體" w:hAnsi="標楷體" w:cs="新細明體" w:hint="eastAsia"/>
          <w:color w:val="000000" w:themeColor="text1"/>
          <w:spacing w:val="-4"/>
          <w:szCs w:val="24"/>
        </w:rPr>
        <w:t>採</w:t>
      </w:r>
      <w:proofErr w:type="gramEnd"/>
      <w:r w:rsidR="001A7F14" w:rsidRPr="00950A8C">
        <w:rPr>
          <w:rFonts w:ascii="標楷體" w:eastAsia="標楷體" w:hAnsi="標楷體" w:cs="新細明體" w:hint="eastAsia"/>
          <w:color w:val="000000" w:themeColor="text1"/>
          <w:spacing w:val="-4"/>
          <w:szCs w:val="24"/>
        </w:rPr>
        <w:t>行強化源頭管理措施，事後攔阻簡訊及人頭門號停斷話情形減少，致未達成外，其餘</w:t>
      </w:r>
      <w:proofErr w:type="gramStart"/>
      <w:r w:rsidR="001A7F14" w:rsidRPr="00950A8C">
        <w:rPr>
          <w:rFonts w:ascii="標楷體" w:eastAsia="標楷體" w:hAnsi="標楷體" w:cs="新細明體" w:hint="eastAsia"/>
          <w:color w:val="000000" w:themeColor="text1"/>
          <w:spacing w:val="-4"/>
          <w:szCs w:val="24"/>
        </w:rPr>
        <w:t>指標均已達成</w:t>
      </w:r>
      <w:proofErr w:type="gramEnd"/>
      <w:r w:rsidR="001A7F14" w:rsidRPr="00950A8C">
        <w:rPr>
          <w:rFonts w:ascii="標楷體" w:eastAsia="標楷體" w:hAnsi="標楷體" w:cs="新細明體" w:hint="eastAsia"/>
          <w:color w:val="000000" w:themeColor="text1"/>
          <w:spacing w:val="-4"/>
          <w:szCs w:val="24"/>
        </w:rPr>
        <w:t>目標。惟據內政部警政署（下稱警政署）刑事警察局（下稱刑事警察局）統計，詐欺案件發生數由</w:t>
      </w:r>
      <w:proofErr w:type="gramStart"/>
      <w:r w:rsidR="001A7F14" w:rsidRPr="00950A8C">
        <w:rPr>
          <w:rFonts w:ascii="標楷體" w:eastAsia="標楷體" w:hAnsi="標楷體" w:cs="新細明體" w:hint="eastAsia"/>
          <w:color w:val="000000" w:themeColor="text1"/>
          <w:spacing w:val="-4"/>
          <w:szCs w:val="24"/>
        </w:rPr>
        <w:t>111</w:t>
      </w:r>
      <w:proofErr w:type="gramEnd"/>
      <w:r w:rsidR="001A7F14" w:rsidRPr="00950A8C">
        <w:rPr>
          <w:rFonts w:ascii="標楷體" w:eastAsia="標楷體" w:hAnsi="標楷體" w:cs="新細明體" w:hint="eastAsia"/>
          <w:color w:val="000000" w:themeColor="text1"/>
          <w:spacing w:val="-4"/>
          <w:szCs w:val="24"/>
        </w:rPr>
        <w:t>年度之2.9萬餘件，逐年攀升至</w:t>
      </w:r>
      <w:proofErr w:type="gramStart"/>
      <w:r w:rsidR="001A7F14" w:rsidRPr="00950A8C">
        <w:rPr>
          <w:rFonts w:ascii="標楷體" w:eastAsia="標楷體" w:hAnsi="標楷體" w:cs="新細明體" w:hint="eastAsia"/>
          <w:color w:val="000000" w:themeColor="text1"/>
          <w:spacing w:val="-4"/>
          <w:szCs w:val="24"/>
        </w:rPr>
        <w:t>113</w:t>
      </w:r>
      <w:proofErr w:type="gramEnd"/>
      <w:r w:rsidR="001A7F14" w:rsidRPr="00950A8C">
        <w:rPr>
          <w:rFonts w:ascii="標楷體" w:eastAsia="標楷體" w:hAnsi="標楷體" w:cs="新細明體" w:hint="eastAsia"/>
          <w:color w:val="000000" w:themeColor="text1"/>
          <w:spacing w:val="-4"/>
          <w:szCs w:val="24"/>
        </w:rPr>
        <w:t>年度之11.8萬餘件</w:t>
      </w:r>
      <w:proofErr w:type="gramStart"/>
      <w:r w:rsidR="001A7F14" w:rsidRPr="00950A8C">
        <w:rPr>
          <w:rFonts w:ascii="標楷體" w:eastAsia="標楷體" w:hAnsi="標楷體" w:cs="新細明體" w:hint="eastAsia"/>
          <w:color w:val="000000" w:themeColor="text1"/>
          <w:spacing w:val="-4"/>
          <w:szCs w:val="24"/>
        </w:rPr>
        <w:t>（</w:t>
      </w:r>
      <w:proofErr w:type="gramEnd"/>
      <w:r w:rsidR="001A7F14" w:rsidRPr="00950A8C">
        <w:rPr>
          <w:rFonts w:ascii="標楷體" w:eastAsia="標楷體" w:hAnsi="標楷體" w:cs="新細明體" w:hint="eastAsia"/>
          <w:color w:val="000000" w:themeColor="text1"/>
          <w:spacing w:val="-4"/>
          <w:szCs w:val="24"/>
        </w:rPr>
        <w:t>表</w:t>
      </w:r>
      <w:r w:rsidR="00045A7E" w:rsidRPr="00950A8C">
        <w:rPr>
          <w:rFonts w:ascii="標楷體" w:eastAsia="標楷體" w:hAnsi="標楷體" w:cs="新細明體" w:hint="eastAsia"/>
          <w:color w:val="000000" w:themeColor="text1"/>
          <w:spacing w:val="-4"/>
          <w:szCs w:val="24"/>
        </w:rPr>
        <w:t>9</w:t>
      </w:r>
      <w:r w:rsidR="001A7F14" w:rsidRPr="00950A8C">
        <w:rPr>
          <w:rFonts w:ascii="標楷體" w:eastAsia="標楷體" w:hAnsi="標楷體" w:cs="新細明體" w:hint="eastAsia"/>
          <w:color w:val="000000" w:themeColor="text1"/>
          <w:spacing w:val="-4"/>
          <w:szCs w:val="24"/>
        </w:rPr>
        <w:t>；按警政署自113年9月起將刑案發生數計算方式由「1案1發生數」改為受理報案「1被害人1發生數」，惟</w:t>
      </w:r>
      <w:proofErr w:type="gramStart"/>
      <w:r w:rsidR="001A7F14" w:rsidRPr="00950A8C">
        <w:rPr>
          <w:rFonts w:ascii="標楷體" w:eastAsia="標楷體" w:hAnsi="標楷體" w:cs="新細明體" w:hint="eastAsia"/>
          <w:color w:val="000000" w:themeColor="text1"/>
          <w:spacing w:val="-4"/>
          <w:szCs w:val="24"/>
        </w:rPr>
        <w:t>113</w:t>
      </w:r>
      <w:proofErr w:type="gramEnd"/>
      <w:r w:rsidR="001A7F14" w:rsidRPr="00950A8C">
        <w:rPr>
          <w:rFonts w:ascii="標楷體" w:eastAsia="標楷體" w:hAnsi="標楷體" w:cs="新細明體" w:hint="eastAsia"/>
          <w:color w:val="000000" w:themeColor="text1"/>
          <w:spacing w:val="-4"/>
          <w:szCs w:val="24"/>
        </w:rPr>
        <w:t>年度1至8月之詐欺案件發生數3萬件，仍較111及</w:t>
      </w:r>
      <w:proofErr w:type="gramStart"/>
      <w:r w:rsidR="001A7F14" w:rsidRPr="00950A8C">
        <w:rPr>
          <w:rFonts w:ascii="標楷體" w:eastAsia="標楷體" w:hAnsi="標楷體" w:cs="新細明體" w:hint="eastAsia"/>
          <w:color w:val="000000" w:themeColor="text1"/>
          <w:spacing w:val="-4"/>
          <w:szCs w:val="24"/>
        </w:rPr>
        <w:t>112</w:t>
      </w:r>
      <w:proofErr w:type="gramEnd"/>
      <w:r w:rsidR="001A7F14" w:rsidRPr="00950A8C">
        <w:rPr>
          <w:rFonts w:ascii="標楷體" w:eastAsia="標楷體" w:hAnsi="標楷體" w:cs="新細明體" w:hint="eastAsia"/>
          <w:color w:val="000000" w:themeColor="text1"/>
          <w:spacing w:val="-4"/>
          <w:szCs w:val="24"/>
        </w:rPr>
        <w:t>年度同期之1.8萬餘件、2.3萬餘件為高</w:t>
      </w:r>
      <w:proofErr w:type="gramStart"/>
      <w:r w:rsidR="001A7F14" w:rsidRPr="00950A8C">
        <w:rPr>
          <w:rFonts w:ascii="標楷體" w:eastAsia="標楷體" w:hAnsi="標楷體" w:cs="新細明體" w:hint="eastAsia"/>
          <w:color w:val="000000" w:themeColor="text1"/>
          <w:spacing w:val="-4"/>
          <w:szCs w:val="24"/>
        </w:rPr>
        <w:t>）</w:t>
      </w:r>
      <w:proofErr w:type="gramEnd"/>
      <w:r w:rsidR="001A7F14" w:rsidRPr="00950A8C">
        <w:rPr>
          <w:rFonts w:ascii="標楷體" w:eastAsia="標楷體" w:hAnsi="標楷體" w:cs="新細明體" w:hint="eastAsia"/>
          <w:color w:val="000000" w:themeColor="text1"/>
          <w:spacing w:val="-4"/>
          <w:szCs w:val="24"/>
        </w:rPr>
        <w:t>；且詐欺案件財損金額由</w:t>
      </w:r>
      <w:proofErr w:type="gramStart"/>
      <w:r w:rsidR="001A7F14" w:rsidRPr="00950A8C">
        <w:rPr>
          <w:rFonts w:ascii="標楷體" w:eastAsia="標楷體" w:hAnsi="標楷體" w:cs="新細明體" w:hint="eastAsia"/>
          <w:color w:val="000000" w:themeColor="text1"/>
          <w:spacing w:val="-4"/>
          <w:szCs w:val="24"/>
        </w:rPr>
        <w:t>111</w:t>
      </w:r>
      <w:proofErr w:type="gramEnd"/>
      <w:r w:rsidR="001A7F14" w:rsidRPr="00950A8C">
        <w:rPr>
          <w:rFonts w:ascii="標楷體" w:eastAsia="標楷體" w:hAnsi="標楷體" w:cs="新細明體" w:hint="eastAsia"/>
          <w:color w:val="000000" w:themeColor="text1"/>
          <w:spacing w:val="-4"/>
          <w:szCs w:val="24"/>
        </w:rPr>
        <w:t>年度之73億餘元，逐年攀升至</w:t>
      </w:r>
      <w:proofErr w:type="gramStart"/>
      <w:r w:rsidR="001A7F14" w:rsidRPr="00950A8C">
        <w:rPr>
          <w:rFonts w:ascii="標楷體" w:eastAsia="標楷體" w:hAnsi="標楷體" w:cs="新細明體" w:hint="eastAsia"/>
          <w:color w:val="000000" w:themeColor="text1"/>
          <w:spacing w:val="-4"/>
          <w:szCs w:val="24"/>
        </w:rPr>
        <w:t>113</w:t>
      </w:r>
      <w:proofErr w:type="gramEnd"/>
      <w:r w:rsidR="001A7F14" w:rsidRPr="00950A8C">
        <w:rPr>
          <w:rFonts w:ascii="標楷體" w:eastAsia="標楷體" w:hAnsi="標楷體" w:cs="新細明體" w:hint="eastAsia"/>
          <w:color w:val="000000" w:themeColor="text1"/>
          <w:spacing w:val="-4"/>
          <w:szCs w:val="24"/>
        </w:rPr>
        <w:t>年度之487億餘元，詐欺手法不斷演變，詐欺案量及財損金額</w:t>
      </w:r>
      <w:proofErr w:type="gramStart"/>
      <w:r w:rsidR="001A7F14" w:rsidRPr="00950A8C">
        <w:rPr>
          <w:rFonts w:ascii="標楷體" w:eastAsia="標楷體" w:hAnsi="標楷體" w:cs="新細明體" w:hint="eastAsia"/>
          <w:color w:val="000000" w:themeColor="text1"/>
          <w:spacing w:val="-4"/>
          <w:szCs w:val="24"/>
        </w:rPr>
        <w:t>持續高發未能</w:t>
      </w:r>
      <w:proofErr w:type="gramEnd"/>
      <w:r w:rsidR="001A7F14" w:rsidRPr="00950A8C">
        <w:rPr>
          <w:rFonts w:ascii="標楷體" w:eastAsia="標楷體" w:hAnsi="標楷體" w:cs="新細明體" w:hint="eastAsia"/>
          <w:color w:val="000000" w:themeColor="text1"/>
          <w:spacing w:val="-4"/>
          <w:szCs w:val="24"/>
        </w:rPr>
        <w:t>有效減少。又</w:t>
      </w:r>
      <w:proofErr w:type="gramStart"/>
      <w:r w:rsidR="001A7F14" w:rsidRPr="00950A8C">
        <w:rPr>
          <w:rFonts w:ascii="標楷體" w:eastAsia="標楷體" w:hAnsi="標楷體" w:cs="新細明體" w:hint="eastAsia"/>
          <w:color w:val="000000" w:themeColor="text1"/>
          <w:spacing w:val="-4"/>
          <w:szCs w:val="24"/>
        </w:rPr>
        <w:t>打詐綱領</w:t>
      </w:r>
      <w:proofErr w:type="gramEnd"/>
      <w:r w:rsidR="001A7F14" w:rsidRPr="00950A8C">
        <w:rPr>
          <w:rFonts w:ascii="標楷體" w:eastAsia="標楷體" w:hAnsi="標楷體" w:cs="新細明體" w:hint="eastAsia"/>
          <w:color w:val="000000" w:themeColor="text1"/>
          <w:spacing w:val="-4"/>
          <w:szCs w:val="24"/>
        </w:rPr>
        <w:t>1.5版未就降低詐欺案件發生數、減少財損金額或遏阻常發生詐欺手法件數等成果訂定量化績效指標，致綱領整體執行成效是否符合預期目標尚乏具體連結，確切達成程度未明。</w:t>
      </w:r>
      <w:proofErr w:type="gramStart"/>
      <w:r w:rsidR="001A7F14" w:rsidRPr="00950A8C">
        <w:rPr>
          <w:rFonts w:ascii="標楷體" w:eastAsia="標楷體" w:hAnsi="標楷體" w:cs="新細明體" w:hint="eastAsia"/>
          <w:color w:val="000000" w:themeColor="text1"/>
          <w:spacing w:val="-4"/>
          <w:szCs w:val="24"/>
        </w:rPr>
        <w:t>另打詐指揮</w:t>
      </w:r>
      <w:proofErr w:type="gramEnd"/>
      <w:r w:rsidR="001A7F14" w:rsidRPr="00950A8C">
        <w:rPr>
          <w:rFonts w:ascii="標楷體" w:eastAsia="標楷體" w:hAnsi="標楷體" w:cs="新細明體" w:hint="eastAsia"/>
          <w:color w:val="000000" w:themeColor="text1"/>
          <w:spacing w:val="-4"/>
          <w:szCs w:val="24"/>
        </w:rPr>
        <w:t>中心主責統籌督導相關部會執行</w:t>
      </w:r>
      <w:proofErr w:type="gramStart"/>
      <w:r w:rsidR="001A7F14" w:rsidRPr="00950A8C">
        <w:rPr>
          <w:rFonts w:ascii="標楷體" w:eastAsia="標楷體" w:hAnsi="標楷體" w:cs="新細明體" w:hint="eastAsia"/>
          <w:color w:val="000000" w:themeColor="text1"/>
          <w:spacing w:val="-4"/>
          <w:szCs w:val="24"/>
        </w:rPr>
        <w:t>打詐綱領</w:t>
      </w:r>
      <w:proofErr w:type="gramEnd"/>
      <w:r w:rsidR="001A7F14" w:rsidRPr="00950A8C">
        <w:rPr>
          <w:rFonts w:ascii="標楷體" w:eastAsia="標楷體" w:hAnsi="標楷體" w:cs="新細明體" w:hint="eastAsia"/>
          <w:color w:val="000000" w:themeColor="text1"/>
          <w:spacing w:val="-4"/>
          <w:szCs w:val="24"/>
        </w:rPr>
        <w:t>策略工作，由行政院政務委員督導，置指揮官及執行秘書各1人統籌政策</w:t>
      </w:r>
      <w:proofErr w:type="gramStart"/>
      <w:r w:rsidR="001A7F14" w:rsidRPr="00950A8C">
        <w:rPr>
          <w:rFonts w:ascii="標楷體" w:eastAsia="標楷體" w:hAnsi="標楷體" w:cs="新細明體" w:hint="eastAsia"/>
          <w:color w:val="000000" w:themeColor="text1"/>
          <w:spacing w:val="-4"/>
          <w:szCs w:val="24"/>
        </w:rPr>
        <w:t>規劃與綜理</w:t>
      </w:r>
      <w:proofErr w:type="gramEnd"/>
      <w:r w:rsidR="001A7F14" w:rsidRPr="00950A8C">
        <w:rPr>
          <w:rFonts w:ascii="標楷體" w:eastAsia="標楷體" w:hAnsi="標楷體" w:cs="新細明體" w:hint="eastAsia"/>
          <w:color w:val="000000" w:themeColor="text1"/>
          <w:spacing w:val="-4"/>
          <w:szCs w:val="24"/>
        </w:rPr>
        <w:t>業務執行，並由內政部等部會派駐人員共同辦理中心業務，惟派駐人力除內政部有2人外，其餘法務部、金管會、通傳會及數</w:t>
      </w:r>
      <w:proofErr w:type="gramStart"/>
      <w:r w:rsidR="001A7F14" w:rsidRPr="00950A8C">
        <w:rPr>
          <w:rFonts w:ascii="標楷體" w:eastAsia="標楷體" w:hAnsi="標楷體" w:cs="新細明體" w:hint="eastAsia"/>
          <w:color w:val="000000" w:themeColor="text1"/>
          <w:spacing w:val="-4"/>
          <w:szCs w:val="24"/>
        </w:rPr>
        <w:t>發部等部會</w:t>
      </w:r>
      <w:proofErr w:type="gramEnd"/>
      <w:r w:rsidR="001A7F14" w:rsidRPr="00950A8C">
        <w:rPr>
          <w:rFonts w:ascii="標楷體" w:eastAsia="標楷體" w:hAnsi="標楷體" w:cs="新細明體" w:hint="eastAsia"/>
          <w:color w:val="000000" w:themeColor="text1"/>
          <w:spacing w:val="-4"/>
          <w:szCs w:val="24"/>
        </w:rPr>
        <w:t>僅有1人，且多數機關派駐人員未滿1年即歸建改派其他人員，</w:t>
      </w:r>
      <w:proofErr w:type="gramStart"/>
      <w:r w:rsidR="001A7F14" w:rsidRPr="00950A8C">
        <w:rPr>
          <w:rFonts w:ascii="標楷體" w:eastAsia="標楷體" w:hAnsi="標楷體" w:cs="新細明體" w:hint="eastAsia"/>
          <w:color w:val="000000" w:themeColor="text1"/>
          <w:spacing w:val="-4"/>
          <w:szCs w:val="24"/>
        </w:rPr>
        <w:t>不利打詐量能</w:t>
      </w:r>
      <w:proofErr w:type="gramEnd"/>
      <w:r w:rsidR="001A7F14" w:rsidRPr="00950A8C">
        <w:rPr>
          <w:rFonts w:ascii="標楷體" w:eastAsia="標楷體" w:hAnsi="標楷體" w:cs="新細明體" w:hint="eastAsia"/>
          <w:color w:val="000000" w:themeColor="text1"/>
          <w:spacing w:val="-4"/>
          <w:szCs w:val="24"/>
        </w:rPr>
        <w:t>蓄積與傳承。按行政院自</w:t>
      </w:r>
      <w:proofErr w:type="gramStart"/>
      <w:r w:rsidR="001A7F14" w:rsidRPr="00950A8C">
        <w:rPr>
          <w:rFonts w:ascii="標楷體" w:eastAsia="標楷體" w:hAnsi="標楷體" w:cs="新細明體" w:hint="eastAsia"/>
          <w:color w:val="000000" w:themeColor="text1"/>
          <w:spacing w:val="-4"/>
          <w:szCs w:val="24"/>
        </w:rPr>
        <w:t>114</w:t>
      </w:r>
      <w:proofErr w:type="gramEnd"/>
      <w:r w:rsidR="001A7F14" w:rsidRPr="00950A8C">
        <w:rPr>
          <w:rFonts w:ascii="標楷體" w:eastAsia="標楷體" w:hAnsi="標楷體" w:cs="新細明體" w:hint="eastAsia"/>
          <w:color w:val="000000" w:themeColor="text1"/>
          <w:spacing w:val="-4"/>
          <w:szCs w:val="24"/>
        </w:rPr>
        <w:t>年度起推</w:t>
      </w:r>
      <w:proofErr w:type="gramStart"/>
      <w:r w:rsidR="001A7F14" w:rsidRPr="00950A8C">
        <w:rPr>
          <w:rFonts w:ascii="標楷體" w:eastAsia="標楷體" w:hAnsi="標楷體" w:cs="新細明體" w:hint="eastAsia"/>
          <w:color w:val="000000" w:themeColor="text1"/>
          <w:spacing w:val="-4"/>
          <w:szCs w:val="24"/>
        </w:rPr>
        <w:t>展打詐綱領</w:t>
      </w:r>
      <w:proofErr w:type="gramEnd"/>
      <w:r w:rsidR="001A7F14" w:rsidRPr="00950A8C">
        <w:rPr>
          <w:rFonts w:ascii="標楷體" w:eastAsia="標楷體" w:hAnsi="標楷體" w:cs="新細明體" w:hint="eastAsia"/>
          <w:color w:val="000000" w:themeColor="text1"/>
          <w:spacing w:val="-4"/>
          <w:szCs w:val="24"/>
        </w:rPr>
        <w:t>2.0版，持續推動「</w:t>
      </w:r>
      <w:proofErr w:type="gramStart"/>
      <w:r w:rsidR="001A7F14" w:rsidRPr="00950A8C">
        <w:rPr>
          <w:rFonts w:ascii="標楷體" w:eastAsia="標楷體" w:hAnsi="標楷體" w:cs="新細明體" w:hint="eastAsia"/>
          <w:color w:val="000000" w:themeColor="text1"/>
          <w:spacing w:val="-4"/>
          <w:szCs w:val="24"/>
        </w:rPr>
        <w:t>識詐」</w:t>
      </w:r>
      <w:proofErr w:type="gramEnd"/>
      <w:r w:rsidR="001A7F14" w:rsidRPr="00950A8C">
        <w:rPr>
          <w:rFonts w:ascii="標楷體" w:eastAsia="標楷體" w:hAnsi="標楷體" w:cs="新細明體" w:hint="eastAsia"/>
          <w:color w:val="000000" w:themeColor="text1"/>
          <w:spacing w:val="-4"/>
          <w:szCs w:val="24"/>
        </w:rPr>
        <w:t>、「</w:t>
      </w:r>
      <w:proofErr w:type="gramStart"/>
      <w:r w:rsidR="001A7F14" w:rsidRPr="00950A8C">
        <w:rPr>
          <w:rFonts w:ascii="標楷體" w:eastAsia="標楷體" w:hAnsi="標楷體" w:cs="新細明體" w:hint="eastAsia"/>
          <w:color w:val="000000" w:themeColor="text1"/>
          <w:spacing w:val="-4"/>
          <w:szCs w:val="24"/>
        </w:rPr>
        <w:t>堵詐」</w:t>
      </w:r>
      <w:proofErr w:type="gramEnd"/>
      <w:r w:rsidR="001A7F14" w:rsidRPr="00950A8C">
        <w:rPr>
          <w:rFonts w:ascii="標楷體" w:eastAsia="標楷體" w:hAnsi="標楷體" w:cs="新細明體" w:hint="eastAsia"/>
          <w:color w:val="000000" w:themeColor="text1"/>
          <w:spacing w:val="-4"/>
          <w:szCs w:val="24"/>
        </w:rPr>
        <w:t>、「防詐」、「</w:t>
      </w:r>
      <w:proofErr w:type="gramStart"/>
      <w:r w:rsidR="001A7F14" w:rsidRPr="00950A8C">
        <w:rPr>
          <w:rFonts w:ascii="標楷體" w:eastAsia="標楷體" w:hAnsi="標楷體" w:cs="新細明體" w:hint="eastAsia"/>
          <w:color w:val="000000" w:themeColor="text1"/>
          <w:spacing w:val="-4"/>
          <w:szCs w:val="24"/>
        </w:rPr>
        <w:t>阻詐」</w:t>
      </w:r>
      <w:proofErr w:type="gramEnd"/>
      <w:r w:rsidR="001A7F14" w:rsidRPr="00950A8C">
        <w:rPr>
          <w:rFonts w:ascii="標楷體" w:eastAsia="標楷體" w:hAnsi="標楷體" w:cs="新細明體" w:hint="eastAsia"/>
          <w:color w:val="000000" w:themeColor="text1"/>
          <w:spacing w:val="-4"/>
          <w:szCs w:val="24"/>
        </w:rPr>
        <w:t>及「</w:t>
      </w:r>
      <w:proofErr w:type="gramStart"/>
      <w:r w:rsidR="001A7F14" w:rsidRPr="00950A8C">
        <w:rPr>
          <w:rFonts w:ascii="標楷體" w:eastAsia="標楷體" w:hAnsi="標楷體" w:cs="新細明體" w:hint="eastAsia"/>
          <w:color w:val="000000" w:themeColor="text1"/>
          <w:spacing w:val="-4"/>
          <w:szCs w:val="24"/>
        </w:rPr>
        <w:t>懲詐」</w:t>
      </w:r>
      <w:proofErr w:type="gramEnd"/>
      <w:r w:rsidR="001A7F14" w:rsidRPr="00950A8C">
        <w:rPr>
          <w:rFonts w:ascii="標楷體" w:eastAsia="標楷體" w:hAnsi="標楷體" w:cs="新細明體" w:hint="eastAsia"/>
          <w:color w:val="000000" w:themeColor="text1"/>
          <w:spacing w:val="-4"/>
          <w:szCs w:val="24"/>
        </w:rPr>
        <w:t>等面向策略工作</w:t>
      </w:r>
      <w:r w:rsidR="00D079CB" w:rsidRPr="00950A8C">
        <w:rPr>
          <w:rFonts w:ascii="標楷體" w:eastAsia="標楷體" w:hAnsi="標楷體" w:cs="新細明體" w:hint="eastAsia"/>
          <w:color w:val="000000" w:themeColor="text1"/>
          <w:spacing w:val="-4"/>
          <w:szCs w:val="24"/>
        </w:rPr>
        <w:t>，</w:t>
      </w:r>
      <w:r w:rsidR="001A7F14" w:rsidRPr="00950A8C">
        <w:rPr>
          <w:rFonts w:ascii="標楷體" w:eastAsia="標楷體" w:hAnsi="標楷體" w:cs="新細明體" w:hint="eastAsia"/>
          <w:color w:val="000000" w:themeColor="text1"/>
          <w:spacing w:val="-4"/>
          <w:szCs w:val="24"/>
        </w:rPr>
        <w:t>經函請行政院督導權責部會汲取前期綱領執行經驗，善用資通訊及多元科技技術，精進績效指標內涵，並</w:t>
      </w:r>
      <w:proofErr w:type="gramStart"/>
      <w:r w:rsidR="001A7F14" w:rsidRPr="00950A8C">
        <w:rPr>
          <w:rFonts w:ascii="標楷體" w:eastAsia="標楷體" w:hAnsi="標楷體" w:cs="新細明體" w:hint="eastAsia"/>
          <w:color w:val="000000" w:themeColor="text1"/>
          <w:spacing w:val="-4"/>
          <w:szCs w:val="24"/>
        </w:rPr>
        <w:t>研</w:t>
      </w:r>
      <w:proofErr w:type="gramEnd"/>
      <w:r w:rsidR="001A7F14" w:rsidRPr="00950A8C">
        <w:rPr>
          <w:rFonts w:ascii="標楷體" w:eastAsia="標楷體" w:hAnsi="標楷體" w:cs="新細明體" w:hint="eastAsia"/>
          <w:color w:val="000000" w:themeColor="text1"/>
          <w:spacing w:val="-4"/>
          <w:szCs w:val="24"/>
        </w:rPr>
        <w:t>謀建立</w:t>
      </w:r>
      <w:proofErr w:type="gramStart"/>
      <w:r w:rsidR="001A7F14" w:rsidRPr="00950A8C">
        <w:rPr>
          <w:rFonts w:ascii="標楷體" w:eastAsia="標楷體" w:hAnsi="標楷體" w:cs="新細明體" w:hint="eastAsia"/>
          <w:color w:val="000000" w:themeColor="text1"/>
          <w:spacing w:val="-4"/>
          <w:szCs w:val="24"/>
        </w:rPr>
        <w:t>打詐指揮</w:t>
      </w:r>
      <w:proofErr w:type="gramEnd"/>
      <w:r w:rsidR="001A7F14" w:rsidRPr="00950A8C">
        <w:rPr>
          <w:rFonts w:ascii="標楷體" w:eastAsia="標楷體" w:hAnsi="標楷體" w:cs="新細明體" w:hint="eastAsia"/>
          <w:color w:val="000000" w:themeColor="text1"/>
          <w:spacing w:val="-4"/>
          <w:szCs w:val="24"/>
        </w:rPr>
        <w:t>中心合宜調配人力機制及強化政策推動力度與</w:t>
      </w:r>
      <w:r w:rsidR="00844A5A" w:rsidRPr="00950A8C">
        <w:rPr>
          <w:rFonts w:ascii="標楷體" w:eastAsia="標楷體" w:hAnsi="標楷體" w:cs="新細明體" w:hint="eastAsia"/>
          <w:color w:val="000000" w:themeColor="text1"/>
          <w:spacing w:val="-4"/>
          <w:szCs w:val="24"/>
        </w:rPr>
        <w:t>及</w:t>
      </w:r>
      <w:r w:rsidR="001A7F14" w:rsidRPr="00950A8C">
        <w:rPr>
          <w:rFonts w:ascii="標楷體" w:eastAsia="標楷體" w:hAnsi="標楷體" w:cs="新細明體" w:hint="eastAsia"/>
          <w:color w:val="000000" w:themeColor="text1"/>
          <w:spacing w:val="-4"/>
          <w:szCs w:val="24"/>
        </w:rPr>
        <w:t>時作為，持續積極整合相關部會推動打擊詐欺政策，落實督導考核成效，以提升</w:t>
      </w:r>
      <w:proofErr w:type="gramStart"/>
      <w:r w:rsidR="001A7F14" w:rsidRPr="00950A8C">
        <w:rPr>
          <w:rFonts w:ascii="標楷體" w:eastAsia="標楷體" w:hAnsi="標楷體" w:cs="新細明體" w:hint="eastAsia"/>
          <w:color w:val="000000" w:themeColor="text1"/>
          <w:spacing w:val="-4"/>
          <w:szCs w:val="24"/>
        </w:rPr>
        <w:t>打詐實質</w:t>
      </w:r>
      <w:proofErr w:type="gramEnd"/>
      <w:r w:rsidR="001A7F14" w:rsidRPr="00950A8C">
        <w:rPr>
          <w:rFonts w:ascii="標楷體" w:eastAsia="標楷體" w:hAnsi="標楷體" w:cs="新細明體" w:hint="eastAsia"/>
          <w:color w:val="000000" w:themeColor="text1"/>
          <w:spacing w:val="-4"/>
          <w:szCs w:val="24"/>
        </w:rPr>
        <w:t>效能，有效</w:t>
      </w:r>
      <w:proofErr w:type="gramStart"/>
      <w:r w:rsidR="001A7F14" w:rsidRPr="00950A8C">
        <w:rPr>
          <w:rFonts w:ascii="標楷體" w:eastAsia="標楷體" w:hAnsi="標楷體" w:cs="新細明體" w:hint="eastAsia"/>
          <w:color w:val="000000" w:themeColor="text1"/>
          <w:spacing w:val="-4"/>
          <w:szCs w:val="24"/>
        </w:rPr>
        <w:t>防杜及阻</w:t>
      </w:r>
      <w:proofErr w:type="gramEnd"/>
      <w:r w:rsidR="001A7F14" w:rsidRPr="00950A8C">
        <w:rPr>
          <w:rFonts w:ascii="標楷體" w:eastAsia="標楷體" w:hAnsi="標楷體" w:cs="新細明體" w:hint="eastAsia"/>
          <w:color w:val="000000" w:themeColor="text1"/>
          <w:spacing w:val="-4"/>
          <w:szCs w:val="24"/>
        </w:rPr>
        <w:t>絕詐欺，保障民眾財產安全。據復：內政部、通傳會、數發部、金管會及法務部等5個統籌部會均汲取推動</w:t>
      </w:r>
      <w:proofErr w:type="gramStart"/>
      <w:r w:rsidR="001A7F14" w:rsidRPr="00950A8C">
        <w:rPr>
          <w:rFonts w:ascii="標楷體" w:eastAsia="標楷體" w:hAnsi="標楷體" w:cs="新細明體" w:hint="eastAsia"/>
          <w:color w:val="000000" w:themeColor="text1"/>
          <w:spacing w:val="-4"/>
          <w:szCs w:val="24"/>
        </w:rPr>
        <w:t>打詐綱領</w:t>
      </w:r>
      <w:proofErr w:type="gramEnd"/>
      <w:r w:rsidR="001A7F14" w:rsidRPr="00950A8C">
        <w:rPr>
          <w:rFonts w:ascii="標楷體" w:eastAsia="標楷體" w:hAnsi="標楷體" w:cs="新細明體" w:hint="eastAsia"/>
          <w:color w:val="000000" w:themeColor="text1"/>
          <w:spacing w:val="-4"/>
          <w:szCs w:val="24"/>
        </w:rPr>
        <w:t>1.5版經驗，持續善用資通訊與多元科技技術，強化跨部會合作及公私協力，推</w:t>
      </w:r>
      <w:proofErr w:type="gramStart"/>
      <w:r w:rsidR="001A7F14" w:rsidRPr="00950A8C">
        <w:rPr>
          <w:rFonts w:ascii="標楷體" w:eastAsia="標楷體" w:hAnsi="標楷體" w:cs="新細明體" w:hint="eastAsia"/>
          <w:color w:val="000000" w:themeColor="text1"/>
          <w:spacing w:val="-4"/>
          <w:szCs w:val="24"/>
        </w:rPr>
        <w:t>展打詐綱領</w:t>
      </w:r>
      <w:proofErr w:type="gramEnd"/>
      <w:r w:rsidR="001A7F14" w:rsidRPr="00950A8C">
        <w:rPr>
          <w:rFonts w:ascii="標楷體" w:eastAsia="標楷體" w:hAnsi="標楷體" w:cs="新細明體" w:hint="eastAsia"/>
          <w:color w:val="000000" w:themeColor="text1"/>
          <w:spacing w:val="-4"/>
          <w:szCs w:val="24"/>
        </w:rPr>
        <w:t>2.0版各面向策略工作，強化法治觀念宣導，</w:t>
      </w:r>
      <w:proofErr w:type="gramStart"/>
      <w:r w:rsidR="001A7F14" w:rsidRPr="00950A8C">
        <w:rPr>
          <w:rFonts w:ascii="標楷體" w:eastAsia="標楷體" w:hAnsi="標楷體" w:cs="新細明體" w:hint="eastAsia"/>
          <w:color w:val="000000" w:themeColor="text1"/>
          <w:spacing w:val="-4"/>
          <w:szCs w:val="24"/>
        </w:rPr>
        <w:t>截堵電信</w:t>
      </w:r>
      <w:proofErr w:type="gramEnd"/>
      <w:r w:rsidR="001A7F14" w:rsidRPr="00950A8C">
        <w:rPr>
          <w:rFonts w:ascii="標楷體" w:eastAsia="標楷體" w:hAnsi="標楷體" w:cs="新細明體" w:hint="eastAsia"/>
          <w:color w:val="000000" w:themeColor="text1"/>
          <w:spacing w:val="-4"/>
          <w:szCs w:val="24"/>
        </w:rPr>
        <w:t>服務作為詐欺工具，開發AI數位技術並鼓勵產業界共同投入防詐技術研發與應用，督導金融機構</w:t>
      </w:r>
      <w:proofErr w:type="gramStart"/>
      <w:r w:rsidR="001A7F14" w:rsidRPr="00950A8C">
        <w:rPr>
          <w:rFonts w:ascii="標楷體" w:eastAsia="標楷體" w:hAnsi="標楷體" w:cs="新細明體" w:hint="eastAsia"/>
          <w:color w:val="000000" w:themeColor="text1"/>
          <w:spacing w:val="-4"/>
          <w:szCs w:val="24"/>
        </w:rPr>
        <w:t>優化阻詐技術</w:t>
      </w:r>
      <w:proofErr w:type="gramEnd"/>
      <w:r w:rsidR="001A7F14" w:rsidRPr="00950A8C">
        <w:rPr>
          <w:rFonts w:ascii="標楷體" w:eastAsia="標楷體" w:hAnsi="標楷體" w:cs="新細明體" w:hint="eastAsia"/>
          <w:color w:val="000000" w:themeColor="text1"/>
          <w:spacing w:val="-4"/>
          <w:szCs w:val="24"/>
        </w:rPr>
        <w:t>，加強查緝嚴懲詐欺犯罪，並增訂相關指標；另尊重各部會人力調配，派駐</w:t>
      </w:r>
      <w:proofErr w:type="gramStart"/>
      <w:r w:rsidR="001A7F14" w:rsidRPr="00950A8C">
        <w:rPr>
          <w:rFonts w:ascii="標楷體" w:eastAsia="標楷體" w:hAnsi="標楷體" w:cs="新細明體" w:hint="eastAsia"/>
          <w:color w:val="000000" w:themeColor="text1"/>
          <w:spacing w:val="-4"/>
          <w:szCs w:val="24"/>
        </w:rPr>
        <w:t>打詐指揮</w:t>
      </w:r>
      <w:proofErr w:type="gramEnd"/>
      <w:r w:rsidR="001A7F14" w:rsidRPr="00950A8C">
        <w:rPr>
          <w:rFonts w:ascii="標楷體" w:eastAsia="標楷體" w:hAnsi="標楷體" w:cs="新細明體" w:hint="eastAsia"/>
          <w:color w:val="000000" w:themeColor="text1"/>
          <w:spacing w:val="-4"/>
          <w:szCs w:val="24"/>
        </w:rPr>
        <w:t>中心，該中心已建立完善交接機制，可完成業務交接及經驗傳承，期達成降低民眾受害案件數及整體財損金額等具體成效。</w:t>
      </w:r>
    </w:p>
    <w:p w14:paraId="394E5093" w14:textId="4F2A7E70" w:rsidR="00122919" w:rsidRPr="004C7A49" w:rsidRDefault="00122919" w:rsidP="007631AF">
      <w:pPr>
        <w:overflowPunct w:val="0"/>
        <w:spacing w:line="426" w:lineRule="exact"/>
        <w:ind w:firstLineChars="450" w:firstLine="1081"/>
        <w:jc w:val="both"/>
        <w:rPr>
          <w:rFonts w:ascii="標楷體" w:eastAsia="標楷體" w:hAnsi="標楷體" w:cs="新細明體"/>
          <w:bCs/>
          <w:szCs w:val="24"/>
        </w:rPr>
      </w:pPr>
      <w:r w:rsidRPr="00122919">
        <w:rPr>
          <w:rFonts w:ascii="標楷體" w:eastAsia="標楷體" w:hAnsi="標楷體" w:cs="新細明體" w:hint="eastAsia"/>
          <w:b/>
          <w:bCs/>
          <w:color w:val="000000" w:themeColor="text1"/>
          <w:szCs w:val="24"/>
        </w:rPr>
        <w:lastRenderedPageBreak/>
        <w:t>2</w:t>
      </w:r>
      <w:r w:rsidRPr="000D3EE3">
        <w:rPr>
          <w:rFonts w:ascii="標楷體" w:eastAsia="標楷體" w:hAnsi="標楷體" w:cs="新細明體"/>
          <w:b/>
          <w:bCs/>
          <w:color w:val="000000" w:themeColor="text1"/>
          <w:szCs w:val="24"/>
        </w:rPr>
        <w:t xml:space="preserve">.　</w:t>
      </w:r>
      <w:bookmarkStart w:id="1" w:name="_Hlk199856779"/>
      <w:r w:rsidR="004C7A49" w:rsidRPr="004C7A49">
        <w:rPr>
          <w:rFonts w:ascii="標楷體" w:eastAsia="標楷體" w:hAnsi="標楷體" w:hint="eastAsia"/>
          <w:b/>
          <w:bCs/>
          <w:snapToGrid w:val="0"/>
          <w:lang w:val="x-none"/>
        </w:rPr>
        <w:t>政府為強化防制詐欺危害，嚴懲詐欺犯罪，制定及修正通過</w:t>
      </w:r>
      <w:proofErr w:type="gramStart"/>
      <w:r w:rsidR="004C7A49" w:rsidRPr="004C7A49">
        <w:rPr>
          <w:rFonts w:ascii="標楷體" w:eastAsia="標楷體" w:hAnsi="標楷體" w:hint="eastAsia"/>
          <w:b/>
          <w:bCs/>
          <w:snapToGrid w:val="0"/>
          <w:lang w:val="x-none"/>
        </w:rPr>
        <w:t>打詐新</w:t>
      </w:r>
      <w:proofErr w:type="gramEnd"/>
      <w:r w:rsidR="004C7A49" w:rsidRPr="004C7A49">
        <w:rPr>
          <w:rFonts w:ascii="標楷體" w:eastAsia="標楷體" w:hAnsi="標楷體" w:hint="eastAsia"/>
          <w:b/>
          <w:bCs/>
          <w:snapToGrid w:val="0"/>
          <w:lang w:val="x-none"/>
        </w:rPr>
        <w:t>4法，惟詐欺犯罪危害防制條例部分條文迄未公布施行，另有部分授權子法或配套措施尚未完成法制作業</w:t>
      </w:r>
      <w:bookmarkEnd w:id="1"/>
      <w:r w:rsidR="004C7A49" w:rsidRPr="004C7A49">
        <w:rPr>
          <w:rFonts w:ascii="標楷體" w:eastAsia="標楷體" w:hAnsi="標楷體" w:hint="eastAsia"/>
          <w:b/>
          <w:bCs/>
          <w:snapToGrid w:val="0"/>
          <w:lang w:val="x-none"/>
        </w:rPr>
        <w:t>，允宜加速跨部會</w:t>
      </w:r>
      <w:proofErr w:type="gramStart"/>
      <w:r w:rsidR="004C7A49" w:rsidRPr="004C7A49">
        <w:rPr>
          <w:rFonts w:ascii="標楷體" w:eastAsia="標楷體" w:hAnsi="標楷體" w:hint="eastAsia"/>
          <w:b/>
          <w:bCs/>
          <w:snapToGrid w:val="0"/>
          <w:lang w:val="x-none"/>
        </w:rPr>
        <w:t>研</w:t>
      </w:r>
      <w:proofErr w:type="gramEnd"/>
      <w:r w:rsidR="004C7A49" w:rsidRPr="004C7A49">
        <w:rPr>
          <w:rFonts w:ascii="標楷體" w:eastAsia="標楷體" w:hAnsi="標楷體" w:hint="eastAsia"/>
          <w:b/>
          <w:bCs/>
          <w:snapToGrid w:val="0"/>
          <w:lang w:val="x-none"/>
        </w:rPr>
        <w:t>擬推動，及早完備法制與</w:t>
      </w:r>
      <w:proofErr w:type="gramStart"/>
      <w:r w:rsidR="004C7A49" w:rsidRPr="004C7A49">
        <w:rPr>
          <w:rFonts w:ascii="標楷體" w:eastAsia="標楷體" w:hAnsi="標楷體" w:hint="eastAsia"/>
          <w:b/>
          <w:bCs/>
          <w:snapToGrid w:val="0"/>
          <w:lang w:val="x-none"/>
        </w:rPr>
        <w:t>踐行</w:t>
      </w:r>
      <w:proofErr w:type="gramEnd"/>
      <w:r w:rsidR="004C7A49" w:rsidRPr="004C7A49">
        <w:rPr>
          <w:rFonts w:ascii="標楷體" w:eastAsia="標楷體" w:hAnsi="標楷體" w:hint="eastAsia"/>
          <w:b/>
          <w:bCs/>
          <w:snapToGrid w:val="0"/>
          <w:lang w:val="x-none"/>
        </w:rPr>
        <w:t>，以達預防及遏止詐欺犯罪目的：</w:t>
      </w:r>
      <w:bookmarkStart w:id="2" w:name="_Hlk199856863"/>
      <w:r w:rsidR="004C7A49" w:rsidRPr="004C7A49">
        <w:rPr>
          <w:rFonts w:ascii="標楷體" w:eastAsia="標楷體" w:hAnsi="標楷體" w:hint="eastAsia"/>
          <w:bCs/>
          <w:snapToGrid w:val="0"/>
          <w:lang w:val="x-none"/>
        </w:rPr>
        <w:t>政府為強化防制詐欺危害，嚴懲詐欺犯罪，總統於113年7月31日制定公布詐欺犯罪危害防制條例（下稱詐防條例）；修正公布通訊保障及監察法、刑事訴訟法特殊強制處分</w:t>
      </w:r>
      <w:proofErr w:type="gramStart"/>
      <w:r w:rsidR="004C7A49" w:rsidRPr="004C7A49">
        <w:rPr>
          <w:rFonts w:ascii="標楷體" w:eastAsia="標楷體" w:hAnsi="標楷體" w:hint="eastAsia"/>
          <w:bCs/>
          <w:snapToGrid w:val="0"/>
          <w:lang w:val="x-none"/>
        </w:rPr>
        <w:t>專章暨洗錢</w:t>
      </w:r>
      <w:proofErr w:type="gramEnd"/>
      <w:r w:rsidR="004C7A49" w:rsidRPr="004C7A49">
        <w:rPr>
          <w:rFonts w:ascii="標楷體" w:eastAsia="標楷體" w:hAnsi="標楷體" w:hint="eastAsia"/>
          <w:bCs/>
          <w:snapToGrid w:val="0"/>
          <w:lang w:val="x-none"/>
        </w:rPr>
        <w:t>防制法（打詐新4法），賦予權責及執法機關強化監理金融、電信、網路廣告平</w:t>
      </w:r>
      <w:proofErr w:type="gramStart"/>
      <w:r w:rsidR="004C7A49" w:rsidRPr="004C7A49">
        <w:rPr>
          <w:rFonts w:ascii="標楷體" w:eastAsia="標楷體" w:hAnsi="標楷體" w:hint="eastAsia"/>
          <w:bCs/>
          <w:snapToGrid w:val="0"/>
          <w:lang w:val="x-none"/>
        </w:rPr>
        <w:t>臺</w:t>
      </w:r>
      <w:proofErr w:type="gramEnd"/>
      <w:r w:rsidR="004C7A49" w:rsidRPr="004C7A49">
        <w:rPr>
          <w:rFonts w:ascii="標楷體" w:eastAsia="標楷體" w:hAnsi="標楷體" w:hint="eastAsia"/>
          <w:bCs/>
          <w:snapToGrid w:val="0"/>
          <w:lang w:val="x-none"/>
        </w:rPr>
        <w:t>等業者，暨科技偵查法律基礎，加重組織及重大詐欺刑責，建立保護詐欺犯罪被害人機制，以有效遏止詐欺犯罪擴散。經查，截至114年3月底止，已歷法條制定（修正）公布8個月，其中洗錢防制法第22條第6項，法務部已擬具「洗錢防制法第15條之2第6項帳戶帳號暫停限制功能或</w:t>
      </w:r>
      <w:proofErr w:type="gramStart"/>
      <w:r w:rsidR="004C7A49" w:rsidRPr="004C7A49">
        <w:rPr>
          <w:rFonts w:ascii="標楷體" w:eastAsia="標楷體" w:hAnsi="標楷體" w:hint="eastAsia"/>
          <w:bCs/>
          <w:snapToGrid w:val="0"/>
          <w:lang w:val="x-none"/>
        </w:rPr>
        <w:t>逕</w:t>
      </w:r>
      <w:proofErr w:type="gramEnd"/>
      <w:r w:rsidR="004C7A49" w:rsidRPr="004C7A49">
        <w:rPr>
          <w:rFonts w:ascii="標楷體" w:eastAsia="標楷體" w:hAnsi="標楷體" w:hint="eastAsia"/>
          <w:bCs/>
          <w:snapToGrid w:val="0"/>
          <w:lang w:val="x-none"/>
        </w:rPr>
        <w:t>予關閉管理辦法」修正草案，並修正名稱為「洗錢防制法第22條第6項帳戶帳號暫停限制功能或</w:t>
      </w:r>
      <w:proofErr w:type="gramStart"/>
      <w:r w:rsidR="004C7A49" w:rsidRPr="004C7A49">
        <w:rPr>
          <w:rFonts w:ascii="標楷體" w:eastAsia="標楷體" w:hAnsi="標楷體" w:hint="eastAsia"/>
          <w:bCs/>
          <w:snapToGrid w:val="0"/>
          <w:lang w:val="x-none"/>
        </w:rPr>
        <w:t>逕</w:t>
      </w:r>
      <w:proofErr w:type="gramEnd"/>
      <w:r w:rsidR="004C7A49" w:rsidRPr="004C7A49">
        <w:rPr>
          <w:rFonts w:ascii="標楷體" w:eastAsia="標楷體" w:hAnsi="標楷體" w:hint="eastAsia"/>
          <w:bCs/>
          <w:snapToGrid w:val="0"/>
          <w:lang w:val="x-none"/>
        </w:rPr>
        <w:t>予關閉管理辦法」，</w:t>
      </w:r>
      <w:proofErr w:type="spellStart"/>
      <w:r w:rsidR="004C7A49" w:rsidRPr="004C7A49">
        <w:rPr>
          <w:rFonts w:ascii="標楷體" w:eastAsia="標楷體" w:hAnsi="標楷體" w:hint="eastAsia"/>
          <w:bCs/>
          <w:snapToGrid w:val="0"/>
          <w:lang w:val="x-none"/>
        </w:rPr>
        <w:t>惟尚未完成法制作業。</w:t>
      </w:r>
      <w:proofErr w:type="gramStart"/>
      <w:r w:rsidR="004C7A49" w:rsidRPr="004C7A49">
        <w:rPr>
          <w:rFonts w:ascii="標楷體" w:eastAsia="標楷體" w:hAnsi="標楷體" w:hint="eastAsia"/>
          <w:bCs/>
          <w:snapToGrid w:val="0"/>
          <w:lang w:val="x-none"/>
        </w:rPr>
        <w:t>又詐防</w:t>
      </w:r>
      <w:proofErr w:type="gramEnd"/>
      <w:r w:rsidR="004C7A49" w:rsidRPr="004C7A49">
        <w:rPr>
          <w:rFonts w:ascii="標楷體" w:eastAsia="標楷體" w:hAnsi="標楷體" w:hint="eastAsia"/>
          <w:bCs/>
          <w:snapToGrid w:val="0"/>
          <w:lang w:val="x-none"/>
        </w:rPr>
        <w:t>條例制定公布全文</w:t>
      </w:r>
      <w:proofErr w:type="spellEnd"/>
      <w:r w:rsidR="004C7A49" w:rsidRPr="004C7A49">
        <w:rPr>
          <w:rFonts w:ascii="標楷體" w:eastAsia="標楷體" w:hAnsi="標楷體" w:hint="eastAsia"/>
          <w:bCs/>
          <w:snapToGrid w:val="0"/>
          <w:lang w:val="x-none"/>
        </w:rPr>
        <w:t>58條，惟第39條第2項至第5項及第40條第1項第6款，有關網路廣告平</w:t>
      </w:r>
      <w:proofErr w:type="gramStart"/>
      <w:r w:rsidR="004C7A49" w:rsidRPr="004C7A49">
        <w:rPr>
          <w:rFonts w:ascii="標楷體" w:eastAsia="標楷體" w:hAnsi="標楷體" w:hint="eastAsia"/>
          <w:bCs/>
          <w:snapToGrid w:val="0"/>
          <w:lang w:val="x-none"/>
        </w:rPr>
        <w:t>臺</w:t>
      </w:r>
      <w:proofErr w:type="gramEnd"/>
      <w:r w:rsidR="004C7A49" w:rsidRPr="004C7A49">
        <w:rPr>
          <w:rFonts w:ascii="標楷體" w:eastAsia="標楷體" w:hAnsi="標楷體" w:hint="eastAsia"/>
          <w:bCs/>
          <w:snapToGrid w:val="0"/>
          <w:lang w:val="x-none"/>
        </w:rPr>
        <w:t>業者流量管理措施、停止解析與限制接取處置部分，迄未公布施行日期。</w:t>
      </w:r>
      <w:proofErr w:type="gramStart"/>
      <w:r w:rsidR="004C7A49" w:rsidRPr="004C7A49">
        <w:rPr>
          <w:rFonts w:ascii="標楷體" w:eastAsia="標楷體" w:hAnsi="標楷體" w:hint="eastAsia"/>
          <w:bCs/>
          <w:snapToGrid w:val="0"/>
          <w:lang w:val="x-none"/>
        </w:rPr>
        <w:t>詐防條例</w:t>
      </w:r>
      <w:proofErr w:type="gramEnd"/>
      <w:r w:rsidR="004C7A49" w:rsidRPr="004C7A49">
        <w:rPr>
          <w:rFonts w:ascii="標楷體" w:eastAsia="標楷體" w:hAnsi="標楷體" w:hint="eastAsia"/>
          <w:bCs/>
          <w:snapToGrid w:val="0"/>
          <w:lang w:val="x-none"/>
        </w:rPr>
        <w:t>已公布施行之條文，相關主管機關金管會、通傳會、數</w:t>
      </w:r>
      <w:proofErr w:type="gramStart"/>
      <w:r w:rsidR="004C7A49" w:rsidRPr="004C7A49">
        <w:rPr>
          <w:rFonts w:ascii="標楷體" w:eastAsia="標楷體" w:hAnsi="標楷體" w:hint="eastAsia"/>
          <w:bCs/>
          <w:snapToGrid w:val="0"/>
          <w:lang w:val="x-none"/>
        </w:rPr>
        <w:t>發部及內政部</w:t>
      </w:r>
      <w:proofErr w:type="gramEnd"/>
      <w:r w:rsidR="004C7A49" w:rsidRPr="004C7A49">
        <w:rPr>
          <w:rFonts w:ascii="標楷體" w:eastAsia="標楷體" w:hAnsi="標楷體" w:hint="eastAsia"/>
          <w:bCs/>
          <w:snapToGrid w:val="0"/>
          <w:lang w:val="x-none"/>
        </w:rPr>
        <w:t>已訂頒相關授權子法或配套措施，惟第20條第4項規定有關境外高風險電信事業及國際漫遊服務範圍之公告，通傳會雖持續與法務部、警政署及行動通信事業召開會議</w:t>
      </w:r>
      <w:proofErr w:type="gramStart"/>
      <w:r w:rsidR="004C7A49" w:rsidRPr="004C7A49">
        <w:rPr>
          <w:rFonts w:ascii="標楷體" w:eastAsia="標楷體" w:hAnsi="標楷體" w:hint="eastAsia"/>
          <w:bCs/>
          <w:snapToGrid w:val="0"/>
          <w:lang w:val="x-none"/>
        </w:rPr>
        <w:t>研</w:t>
      </w:r>
      <w:proofErr w:type="gramEnd"/>
      <w:r w:rsidR="004C7A49" w:rsidRPr="004C7A49">
        <w:rPr>
          <w:rFonts w:ascii="標楷體" w:eastAsia="標楷體" w:hAnsi="標楷體" w:hint="eastAsia"/>
          <w:bCs/>
          <w:snapToGrid w:val="0"/>
          <w:lang w:val="x-none"/>
        </w:rPr>
        <w:t>商，</w:t>
      </w:r>
      <w:proofErr w:type="gramStart"/>
      <w:r w:rsidR="004C7A49" w:rsidRPr="004C7A49">
        <w:rPr>
          <w:rFonts w:ascii="標楷體" w:eastAsia="標楷體" w:hAnsi="標楷體" w:hint="eastAsia"/>
          <w:bCs/>
          <w:snapToGrid w:val="0"/>
          <w:lang w:val="x-none"/>
        </w:rPr>
        <w:t>仍未擬具</w:t>
      </w:r>
      <w:proofErr w:type="gramEnd"/>
      <w:r w:rsidR="004C7A49" w:rsidRPr="004C7A49">
        <w:rPr>
          <w:rFonts w:ascii="標楷體" w:eastAsia="標楷體" w:hAnsi="標楷體" w:hint="eastAsia"/>
          <w:bCs/>
          <w:snapToGrid w:val="0"/>
          <w:lang w:val="x-none"/>
        </w:rPr>
        <w:t>可落實</w:t>
      </w:r>
      <w:proofErr w:type="gramStart"/>
      <w:r w:rsidR="004C7A49" w:rsidRPr="004C7A49">
        <w:rPr>
          <w:rFonts w:ascii="標楷體" w:eastAsia="標楷體" w:hAnsi="標楷體" w:hint="eastAsia"/>
          <w:bCs/>
          <w:snapToGrid w:val="0"/>
          <w:lang w:val="x-none"/>
        </w:rPr>
        <w:t>採</w:t>
      </w:r>
      <w:proofErr w:type="gramEnd"/>
      <w:r w:rsidR="004C7A49" w:rsidRPr="004C7A49">
        <w:rPr>
          <w:rFonts w:ascii="標楷體" w:eastAsia="標楷體" w:hAnsi="標楷體" w:hint="eastAsia"/>
          <w:bCs/>
          <w:snapToGrid w:val="0"/>
          <w:lang w:val="x-none"/>
        </w:rPr>
        <w:t>行措施之公告事宜。另第56條規定有關防制詐欺犯罪有功人員及檢舉人之獎勵等事項辦法之擬訂，內政部於</w:t>
      </w:r>
      <w:proofErr w:type="gramStart"/>
      <w:r w:rsidR="004C7A49" w:rsidRPr="004C7A49">
        <w:rPr>
          <w:rFonts w:ascii="標楷體" w:eastAsia="標楷體" w:hAnsi="標楷體" w:hint="eastAsia"/>
          <w:bCs/>
          <w:snapToGrid w:val="0"/>
          <w:lang w:val="x-none"/>
        </w:rPr>
        <w:t>113年12月間擬具</w:t>
      </w:r>
      <w:proofErr w:type="gramEnd"/>
      <w:r w:rsidR="004C7A49" w:rsidRPr="004C7A49">
        <w:rPr>
          <w:rFonts w:ascii="標楷體" w:eastAsia="標楷體" w:hAnsi="標楷體" w:hint="eastAsia"/>
          <w:bCs/>
          <w:snapToGrid w:val="0"/>
          <w:lang w:val="x-none"/>
        </w:rPr>
        <w:t>「防制詐欺犯罪有功人員及檢舉人獎勵辦法」草案函送行政院，惟尚未經審查完竣。經函請行政院督促權責機關</w:t>
      </w:r>
      <w:proofErr w:type="gramStart"/>
      <w:r w:rsidR="004C7A49" w:rsidRPr="004C7A49">
        <w:rPr>
          <w:rFonts w:ascii="標楷體" w:eastAsia="標楷體" w:hAnsi="標楷體" w:hint="eastAsia"/>
          <w:bCs/>
          <w:snapToGrid w:val="0"/>
          <w:lang w:val="x-none"/>
        </w:rPr>
        <w:t>加速妥處</w:t>
      </w:r>
      <w:proofErr w:type="gramEnd"/>
      <w:r w:rsidR="004C7A49" w:rsidRPr="004C7A49">
        <w:rPr>
          <w:rFonts w:ascii="標楷體" w:eastAsia="標楷體" w:hAnsi="標楷體" w:hint="eastAsia"/>
          <w:bCs/>
          <w:snapToGrid w:val="0"/>
          <w:lang w:val="x-none"/>
        </w:rPr>
        <w:t>，及早完備法制與</w:t>
      </w:r>
      <w:proofErr w:type="gramStart"/>
      <w:r w:rsidR="004C7A49" w:rsidRPr="004C7A49">
        <w:rPr>
          <w:rFonts w:ascii="標楷體" w:eastAsia="標楷體" w:hAnsi="標楷體" w:hint="eastAsia"/>
          <w:bCs/>
          <w:snapToGrid w:val="0"/>
          <w:lang w:val="x-none"/>
        </w:rPr>
        <w:t>踐行</w:t>
      </w:r>
      <w:proofErr w:type="gramEnd"/>
      <w:r w:rsidR="004C7A49" w:rsidRPr="004C7A49">
        <w:rPr>
          <w:rFonts w:ascii="標楷體" w:eastAsia="標楷體" w:hAnsi="標楷體" w:hint="eastAsia"/>
          <w:bCs/>
          <w:snapToGrid w:val="0"/>
          <w:lang w:val="x-none"/>
        </w:rPr>
        <w:t>，以達預防及遏止詐欺犯罪目的。</w:t>
      </w:r>
      <w:bookmarkEnd w:id="2"/>
      <w:r w:rsidR="004C7A49" w:rsidRPr="004C7A49">
        <w:rPr>
          <w:rFonts w:ascii="標楷體" w:eastAsia="標楷體" w:hAnsi="標楷體" w:hint="eastAsia"/>
          <w:bCs/>
          <w:snapToGrid w:val="0"/>
          <w:lang w:val="x-none"/>
        </w:rPr>
        <w:t>據復：已於114年5月1日修正發布「洗錢防制法第22條第6項帳戶帳號暫停限制功能或</w:t>
      </w:r>
      <w:proofErr w:type="gramStart"/>
      <w:r w:rsidR="004C7A49" w:rsidRPr="004C7A49">
        <w:rPr>
          <w:rFonts w:ascii="標楷體" w:eastAsia="標楷體" w:hAnsi="標楷體" w:hint="eastAsia"/>
          <w:bCs/>
          <w:snapToGrid w:val="0"/>
          <w:lang w:val="x-none"/>
        </w:rPr>
        <w:t>逕</w:t>
      </w:r>
      <w:proofErr w:type="gramEnd"/>
      <w:r w:rsidR="004C7A49" w:rsidRPr="004C7A49">
        <w:rPr>
          <w:rFonts w:ascii="標楷體" w:eastAsia="標楷體" w:hAnsi="標楷體" w:hint="eastAsia"/>
          <w:bCs/>
          <w:snapToGrid w:val="0"/>
          <w:lang w:val="x-none"/>
        </w:rPr>
        <w:t>予關閉管理辦法」；</w:t>
      </w:r>
      <w:proofErr w:type="spellStart"/>
      <w:proofErr w:type="gramStart"/>
      <w:r w:rsidR="004C7A49" w:rsidRPr="004C7A49">
        <w:rPr>
          <w:rFonts w:ascii="標楷體" w:eastAsia="標楷體" w:hAnsi="標楷體" w:hint="eastAsia"/>
          <w:bCs/>
          <w:snapToGrid w:val="0"/>
          <w:lang w:val="x-none"/>
        </w:rPr>
        <w:t>又詐防</w:t>
      </w:r>
      <w:proofErr w:type="gramEnd"/>
      <w:r w:rsidR="004C7A49" w:rsidRPr="004C7A49">
        <w:rPr>
          <w:rFonts w:ascii="標楷體" w:eastAsia="標楷體" w:hAnsi="標楷體" w:hint="eastAsia"/>
          <w:bCs/>
          <w:snapToGrid w:val="0"/>
          <w:lang w:val="x-none"/>
        </w:rPr>
        <w:t>條例第</w:t>
      </w:r>
      <w:proofErr w:type="spellEnd"/>
      <w:r w:rsidR="004C7A49" w:rsidRPr="004C7A49">
        <w:rPr>
          <w:rFonts w:ascii="標楷體" w:eastAsia="標楷體" w:hAnsi="標楷體" w:hint="eastAsia"/>
          <w:bCs/>
          <w:snapToGrid w:val="0"/>
          <w:lang w:val="x-none"/>
        </w:rPr>
        <w:t>39條第2項至第5項及第40條第1項第6款，考量涉及業者採取降速</w:t>
      </w:r>
      <w:proofErr w:type="gramStart"/>
      <w:r w:rsidR="004C7A49" w:rsidRPr="004C7A49">
        <w:rPr>
          <w:rFonts w:ascii="標楷體" w:eastAsia="標楷體" w:hAnsi="標楷體" w:hint="eastAsia"/>
          <w:bCs/>
          <w:snapToGrid w:val="0"/>
          <w:lang w:val="x-none"/>
        </w:rPr>
        <w:t>或封網</w:t>
      </w:r>
      <w:proofErr w:type="gramEnd"/>
      <w:r w:rsidR="004C7A49" w:rsidRPr="004C7A49">
        <w:rPr>
          <w:rFonts w:ascii="標楷體" w:eastAsia="標楷體" w:hAnsi="標楷體" w:hint="eastAsia"/>
          <w:bCs/>
          <w:snapToGrid w:val="0"/>
          <w:lang w:val="x-none"/>
        </w:rPr>
        <w:t>之決策，須會商利害關係人、相關機關等商討</w:t>
      </w:r>
      <w:proofErr w:type="gramStart"/>
      <w:r w:rsidR="004C7A49" w:rsidRPr="004C7A49">
        <w:rPr>
          <w:rFonts w:ascii="標楷體" w:eastAsia="標楷體" w:hAnsi="標楷體" w:hint="eastAsia"/>
          <w:bCs/>
          <w:snapToGrid w:val="0"/>
          <w:lang w:val="x-none"/>
        </w:rPr>
        <w:t>研</w:t>
      </w:r>
      <w:proofErr w:type="gramEnd"/>
      <w:r w:rsidR="004C7A49" w:rsidRPr="004C7A49">
        <w:rPr>
          <w:rFonts w:ascii="標楷體" w:eastAsia="標楷體" w:hAnsi="標楷體" w:hint="eastAsia"/>
          <w:bCs/>
          <w:snapToGrid w:val="0"/>
          <w:lang w:val="x-none"/>
        </w:rPr>
        <w:t>議，將持續滾動式檢討業者執行情形，規劃評估公布施行；</w:t>
      </w:r>
      <w:proofErr w:type="gramStart"/>
      <w:r w:rsidR="004C7A49" w:rsidRPr="004C7A49">
        <w:rPr>
          <w:rFonts w:ascii="標楷體" w:eastAsia="標楷體" w:hAnsi="標楷體" w:hint="eastAsia"/>
          <w:bCs/>
          <w:snapToGrid w:val="0"/>
          <w:lang w:val="x-none"/>
        </w:rPr>
        <w:t>另詐防</w:t>
      </w:r>
      <w:proofErr w:type="gramEnd"/>
      <w:r w:rsidR="004C7A49" w:rsidRPr="004C7A49">
        <w:rPr>
          <w:rFonts w:ascii="標楷體" w:eastAsia="標楷體" w:hAnsi="標楷體" w:hint="eastAsia"/>
          <w:bCs/>
          <w:snapToGrid w:val="0"/>
          <w:lang w:val="x-none"/>
        </w:rPr>
        <w:t>條例第20條第4項及第56條相關授權子法或配套措施，將儘速完成法制作業。</w:t>
      </w:r>
    </w:p>
    <w:p w14:paraId="0C75E661" w14:textId="13EA8146" w:rsidR="00122919" w:rsidRPr="00D12087" w:rsidRDefault="00122919" w:rsidP="00CA55FD">
      <w:pPr>
        <w:overflowPunct w:val="0"/>
        <w:spacing w:line="420" w:lineRule="exact"/>
        <w:ind w:firstLineChars="450" w:firstLine="1081"/>
        <w:jc w:val="both"/>
        <w:rPr>
          <w:rFonts w:ascii="標楷體" w:eastAsia="標楷體" w:hAnsi="標楷體" w:cs="新細明體"/>
          <w:bCs/>
          <w:color w:val="000000" w:themeColor="text1"/>
          <w:szCs w:val="24"/>
        </w:rPr>
      </w:pPr>
      <w:r w:rsidRPr="00D12087">
        <w:rPr>
          <w:rFonts w:ascii="標楷體" w:eastAsia="標楷體" w:hAnsi="標楷體" w:cs="新細明體" w:hint="eastAsia"/>
          <w:b/>
          <w:bCs/>
          <w:color w:val="000000" w:themeColor="text1"/>
          <w:szCs w:val="24"/>
        </w:rPr>
        <w:t>3</w:t>
      </w:r>
      <w:r w:rsidRPr="00D12087">
        <w:rPr>
          <w:rFonts w:ascii="標楷體" w:eastAsia="標楷體" w:hAnsi="標楷體" w:cs="新細明體"/>
          <w:b/>
          <w:bCs/>
          <w:color w:val="000000" w:themeColor="text1"/>
          <w:szCs w:val="24"/>
        </w:rPr>
        <w:t>.</w:t>
      </w:r>
      <w:r w:rsidRPr="00D12087">
        <w:rPr>
          <w:rFonts w:ascii="標楷體" w:eastAsia="標楷體" w:hAnsi="標楷體" w:cs="新細明體" w:hint="eastAsia"/>
          <w:b/>
          <w:bCs/>
          <w:color w:val="000000" w:themeColor="text1"/>
          <w:szCs w:val="24"/>
        </w:rPr>
        <w:t xml:space="preserve">　</w:t>
      </w:r>
      <w:r w:rsidR="00D12087" w:rsidRPr="00D12087">
        <w:rPr>
          <w:rFonts w:ascii="標楷體" w:eastAsia="標楷體" w:hAnsi="標楷體" w:hint="eastAsia"/>
          <w:b/>
          <w:bCs/>
          <w:snapToGrid w:val="0"/>
          <w:lang w:val="x-none"/>
        </w:rPr>
        <w:t>通傳會為</w:t>
      </w:r>
      <w:proofErr w:type="gramStart"/>
      <w:r w:rsidR="00D12087" w:rsidRPr="00D12087">
        <w:rPr>
          <w:rFonts w:ascii="標楷體" w:eastAsia="標楷體" w:hAnsi="標楷體" w:hint="eastAsia"/>
          <w:b/>
          <w:bCs/>
          <w:snapToGrid w:val="0"/>
          <w:lang w:val="x-none"/>
        </w:rPr>
        <w:t>防杜非本</w:t>
      </w:r>
      <w:proofErr w:type="gramEnd"/>
      <w:r w:rsidR="00D12087" w:rsidRPr="00D12087">
        <w:rPr>
          <w:rFonts w:ascii="標楷體" w:eastAsia="標楷體" w:hAnsi="標楷體" w:hint="eastAsia"/>
          <w:b/>
          <w:bCs/>
          <w:snapToGrid w:val="0"/>
          <w:lang w:val="x-none"/>
        </w:rPr>
        <w:t>國籍人士申辦預付卡門號遭非法利用，督導電信業者對於已出境或逾期停（居）留者進行預付卡門號用戶身分核對，惟尚有逾2</w:t>
      </w:r>
      <w:proofErr w:type="gramStart"/>
      <w:r w:rsidR="00D12087" w:rsidRPr="00D12087">
        <w:rPr>
          <w:rFonts w:ascii="標楷體" w:eastAsia="標楷體" w:hAnsi="標楷體" w:hint="eastAsia"/>
          <w:b/>
          <w:bCs/>
          <w:snapToGrid w:val="0"/>
          <w:lang w:val="x-none"/>
        </w:rPr>
        <w:t>百萬</w:t>
      </w:r>
      <w:proofErr w:type="gramEnd"/>
      <w:r w:rsidR="00D12087" w:rsidRPr="00D12087">
        <w:rPr>
          <w:rFonts w:ascii="標楷體" w:eastAsia="標楷體" w:hAnsi="標楷體" w:hint="eastAsia"/>
          <w:b/>
          <w:bCs/>
          <w:snapToGrid w:val="0"/>
          <w:lang w:val="x-none"/>
        </w:rPr>
        <w:t>門既有預付卡門號待清查，</w:t>
      </w:r>
      <w:proofErr w:type="gramStart"/>
      <w:r w:rsidR="00D12087" w:rsidRPr="00D12087">
        <w:rPr>
          <w:rFonts w:ascii="標楷體" w:eastAsia="標楷體" w:hAnsi="標楷體" w:hint="eastAsia"/>
          <w:b/>
          <w:bCs/>
          <w:snapToGrid w:val="0"/>
          <w:lang w:val="x-none"/>
        </w:rPr>
        <w:t>潛存被非法</w:t>
      </w:r>
      <w:proofErr w:type="gramEnd"/>
      <w:r w:rsidR="00D12087" w:rsidRPr="00D12087">
        <w:rPr>
          <w:rFonts w:ascii="標楷體" w:eastAsia="標楷體" w:hAnsi="標楷體" w:hint="eastAsia"/>
          <w:b/>
          <w:bCs/>
          <w:snapToGrid w:val="0"/>
          <w:lang w:val="x-none"/>
        </w:rPr>
        <w:t>利用風險，允宜</w:t>
      </w:r>
      <w:proofErr w:type="gramStart"/>
      <w:r w:rsidR="00D12087" w:rsidRPr="00D12087">
        <w:rPr>
          <w:rFonts w:ascii="標楷體" w:eastAsia="標楷體" w:hAnsi="標楷體" w:hint="eastAsia"/>
          <w:b/>
          <w:bCs/>
          <w:snapToGrid w:val="0"/>
          <w:lang w:val="x-none"/>
        </w:rPr>
        <w:t>研議善</w:t>
      </w:r>
      <w:proofErr w:type="gramEnd"/>
      <w:r w:rsidR="00D12087" w:rsidRPr="00D12087">
        <w:rPr>
          <w:rFonts w:ascii="標楷體" w:eastAsia="標楷體" w:hAnsi="標楷體" w:hint="eastAsia"/>
          <w:b/>
          <w:bCs/>
          <w:snapToGrid w:val="0"/>
          <w:lang w:val="x-none"/>
        </w:rPr>
        <w:t>用資通訊科技加速清查，以降低被非法利用之風險：</w:t>
      </w:r>
      <w:proofErr w:type="gramStart"/>
      <w:r w:rsidR="00D12087" w:rsidRPr="00D12087">
        <w:rPr>
          <w:rFonts w:ascii="標楷體" w:eastAsia="標楷體" w:hAnsi="標楷體" w:hint="eastAsia"/>
          <w:bCs/>
          <w:snapToGrid w:val="0"/>
          <w:lang w:val="x-none"/>
        </w:rPr>
        <w:t>依據詐防條例</w:t>
      </w:r>
      <w:proofErr w:type="gramEnd"/>
      <w:r w:rsidR="00D12087" w:rsidRPr="00D12087">
        <w:rPr>
          <w:rFonts w:ascii="標楷體" w:eastAsia="標楷體" w:hAnsi="標楷體" w:hint="eastAsia"/>
          <w:bCs/>
          <w:snapToGrid w:val="0"/>
          <w:lang w:val="x-none"/>
        </w:rPr>
        <w:t>第22條規定，電信事業提供非本國籍用戶預付卡服務</w:t>
      </w:r>
      <w:proofErr w:type="gramStart"/>
      <w:r w:rsidR="00D12087" w:rsidRPr="00D12087">
        <w:rPr>
          <w:rFonts w:ascii="標楷體" w:eastAsia="標楷體" w:hAnsi="標楷體" w:hint="eastAsia"/>
          <w:bCs/>
          <w:snapToGrid w:val="0"/>
          <w:lang w:val="x-none"/>
        </w:rPr>
        <w:t>期間，應介</w:t>
      </w:r>
      <w:proofErr w:type="gramEnd"/>
      <w:r w:rsidR="00D12087" w:rsidRPr="00D12087">
        <w:rPr>
          <w:rFonts w:ascii="標楷體" w:eastAsia="標楷體" w:hAnsi="標楷體" w:hint="eastAsia"/>
          <w:bCs/>
          <w:snapToGrid w:val="0"/>
          <w:lang w:val="x-none"/>
        </w:rPr>
        <w:t>接相關資料庫定期查詢該用戶是否出境、逾期停留或居留，經查詢非本國籍用戶已出境、逾期停留或居留，應限制或停止提供其預付卡服務。經查，通傳會已督導三大電信業者（中華電信、台灣大哥大及遠傳電信，下稱電信業者）完成與移民署等資料庫</w:t>
      </w:r>
      <w:proofErr w:type="gramStart"/>
      <w:r w:rsidR="00D12087" w:rsidRPr="00D12087">
        <w:rPr>
          <w:rFonts w:ascii="標楷體" w:eastAsia="標楷體" w:hAnsi="標楷體" w:hint="eastAsia"/>
          <w:bCs/>
          <w:snapToGrid w:val="0"/>
          <w:lang w:val="x-none"/>
        </w:rPr>
        <w:t>介</w:t>
      </w:r>
      <w:proofErr w:type="gramEnd"/>
      <w:r w:rsidR="00D12087" w:rsidRPr="00D12087">
        <w:rPr>
          <w:rFonts w:ascii="標楷體" w:eastAsia="標楷體" w:hAnsi="標楷體" w:hint="eastAsia"/>
          <w:bCs/>
          <w:snapToGrid w:val="0"/>
          <w:lang w:val="x-none"/>
        </w:rPr>
        <w:t>接及進行既有非本國籍人士預付卡門號（下稱既有預付卡門號）清查作業。</w:t>
      </w:r>
      <w:proofErr w:type="gramStart"/>
      <w:r w:rsidR="00D12087" w:rsidRPr="00D12087">
        <w:rPr>
          <w:rFonts w:ascii="標楷體" w:eastAsia="標楷體" w:hAnsi="標楷體" w:hint="eastAsia"/>
          <w:bCs/>
          <w:snapToGrid w:val="0"/>
          <w:lang w:val="x-none"/>
        </w:rPr>
        <w:t>據通傳</w:t>
      </w:r>
      <w:proofErr w:type="gramEnd"/>
      <w:r w:rsidR="00D12087" w:rsidRPr="00D12087">
        <w:rPr>
          <w:rFonts w:ascii="標楷體" w:eastAsia="標楷體" w:hAnsi="標楷體" w:hint="eastAsia"/>
          <w:bCs/>
          <w:snapToGrid w:val="0"/>
          <w:lang w:val="x-none"/>
        </w:rPr>
        <w:t>會統計，既有預付卡門號總數223萬餘門（表</w:t>
      </w:r>
      <w:r w:rsidR="00515405">
        <w:rPr>
          <w:rFonts w:ascii="標楷體" w:eastAsia="標楷體" w:hAnsi="標楷體" w:hint="eastAsia"/>
          <w:bCs/>
          <w:snapToGrid w:val="0"/>
          <w:lang w:val="x-none"/>
        </w:rPr>
        <w:t>10</w:t>
      </w:r>
      <w:r w:rsidR="00D12087" w:rsidRPr="00D12087">
        <w:rPr>
          <w:rFonts w:ascii="標楷體" w:eastAsia="標楷體" w:hAnsi="標楷體" w:hint="eastAsia"/>
          <w:bCs/>
          <w:snapToGrid w:val="0"/>
          <w:lang w:val="x-none"/>
        </w:rPr>
        <w:t>）；截至113年底止，電信業者已清查1.5萬餘門，僅占既有預付卡門號總數之0.67％，</w:t>
      </w:r>
      <w:proofErr w:type="spellStart"/>
      <w:r w:rsidR="00D12087" w:rsidRPr="00D12087">
        <w:rPr>
          <w:rFonts w:ascii="標楷體" w:eastAsia="標楷體" w:hAnsi="標楷體" w:hint="eastAsia"/>
          <w:bCs/>
          <w:snapToGrid w:val="0"/>
          <w:lang w:val="x-none"/>
        </w:rPr>
        <w:t>尚有多達</w:t>
      </w:r>
      <w:proofErr w:type="spellEnd"/>
      <w:r w:rsidR="00D12087" w:rsidRPr="00D12087">
        <w:rPr>
          <w:rFonts w:ascii="標楷體" w:eastAsia="標楷體" w:hAnsi="標楷體" w:hint="eastAsia"/>
          <w:bCs/>
          <w:snapToGrid w:val="0"/>
          <w:lang w:val="x-none"/>
        </w:rPr>
        <w:t>222</w:t>
      </w:r>
      <w:proofErr w:type="gramStart"/>
      <w:r w:rsidR="00D12087" w:rsidRPr="00D12087">
        <w:rPr>
          <w:rFonts w:ascii="標楷體" w:eastAsia="標楷體" w:hAnsi="標楷體" w:hint="eastAsia"/>
          <w:bCs/>
          <w:snapToGrid w:val="0"/>
          <w:lang w:val="x-none"/>
        </w:rPr>
        <w:t>萬餘門待清查</w:t>
      </w:r>
      <w:proofErr w:type="gramEnd"/>
      <w:r w:rsidR="00D12087" w:rsidRPr="00D12087">
        <w:rPr>
          <w:rFonts w:ascii="標楷體" w:eastAsia="標楷體" w:hAnsi="標楷體" w:hint="eastAsia"/>
          <w:bCs/>
          <w:snapToGrid w:val="0"/>
          <w:lang w:val="x-none"/>
        </w:rPr>
        <w:t>；又從電信業者已清查完成部分觀之，近</w:t>
      </w:r>
      <w:proofErr w:type="gramStart"/>
      <w:r w:rsidR="00D12087" w:rsidRPr="00D12087">
        <w:rPr>
          <w:rFonts w:ascii="標楷體" w:eastAsia="標楷體" w:hAnsi="標楷體" w:hint="eastAsia"/>
          <w:bCs/>
          <w:snapToGrid w:val="0"/>
          <w:lang w:val="x-none"/>
        </w:rPr>
        <w:t>4成</w:t>
      </w:r>
      <w:proofErr w:type="gramEnd"/>
      <w:r w:rsidR="00D12087" w:rsidRPr="00D12087">
        <w:rPr>
          <w:rFonts w:ascii="標楷體" w:eastAsia="標楷體" w:hAnsi="標楷體" w:hint="eastAsia"/>
          <w:bCs/>
          <w:snapToGrid w:val="0"/>
          <w:lang w:val="x-none"/>
        </w:rPr>
        <w:t>預付卡門號用戶已出境或逾期停</w:t>
      </w:r>
      <w:r w:rsidR="007D6316">
        <w:rPr>
          <w:rFonts w:ascii="標楷體" w:eastAsia="標楷體" w:hAnsi="標楷體" w:hint="eastAsia"/>
          <w:bCs/>
          <w:snapToGrid w:val="0"/>
          <w:lang w:val="x-none"/>
        </w:rPr>
        <w:t>（</w:t>
      </w:r>
      <w:r w:rsidR="00D12087" w:rsidRPr="00D12087">
        <w:rPr>
          <w:rFonts w:ascii="標楷體" w:eastAsia="標楷體" w:hAnsi="標楷體" w:hint="eastAsia"/>
          <w:bCs/>
          <w:snapToGrid w:val="0"/>
          <w:lang w:val="x-none"/>
        </w:rPr>
        <w:t>居）</w:t>
      </w:r>
      <w:r w:rsidR="00515405" w:rsidRPr="00E2432E">
        <w:rPr>
          <w:rFonts w:ascii="標楷體" w:eastAsia="標楷體" w:hAnsi="標楷體"/>
          <w:noProof/>
          <w:szCs w:val="24"/>
        </w:rPr>
        <w:lastRenderedPageBreak/>
        <mc:AlternateContent>
          <mc:Choice Requires="wps">
            <w:drawing>
              <wp:anchor distT="45720" distB="45720" distL="114300" distR="114300" simplePos="0" relativeHeight="251639808" behindDoc="0" locked="0" layoutInCell="1" allowOverlap="1" wp14:anchorId="35988004" wp14:editId="79B7C9D8">
                <wp:simplePos x="0" y="0"/>
                <wp:positionH relativeFrom="margin">
                  <wp:posOffset>2603500</wp:posOffset>
                </wp:positionH>
                <wp:positionV relativeFrom="paragraph">
                  <wp:posOffset>99060</wp:posOffset>
                </wp:positionV>
                <wp:extent cx="3695700" cy="2232025"/>
                <wp:effectExtent l="0" t="0" r="0" b="0"/>
                <wp:wrapSquare wrapText="bothSides"/>
                <wp:docPr id="5193268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232025"/>
                        </a:xfrm>
                        <a:prstGeom prst="rect">
                          <a:avLst/>
                        </a:prstGeom>
                        <a:solidFill>
                          <a:srgbClr val="FFFFFF"/>
                        </a:solidFill>
                        <a:ln w="9525">
                          <a:noFill/>
                          <a:miter lim="800000"/>
                          <a:headEnd/>
                          <a:tailEnd/>
                        </a:ln>
                      </wps:spPr>
                      <wps:txbx>
                        <w:txbxContent>
                          <w:tbl>
                            <w:tblPr>
                              <w:tblOverlap w:val="never"/>
                              <w:tblW w:w="5529" w:type="dxa"/>
                              <w:tblLayout w:type="fixed"/>
                              <w:tblCellMar>
                                <w:left w:w="28" w:type="dxa"/>
                                <w:right w:w="28" w:type="dxa"/>
                              </w:tblCellMar>
                              <w:tblLook w:val="04A0" w:firstRow="1" w:lastRow="0" w:firstColumn="1" w:lastColumn="0" w:noHBand="0" w:noVBand="1"/>
                            </w:tblPr>
                            <w:tblGrid>
                              <w:gridCol w:w="1134"/>
                              <w:gridCol w:w="1134"/>
                              <w:gridCol w:w="709"/>
                              <w:gridCol w:w="567"/>
                              <w:gridCol w:w="851"/>
                              <w:gridCol w:w="1134"/>
                            </w:tblGrid>
                            <w:tr w:rsidR="00E2432E" w:rsidRPr="00E2432E" w14:paraId="0CDF91C1" w14:textId="77777777" w:rsidTr="00556F0D">
                              <w:trPr>
                                <w:trHeight w:val="227"/>
                              </w:trPr>
                              <w:tc>
                                <w:tcPr>
                                  <w:tcW w:w="5529" w:type="dxa"/>
                                  <w:gridSpan w:val="6"/>
                                  <w:tcBorders>
                                    <w:top w:val="nil"/>
                                    <w:left w:val="nil"/>
                                    <w:bottom w:val="single" w:sz="4" w:space="0" w:color="auto"/>
                                    <w:right w:val="nil"/>
                                  </w:tcBorders>
                                  <w:shd w:val="clear" w:color="auto" w:fill="auto"/>
                                  <w:noWrap/>
                                  <w:vAlign w:val="center"/>
                                  <w:hideMark/>
                                </w:tcPr>
                                <w:p w14:paraId="5A8F27D6" w14:textId="3C39CFAE" w:rsidR="00E2432E" w:rsidRPr="00E2432E" w:rsidRDefault="00E2432E" w:rsidP="00A85005">
                                  <w:pPr>
                                    <w:widowControl/>
                                    <w:ind w:left="841" w:hangingChars="350" w:hanging="841"/>
                                    <w:suppressOverlap/>
                                    <w:jc w:val="both"/>
                                    <w:rPr>
                                      <w:rFonts w:ascii="標楷體" w:eastAsia="標楷體" w:hAnsi="標楷體" w:cs="新細明體"/>
                                      <w:b/>
                                      <w:color w:val="000000" w:themeColor="text1"/>
                                      <w:kern w:val="0"/>
                                    </w:rPr>
                                  </w:pPr>
                                  <w:r w:rsidRPr="00E2432E">
                                    <w:rPr>
                                      <w:rFonts w:ascii="標楷體" w:eastAsia="標楷體" w:hAnsi="標楷體" w:cs="新細明體" w:hint="eastAsia"/>
                                      <w:b/>
                                      <w:kern w:val="0"/>
                                    </w:rPr>
                                    <w:t>表</w:t>
                                  </w:r>
                                  <w:r w:rsidR="00515405">
                                    <w:rPr>
                                      <w:rFonts w:ascii="標楷體" w:eastAsia="標楷體" w:hAnsi="標楷體" w:cs="新細明體"/>
                                      <w:b/>
                                      <w:kern w:val="0"/>
                                    </w:rPr>
                                    <w:t>10</w:t>
                                  </w:r>
                                  <w:r w:rsidRPr="00E2432E">
                                    <w:rPr>
                                      <w:rFonts w:ascii="標楷體" w:eastAsia="標楷體" w:hAnsi="標楷體" w:hint="eastAsia"/>
                                      <w:b/>
                                      <w:bCs/>
                                      <w:snapToGrid w:val="0"/>
                                      <w:lang w:val="x-none"/>
                                    </w:rPr>
                                    <w:t xml:space="preserve">　</w:t>
                                  </w:r>
                                  <w:r w:rsidRPr="00E2432E">
                                    <w:rPr>
                                      <w:rFonts w:ascii="標楷體" w:eastAsia="標楷體" w:hAnsi="標楷體" w:cs="新細明體" w:hint="eastAsia"/>
                                      <w:b/>
                                      <w:color w:val="000000" w:themeColor="text1"/>
                                      <w:kern w:val="0"/>
                                    </w:rPr>
                                    <w:t>三大</w:t>
                                  </w:r>
                                  <w:r w:rsidRPr="00E2432E">
                                    <w:rPr>
                                      <w:rFonts w:ascii="標楷體" w:eastAsia="標楷體" w:hAnsi="標楷體" w:cs="新細明體"/>
                                      <w:b/>
                                      <w:color w:val="000000" w:themeColor="text1"/>
                                      <w:kern w:val="0"/>
                                    </w:rPr>
                                    <w:t>電信業者</w:t>
                                  </w:r>
                                  <w:r w:rsidRPr="00E2432E">
                                    <w:rPr>
                                      <w:rFonts w:ascii="標楷體" w:eastAsia="標楷體" w:hAnsi="標楷體" w:cs="新細明體" w:hint="eastAsia"/>
                                      <w:b/>
                                      <w:color w:val="000000" w:themeColor="text1"/>
                                      <w:kern w:val="0"/>
                                    </w:rPr>
                                    <w:t>清查既有非本國籍預付卡手機門號情形</w:t>
                                  </w:r>
                                </w:p>
                                <w:p w14:paraId="40F83394" w14:textId="77777777" w:rsidR="00E2432E" w:rsidRPr="00E2432E" w:rsidRDefault="00E2432E" w:rsidP="005822C2">
                                  <w:pPr>
                                    <w:widowControl/>
                                    <w:suppressOverlap/>
                                    <w:jc w:val="right"/>
                                    <w:rPr>
                                      <w:rFonts w:ascii="標楷體" w:eastAsia="標楷體" w:hAnsi="標楷體" w:cs="新細明體"/>
                                      <w:kern w:val="0"/>
                                    </w:rPr>
                                  </w:pPr>
                                  <w:r w:rsidRPr="00E2432E">
                                    <w:rPr>
                                      <w:rFonts w:ascii="標楷體" w:eastAsia="標楷體" w:hAnsi="標楷體" w:cs="新細明體" w:hint="eastAsia"/>
                                      <w:kern w:val="0"/>
                                      <w:sz w:val="20"/>
                                      <w:szCs w:val="12"/>
                                    </w:rPr>
                                    <w:t>單位：門</w:t>
                                  </w:r>
                                  <w:r w:rsidRPr="00E2432E">
                                    <w:rPr>
                                      <w:rFonts w:ascii="標楷體" w:eastAsia="標楷體" w:hAnsi="標楷體" w:cs="新細明體"/>
                                      <w:kern w:val="0"/>
                                      <w:sz w:val="20"/>
                                      <w:szCs w:val="12"/>
                                    </w:rPr>
                                    <w:t>、</w:t>
                                  </w:r>
                                  <w:r w:rsidRPr="00E2432E">
                                    <w:rPr>
                                      <w:rFonts w:ascii="標楷體" w:eastAsia="標楷體" w:hAnsi="標楷體" w:cs="新細明體" w:hint="eastAsia"/>
                                      <w:color w:val="000000"/>
                                      <w:kern w:val="0"/>
                                      <w:sz w:val="20"/>
                                      <w:szCs w:val="12"/>
                                    </w:rPr>
                                    <w:t>％</w:t>
                                  </w:r>
                                </w:p>
                              </w:tc>
                            </w:tr>
                            <w:tr w:rsidR="00E2432E" w:rsidRPr="00E2432E" w14:paraId="1B6CE7B2" w14:textId="77777777" w:rsidTr="00556F0D">
                              <w:trPr>
                                <w:trHeight w:val="227"/>
                              </w:trPr>
                              <w:tc>
                                <w:tcPr>
                                  <w:tcW w:w="1134" w:type="dxa"/>
                                  <w:vMerge w:val="restart"/>
                                  <w:tcBorders>
                                    <w:top w:val="single" w:sz="4" w:space="0" w:color="auto"/>
                                    <w:left w:val="single" w:sz="4" w:space="0" w:color="auto"/>
                                    <w:right w:val="single" w:sz="4" w:space="0" w:color="auto"/>
                                  </w:tcBorders>
                                  <w:shd w:val="clear" w:color="auto" w:fill="auto"/>
                                  <w:noWrap/>
                                  <w:vAlign w:val="center"/>
                                </w:tcPr>
                                <w:p w14:paraId="77E75C8C"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電信業者</w:t>
                                  </w:r>
                                </w:p>
                                <w:p w14:paraId="01D652FC"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名　　稱</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63A4539"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須清查非本國籍人士預付卡門號數</w:t>
                                  </w:r>
                                </w:p>
                              </w:tc>
                              <w:tc>
                                <w:tcPr>
                                  <w:tcW w:w="1276" w:type="dxa"/>
                                  <w:gridSpan w:val="2"/>
                                  <w:tcBorders>
                                    <w:top w:val="single" w:sz="4" w:space="0" w:color="auto"/>
                                    <w:left w:val="single" w:sz="4" w:space="0" w:color="auto"/>
                                    <w:right w:val="single" w:sz="4" w:space="0" w:color="auto"/>
                                  </w:tcBorders>
                                  <w:shd w:val="clear" w:color="auto" w:fill="auto"/>
                                  <w:vAlign w:val="center"/>
                                </w:tcPr>
                                <w:p w14:paraId="547E4D9C"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截至1</w:t>
                                  </w:r>
                                  <w:r w:rsidRPr="00E2432E">
                                    <w:rPr>
                                      <w:rFonts w:ascii="標楷體" w:eastAsia="標楷體" w:hAnsi="標楷體" w:cs="新細明體"/>
                                      <w:color w:val="000000"/>
                                      <w:kern w:val="0"/>
                                      <w:sz w:val="20"/>
                                      <w:szCs w:val="12"/>
                                    </w:rPr>
                                    <w:t>13</w:t>
                                  </w:r>
                                </w:p>
                                <w:p w14:paraId="0C744978" w14:textId="77777777" w:rsidR="00E2432E" w:rsidRPr="00E2432E" w:rsidRDefault="00E2432E" w:rsidP="005822C2">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年底已清查</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33345E"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清查結果用戶已出境或逾期停（居）留</w:t>
                                  </w:r>
                                </w:p>
                              </w:tc>
                            </w:tr>
                            <w:tr w:rsidR="00E2432E" w:rsidRPr="00E2432E" w14:paraId="5DBEA371" w14:textId="77777777" w:rsidTr="00556F0D">
                              <w:trPr>
                                <w:trHeight w:val="227"/>
                              </w:trPr>
                              <w:tc>
                                <w:tcPr>
                                  <w:tcW w:w="1134" w:type="dxa"/>
                                  <w:vMerge/>
                                  <w:tcBorders>
                                    <w:top w:val="single" w:sz="4" w:space="0" w:color="auto"/>
                                    <w:left w:val="single" w:sz="4" w:space="0" w:color="auto"/>
                                    <w:right w:val="single" w:sz="4" w:space="0" w:color="auto"/>
                                  </w:tcBorders>
                                  <w:shd w:val="clear" w:color="auto" w:fill="auto"/>
                                  <w:noWrap/>
                                  <w:vAlign w:val="center"/>
                                </w:tcPr>
                                <w:p w14:paraId="3C016092"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p>
                              </w:tc>
                              <w:tc>
                                <w:tcPr>
                                  <w:tcW w:w="1134" w:type="dxa"/>
                                  <w:vMerge/>
                                  <w:tcBorders>
                                    <w:top w:val="single" w:sz="4" w:space="0" w:color="auto"/>
                                    <w:left w:val="single" w:sz="4" w:space="0" w:color="auto"/>
                                    <w:right w:val="single" w:sz="4" w:space="0" w:color="auto"/>
                                  </w:tcBorders>
                                  <w:shd w:val="clear" w:color="auto" w:fill="auto"/>
                                  <w:vAlign w:val="center"/>
                                </w:tcPr>
                                <w:p w14:paraId="1BE290C4"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p>
                              </w:tc>
                              <w:tc>
                                <w:tcPr>
                                  <w:tcW w:w="709" w:type="dxa"/>
                                  <w:tcBorders>
                                    <w:top w:val="single" w:sz="4" w:space="0" w:color="auto"/>
                                    <w:left w:val="single" w:sz="4" w:space="0" w:color="auto"/>
                                    <w:right w:val="single" w:sz="4" w:space="0" w:color="auto"/>
                                  </w:tcBorders>
                                  <w:shd w:val="clear" w:color="auto" w:fill="auto"/>
                                  <w:vAlign w:val="center"/>
                                </w:tcPr>
                                <w:p w14:paraId="5DD86CDE"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門號數</w:t>
                                  </w:r>
                                </w:p>
                              </w:tc>
                              <w:tc>
                                <w:tcPr>
                                  <w:tcW w:w="567" w:type="dxa"/>
                                  <w:tcBorders>
                                    <w:top w:val="single" w:sz="4" w:space="0" w:color="auto"/>
                                    <w:left w:val="single" w:sz="4" w:space="0" w:color="auto"/>
                                    <w:right w:val="single" w:sz="4" w:space="0" w:color="auto"/>
                                  </w:tcBorders>
                                  <w:shd w:val="clear" w:color="auto" w:fill="auto"/>
                                  <w:vAlign w:val="center"/>
                                </w:tcPr>
                                <w:p w14:paraId="52D56D4B"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占比</w:t>
                                  </w:r>
                                </w:p>
                              </w:tc>
                              <w:tc>
                                <w:tcPr>
                                  <w:tcW w:w="851" w:type="dxa"/>
                                  <w:tcBorders>
                                    <w:top w:val="single" w:sz="4" w:space="0" w:color="auto"/>
                                    <w:left w:val="single" w:sz="4" w:space="0" w:color="auto"/>
                                    <w:right w:val="single" w:sz="4" w:space="0" w:color="auto"/>
                                  </w:tcBorders>
                                  <w:shd w:val="clear" w:color="auto" w:fill="auto"/>
                                  <w:vAlign w:val="center"/>
                                </w:tcPr>
                                <w:p w14:paraId="60CEBE9F"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門號數</w:t>
                                  </w:r>
                                </w:p>
                              </w:tc>
                              <w:tc>
                                <w:tcPr>
                                  <w:tcW w:w="1134" w:type="dxa"/>
                                  <w:tcBorders>
                                    <w:top w:val="single" w:sz="4" w:space="0" w:color="auto"/>
                                    <w:left w:val="single" w:sz="4" w:space="0" w:color="auto"/>
                                    <w:right w:val="single" w:sz="4" w:space="0" w:color="auto"/>
                                  </w:tcBorders>
                                  <w:shd w:val="clear" w:color="auto" w:fill="auto"/>
                                  <w:vAlign w:val="center"/>
                                </w:tcPr>
                                <w:p w14:paraId="7673B492"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占已清查</w:t>
                                  </w:r>
                                </w:p>
                                <w:p w14:paraId="4FE34AEF"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門號數比率</w:t>
                                  </w:r>
                                </w:p>
                              </w:tc>
                            </w:tr>
                            <w:tr w:rsidR="00E2432E" w:rsidRPr="00E2432E" w14:paraId="10385D59"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7591001D" w14:textId="77777777" w:rsidR="00E2432E" w:rsidRPr="00E2432E" w:rsidRDefault="00E2432E" w:rsidP="00FF16F1">
                                  <w:pPr>
                                    <w:widowControl/>
                                    <w:spacing w:line="200" w:lineRule="exact"/>
                                    <w:suppressOverlap/>
                                    <w:jc w:val="center"/>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合計</w:t>
                                  </w:r>
                                </w:p>
                              </w:tc>
                              <w:tc>
                                <w:tcPr>
                                  <w:tcW w:w="1134" w:type="dxa"/>
                                  <w:tcBorders>
                                    <w:top w:val="single" w:sz="4" w:space="0" w:color="auto"/>
                                    <w:left w:val="single" w:sz="4" w:space="0" w:color="auto"/>
                                    <w:right w:val="single" w:sz="4" w:space="0" w:color="auto"/>
                                  </w:tcBorders>
                                  <w:shd w:val="clear" w:color="auto" w:fill="auto"/>
                                  <w:vAlign w:val="center"/>
                                </w:tcPr>
                                <w:p w14:paraId="56BE3F1C" w14:textId="77777777" w:rsidR="00E2432E" w:rsidRPr="00E2432E" w:rsidRDefault="00E2432E" w:rsidP="00FF16F1">
                                  <w:pPr>
                                    <w:widowControl/>
                                    <w:spacing w:line="200" w:lineRule="exact"/>
                                    <w:suppressOverlap/>
                                    <w:jc w:val="right"/>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2,236,281</w:t>
                                  </w:r>
                                </w:p>
                              </w:tc>
                              <w:tc>
                                <w:tcPr>
                                  <w:tcW w:w="709" w:type="dxa"/>
                                  <w:tcBorders>
                                    <w:top w:val="single" w:sz="4" w:space="0" w:color="auto"/>
                                    <w:left w:val="single" w:sz="4" w:space="0" w:color="auto"/>
                                    <w:right w:val="single" w:sz="4" w:space="0" w:color="auto"/>
                                  </w:tcBorders>
                                  <w:shd w:val="clear" w:color="auto" w:fill="auto"/>
                                  <w:vAlign w:val="center"/>
                                </w:tcPr>
                                <w:p w14:paraId="5B8808A3" w14:textId="77777777" w:rsidR="00E2432E" w:rsidRPr="00E2432E" w:rsidRDefault="00E2432E" w:rsidP="00FF16F1">
                                  <w:pPr>
                                    <w:widowControl/>
                                    <w:spacing w:line="200" w:lineRule="exact"/>
                                    <w:suppressOverlap/>
                                    <w:jc w:val="right"/>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15,051</w:t>
                                  </w:r>
                                </w:p>
                              </w:tc>
                              <w:tc>
                                <w:tcPr>
                                  <w:tcW w:w="567" w:type="dxa"/>
                                  <w:tcBorders>
                                    <w:top w:val="single" w:sz="4" w:space="0" w:color="auto"/>
                                    <w:left w:val="single" w:sz="4" w:space="0" w:color="auto"/>
                                    <w:right w:val="single" w:sz="4" w:space="0" w:color="auto"/>
                                  </w:tcBorders>
                                  <w:shd w:val="clear" w:color="auto" w:fill="auto"/>
                                  <w:vAlign w:val="center"/>
                                </w:tcPr>
                                <w:p w14:paraId="0CC02B89" w14:textId="77777777" w:rsidR="00E2432E" w:rsidRPr="00E2432E" w:rsidRDefault="00E2432E" w:rsidP="00FF16F1">
                                  <w:pPr>
                                    <w:widowControl/>
                                    <w:spacing w:line="200" w:lineRule="exact"/>
                                    <w:suppressOverlap/>
                                    <w:jc w:val="right"/>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0.67</w:t>
                                  </w:r>
                                </w:p>
                              </w:tc>
                              <w:tc>
                                <w:tcPr>
                                  <w:tcW w:w="851" w:type="dxa"/>
                                  <w:tcBorders>
                                    <w:top w:val="single" w:sz="4" w:space="0" w:color="auto"/>
                                    <w:left w:val="single" w:sz="4" w:space="0" w:color="auto"/>
                                    <w:right w:val="single" w:sz="4" w:space="0" w:color="auto"/>
                                  </w:tcBorders>
                                  <w:shd w:val="clear" w:color="auto" w:fill="auto"/>
                                  <w:vAlign w:val="center"/>
                                </w:tcPr>
                                <w:p w14:paraId="4352E3D6" w14:textId="77777777" w:rsidR="00E2432E" w:rsidRPr="00E2432E" w:rsidRDefault="00E2432E" w:rsidP="00FF16F1">
                                  <w:pPr>
                                    <w:widowControl/>
                                    <w:spacing w:line="200" w:lineRule="exact"/>
                                    <w:jc w:val="right"/>
                                    <w:rPr>
                                      <w:rFonts w:ascii="標楷體" w:eastAsia="標楷體" w:hAnsi="標楷體" w:cs="新細明體"/>
                                      <w:b/>
                                      <w:kern w:val="0"/>
                                      <w:sz w:val="20"/>
                                      <w:szCs w:val="12"/>
                                    </w:rPr>
                                  </w:pPr>
                                  <w:r w:rsidRPr="00E2432E">
                                    <w:rPr>
                                      <w:rFonts w:ascii="標楷體" w:eastAsia="標楷體" w:hAnsi="標楷體" w:cs="新細明體" w:hint="eastAsia"/>
                                      <w:b/>
                                      <w:kern w:val="0"/>
                                      <w:sz w:val="20"/>
                                      <w:szCs w:val="12"/>
                                    </w:rPr>
                                    <w:t>5</w:t>
                                  </w:r>
                                  <w:r w:rsidRPr="00E2432E">
                                    <w:rPr>
                                      <w:rFonts w:ascii="標楷體" w:eastAsia="標楷體" w:hAnsi="標楷體" w:cs="新細明體"/>
                                      <w:b/>
                                      <w:kern w:val="0"/>
                                      <w:sz w:val="20"/>
                                      <w:szCs w:val="12"/>
                                    </w:rPr>
                                    <w:t>,845</w:t>
                                  </w:r>
                                </w:p>
                              </w:tc>
                              <w:tc>
                                <w:tcPr>
                                  <w:tcW w:w="1134" w:type="dxa"/>
                                  <w:tcBorders>
                                    <w:top w:val="single" w:sz="4" w:space="0" w:color="auto"/>
                                    <w:left w:val="single" w:sz="4" w:space="0" w:color="auto"/>
                                    <w:right w:val="single" w:sz="4" w:space="0" w:color="auto"/>
                                  </w:tcBorders>
                                  <w:shd w:val="clear" w:color="auto" w:fill="auto"/>
                                  <w:vAlign w:val="center"/>
                                </w:tcPr>
                                <w:p w14:paraId="5DFB6401" w14:textId="77777777" w:rsidR="00E2432E" w:rsidRPr="00E2432E" w:rsidRDefault="00E2432E" w:rsidP="00FF16F1">
                                  <w:pPr>
                                    <w:widowControl/>
                                    <w:spacing w:line="200" w:lineRule="exact"/>
                                    <w:suppressOverlap/>
                                    <w:jc w:val="right"/>
                                    <w:rPr>
                                      <w:rFonts w:ascii="標楷體" w:eastAsia="標楷體" w:hAnsi="標楷體" w:cs="新細明體"/>
                                      <w:b/>
                                      <w:kern w:val="0"/>
                                      <w:sz w:val="20"/>
                                      <w:szCs w:val="12"/>
                                    </w:rPr>
                                  </w:pPr>
                                  <w:r w:rsidRPr="00E2432E">
                                    <w:rPr>
                                      <w:rFonts w:ascii="標楷體" w:eastAsia="標楷體" w:hAnsi="標楷體" w:cs="新細明體" w:hint="eastAsia"/>
                                      <w:b/>
                                      <w:kern w:val="0"/>
                                      <w:sz w:val="20"/>
                                      <w:szCs w:val="12"/>
                                    </w:rPr>
                                    <w:t>38.83</w:t>
                                  </w:r>
                                </w:p>
                              </w:tc>
                            </w:tr>
                            <w:tr w:rsidR="00E2432E" w:rsidRPr="00E2432E" w14:paraId="44038A4A"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5D61D0C9"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中華電信</w:t>
                                  </w:r>
                                </w:p>
                              </w:tc>
                              <w:tc>
                                <w:tcPr>
                                  <w:tcW w:w="1134" w:type="dxa"/>
                                  <w:tcBorders>
                                    <w:top w:val="single" w:sz="4" w:space="0" w:color="auto"/>
                                    <w:left w:val="single" w:sz="4" w:space="0" w:color="auto"/>
                                    <w:right w:val="single" w:sz="4" w:space="0" w:color="auto"/>
                                  </w:tcBorders>
                                  <w:shd w:val="clear" w:color="auto" w:fill="auto"/>
                                  <w:vAlign w:val="center"/>
                                </w:tcPr>
                                <w:p w14:paraId="0C93845E"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color w:val="000000"/>
                                      <w:kern w:val="0"/>
                                      <w:sz w:val="20"/>
                                      <w:szCs w:val="12"/>
                                    </w:rPr>
                                    <w:t>494,376</w:t>
                                  </w:r>
                                </w:p>
                              </w:tc>
                              <w:tc>
                                <w:tcPr>
                                  <w:tcW w:w="709" w:type="dxa"/>
                                  <w:tcBorders>
                                    <w:top w:val="single" w:sz="4" w:space="0" w:color="auto"/>
                                    <w:left w:val="single" w:sz="4" w:space="0" w:color="auto"/>
                                    <w:right w:val="single" w:sz="4" w:space="0" w:color="auto"/>
                                  </w:tcBorders>
                                  <w:shd w:val="clear" w:color="auto" w:fill="auto"/>
                                  <w:vAlign w:val="center"/>
                                </w:tcPr>
                                <w:p w14:paraId="1249B95B"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3,028</w:t>
                                  </w:r>
                                </w:p>
                              </w:tc>
                              <w:tc>
                                <w:tcPr>
                                  <w:tcW w:w="567" w:type="dxa"/>
                                  <w:tcBorders>
                                    <w:top w:val="single" w:sz="4" w:space="0" w:color="auto"/>
                                    <w:left w:val="single" w:sz="4" w:space="0" w:color="auto"/>
                                    <w:right w:val="single" w:sz="4" w:space="0" w:color="auto"/>
                                  </w:tcBorders>
                                  <w:shd w:val="clear" w:color="auto" w:fill="auto"/>
                                  <w:vAlign w:val="center"/>
                                </w:tcPr>
                                <w:p w14:paraId="31589C2B"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0.61</w:t>
                                  </w:r>
                                </w:p>
                              </w:tc>
                              <w:tc>
                                <w:tcPr>
                                  <w:tcW w:w="851" w:type="dxa"/>
                                  <w:tcBorders>
                                    <w:top w:val="single" w:sz="4" w:space="0" w:color="auto"/>
                                    <w:left w:val="single" w:sz="4" w:space="0" w:color="auto"/>
                                    <w:right w:val="single" w:sz="4" w:space="0" w:color="auto"/>
                                  </w:tcBorders>
                                  <w:shd w:val="clear" w:color="auto" w:fill="auto"/>
                                  <w:vAlign w:val="center"/>
                                </w:tcPr>
                                <w:p w14:paraId="2F6BFBBB" w14:textId="77777777" w:rsidR="00E2432E" w:rsidRPr="00E2432E" w:rsidRDefault="00E2432E" w:rsidP="00FF16F1">
                                  <w:pPr>
                                    <w:widowControl/>
                                    <w:spacing w:line="200" w:lineRule="exact"/>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1</w:t>
                                  </w:r>
                                  <w:r w:rsidRPr="00E2432E">
                                    <w:rPr>
                                      <w:rFonts w:ascii="標楷體" w:eastAsia="標楷體" w:hAnsi="標楷體" w:cs="新細明體"/>
                                      <w:bCs/>
                                      <w:kern w:val="0"/>
                                      <w:sz w:val="20"/>
                                      <w:szCs w:val="12"/>
                                    </w:rPr>
                                    <w:t>,264</w:t>
                                  </w:r>
                                </w:p>
                              </w:tc>
                              <w:tc>
                                <w:tcPr>
                                  <w:tcW w:w="1134" w:type="dxa"/>
                                  <w:tcBorders>
                                    <w:top w:val="single" w:sz="4" w:space="0" w:color="auto"/>
                                    <w:left w:val="single" w:sz="4" w:space="0" w:color="auto"/>
                                    <w:right w:val="single" w:sz="4" w:space="0" w:color="auto"/>
                                  </w:tcBorders>
                                  <w:shd w:val="clear" w:color="auto" w:fill="auto"/>
                                  <w:vAlign w:val="center"/>
                                </w:tcPr>
                                <w:p w14:paraId="5CA5142B" w14:textId="77777777" w:rsidR="00E2432E" w:rsidRPr="00E2432E" w:rsidRDefault="00E2432E" w:rsidP="00FF16F1">
                                  <w:pPr>
                                    <w:widowControl/>
                                    <w:spacing w:line="200" w:lineRule="exact"/>
                                    <w:suppressOverlap/>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41.74</w:t>
                                  </w:r>
                                </w:p>
                              </w:tc>
                            </w:tr>
                            <w:tr w:rsidR="00E2432E" w:rsidRPr="00E2432E" w14:paraId="70931097"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56DD1C76"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台灣大哥大</w:t>
                                  </w:r>
                                </w:p>
                              </w:tc>
                              <w:tc>
                                <w:tcPr>
                                  <w:tcW w:w="1134" w:type="dxa"/>
                                  <w:tcBorders>
                                    <w:top w:val="single" w:sz="4" w:space="0" w:color="auto"/>
                                    <w:left w:val="single" w:sz="4" w:space="0" w:color="auto"/>
                                    <w:right w:val="single" w:sz="4" w:space="0" w:color="auto"/>
                                  </w:tcBorders>
                                  <w:shd w:val="clear" w:color="auto" w:fill="auto"/>
                                  <w:vAlign w:val="center"/>
                                </w:tcPr>
                                <w:p w14:paraId="7B99C410"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838,506</w:t>
                                  </w:r>
                                </w:p>
                              </w:tc>
                              <w:tc>
                                <w:tcPr>
                                  <w:tcW w:w="709" w:type="dxa"/>
                                  <w:tcBorders>
                                    <w:top w:val="single" w:sz="4" w:space="0" w:color="auto"/>
                                    <w:left w:val="single" w:sz="4" w:space="0" w:color="auto"/>
                                    <w:right w:val="single" w:sz="4" w:space="0" w:color="auto"/>
                                  </w:tcBorders>
                                  <w:shd w:val="clear" w:color="auto" w:fill="auto"/>
                                  <w:vAlign w:val="center"/>
                                </w:tcPr>
                                <w:p w14:paraId="55039AEA"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6</w:t>
                                  </w:r>
                                  <w:r w:rsidRPr="00E2432E">
                                    <w:rPr>
                                      <w:rFonts w:ascii="標楷體" w:eastAsia="標楷體" w:hAnsi="標楷體" w:cs="新細明體"/>
                                      <w:color w:val="000000"/>
                                      <w:kern w:val="0"/>
                                      <w:sz w:val="20"/>
                                      <w:szCs w:val="12"/>
                                    </w:rPr>
                                    <w:t>,</w:t>
                                  </w:r>
                                  <w:r w:rsidRPr="00E2432E">
                                    <w:rPr>
                                      <w:rFonts w:ascii="標楷體" w:eastAsia="標楷體" w:hAnsi="標楷體" w:cs="新細明體" w:hint="eastAsia"/>
                                      <w:color w:val="000000"/>
                                      <w:kern w:val="0"/>
                                      <w:sz w:val="20"/>
                                      <w:szCs w:val="12"/>
                                    </w:rPr>
                                    <w:t>910</w:t>
                                  </w:r>
                                </w:p>
                              </w:tc>
                              <w:tc>
                                <w:tcPr>
                                  <w:tcW w:w="567" w:type="dxa"/>
                                  <w:tcBorders>
                                    <w:top w:val="single" w:sz="4" w:space="0" w:color="auto"/>
                                    <w:left w:val="single" w:sz="4" w:space="0" w:color="auto"/>
                                    <w:right w:val="single" w:sz="4" w:space="0" w:color="auto"/>
                                  </w:tcBorders>
                                  <w:shd w:val="clear" w:color="auto" w:fill="auto"/>
                                  <w:vAlign w:val="center"/>
                                </w:tcPr>
                                <w:p w14:paraId="065ADBA7"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0.82</w:t>
                                  </w:r>
                                </w:p>
                              </w:tc>
                              <w:tc>
                                <w:tcPr>
                                  <w:tcW w:w="851" w:type="dxa"/>
                                  <w:tcBorders>
                                    <w:top w:val="single" w:sz="4" w:space="0" w:color="auto"/>
                                    <w:left w:val="single" w:sz="4" w:space="0" w:color="auto"/>
                                    <w:right w:val="single" w:sz="4" w:space="0" w:color="auto"/>
                                  </w:tcBorders>
                                  <w:shd w:val="clear" w:color="auto" w:fill="auto"/>
                                  <w:vAlign w:val="center"/>
                                </w:tcPr>
                                <w:p w14:paraId="66A94492" w14:textId="77777777" w:rsidR="00E2432E" w:rsidRPr="00E2432E" w:rsidRDefault="00E2432E" w:rsidP="00FF16F1">
                                  <w:pPr>
                                    <w:widowControl/>
                                    <w:spacing w:line="200" w:lineRule="exact"/>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2</w:t>
                                  </w:r>
                                  <w:r w:rsidRPr="00E2432E">
                                    <w:rPr>
                                      <w:rFonts w:ascii="標楷體" w:eastAsia="標楷體" w:hAnsi="標楷體" w:cs="新細明體"/>
                                      <w:bCs/>
                                      <w:kern w:val="0"/>
                                      <w:sz w:val="20"/>
                                      <w:szCs w:val="12"/>
                                    </w:rPr>
                                    <w:t>,632</w:t>
                                  </w:r>
                                </w:p>
                              </w:tc>
                              <w:tc>
                                <w:tcPr>
                                  <w:tcW w:w="1134" w:type="dxa"/>
                                  <w:tcBorders>
                                    <w:top w:val="single" w:sz="4" w:space="0" w:color="auto"/>
                                    <w:left w:val="single" w:sz="4" w:space="0" w:color="auto"/>
                                    <w:right w:val="single" w:sz="4" w:space="0" w:color="auto"/>
                                  </w:tcBorders>
                                  <w:shd w:val="clear" w:color="auto" w:fill="auto"/>
                                  <w:vAlign w:val="center"/>
                                </w:tcPr>
                                <w:p w14:paraId="06B88A02" w14:textId="77777777" w:rsidR="00E2432E" w:rsidRPr="00E2432E" w:rsidRDefault="00E2432E" w:rsidP="00FF16F1">
                                  <w:pPr>
                                    <w:widowControl/>
                                    <w:spacing w:line="200" w:lineRule="exact"/>
                                    <w:suppressOverlap/>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38.09</w:t>
                                  </w:r>
                                </w:p>
                              </w:tc>
                            </w:tr>
                            <w:tr w:rsidR="00E2432E" w:rsidRPr="00E2432E" w14:paraId="4C928DA6"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54F074F4"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遠傳電信</w:t>
                                  </w:r>
                                </w:p>
                              </w:tc>
                              <w:tc>
                                <w:tcPr>
                                  <w:tcW w:w="1134" w:type="dxa"/>
                                  <w:tcBorders>
                                    <w:top w:val="single" w:sz="4" w:space="0" w:color="auto"/>
                                    <w:left w:val="single" w:sz="4" w:space="0" w:color="auto"/>
                                    <w:right w:val="single" w:sz="4" w:space="0" w:color="auto"/>
                                  </w:tcBorders>
                                  <w:shd w:val="clear" w:color="auto" w:fill="auto"/>
                                  <w:vAlign w:val="center"/>
                                </w:tcPr>
                                <w:p w14:paraId="27C39779"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903,399</w:t>
                                  </w:r>
                                </w:p>
                              </w:tc>
                              <w:tc>
                                <w:tcPr>
                                  <w:tcW w:w="709" w:type="dxa"/>
                                  <w:tcBorders>
                                    <w:top w:val="single" w:sz="4" w:space="0" w:color="auto"/>
                                    <w:left w:val="single" w:sz="4" w:space="0" w:color="auto"/>
                                    <w:right w:val="single" w:sz="4" w:space="0" w:color="auto"/>
                                  </w:tcBorders>
                                  <w:shd w:val="clear" w:color="auto" w:fill="auto"/>
                                  <w:vAlign w:val="center"/>
                                </w:tcPr>
                                <w:p w14:paraId="1596C6D7"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5,113</w:t>
                                  </w:r>
                                </w:p>
                              </w:tc>
                              <w:tc>
                                <w:tcPr>
                                  <w:tcW w:w="567" w:type="dxa"/>
                                  <w:tcBorders>
                                    <w:top w:val="single" w:sz="4" w:space="0" w:color="auto"/>
                                    <w:left w:val="single" w:sz="4" w:space="0" w:color="auto"/>
                                    <w:right w:val="single" w:sz="4" w:space="0" w:color="auto"/>
                                  </w:tcBorders>
                                  <w:shd w:val="clear" w:color="auto" w:fill="auto"/>
                                  <w:vAlign w:val="center"/>
                                </w:tcPr>
                                <w:p w14:paraId="5456DD54"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0.57</w:t>
                                  </w:r>
                                </w:p>
                              </w:tc>
                              <w:tc>
                                <w:tcPr>
                                  <w:tcW w:w="851" w:type="dxa"/>
                                  <w:tcBorders>
                                    <w:top w:val="single" w:sz="4" w:space="0" w:color="auto"/>
                                    <w:left w:val="single" w:sz="4" w:space="0" w:color="auto"/>
                                    <w:right w:val="single" w:sz="4" w:space="0" w:color="auto"/>
                                  </w:tcBorders>
                                  <w:shd w:val="clear" w:color="auto" w:fill="auto"/>
                                  <w:vAlign w:val="center"/>
                                </w:tcPr>
                                <w:p w14:paraId="2375B456" w14:textId="77777777" w:rsidR="00E2432E" w:rsidRPr="00E2432E" w:rsidRDefault="00E2432E" w:rsidP="00FF16F1">
                                  <w:pPr>
                                    <w:widowControl/>
                                    <w:spacing w:line="200" w:lineRule="exact"/>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1</w:t>
                                  </w:r>
                                  <w:r w:rsidRPr="00E2432E">
                                    <w:rPr>
                                      <w:rFonts w:ascii="標楷體" w:eastAsia="標楷體" w:hAnsi="標楷體" w:cs="新細明體"/>
                                      <w:bCs/>
                                      <w:kern w:val="0"/>
                                      <w:sz w:val="20"/>
                                      <w:szCs w:val="12"/>
                                    </w:rPr>
                                    <w:t>,949</w:t>
                                  </w:r>
                                </w:p>
                              </w:tc>
                              <w:tc>
                                <w:tcPr>
                                  <w:tcW w:w="1134" w:type="dxa"/>
                                  <w:tcBorders>
                                    <w:top w:val="single" w:sz="4" w:space="0" w:color="auto"/>
                                    <w:left w:val="single" w:sz="4" w:space="0" w:color="auto"/>
                                    <w:right w:val="single" w:sz="4" w:space="0" w:color="auto"/>
                                  </w:tcBorders>
                                  <w:shd w:val="clear" w:color="auto" w:fill="auto"/>
                                  <w:vAlign w:val="center"/>
                                </w:tcPr>
                                <w:p w14:paraId="75941264" w14:textId="77777777" w:rsidR="00E2432E" w:rsidRPr="00E2432E" w:rsidRDefault="00E2432E" w:rsidP="00FF16F1">
                                  <w:pPr>
                                    <w:widowControl/>
                                    <w:spacing w:line="200" w:lineRule="exact"/>
                                    <w:suppressOverlap/>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38.12</w:t>
                                  </w:r>
                                </w:p>
                              </w:tc>
                            </w:tr>
                            <w:tr w:rsidR="00E2432E" w:rsidRPr="00E2432E" w14:paraId="15D1A103" w14:textId="77777777" w:rsidTr="00556F0D">
                              <w:trPr>
                                <w:trHeight w:val="227"/>
                              </w:trPr>
                              <w:tc>
                                <w:tcPr>
                                  <w:tcW w:w="5529" w:type="dxa"/>
                                  <w:gridSpan w:val="6"/>
                                  <w:tcBorders>
                                    <w:top w:val="single" w:sz="4" w:space="0" w:color="auto"/>
                                    <w:left w:val="nil"/>
                                    <w:bottom w:val="nil"/>
                                    <w:right w:val="nil"/>
                                  </w:tcBorders>
                                  <w:shd w:val="clear" w:color="auto" w:fill="auto"/>
                                  <w:noWrap/>
                                  <w:vAlign w:val="center"/>
                                  <w:hideMark/>
                                </w:tcPr>
                                <w:p w14:paraId="2D50F4F2" w14:textId="77777777" w:rsidR="00E2432E" w:rsidRPr="00E2432E" w:rsidRDefault="00E2432E" w:rsidP="00EC7C99">
                                  <w:pPr>
                                    <w:widowControl/>
                                    <w:spacing w:line="200" w:lineRule="exact"/>
                                    <w:ind w:hanging="919"/>
                                    <w:suppressOverlap/>
                                    <w:rPr>
                                      <w:rFonts w:ascii="標楷體" w:eastAsia="標楷體" w:hAnsi="標楷體" w:cs="新細明體"/>
                                      <w:color w:val="000000"/>
                                      <w:kern w:val="0"/>
                                      <w:sz w:val="20"/>
                                    </w:rPr>
                                  </w:pPr>
                                  <w:r w:rsidRPr="00E2432E">
                                    <w:rPr>
                                      <w:rFonts w:ascii="標楷體" w:eastAsia="標楷體" w:hAnsi="標楷體" w:cs="新細明體" w:hint="eastAsia"/>
                                      <w:color w:val="000000"/>
                                      <w:kern w:val="0"/>
                                      <w:sz w:val="18"/>
                                      <w:szCs w:val="18"/>
                                    </w:rPr>
                                    <w:t>資料來源：資料來源</w:t>
                                  </w:r>
                                  <w:r w:rsidRPr="00E2432E">
                                    <w:rPr>
                                      <w:rFonts w:ascii="標楷體" w:eastAsia="標楷體" w:hAnsi="標楷體" w:cs="新細明體"/>
                                      <w:color w:val="000000"/>
                                      <w:kern w:val="0"/>
                                      <w:sz w:val="18"/>
                                      <w:szCs w:val="18"/>
                                    </w:rPr>
                                    <w:t>：</w:t>
                                  </w:r>
                                  <w:r w:rsidRPr="00E2432E">
                                    <w:rPr>
                                      <w:rFonts w:ascii="標楷體" w:eastAsia="標楷體" w:hAnsi="標楷體" w:cs="新細明體" w:hint="eastAsia"/>
                                      <w:color w:val="000000"/>
                                      <w:kern w:val="0"/>
                                      <w:sz w:val="18"/>
                                      <w:szCs w:val="18"/>
                                    </w:rPr>
                                    <w:t>整理自國家通訊傳播委員會提供資料。</w:t>
                                  </w:r>
                                </w:p>
                              </w:tc>
                            </w:tr>
                          </w:tbl>
                          <w:p w14:paraId="261AB34D" w14:textId="77777777" w:rsidR="00E2432E" w:rsidRPr="00E2432E" w:rsidRDefault="00E2432E" w:rsidP="00E2432E">
                            <w:pPr>
                              <w:spacing w:line="2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988004" id="_x0000_s1052" type="#_x0000_t202" style="position:absolute;left:0;text-align:left;margin-left:205pt;margin-top:7.8pt;width:291pt;height:175.75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" stroked="f">
                <v:textbox>
                  <w:txbxContent>
                    <w:tbl>
                      <w:tblPr>
                        <w:tblOverlap w:val="never"/>
                        <w:tblW w:w="5529" w:type="dxa"/>
                        <w:tblLayout w:type="fixed"/>
                        <w:tblCellMar>
                          <w:left w:w="28" w:type="dxa"/>
                          <w:right w:w="28" w:type="dxa"/>
                        </w:tblCellMar>
                        <w:tblLook w:val="04A0" w:firstRow="1" w:lastRow="0" w:firstColumn="1" w:lastColumn="0" w:noHBand="0" w:noVBand="1"/>
                      </w:tblPr>
                      <w:tblGrid>
                        <w:gridCol w:w="1134"/>
                        <w:gridCol w:w="1134"/>
                        <w:gridCol w:w="709"/>
                        <w:gridCol w:w="567"/>
                        <w:gridCol w:w="851"/>
                        <w:gridCol w:w="1134"/>
                      </w:tblGrid>
                      <w:tr w:rsidR="00E2432E" w:rsidRPr="00E2432E" w14:paraId="0CDF91C1" w14:textId="77777777" w:rsidTr="00556F0D">
                        <w:trPr>
                          <w:trHeight w:val="227"/>
                        </w:trPr>
                        <w:tc>
                          <w:tcPr>
                            <w:tcW w:w="5529" w:type="dxa"/>
                            <w:gridSpan w:val="6"/>
                            <w:tcBorders>
                              <w:top w:val="nil"/>
                              <w:left w:val="nil"/>
                              <w:bottom w:val="single" w:sz="4" w:space="0" w:color="auto"/>
                              <w:right w:val="nil"/>
                            </w:tcBorders>
                            <w:shd w:val="clear" w:color="auto" w:fill="auto"/>
                            <w:noWrap/>
                            <w:vAlign w:val="center"/>
                            <w:hideMark/>
                          </w:tcPr>
                          <w:p w14:paraId="5A8F27D6" w14:textId="3C39CFAE" w:rsidR="00E2432E" w:rsidRPr="00E2432E" w:rsidRDefault="00E2432E" w:rsidP="00A85005">
                            <w:pPr>
                              <w:widowControl/>
                              <w:ind w:left="841" w:hangingChars="350" w:hanging="841"/>
                              <w:suppressOverlap/>
                              <w:jc w:val="both"/>
                              <w:rPr>
                                <w:rFonts w:ascii="標楷體" w:eastAsia="標楷體" w:hAnsi="標楷體" w:cs="新細明體"/>
                                <w:b/>
                                <w:color w:val="000000" w:themeColor="text1"/>
                                <w:kern w:val="0"/>
                              </w:rPr>
                            </w:pPr>
                            <w:r w:rsidRPr="00E2432E">
                              <w:rPr>
                                <w:rFonts w:ascii="標楷體" w:eastAsia="標楷體" w:hAnsi="標楷體" w:cs="新細明體" w:hint="eastAsia"/>
                                <w:b/>
                                <w:kern w:val="0"/>
                              </w:rPr>
                              <w:t>表</w:t>
                            </w:r>
                            <w:r w:rsidR="00515405">
                              <w:rPr>
                                <w:rFonts w:ascii="標楷體" w:eastAsia="標楷體" w:hAnsi="標楷體" w:cs="新細明體"/>
                                <w:b/>
                                <w:kern w:val="0"/>
                              </w:rPr>
                              <w:t>10</w:t>
                            </w:r>
                            <w:r w:rsidRPr="00E2432E">
                              <w:rPr>
                                <w:rFonts w:ascii="標楷體" w:eastAsia="標楷體" w:hAnsi="標楷體" w:hint="eastAsia"/>
                                <w:b/>
                                <w:bCs/>
                                <w:snapToGrid w:val="0"/>
                                <w:lang w:val="x-none"/>
                              </w:rPr>
                              <w:t xml:space="preserve">　</w:t>
                            </w:r>
                            <w:r w:rsidRPr="00E2432E">
                              <w:rPr>
                                <w:rFonts w:ascii="標楷體" w:eastAsia="標楷體" w:hAnsi="標楷體" w:cs="新細明體" w:hint="eastAsia"/>
                                <w:b/>
                                <w:color w:val="000000" w:themeColor="text1"/>
                                <w:kern w:val="0"/>
                              </w:rPr>
                              <w:t>三大</w:t>
                            </w:r>
                            <w:r w:rsidRPr="00E2432E">
                              <w:rPr>
                                <w:rFonts w:ascii="標楷體" w:eastAsia="標楷體" w:hAnsi="標楷體" w:cs="新細明體"/>
                                <w:b/>
                                <w:color w:val="000000" w:themeColor="text1"/>
                                <w:kern w:val="0"/>
                              </w:rPr>
                              <w:t>電信業者</w:t>
                            </w:r>
                            <w:r w:rsidRPr="00E2432E">
                              <w:rPr>
                                <w:rFonts w:ascii="標楷體" w:eastAsia="標楷體" w:hAnsi="標楷體" w:cs="新細明體" w:hint="eastAsia"/>
                                <w:b/>
                                <w:color w:val="000000" w:themeColor="text1"/>
                                <w:kern w:val="0"/>
                              </w:rPr>
                              <w:t>清查既有非本國籍預付卡手機門號情形</w:t>
                            </w:r>
                          </w:p>
                          <w:p w14:paraId="40F83394" w14:textId="77777777" w:rsidR="00E2432E" w:rsidRPr="00E2432E" w:rsidRDefault="00E2432E" w:rsidP="005822C2">
                            <w:pPr>
                              <w:widowControl/>
                              <w:suppressOverlap/>
                              <w:jc w:val="right"/>
                              <w:rPr>
                                <w:rFonts w:ascii="標楷體" w:eastAsia="標楷體" w:hAnsi="標楷體" w:cs="新細明體"/>
                                <w:kern w:val="0"/>
                              </w:rPr>
                            </w:pPr>
                            <w:r w:rsidRPr="00E2432E">
                              <w:rPr>
                                <w:rFonts w:ascii="標楷體" w:eastAsia="標楷體" w:hAnsi="標楷體" w:cs="新細明體" w:hint="eastAsia"/>
                                <w:kern w:val="0"/>
                                <w:sz w:val="20"/>
                                <w:szCs w:val="12"/>
                              </w:rPr>
                              <w:t>單位：門</w:t>
                            </w:r>
                            <w:r w:rsidRPr="00E2432E">
                              <w:rPr>
                                <w:rFonts w:ascii="標楷體" w:eastAsia="標楷體" w:hAnsi="標楷體" w:cs="新細明體"/>
                                <w:kern w:val="0"/>
                                <w:sz w:val="20"/>
                                <w:szCs w:val="12"/>
                              </w:rPr>
                              <w:t>、</w:t>
                            </w:r>
                            <w:r w:rsidRPr="00E2432E">
                              <w:rPr>
                                <w:rFonts w:ascii="標楷體" w:eastAsia="標楷體" w:hAnsi="標楷體" w:cs="新細明體" w:hint="eastAsia"/>
                                <w:color w:val="000000"/>
                                <w:kern w:val="0"/>
                                <w:sz w:val="20"/>
                                <w:szCs w:val="12"/>
                              </w:rPr>
                              <w:t>％</w:t>
                            </w:r>
                          </w:p>
                        </w:tc>
                      </w:tr>
                      <w:tr w:rsidR="00E2432E" w:rsidRPr="00E2432E" w14:paraId="1B6CE7B2" w14:textId="77777777" w:rsidTr="00556F0D">
                        <w:trPr>
                          <w:trHeight w:val="227"/>
                        </w:trPr>
                        <w:tc>
                          <w:tcPr>
                            <w:tcW w:w="1134" w:type="dxa"/>
                            <w:vMerge w:val="restart"/>
                            <w:tcBorders>
                              <w:top w:val="single" w:sz="4" w:space="0" w:color="auto"/>
                              <w:left w:val="single" w:sz="4" w:space="0" w:color="auto"/>
                              <w:right w:val="single" w:sz="4" w:space="0" w:color="auto"/>
                            </w:tcBorders>
                            <w:shd w:val="clear" w:color="auto" w:fill="auto"/>
                            <w:noWrap/>
                            <w:vAlign w:val="center"/>
                          </w:tcPr>
                          <w:p w14:paraId="77E75C8C"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電信業者</w:t>
                            </w:r>
                          </w:p>
                          <w:p w14:paraId="01D652FC"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名　　稱</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63A4539"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須清查非本國籍人士預付卡門號數</w:t>
                            </w:r>
                          </w:p>
                        </w:tc>
                        <w:tc>
                          <w:tcPr>
                            <w:tcW w:w="1276" w:type="dxa"/>
                            <w:gridSpan w:val="2"/>
                            <w:tcBorders>
                              <w:top w:val="single" w:sz="4" w:space="0" w:color="auto"/>
                              <w:left w:val="single" w:sz="4" w:space="0" w:color="auto"/>
                              <w:right w:val="single" w:sz="4" w:space="0" w:color="auto"/>
                            </w:tcBorders>
                            <w:shd w:val="clear" w:color="auto" w:fill="auto"/>
                            <w:vAlign w:val="center"/>
                          </w:tcPr>
                          <w:p w14:paraId="547E4D9C"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截至1</w:t>
                            </w:r>
                            <w:r w:rsidRPr="00E2432E">
                              <w:rPr>
                                <w:rFonts w:ascii="標楷體" w:eastAsia="標楷體" w:hAnsi="標楷體" w:cs="新細明體"/>
                                <w:color w:val="000000"/>
                                <w:kern w:val="0"/>
                                <w:sz w:val="20"/>
                                <w:szCs w:val="12"/>
                              </w:rPr>
                              <w:t>13</w:t>
                            </w:r>
                          </w:p>
                          <w:p w14:paraId="0C744978" w14:textId="77777777" w:rsidR="00E2432E" w:rsidRPr="00E2432E" w:rsidRDefault="00E2432E" w:rsidP="005822C2">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年底已清查</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33345E"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清查結果用戶已出境或逾期停（居）留</w:t>
                            </w:r>
                          </w:p>
                        </w:tc>
                      </w:tr>
                      <w:tr w:rsidR="00E2432E" w:rsidRPr="00E2432E" w14:paraId="5DBEA371" w14:textId="77777777" w:rsidTr="00556F0D">
                        <w:trPr>
                          <w:trHeight w:val="227"/>
                        </w:trPr>
                        <w:tc>
                          <w:tcPr>
                            <w:tcW w:w="1134" w:type="dxa"/>
                            <w:vMerge/>
                            <w:tcBorders>
                              <w:top w:val="single" w:sz="4" w:space="0" w:color="auto"/>
                              <w:left w:val="single" w:sz="4" w:space="0" w:color="auto"/>
                              <w:right w:val="single" w:sz="4" w:space="0" w:color="auto"/>
                            </w:tcBorders>
                            <w:shd w:val="clear" w:color="auto" w:fill="auto"/>
                            <w:noWrap/>
                            <w:vAlign w:val="center"/>
                          </w:tcPr>
                          <w:p w14:paraId="3C016092"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p>
                        </w:tc>
                        <w:tc>
                          <w:tcPr>
                            <w:tcW w:w="1134" w:type="dxa"/>
                            <w:vMerge/>
                            <w:tcBorders>
                              <w:top w:val="single" w:sz="4" w:space="0" w:color="auto"/>
                              <w:left w:val="single" w:sz="4" w:space="0" w:color="auto"/>
                              <w:right w:val="single" w:sz="4" w:space="0" w:color="auto"/>
                            </w:tcBorders>
                            <w:shd w:val="clear" w:color="auto" w:fill="auto"/>
                            <w:vAlign w:val="center"/>
                          </w:tcPr>
                          <w:p w14:paraId="1BE290C4"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p>
                        </w:tc>
                        <w:tc>
                          <w:tcPr>
                            <w:tcW w:w="709" w:type="dxa"/>
                            <w:tcBorders>
                              <w:top w:val="single" w:sz="4" w:space="0" w:color="auto"/>
                              <w:left w:val="single" w:sz="4" w:space="0" w:color="auto"/>
                              <w:right w:val="single" w:sz="4" w:space="0" w:color="auto"/>
                            </w:tcBorders>
                            <w:shd w:val="clear" w:color="auto" w:fill="auto"/>
                            <w:vAlign w:val="center"/>
                          </w:tcPr>
                          <w:p w14:paraId="5DD86CDE"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門號數</w:t>
                            </w:r>
                          </w:p>
                        </w:tc>
                        <w:tc>
                          <w:tcPr>
                            <w:tcW w:w="567" w:type="dxa"/>
                            <w:tcBorders>
                              <w:top w:val="single" w:sz="4" w:space="0" w:color="auto"/>
                              <w:left w:val="single" w:sz="4" w:space="0" w:color="auto"/>
                              <w:right w:val="single" w:sz="4" w:space="0" w:color="auto"/>
                            </w:tcBorders>
                            <w:shd w:val="clear" w:color="auto" w:fill="auto"/>
                            <w:vAlign w:val="center"/>
                          </w:tcPr>
                          <w:p w14:paraId="52D56D4B"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占比</w:t>
                            </w:r>
                          </w:p>
                        </w:tc>
                        <w:tc>
                          <w:tcPr>
                            <w:tcW w:w="851" w:type="dxa"/>
                            <w:tcBorders>
                              <w:top w:val="single" w:sz="4" w:space="0" w:color="auto"/>
                              <w:left w:val="single" w:sz="4" w:space="0" w:color="auto"/>
                              <w:right w:val="single" w:sz="4" w:space="0" w:color="auto"/>
                            </w:tcBorders>
                            <w:shd w:val="clear" w:color="auto" w:fill="auto"/>
                            <w:vAlign w:val="center"/>
                          </w:tcPr>
                          <w:p w14:paraId="60CEBE9F"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門號數</w:t>
                            </w:r>
                          </w:p>
                        </w:tc>
                        <w:tc>
                          <w:tcPr>
                            <w:tcW w:w="1134" w:type="dxa"/>
                            <w:tcBorders>
                              <w:top w:val="single" w:sz="4" w:space="0" w:color="auto"/>
                              <w:left w:val="single" w:sz="4" w:space="0" w:color="auto"/>
                              <w:right w:val="single" w:sz="4" w:space="0" w:color="auto"/>
                            </w:tcBorders>
                            <w:shd w:val="clear" w:color="auto" w:fill="auto"/>
                            <w:vAlign w:val="center"/>
                          </w:tcPr>
                          <w:p w14:paraId="7673B492"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占已清查</w:t>
                            </w:r>
                          </w:p>
                          <w:p w14:paraId="4FE34AEF" w14:textId="77777777" w:rsidR="00E2432E" w:rsidRPr="00E2432E" w:rsidRDefault="00E2432E" w:rsidP="00FF16F1">
                            <w:pPr>
                              <w:widowControl/>
                              <w:spacing w:line="200" w:lineRule="exact"/>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門號數比率</w:t>
                            </w:r>
                          </w:p>
                        </w:tc>
                      </w:tr>
                      <w:tr w:rsidR="00E2432E" w:rsidRPr="00E2432E" w14:paraId="10385D59"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7591001D" w14:textId="77777777" w:rsidR="00E2432E" w:rsidRPr="00E2432E" w:rsidRDefault="00E2432E" w:rsidP="00FF16F1">
                            <w:pPr>
                              <w:widowControl/>
                              <w:spacing w:line="200" w:lineRule="exact"/>
                              <w:suppressOverlap/>
                              <w:jc w:val="center"/>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合計</w:t>
                            </w:r>
                          </w:p>
                        </w:tc>
                        <w:tc>
                          <w:tcPr>
                            <w:tcW w:w="1134" w:type="dxa"/>
                            <w:tcBorders>
                              <w:top w:val="single" w:sz="4" w:space="0" w:color="auto"/>
                              <w:left w:val="single" w:sz="4" w:space="0" w:color="auto"/>
                              <w:right w:val="single" w:sz="4" w:space="0" w:color="auto"/>
                            </w:tcBorders>
                            <w:shd w:val="clear" w:color="auto" w:fill="auto"/>
                            <w:vAlign w:val="center"/>
                          </w:tcPr>
                          <w:p w14:paraId="56BE3F1C" w14:textId="77777777" w:rsidR="00E2432E" w:rsidRPr="00E2432E" w:rsidRDefault="00E2432E" w:rsidP="00FF16F1">
                            <w:pPr>
                              <w:widowControl/>
                              <w:spacing w:line="200" w:lineRule="exact"/>
                              <w:suppressOverlap/>
                              <w:jc w:val="right"/>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2,236,281</w:t>
                            </w:r>
                          </w:p>
                        </w:tc>
                        <w:tc>
                          <w:tcPr>
                            <w:tcW w:w="709" w:type="dxa"/>
                            <w:tcBorders>
                              <w:top w:val="single" w:sz="4" w:space="0" w:color="auto"/>
                              <w:left w:val="single" w:sz="4" w:space="0" w:color="auto"/>
                              <w:right w:val="single" w:sz="4" w:space="0" w:color="auto"/>
                            </w:tcBorders>
                            <w:shd w:val="clear" w:color="auto" w:fill="auto"/>
                            <w:vAlign w:val="center"/>
                          </w:tcPr>
                          <w:p w14:paraId="5B8808A3" w14:textId="77777777" w:rsidR="00E2432E" w:rsidRPr="00E2432E" w:rsidRDefault="00E2432E" w:rsidP="00FF16F1">
                            <w:pPr>
                              <w:widowControl/>
                              <w:spacing w:line="200" w:lineRule="exact"/>
                              <w:suppressOverlap/>
                              <w:jc w:val="right"/>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15,051</w:t>
                            </w:r>
                          </w:p>
                        </w:tc>
                        <w:tc>
                          <w:tcPr>
                            <w:tcW w:w="567" w:type="dxa"/>
                            <w:tcBorders>
                              <w:top w:val="single" w:sz="4" w:space="0" w:color="auto"/>
                              <w:left w:val="single" w:sz="4" w:space="0" w:color="auto"/>
                              <w:right w:val="single" w:sz="4" w:space="0" w:color="auto"/>
                            </w:tcBorders>
                            <w:shd w:val="clear" w:color="auto" w:fill="auto"/>
                            <w:vAlign w:val="center"/>
                          </w:tcPr>
                          <w:p w14:paraId="0CC02B89" w14:textId="77777777" w:rsidR="00E2432E" w:rsidRPr="00E2432E" w:rsidRDefault="00E2432E" w:rsidP="00FF16F1">
                            <w:pPr>
                              <w:widowControl/>
                              <w:spacing w:line="200" w:lineRule="exact"/>
                              <w:suppressOverlap/>
                              <w:jc w:val="right"/>
                              <w:rPr>
                                <w:rFonts w:ascii="標楷體" w:eastAsia="標楷體" w:hAnsi="標楷體" w:cs="新細明體"/>
                                <w:b/>
                                <w:color w:val="000000"/>
                                <w:kern w:val="0"/>
                                <w:sz w:val="20"/>
                                <w:szCs w:val="12"/>
                              </w:rPr>
                            </w:pPr>
                            <w:r w:rsidRPr="00E2432E">
                              <w:rPr>
                                <w:rFonts w:ascii="標楷體" w:eastAsia="標楷體" w:hAnsi="標楷體" w:cs="新細明體" w:hint="eastAsia"/>
                                <w:b/>
                                <w:color w:val="000000"/>
                                <w:kern w:val="0"/>
                                <w:sz w:val="20"/>
                                <w:szCs w:val="12"/>
                              </w:rPr>
                              <w:t>0.67</w:t>
                            </w:r>
                          </w:p>
                        </w:tc>
                        <w:tc>
                          <w:tcPr>
                            <w:tcW w:w="851" w:type="dxa"/>
                            <w:tcBorders>
                              <w:top w:val="single" w:sz="4" w:space="0" w:color="auto"/>
                              <w:left w:val="single" w:sz="4" w:space="0" w:color="auto"/>
                              <w:right w:val="single" w:sz="4" w:space="0" w:color="auto"/>
                            </w:tcBorders>
                            <w:shd w:val="clear" w:color="auto" w:fill="auto"/>
                            <w:vAlign w:val="center"/>
                          </w:tcPr>
                          <w:p w14:paraId="4352E3D6" w14:textId="77777777" w:rsidR="00E2432E" w:rsidRPr="00E2432E" w:rsidRDefault="00E2432E" w:rsidP="00FF16F1">
                            <w:pPr>
                              <w:widowControl/>
                              <w:spacing w:line="200" w:lineRule="exact"/>
                              <w:jc w:val="right"/>
                              <w:rPr>
                                <w:rFonts w:ascii="標楷體" w:eastAsia="標楷體" w:hAnsi="標楷體" w:cs="新細明體"/>
                                <w:b/>
                                <w:kern w:val="0"/>
                                <w:sz w:val="20"/>
                                <w:szCs w:val="12"/>
                              </w:rPr>
                            </w:pPr>
                            <w:r w:rsidRPr="00E2432E">
                              <w:rPr>
                                <w:rFonts w:ascii="標楷體" w:eastAsia="標楷體" w:hAnsi="標楷體" w:cs="新細明體" w:hint="eastAsia"/>
                                <w:b/>
                                <w:kern w:val="0"/>
                                <w:sz w:val="20"/>
                                <w:szCs w:val="12"/>
                              </w:rPr>
                              <w:t>5</w:t>
                            </w:r>
                            <w:r w:rsidRPr="00E2432E">
                              <w:rPr>
                                <w:rFonts w:ascii="標楷體" w:eastAsia="標楷體" w:hAnsi="標楷體" w:cs="新細明體"/>
                                <w:b/>
                                <w:kern w:val="0"/>
                                <w:sz w:val="20"/>
                                <w:szCs w:val="12"/>
                              </w:rPr>
                              <w:t>,845</w:t>
                            </w:r>
                          </w:p>
                        </w:tc>
                        <w:tc>
                          <w:tcPr>
                            <w:tcW w:w="1134" w:type="dxa"/>
                            <w:tcBorders>
                              <w:top w:val="single" w:sz="4" w:space="0" w:color="auto"/>
                              <w:left w:val="single" w:sz="4" w:space="0" w:color="auto"/>
                              <w:right w:val="single" w:sz="4" w:space="0" w:color="auto"/>
                            </w:tcBorders>
                            <w:shd w:val="clear" w:color="auto" w:fill="auto"/>
                            <w:vAlign w:val="center"/>
                          </w:tcPr>
                          <w:p w14:paraId="5DFB6401" w14:textId="77777777" w:rsidR="00E2432E" w:rsidRPr="00E2432E" w:rsidRDefault="00E2432E" w:rsidP="00FF16F1">
                            <w:pPr>
                              <w:widowControl/>
                              <w:spacing w:line="200" w:lineRule="exact"/>
                              <w:suppressOverlap/>
                              <w:jc w:val="right"/>
                              <w:rPr>
                                <w:rFonts w:ascii="標楷體" w:eastAsia="標楷體" w:hAnsi="標楷體" w:cs="新細明體"/>
                                <w:b/>
                                <w:kern w:val="0"/>
                                <w:sz w:val="20"/>
                                <w:szCs w:val="12"/>
                              </w:rPr>
                            </w:pPr>
                            <w:r w:rsidRPr="00E2432E">
                              <w:rPr>
                                <w:rFonts w:ascii="標楷體" w:eastAsia="標楷體" w:hAnsi="標楷體" w:cs="新細明體" w:hint="eastAsia"/>
                                <w:b/>
                                <w:kern w:val="0"/>
                                <w:sz w:val="20"/>
                                <w:szCs w:val="12"/>
                              </w:rPr>
                              <w:t>38.83</w:t>
                            </w:r>
                          </w:p>
                        </w:tc>
                      </w:tr>
                      <w:tr w:rsidR="00E2432E" w:rsidRPr="00E2432E" w14:paraId="44038A4A"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5D61D0C9"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中華電信</w:t>
                            </w:r>
                          </w:p>
                        </w:tc>
                        <w:tc>
                          <w:tcPr>
                            <w:tcW w:w="1134" w:type="dxa"/>
                            <w:tcBorders>
                              <w:top w:val="single" w:sz="4" w:space="0" w:color="auto"/>
                              <w:left w:val="single" w:sz="4" w:space="0" w:color="auto"/>
                              <w:right w:val="single" w:sz="4" w:space="0" w:color="auto"/>
                            </w:tcBorders>
                            <w:shd w:val="clear" w:color="auto" w:fill="auto"/>
                            <w:vAlign w:val="center"/>
                          </w:tcPr>
                          <w:p w14:paraId="0C93845E"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color w:val="000000"/>
                                <w:kern w:val="0"/>
                                <w:sz w:val="20"/>
                                <w:szCs w:val="12"/>
                              </w:rPr>
                              <w:t>494,376</w:t>
                            </w:r>
                          </w:p>
                        </w:tc>
                        <w:tc>
                          <w:tcPr>
                            <w:tcW w:w="709" w:type="dxa"/>
                            <w:tcBorders>
                              <w:top w:val="single" w:sz="4" w:space="0" w:color="auto"/>
                              <w:left w:val="single" w:sz="4" w:space="0" w:color="auto"/>
                              <w:right w:val="single" w:sz="4" w:space="0" w:color="auto"/>
                            </w:tcBorders>
                            <w:shd w:val="clear" w:color="auto" w:fill="auto"/>
                            <w:vAlign w:val="center"/>
                          </w:tcPr>
                          <w:p w14:paraId="1249B95B"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3,028</w:t>
                            </w:r>
                          </w:p>
                        </w:tc>
                        <w:tc>
                          <w:tcPr>
                            <w:tcW w:w="567" w:type="dxa"/>
                            <w:tcBorders>
                              <w:top w:val="single" w:sz="4" w:space="0" w:color="auto"/>
                              <w:left w:val="single" w:sz="4" w:space="0" w:color="auto"/>
                              <w:right w:val="single" w:sz="4" w:space="0" w:color="auto"/>
                            </w:tcBorders>
                            <w:shd w:val="clear" w:color="auto" w:fill="auto"/>
                            <w:vAlign w:val="center"/>
                          </w:tcPr>
                          <w:p w14:paraId="31589C2B"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0.61</w:t>
                            </w:r>
                          </w:p>
                        </w:tc>
                        <w:tc>
                          <w:tcPr>
                            <w:tcW w:w="851" w:type="dxa"/>
                            <w:tcBorders>
                              <w:top w:val="single" w:sz="4" w:space="0" w:color="auto"/>
                              <w:left w:val="single" w:sz="4" w:space="0" w:color="auto"/>
                              <w:right w:val="single" w:sz="4" w:space="0" w:color="auto"/>
                            </w:tcBorders>
                            <w:shd w:val="clear" w:color="auto" w:fill="auto"/>
                            <w:vAlign w:val="center"/>
                          </w:tcPr>
                          <w:p w14:paraId="2F6BFBBB" w14:textId="77777777" w:rsidR="00E2432E" w:rsidRPr="00E2432E" w:rsidRDefault="00E2432E" w:rsidP="00FF16F1">
                            <w:pPr>
                              <w:widowControl/>
                              <w:spacing w:line="200" w:lineRule="exact"/>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1</w:t>
                            </w:r>
                            <w:r w:rsidRPr="00E2432E">
                              <w:rPr>
                                <w:rFonts w:ascii="標楷體" w:eastAsia="標楷體" w:hAnsi="標楷體" w:cs="新細明體"/>
                                <w:bCs/>
                                <w:kern w:val="0"/>
                                <w:sz w:val="20"/>
                                <w:szCs w:val="12"/>
                              </w:rPr>
                              <w:t>,264</w:t>
                            </w:r>
                          </w:p>
                        </w:tc>
                        <w:tc>
                          <w:tcPr>
                            <w:tcW w:w="1134" w:type="dxa"/>
                            <w:tcBorders>
                              <w:top w:val="single" w:sz="4" w:space="0" w:color="auto"/>
                              <w:left w:val="single" w:sz="4" w:space="0" w:color="auto"/>
                              <w:right w:val="single" w:sz="4" w:space="0" w:color="auto"/>
                            </w:tcBorders>
                            <w:shd w:val="clear" w:color="auto" w:fill="auto"/>
                            <w:vAlign w:val="center"/>
                          </w:tcPr>
                          <w:p w14:paraId="5CA5142B" w14:textId="77777777" w:rsidR="00E2432E" w:rsidRPr="00E2432E" w:rsidRDefault="00E2432E" w:rsidP="00FF16F1">
                            <w:pPr>
                              <w:widowControl/>
                              <w:spacing w:line="200" w:lineRule="exact"/>
                              <w:suppressOverlap/>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41.74</w:t>
                            </w:r>
                          </w:p>
                        </w:tc>
                      </w:tr>
                      <w:tr w:rsidR="00E2432E" w:rsidRPr="00E2432E" w14:paraId="70931097"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56DD1C76"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台灣大哥大</w:t>
                            </w:r>
                          </w:p>
                        </w:tc>
                        <w:tc>
                          <w:tcPr>
                            <w:tcW w:w="1134" w:type="dxa"/>
                            <w:tcBorders>
                              <w:top w:val="single" w:sz="4" w:space="0" w:color="auto"/>
                              <w:left w:val="single" w:sz="4" w:space="0" w:color="auto"/>
                              <w:right w:val="single" w:sz="4" w:space="0" w:color="auto"/>
                            </w:tcBorders>
                            <w:shd w:val="clear" w:color="auto" w:fill="auto"/>
                            <w:vAlign w:val="center"/>
                          </w:tcPr>
                          <w:p w14:paraId="7B99C410"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838,506</w:t>
                            </w:r>
                          </w:p>
                        </w:tc>
                        <w:tc>
                          <w:tcPr>
                            <w:tcW w:w="709" w:type="dxa"/>
                            <w:tcBorders>
                              <w:top w:val="single" w:sz="4" w:space="0" w:color="auto"/>
                              <w:left w:val="single" w:sz="4" w:space="0" w:color="auto"/>
                              <w:right w:val="single" w:sz="4" w:space="0" w:color="auto"/>
                            </w:tcBorders>
                            <w:shd w:val="clear" w:color="auto" w:fill="auto"/>
                            <w:vAlign w:val="center"/>
                          </w:tcPr>
                          <w:p w14:paraId="55039AEA"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6</w:t>
                            </w:r>
                            <w:r w:rsidRPr="00E2432E">
                              <w:rPr>
                                <w:rFonts w:ascii="標楷體" w:eastAsia="標楷體" w:hAnsi="標楷體" w:cs="新細明體"/>
                                <w:color w:val="000000"/>
                                <w:kern w:val="0"/>
                                <w:sz w:val="20"/>
                                <w:szCs w:val="12"/>
                              </w:rPr>
                              <w:t>,</w:t>
                            </w:r>
                            <w:r w:rsidRPr="00E2432E">
                              <w:rPr>
                                <w:rFonts w:ascii="標楷體" w:eastAsia="標楷體" w:hAnsi="標楷體" w:cs="新細明體" w:hint="eastAsia"/>
                                <w:color w:val="000000"/>
                                <w:kern w:val="0"/>
                                <w:sz w:val="20"/>
                                <w:szCs w:val="12"/>
                              </w:rPr>
                              <w:t>910</w:t>
                            </w:r>
                          </w:p>
                        </w:tc>
                        <w:tc>
                          <w:tcPr>
                            <w:tcW w:w="567" w:type="dxa"/>
                            <w:tcBorders>
                              <w:top w:val="single" w:sz="4" w:space="0" w:color="auto"/>
                              <w:left w:val="single" w:sz="4" w:space="0" w:color="auto"/>
                              <w:right w:val="single" w:sz="4" w:space="0" w:color="auto"/>
                            </w:tcBorders>
                            <w:shd w:val="clear" w:color="auto" w:fill="auto"/>
                            <w:vAlign w:val="center"/>
                          </w:tcPr>
                          <w:p w14:paraId="065ADBA7"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0.82</w:t>
                            </w:r>
                          </w:p>
                        </w:tc>
                        <w:tc>
                          <w:tcPr>
                            <w:tcW w:w="851" w:type="dxa"/>
                            <w:tcBorders>
                              <w:top w:val="single" w:sz="4" w:space="0" w:color="auto"/>
                              <w:left w:val="single" w:sz="4" w:space="0" w:color="auto"/>
                              <w:right w:val="single" w:sz="4" w:space="0" w:color="auto"/>
                            </w:tcBorders>
                            <w:shd w:val="clear" w:color="auto" w:fill="auto"/>
                            <w:vAlign w:val="center"/>
                          </w:tcPr>
                          <w:p w14:paraId="66A94492" w14:textId="77777777" w:rsidR="00E2432E" w:rsidRPr="00E2432E" w:rsidRDefault="00E2432E" w:rsidP="00FF16F1">
                            <w:pPr>
                              <w:widowControl/>
                              <w:spacing w:line="200" w:lineRule="exact"/>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2</w:t>
                            </w:r>
                            <w:r w:rsidRPr="00E2432E">
                              <w:rPr>
                                <w:rFonts w:ascii="標楷體" w:eastAsia="標楷體" w:hAnsi="標楷體" w:cs="新細明體"/>
                                <w:bCs/>
                                <w:kern w:val="0"/>
                                <w:sz w:val="20"/>
                                <w:szCs w:val="12"/>
                              </w:rPr>
                              <w:t>,632</w:t>
                            </w:r>
                          </w:p>
                        </w:tc>
                        <w:tc>
                          <w:tcPr>
                            <w:tcW w:w="1134" w:type="dxa"/>
                            <w:tcBorders>
                              <w:top w:val="single" w:sz="4" w:space="0" w:color="auto"/>
                              <w:left w:val="single" w:sz="4" w:space="0" w:color="auto"/>
                              <w:right w:val="single" w:sz="4" w:space="0" w:color="auto"/>
                            </w:tcBorders>
                            <w:shd w:val="clear" w:color="auto" w:fill="auto"/>
                            <w:vAlign w:val="center"/>
                          </w:tcPr>
                          <w:p w14:paraId="06B88A02" w14:textId="77777777" w:rsidR="00E2432E" w:rsidRPr="00E2432E" w:rsidRDefault="00E2432E" w:rsidP="00FF16F1">
                            <w:pPr>
                              <w:widowControl/>
                              <w:spacing w:line="200" w:lineRule="exact"/>
                              <w:suppressOverlap/>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38.09</w:t>
                            </w:r>
                          </w:p>
                        </w:tc>
                      </w:tr>
                      <w:tr w:rsidR="00E2432E" w:rsidRPr="00E2432E" w14:paraId="4C928DA6" w14:textId="77777777" w:rsidTr="00344833">
                        <w:trPr>
                          <w:trHeight w:hRule="exact" w:val="340"/>
                        </w:trPr>
                        <w:tc>
                          <w:tcPr>
                            <w:tcW w:w="1134" w:type="dxa"/>
                            <w:tcBorders>
                              <w:top w:val="single" w:sz="4" w:space="0" w:color="auto"/>
                              <w:left w:val="single" w:sz="4" w:space="0" w:color="auto"/>
                              <w:right w:val="single" w:sz="4" w:space="0" w:color="auto"/>
                            </w:tcBorders>
                            <w:shd w:val="clear" w:color="auto" w:fill="auto"/>
                            <w:noWrap/>
                            <w:vAlign w:val="center"/>
                          </w:tcPr>
                          <w:p w14:paraId="54F074F4" w14:textId="77777777" w:rsidR="00E2432E" w:rsidRPr="00E2432E" w:rsidRDefault="00E2432E" w:rsidP="00FF16F1">
                            <w:pPr>
                              <w:widowControl/>
                              <w:spacing w:line="200" w:lineRule="exact"/>
                              <w:suppressOverlap/>
                              <w:jc w:val="center"/>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遠傳電信</w:t>
                            </w:r>
                          </w:p>
                        </w:tc>
                        <w:tc>
                          <w:tcPr>
                            <w:tcW w:w="1134" w:type="dxa"/>
                            <w:tcBorders>
                              <w:top w:val="single" w:sz="4" w:space="0" w:color="auto"/>
                              <w:left w:val="single" w:sz="4" w:space="0" w:color="auto"/>
                              <w:right w:val="single" w:sz="4" w:space="0" w:color="auto"/>
                            </w:tcBorders>
                            <w:shd w:val="clear" w:color="auto" w:fill="auto"/>
                            <w:vAlign w:val="center"/>
                          </w:tcPr>
                          <w:p w14:paraId="27C39779"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903,399</w:t>
                            </w:r>
                          </w:p>
                        </w:tc>
                        <w:tc>
                          <w:tcPr>
                            <w:tcW w:w="709" w:type="dxa"/>
                            <w:tcBorders>
                              <w:top w:val="single" w:sz="4" w:space="0" w:color="auto"/>
                              <w:left w:val="single" w:sz="4" w:space="0" w:color="auto"/>
                              <w:right w:val="single" w:sz="4" w:space="0" w:color="auto"/>
                            </w:tcBorders>
                            <w:shd w:val="clear" w:color="auto" w:fill="auto"/>
                            <w:vAlign w:val="center"/>
                          </w:tcPr>
                          <w:p w14:paraId="1596C6D7"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5,113</w:t>
                            </w:r>
                          </w:p>
                        </w:tc>
                        <w:tc>
                          <w:tcPr>
                            <w:tcW w:w="567" w:type="dxa"/>
                            <w:tcBorders>
                              <w:top w:val="single" w:sz="4" w:space="0" w:color="auto"/>
                              <w:left w:val="single" w:sz="4" w:space="0" w:color="auto"/>
                              <w:right w:val="single" w:sz="4" w:space="0" w:color="auto"/>
                            </w:tcBorders>
                            <w:shd w:val="clear" w:color="auto" w:fill="auto"/>
                            <w:vAlign w:val="center"/>
                          </w:tcPr>
                          <w:p w14:paraId="5456DD54" w14:textId="77777777" w:rsidR="00E2432E" w:rsidRPr="00E2432E" w:rsidRDefault="00E2432E" w:rsidP="00FF16F1">
                            <w:pPr>
                              <w:widowControl/>
                              <w:spacing w:line="200" w:lineRule="exact"/>
                              <w:suppressOverlap/>
                              <w:jc w:val="right"/>
                              <w:rPr>
                                <w:rFonts w:ascii="標楷體" w:eastAsia="標楷體" w:hAnsi="標楷體" w:cs="新細明體"/>
                                <w:color w:val="000000"/>
                                <w:kern w:val="0"/>
                                <w:sz w:val="20"/>
                                <w:szCs w:val="12"/>
                              </w:rPr>
                            </w:pPr>
                            <w:r w:rsidRPr="00E2432E">
                              <w:rPr>
                                <w:rFonts w:ascii="標楷體" w:eastAsia="標楷體" w:hAnsi="標楷體" w:cs="新細明體" w:hint="eastAsia"/>
                                <w:color w:val="000000"/>
                                <w:kern w:val="0"/>
                                <w:sz w:val="20"/>
                                <w:szCs w:val="12"/>
                              </w:rPr>
                              <w:t>0.57</w:t>
                            </w:r>
                          </w:p>
                        </w:tc>
                        <w:tc>
                          <w:tcPr>
                            <w:tcW w:w="851" w:type="dxa"/>
                            <w:tcBorders>
                              <w:top w:val="single" w:sz="4" w:space="0" w:color="auto"/>
                              <w:left w:val="single" w:sz="4" w:space="0" w:color="auto"/>
                              <w:right w:val="single" w:sz="4" w:space="0" w:color="auto"/>
                            </w:tcBorders>
                            <w:shd w:val="clear" w:color="auto" w:fill="auto"/>
                            <w:vAlign w:val="center"/>
                          </w:tcPr>
                          <w:p w14:paraId="2375B456" w14:textId="77777777" w:rsidR="00E2432E" w:rsidRPr="00E2432E" w:rsidRDefault="00E2432E" w:rsidP="00FF16F1">
                            <w:pPr>
                              <w:widowControl/>
                              <w:spacing w:line="200" w:lineRule="exact"/>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1</w:t>
                            </w:r>
                            <w:r w:rsidRPr="00E2432E">
                              <w:rPr>
                                <w:rFonts w:ascii="標楷體" w:eastAsia="標楷體" w:hAnsi="標楷體" w:cs="新細明體"/>
                                <w:bCs/>
                                <w:kern w:val="0"/>
                                <w:sz w:val="20"/>
                                <w:szCs w:val="12"/>
                              </w:rPr>
                              <w:t>,949</w:t>
                            </w:r>
                          </w:p>
                        </w:tc>
                        <w:tc>
                          <w:tcPr>
                            <w:tcW w:w="1134" w:type="dxa"/>
                            <w:tcBorders>
                              <w:top w:val="single" w:sz="4" w:space="0" w:color="auto"/>
                              <w:left w:val="single" w:sz="4" w:space="0" w:color="auto"/>
                              <w:right w:val="single" w:sz="4" w:space="0" w:color="auto"/>
                            </w:tcBorders>
                            <w:shd w:val="clear" w:color="auto" w:fill="auto"/>
                            <w:vAlign w:val="center"/>
                          </w:tcPr>
                          <w:p w14:paraId="75941264" w14:textId="77777777" w:rsidR="00E2432E" w:rsidRPr="00E2432E" w:rsidRDefault="00E2432E" w:rsidP="00FF16F1">
                            <w:pPr>
                              <w:widowControl/>
                              <w:spacing w:line="200" w:lineRule="exact"/>
                              <w:suppressOverlap/>
                              <w:jc w:val="right"/>
                              <w:rPr>
                                <w:rFonts w:ascii="標楷體" w:eastAsia="標楷體" w:hAnsi="標楷體" w:cs="新細明體"/>
                                <w:bCs/>
                                <w:kern w:val="0"/>
                                <w:sz w:val="20"/>
                                <w:szCs w:val="12"/>
                              </w:rPr>
                            </w:pPr>
                            <w:r w:rsidRPr="00E2432E">
                              <w:rPr>
                                <w:rFonts w:ascii="標楷體" w:eastAsia="標楷體" w:hAnsi="標楷體" w:cs="新細明體" w:hint="eastAsia"/>
                                <w:bCs/>
                                <w:kern w:val="0"/>
                                <w:sz w:val="20"/>
                                <w:szCs w:val="12"/>
                              </w:rPr>
                              <w:t>38.12</w:t>
                            </w:r>
                          </w:p>
                        </w:tc>
                      </w:tr>
                      <w:tr w:rsidR="00E2432E" w:rsidRPr="00E2432E" w14:paraId="15D1A103" w14:textId="77777777" w:rsidTr="00556F0D">
                        <w:trPr>
                          <w:trHeight w:val="227"/>
                        </w:trPr>
                        <w:tc>
                          <w:tcPr>
                            <w:tcW w:w="5529" w:type="dxa"/>
                            <w:gridSpan w:val="6"/>
                            <w:tcBorders>
                              <w:top w:val="single" w:sz="4" w:space="0" w:color="auto"/>
                              <w:left w:val="nil"/>
                              <w:bottom w:val="nil"/>
                              <w:right w:val="nil"/>
                            </w:tcBorders>
                            <w:shd w:val="clear" w:color="auto" w:fill="auto"/>
                            <w:noWrap/>
                            <w:vAlign w:val="center"/>
                            <w:hideMark/>
                          </w:tcPr>
                          <w:p w14:paraId="2D50F4F2" w14:textId="77777777" w:rsidR="00E2432E" w:rsidRPr="00E2432E" w:rsidRDefault="00E2432E" w:rsidP="00EC7C99">
                            <w:pPr>
                              <w:widowControl/>
                              <w:spacing w:line="200" w:lineRule="exact"/>
                              <w:ind w:hanging="919"/>
                              <w:suppressOverlap/>
                              <w:rPr>
                                <w:rFonts w:ascii="標楷體" w:eastAsia="標楷體" w:hAnsi="標楷體" w:cs="新細明體"/>
                                <w:color w:val="000000"/>
                                <w:kern w:val="0"/>
                                <w:sz w:val="20"/>
                              </w:rPr>
                            </w:pPr>
                            <w:r w:rsidRPr="00E2432E">
                              <w:rPr>
                                <w:rFonts w:ascii="標楷體" w:eastAsia="標楷體" w:hAnsi="標楷體" w:cs="新細明體" w:hint="eastAsia"/>
                                <w:color w:val="000000"/>
                                <w:kern w:val="0"/>
                                <w:sz w:val="18"/>
                                <w:szCs w:val="18"/>
                              </w:rPr>
                              <w:t>資料來源：資料來源</w:t>
                            </w:r>
                            <w:r w:rsidRPr="00E2432E">
                              <w:rPr>
                                <w:rFonts w:ascii="標楷體" w:eastAsia="標楷體" w:hAnsi="標楷體" w:cs="新細明體"/>
                                <w:color w:val="000000"/>
                                <w:kern w:val="0"/>
                                <w:sz w:val="18"/>
                                <w:szCs w:val="18"/>
                              </w:rPr>
                              <w:t>：</w:t>
                            </w:r>
                            <w:r w:rsidRPr="00E2432E">
                              <w:rPr>
                                <w:rFonts w:ascii="標楷體" w:eastAsia="標楷體" w:hAnsi="標楷體" w:cs="新細明體" w:hint="eastAsia"/>
                                <w:color w:val="000000"/>
                                <w:kern w:val="0"/>
                                <w:sz w:val="18"/>
                                <w:szCs w:val="18"/>
                              </w:rPr>
                              <w:t>整理自國家通訊傳播委員會提供資料。</w:t>
                            </w:r>
                          </w:p>
                        </w:tc>
                      </w:tr>
                    </w:tbl>
                    <w:p w14:paraId="261AB34D" w14:textId="77777777" w:rsidR="00E2432E" w:rsidRPr="00E2432E" w:rsidRDefault="00E2432E" w:rsidP="00E2432E">
                      <w:pPr>
                        <w:spacing w:line="20" w:lineRule="exact"/>
                        <w:rPr>
                          <w:rFonts w:ascii="標楷體" w:eastAsia="標楷體" w:hAnsi="標楷體"/>
                        </w:rPr>
                      </w:pPr>
                    </w:p>
                  </w:txbxContent>
                </v:textbox>
                <w10:wrap type="square" anchorx="margin"/>
              </v:shape>
            </w:pict>
          </mc:Fallback>
        </mc:AlternateContent>
      </w:r>
      <w:r w:rsidR="00D12087" w:rsidRPr="00D12087">
        <w:rPr>
          <w:rFonts w:ascii="標楷體" w:eastAsia="標楷體" w:hAnsi="標楷體" w:hint="eastAsia"/>
          <w:bCs/>
          <w:snapToGrid w:val="0"/>
          <w:lang w:val="x-none"/>
        </w:rPr>
        <w:t>留，顯示潛存相當比率被非法利用之風險。經函請行政院督促通傳會敦促電信業者</w:t>
      </w:r>
      <w:proofErr w:type="gramStart"/>
      <w:r w:rsidR="00D12087" w:rsidRPr="00D12087">
        <w:rPr>
          <w:rFonts w:ascii="標楷體" w:eastAsia="標楷體" w:hAnsi="標楷體" w:hint="eastAsia"/>
          <w:bCs/>
          <w:snapToGrid w:val="0"/>
          <w:lang w:val="x-none"/>
        </w:rPr>
        <w:t>研議善</w:t>
      </w:r>
      <w:proofErr w:type="gramEnd"/>
      <w:r w:rsidR="00D12087" w:rsidRPr="00D12087">
        <w:rPr>
          <w:rFonts w:ascii="標楷體" w:eastAsia="標楷體" w:hAnsi="標楷體" w:hint="eastAsia"/>
          <w:bCs/>
          <w:snapToGrid w:val="0"/>
          <w:lang w:val="x-none"/>
        </w:rPr>
        <w:t>用資通訊科技輔助處理，加速清查效率。據復：通傳會考量1證2門以上非本國籍預付卡較易遭不法利用，已責成電信事業於114年3月底前，完成上開預付卡用戶清查，並於114年8月底前完成全部非本國籍一般型預付卡清查；截至114年3月底止，電信事業已清查門號64萬餘門及停話8萬餘門。</w:t>
      </w:r>
    </w:p>
    <w:p w14:paraId="2213DBF3" w14:textId="14C4B694" w:rsidR="00122919" w:rsidRPr="00ED4046" w:rsidRDefault="00122919" w:rsidP="00197DFB">
      <w:pPr>
        <w:overflowPunct w:val="0"/>
        <w:spacing w:line="428" w:lineRule="exact"/>
        <w:ind w:firstLineChars="450" w:firstLine="1081"/>
        <w:jc w:val="both"/>
        <w:rPr>
          <w:rFonts w:ascii="標楷體" w:eastAsia="標楷體" w:hAnsi="標楷體" w:cs="新細明體"/>
          <w:bCs/>
          <w:color w:val="000000" w:themeColor="text1"/>
          <w:spacing w:val="12"/>
          <w:szCs w:val="24"/>
        </w:rPr>
      </w:pPr>
      <w:r w:rsidRPr="00ED4046">
        <w:rPr>
          <w:rFonts w:ascii="標楷體" w:eastAsia="標楷體" w:hAnsi="標楷體" w:cs="新細明體" w:hint="eastAsia"/>
          <w:b/>
          <w:bCs/>
          <w:color w:val="000000" w:themeColor="text1"/>
          <w:szCs w:val="24"/>
        </w:rPr>
        <w:t>4.</w:t>
      </w:r>
      <w:r w:rsidRPr="00ED4046">
        <w:rPr>
          <w:rFonts w:ascii="標楷體" w:eastAsia="標楷體" w:hAnsi="標楷體" w:hint="eastAsia"/>
          <w:b/>
          <w:color w:val="000000" w:themeColor="text1"/>
          <w:szCs w:val="24"/>
        </w:rPr>
        <w:t xml:space="preserve">　</w:t>
      </w:r>
      <w:r w:rsidR="00ED4046" w:rsidRPr="00ED4046">
        <w:rPr>
          <w:rFonts w:ascii="標楷體" w:eastAsia="標楷體" w:hAnsi="標楷體" w:hint="eastAsia"/>
          <w:b/>
          <w:bCs/>
          <w:snapToGrid w:val="0"/>
          <w:lang w:val="x-none"/>
        </w:rPr>
        <w:t>政府</w:t>
      </w:r>
      <w:proofErr w:type="gramStart"/>
      <w:r w:rsidR="00ED4046" w:rsidRPr="00ED4046">
        <w:rPr>
          <w:rFonts w:ascii="標楷體" w:eastAsia="標楷體" w:hAnsi="標楷體" w:hint="eastAsia"/>
          <w:b/>
          <w:bCs/>
          <w:snapToGrid w:val="0"/>
          <w:lang w:val="x-none"/>
        </w:rPr>
        <w:t>制定詐防條例</w:t>
      </w:r>
      <w:proofErr w:type="gramEnd"/>
      <w:r w:rsidR="00ED4046" w:rsidRPr="00ED4046">
        <w:rPr>
          <w:rFonts w:ascii="標楷體" w:eastAsia="標楷體" w:hAnsi="標楷體" w:hint="eastAsia"/>
          <w:b/>
          <w:bCs/>
          <w:snapToGrid w:val="0"/>
          <w:lang w:val="x-none"/>
        </w:rPr>
        <w:t>，加速返還被害人遭詐騙財物，刑事警察局已完成</w:t>
      </w:r>
      <w:proofErr w:type="gramStart"/>
      <w:r w:rsidR="00ED4046" w:rsidRPr="00ED4046">
        <w:rPr>
          <w:rFonts w:ascii="標楷體" w:eastAsia="標楷體" w:hAnsi="標楷體" w:hint="eastAsia"/>
          <w:b/>
          <w:bCs/>
          <w:snapToGrid w:val="0"/>
          <w:lang w:val="x-none"/>
        </w:rPr>
        <w:t>首批警示</w:t>
      </w:r>
      <w:proofErr w:type="gramEnd"/>
      <w:r w:rsidR="00ED4046" w:rsidRPr="00ED4046">
        <w:rPr>
          <w:rFonts w:ascii="標楷體" w:eastAsia="標楷體" w:hAnsi="標楷體" w:hint="eastAsia"/>
          <w:b/>
          <w:bCs/>
          <w:snapToGrid w:val="0"/>
          <w:lang w:val="x-none"/>
        </w:rPr>
        <w:t>虛擬資產帳號剩餘款項返還被害人，允宜加速</w:t>
      </w:r>
      <w:proofErr w:type="gramStart"/>
      <w:r w:rsidR="00ED4046" w:rsidRPr="00ED4046">
        <w:rPr>
          <w:rFonts w:ascii="標楷體" w:eastAsia="標楷體" w:hAnsi="標楷體" w:hint="eastAsia"/>
          <w:b/>
          <w:bCs/>
          <w:snapToGrid w:val="0"/>
          <w:lang w:val="x-none"/>
        </w:rPr>
        <w:t>研</w:t>
      </w:r>
      <w:proofErr w:type="gramEnd"/>
      <w:r w:rsidR="00ED4046" w:rsidRPr="00ED4046">
        <w:rPr>
          <w:rFonts w:ascii="標楷體" w:eastAsia="標楷體" w:hAnsi="標楷體" w:hint="eastAsia"/>
          <w:b/>
          <w:bCs/>
          <w:snapToGrid w:val="0"/>
          <w:lang w:val="x-none"/>
        </w:rPr>
        <w:t>議其餘警示金融帳戶剩餘款項返還之精進作為，以</w:t>
      </w:r>
      <w:proofErr w:type="gramStart"/>
      <w:r w:rsidR="00ED4046" w:rsidRPr="00ED4046">
        <w:rPr>
          <w:rFonts w:ascii="標楷體" w:eastAsia="標楷體" w:hAnsi="標楷體" w:hint="eastAsia"/>
          <w:b/>
          <w:bCs/>
          <w:snapToGrid w:val="0"/>
          <w:lang w:val="x-none"/>
        </w:rPr>
        <w:t>紓</w:t>
      </w:r>
      <w:proofErr w:type="gramEnd"/>
      <w:r w:rsidR="00ED4046" w:rsidRPr="00ED4046">
        <w:rPr>
          <w:rFonts w:ascii="標楷體" w:eastAsia="標楷體" w:hAnsi="標楷體" w:hint="eastAsia"/>
          <w:b/>
          <w:bCs/>
          <w:snapToGrid w:val="0"/>
          <w:lang w:val="x-none"/>
        </w:rPr>
        <w:t>緩詐騙案件被害人身心及經濟狀態：</w:t>
      </w:r>
      <w:r w:rsidR="00ED4046" w:rsidRPr="00ED4046">
        <w:rPr>
          <w:rFonts w:ascii="標楷體" w:eastAsia="標楷體" w:hAnsi="標楷體" w:hint="eastAsia"/>
          <w:bCs/>
          <w:snapToGrid w:val="0"/>
          <w:lang w:val="x-none"/>
        </w:rPr>
        <w:t>金管會</w:t>
      </w:r>
      <w:proofErr w:type="gramStart"/>
      <w:r w:rsidR="00ED4046" w:rsidRPr="00ED4046">
        <w:rPr>
          <w:rFonts w:ascii="標楷體" w:eastAsia="標楷體" w:hAnsi="標楷體" w:hint="eastAsia"/>
          <w:bCs/>
          <w:snapToGrid w:val="0"/>
          <w:lang w:val="x-none"/>
        </w:rPr>
        <w:t>依詐防</w:t>
      </w:r>
      <w:proofErr w:type="gramEnd"/>
      <w:r w:rsidR="00ED4046" w:rsidRPr="00ED4046">
        <w:rPr>
          <w:rFonts w:ascii="標楷體" w:eastAsia="標楷體" w:hAnsi="標楷體" w:hint="eastAsia"/>
          <w:bCs/>
          <w:snapToGrid w:val="0"/>
          <w:lang w:val="x-none"/>
        </w:rPr>
        <w:t>條例第8條至第11條規定，於113年11月29日訂定「金融機構及提供虛擬資產服務之事業或人員防制詐欺犯罪危害應遵循事項辦法」（下稱金融防詐應遵循事項辦法），以加速檢警及時攔阻可疑金流</w:t>
      </w:r>
      <w:proofErr w:type="gramStart"/>
      <w:r w:rsidR="00ED4046" w:rsidRPr="00ED4046">
        <w:rPr>
          <w:rFonts w:ascii="標楷體" w:eastAsia="標楷體" w:hAnsi="標楷體" w:hint="eastAsia"/>
          <w:bCs/>
          <w:snapToGrid w:val="0"/>
          <w:lang w:val="x-none"/>
        </w:rPr>
        <w:t>與幣流</w:t>
      </w:r>
      <w:proofErr w:type="gramEnd"/>
      <w:r w:rsidR="00ED4046" w:rsidRPr="00ED4046">
        <w:rPr>
          <w:rFonts w:ascii="標楷體" w:eastAsia="標楷體" w:hAnsi="標楷體" w:hint="eastAsia"/>
          <w:bCs/>
          <w:snapToGrid w:val="0"/>
          <w:lang w:val="x-none"/>
        </w:rPr>
        <w:t>，並有機會讓被害人遭詐騙財物加速返還。經查，依據刑事警察局提供資料，自金融</w:t>
      </w:r>
      <w:proofErr w:type="gramStart"/>
      <w:r w:rsidR="00ED4046" w:rsidRPr="00ED4046">
        <w:rPr>
          <w:rFonts w:ascii="標楷體" w:eastAsia="標楷體" w:hAnsi="標楷體" w:hint="eastAsia"/>
          <w:bCs/>
          <w:snapToGrid w:val="0"/>
          <w:lang w:val="x-none"/>
        </w:rPr>
        <w:t>防詐應遵循</w:t>
      </w:r>
      <w:proofErr w:type="gramEnd"/>
      <w:r w:rsidR="00ED4046" w:rsidRPr="00ED4046">
        <w:rPr>
          <w:rFonts w:ascii="標楷體" w:eastAsia="標楷體" w:hAnsi="標楷體" w:hint="eastAsia"/>
          <w:bCs/>
          <w:snapToGrid w:val="0"/>
          <w:lang w:val="x-none"/>
        </w:rPr>
        <w:t>事項辦法發布，已於114年1月完成第1批虛擬資產帳號剩餘款項返還作業，共計32位被害人、金額1,113萬餘元。</w:t>
      </w:r>
      <w:proofErr w:type="gramStart"/>
      <w:r w:rsidR="00ED4046" w:rsidRPr="00ED4046">
        <w:rPr>
          <w:rFonts w:ascii="標楷體" w:eastAsia="標楷體" w:hAnsi="標楷體" w:hint="eastAsia"/>
          <w:bCs/>
          <w:snapToGrid w:val="0"/>
          <w:lang w:val="x-none"/>
        </w:rPr>
        <w:t>惟</w:t>
      </w:r>
      <w:proofErr w:type="gramEnd"/>
      <w:r w:rsidR="00ED4046" w:rsidRPr="00ED4046">
        <w:rPr>
          <w:rFonts w:ascii="標楷體" w:eastAsia="標楷體" w:hAnsi="標楷體" w:hint="eastAsia"/>
          <w:bCs/>
          <w:snapToGrid w:val="0"/>
          <w:lang w:val="x-none"/>
        </w:rPr>
        <w:t>一般金融帳戶、電子支付帳戶及信用卡銷帳編號疑似詐欺犯罪之剩餘款項返還，則尚未</w:t>
      </w:r>
      <w:proofErr w:type="gramStart"/>
      <w:r w:rsidR="00ED4046" w:rsidRPr="00ED4046">
        <w:rPr>
          <w:rFonts w:ascii="標楷體" w:eastAsia="標楷體" w:hAnsi="標楷體" w:hint="eastAsia"/>
          <w:bCs/>
          <w:snapToGrid w:val="0"/>
          <w:lang w:val="x-none"/>
        </w:rPr>
        <w:t>依詐防</w:t>
      </w:r>
      <w:proofErr w:type="gramEnd"/>
      <w:r w:rsidR="00ED4046" w:rsidRPr="00ED4046">
        <w:rPr>
          <w:rFonts w:ascii="標楷體" w:eastAsia="標楷體" w:hAnsi="標楷體" w:hint="eastAsia"/>
          <w:bCs/>
          <w:snapToGrid w:val="0"/>
          <w:lang w:val="x-none"/>
        </w:rPr>
        <w:t>條例及金融</w:t>
      </w:r>
      <w:proofErr w:type="gramStart"/>
      <w:r w:rsidR="00ED4046" w:rsidRPr="00ED4046">
        <w:rPr>
          <w:rFonts w:ascii="標楷體" w:eastAsia="標楷體" w:hAnsi="標楷體" w:hint="eastAsia"/>
          <w:bCs/>
          <w:snapToGrid w:val="0"/>
          <w:lang w:val="x-none"/>
        </w:rPr>
        <w:t>防詐應遵循</w:t>
      </w:r>
      <w:proofErr w:type="gramEnd"/>
      <w:r w:rsidR="00ED4046" w:rsidRPr="00ED4046">
        <w:rPr>
          <w:rFonts w:ascii="標楷體" w:eastAsia="標楷體" w:hAnsi="標楷體" w:hint="eastAsia"/>
          <w:bCs/>
          <w:snapToGrid w:val="0"/>
          <w:lang w:val="x-none"/>
        </w:rPr>
        <w:t>事項辦法辦理，據刑事警察局說明主要係現行返還實務對於法規適用、刑事證據性質等存有疑義，尚待金管會等部會</w:t>
      </w:r>
      <w:proofErr w:type="gramStart"/>
      <w:r w:rsidR="00ED4046" w:rsidRPr="00ED4046">
        <w:rPr>
          <w:rFonts w:ascii="標楷體" w:eastAsia="標楷體" w:hAnsi="標楷體" w:hint="eastAsia"/>
          <w:bCs/>
          <w:snapToGrid w:val="0"/>
          <w:lang w:val="x-none"/>
        </w:rPr>
        <w:t>研</w:t>
      </w:r>
      <w:proofErr w:type="gramEnd"/>
      <w:r w:rsidR="00ED4046" w:rsidRPr="00ED4046">
        <w:rPr>
          <w:rFonts w:ascii="標楷體" w:eastAsia="標楷體" w:hAnsi="標楷體" w:hint="eastAsia"/>
          <w:bCs/>
          <w:snapToGrid w:val="0"/>
          <w:lang w:val="x-none"/>
        </w:rPr>
        <w:t>議解決並訂定明確指引</w:t>
      </w:r>
      <w:proofErr w:type="gramStart"/>
      <w:r w:rsidR="00ED4046" w:rsidRPr="00ED4046">
        <w:rPr>
          <w:rFonts w:ascii="標楷體" w:eastAsia="標楷體" w:hAnsi="標楷體" w:hint="eastAsia"/>
          <w:bCs/>
          <w:snapToGrid w:val="0"/>
          <w:lang w:val="x-none"/>
        </w:rPr>
        <w:t>俾</w:t>
      </w:r>
      <w:proofErr w:type="gramEnd"/>
      <w:r w:rsidR="00ED4046" w:rsidRPr="00ED4046">
        <w:rPr>
          <w:rFonts w:ascii="標楷體" w:eastAsia="標楷體" w:hAnsi="標楷體" w:hint="eastAsia"/>
          <w:bCs/>
          <w:snapToGrid w:val="0"/>
          <w:lang w:val="x-none"/>
        </w:rPr>
        <w:t>供遵循。經函請行政院督促金管會等部會加速</w:t>
      </w:r>
      <w:proofErr w:type="gramStart"/>
      <w:r w:rsidR="00ED4046" w:rsidRPr="00ED4046">
        <w:rPr>
          <w:rFonts w:ascii="標楷體" w:eastAsia="標楷體" w:hAnsi="標楷體" w:hint="eastAsia"/>
          <w:bCs/>
          <w:snapToGrid w:val="0"/>
          <w:lang w:val="x-none"/>
        </w:rPr>
        <w:t>研</w:t>
      </w:r>
      <w:proofErr w:type="gramEnd"/>
      <w:r w:rsidR="00ED4046" w:rsidRPr="00ED4046">
        <w:rPr>
          <w:rFonts w:ascii="標楷體" w:eastAsia="標楷體" w:hAnsi="標楷體" w:hint="eastAsia"/>
          <w:bCs/>
          <w:snapToGrid w:val="0"/>
          <w:lang w:val="x-none"/>
        </w:rPr>
        <w:t>議適用法條之確認及訂定執行指引，</w:t>
      </w:r>
      <w:proofErr w:type="gramStart"/>
      <w:r w:rsidR="00ED4046" w:rsidRPr="00ED4046">
        <w:rPr>
          <w:rFonts w:ascii="標楷體" w:eastAsia="標楷體" w:hAnsi="標楷體" w:hint="eastAsia"/>
          <w:bCs/>
          <w:snapToGrid w:val="0"/>
          <w:lang w:val="x-none"/>
        </w:rPr>
        <w:t>俾</w:t>
      </w:r>
      <w:proofErr w:type="gramEnd"/>
      <w:r w:rsidR="00ED4046" w:rsidRPr="00ED4046">
        <w:rPr>
          <w:rFonts w:ascii="標楷體" w:eastAsia="標楷體" w:hAnsi="標楷體" w:hint="eastAsia"/>
          <w:bCs/>
          <w:snapToGrid w:val="0"/>
          <w:lang w:val="x-none"/>
        </w:rPr>
        <w:t>利加速將警示帳戶之剩餘款項發還，以</w:t>
      </w:r>
      <w:proofErr w:type="gramStart"/>
      <w:r w:rsidR="00ED4046" w:rsidRPr="00ED4046">
        <w:rPr>
          <w:rFonts w:ascii="標楷體" w:eastAsia="標楷體" w:hAnsi="標楷體" w:hint="eastAsia"/>
          <w:bCs/>
          <w:snapToGrid w:val="0"/>
          <w:lang w:val="x-none"/>
        </w:rPr>
        <w:t>紓</w:t>
      </w:r>
      <w:proofErr w:type="gramEnd"/>
      <w:r w:rsidR="00ED4046" w:rsidRPr="00ED4046">
        <w:rPr>
          <w:rFonts w:ascii="標楷體" w:eastAsia="標楷體" w:hAnsi="標楷體" w:hint="eastAsia"/>
          <w:bCs/>
          <w:snapToGrid w:val="0"/>
          <w:lang w:val="x-none"/>
        </w:rPr>
        <w:t>緩詐騙案件被害人身心及經濟狀態。據復：金管會已於114年3月6日邀集中華民國銀行商業同業公會全國聯合會、中華民國信用合作社聯合社、臺灣高等檢察署及警政署等</w:t>
      </w:r>
      <w:proofErr w:type="gramStart"/>
      <w:r w:rsidR="00ED4046" w:rsidRPr="00ED4046">
        <w:rPr>
          <w:rFonts w:ascii="標楷體" w:eastAsia="標楷體" w:hAnsi="標楷體" w:hint="eastAsia"/>
          <w:bCs/>
          <w:snapToGrid w:val="0"/>
          <w:lang w:val="x-none"/>
        </w:rPr>
        <w:t>研議警</w:t>
      </w:r>
      <w:proofErr w:type="gramEnd"/>
      <w:r w:rsidR="00ED4046" w:rsidRPr="00ED4046">
        <w:rPr>
          <w:rFonts w:ascii="標楷體" w:eastAsia="標楷體" w:hAnsi="標楷體" w:hint="eastAsia"/>
          <w:bCs/>
          <w:snapToGrid w:val="0"/>
          <w:lang w:val="x-none"/>
        </w:rPr>
        <w:t>示帳戶內剩餘款項返還相關事宜，確認相關作業遵循適用法條，並轉知金融機構等配合辦理。</w:t>
      </w:r>
    </w:p>
    <w:p w14:paraId="6EE9C268" w14:textId="0C876037" w:rsidR="00122919" w:rsidRPr="00197DFB" w:rsidRDefault="00122919" w:rsidP="00197DFB">
      <w:pPr>
        <w:overflowPunct w:val="0"/>
        <w:spacing w:line="420" w:lineRule="exact"/>
        <w:ind w:firstLineChars="450" w:firstLine="1117"/>
        <w:jc w:val="both"/>
        <w:rPr>
          <w:rFonts w:ascii="標楷體" w:eastAsia="標楷體" w:hAnsi="標楷體" w:cs="新細明體"/>
          <w:bCs/>
          <w:color w:val="000000" w:themeColor="text1"/>
          <w:spacing w:val="4"/>
          <w:szCs w:val="24"/>
        </w:rPr>
      </w:pPr>
      <w:r w:rsidRPr="00197DFB">
        <w:rPr>
          <w:rFonts w:ascii="標楷體" w:eastAsia="標楷體" w:hAnsi="標楷體" w:cs="新細明體"/>
          <w:b/>
          <w:bCs/>
          <w:color w:val="000000" w:themeColor="text1"/>
          <w:spacing w:val="4"/>
          <w:szCs w:val="24"/>
        </w:rPr>
        <w:t xml:space="preserve">5.　</w:t>
      </w:r>
      <w:r w:rsidR="00197DFB" w:rsidRPr="00197DFB">
        <w:rPr>
          <w:rFonts w:ascii="標楷體" w:eastAsia="標楷體" w:hAnsi="標楷體" w:hint="eastAsia"/>
          <w:b/>
          <w:bCs/>
          <w:snapToGrid w:val="0"/>
          <w:lang w:val="x-none"/>
        </w:rPr>
        <w:t>政府推動防制高齡者詐欺措施多聚焦於宣導活動，惟高齡者因認知能力衰退兼具相當資產之特質，且多由行動（家用）電話接觸詐欺訊息，允宜參考先進國家實務，妥謀友善之因應對策，並輔以成果型指標衡量績效，</w:t>
      </w:r>
      <w:proofErr w:type="gramStart"/>
      <w:r w:rsidR="00197DFB" w:rsidRPr="00197DFB">
        <w:rPr>
          <w:rFonts w:ascii="標楷體" w:eastAsia="標楷體" w:hAnsi="標楷體" w:hint="eastAsia"/>
          <w:b/>
          <w:bCs/>
          <w:snapToGrid w:val="0"/>
          <w:lang w:val="x-none"/>
        </w:rPr>
        <w:t>俾</w:t>
      </w:r>
      <w:proofErr w:type="gramEnd"/>
      <w:r w:rsidR="00197DFB" w:rsidRPr="00197DFB">
        <w:rPr>
          <w:rFonts w:ascii="標楷體" w:eastAsia="標楷體" w:hAnsi="標楷體" w:hint="eastAsia"/>
          <w:b/>
          <w:bCs/>
          <w:snapToGrid w:val="0"/>
          <w:lang w:val="x-none"/>
        </w:rPr>
        <w:t>有效防堵高齡詐欺（剝削）案件發生：</w:t>
      </w:r>
      <w:r w:rsidR="00197DFB" w:rsidRPr="00197DFB">
        <w:rPr>
          <w:rFonts w:ascii="標楷體" w:eastAsia="標楷體" w:hAnsi="標楷體" w:hint="eastAsia"/>
          <w:snapToGrid w:val="0"/>
          <w:lang w:val="x-none"/>
        </w:rPr>
        <w:t>行政院為防制高齡者詐欺，於111年11月核定「因應超高齡社會對策方案（112-115年）」，推動相關防制措施，惟多聚焦於宣導活動，</w:t>
      </w:r>
      <w:proofErr w:type="gramStart"/>
      <w:r w:rsidR="00197DFB" w:rsidRPr="00197DFB">
        <w:rPr>
          <w:rFonts w:ascii="標楷體" w:eastAsia="標楷體" w:hAnsi="標楷體" w:hint="eastAsia"/>
          <w:snapToGrid w:val="0"/>
          <w:lang w:val="x-none"/>
        </w:rPr>
        <w:t>並均以辦理</w:t>
      </w:r>
      <w:proofErr w:type="gramEnd"/>
      <w:r w:rsidR="00197DFB" w:rsidRPr="00197DFB">
        <w:rPr>
          <w:rFonts w:ascii="標楷體" w:eastAsia="標楷體" w:hAnsi="標楷體" w:hint="eastAsia"/>
          <w:snapToGrid w:val="0"/>
          <w:lang w:val="x-none"/>
        </w:rPr>
        <w:t>場次或參與人次等投入型指標衡量績效，未審酌高齡者認知能力衰退兼具相當資產之特質，且多由行動（家用）電話兩類途徑接觸詐欺訊息，將電信詐欺防制列為重點，又未以攔阻涉詐電話（網域）</w:t>
      </w:r>
      <w:proofErr w:type="gramStart"/>
      <w:r w:rsidR="00197DFB" w:rsidRPr="00197DFB">
        <w:rPr>
          <w:rFonts w:ascii="標楷體" w:eastAsia="標楷體" w:hAnsi="標楷體" w:hint="eastAsia"/>
          <w:snapToGrid w:val="0"/>
          <w:lang w:val="x-none"/>
        </w:rPr>
        <w:t>或堵</w:t>
      </w:r>
      <w:proofErr w:type="gramEnd"/>
      <w:r w:rsidR="00197DFB" w:rsidRPr="00197DFB">
        <w:rPr>
          <w:rFonts w:ascii="標楷體" w:eastAsia="標楷體" w:hAnsi="標楷體" w:hint="eastAsia"/>
          <w:snapToGrid w:val="0"/>
          <w:lang w:val="x-none"/>
        </w:rPr>
        <w:t>（阻）詐金額等成果型指標評估推動成效，亦不利施政績效衡量，相關防制老齡者詐欺政策未盡聚焦問題癥結，</w:t>
      </w:r>
      <w:proofErr w:type="gramStart"/>
      <w:r w:rsidR="00197DFB" w:rsidRPr="00197DFB">
        <w:rPr>
          <w:rFonts w:ascii="標楷體" w:eastAsia="標楷體" w:hAnsi="標楷體" w:hint="eastAsia"/>
          <w:snapToGrid w:val="0"/>
          <w:lang w:val="x-none"/>
        </w:rPr>
        <w:t>尚待精進</w:t>
      </w:r>
      <w:proofErr w:type="gramEnd"/>
      <w:r w:rsidR="00197DFB" w:rsidRPr="00197DFB">
        <w:rPr>
          <w:rFonts w:ascii="標楷體" w:eastAsia="標楷體" w:hAnsi="標楷體" w:hint="eastAsia"/>
          <w:snapToGrid w:val="0"/>
          <w:lang w:val="x-none"/>
        </w:rPr>
        <w:t>。</w:t>
      </w:r>
      <w:proofErr w:type="gramStart"/>
      <w:r w:rsidR="00197DFB" w:rsidRPr="00197DFB">
        <w:rPr>
          <w:rFonts w:ascii="標楷體" w:eastAsia="標楷體" w:hAnsi="標楷體" w:hint="eastAsia"/>
          <w:snapToGrid w:val="0"/>
          <w:lang w:val="x-none"/>
        </w:rPr>
        <w:t>鑑</w:t>
      </w:r>
      <w:proofErr w:type="gramEnd"/>
      <w:r w:rsidR="00197DFB" w:rsidRPr="00197DFB">
        <w:rPr>
          <w:rFonts w:ascii="標楷體" w:eastAsia="標楷體" w:hAnsi="標楷體" w:hint="eastAsia"/>
          <w:snapToGrid w:val="0"/>
          <w:lang w:val="x-none"/>
        </w:rPr>
        <w:t>於</w:t>
      </w:r>
      <w:r w:rsidR="00197DFB" w:rsidRPr="00197DFB">
        <w:rPr>
          <w:rFonts w:ascii="標楷體" w:eastAsia="標楷體" w:hAnsi="標楷體" w:hint="eastAsia"/>
          <w:snapToGrid w:val="0"/>
          <w:lang w:val="x-none"/>
        </w:rPr>
        <w:lastRenderedPageBreak/>
        <w:t>高齡者受到詐欺或剝削之「高齡金融剝削」（Elder financial abuse）問題日益嚴重，相關防制措施已成為各高齡化先進國家之施政重點，</w:t>
      </w:r>
      <w:proofErr w:type="gramStart"/>
      <w:r w:rsidR="00197DFB" w:rsidRPr="00197DFB">
        <w:rPr>
          <w:rFonts w:ascii="標楷體" w:eastAsia="標楷體" w:hAnsi="標楷體" w:hint="eastAsia"/>
          <w:snapToGrid w:val="0"/>
          <w:lang w:val="x-none"/>
        </w:rPr>
        <w:t>舉如日本</w:t>
      </w:r>
      <w:proofErr w:type="gramEnd"/>
      <w:r w:rsidR="00197DFB" w:rsidRPr="00197DFB">
        <w:rPr>
          <w:rFonts w:ascii="標楷體" w:eastAsia="標楷體" w:hAnsi="標楷體" w:hint="eastAsia"/>
          <w:snapToGrid w:val="0"/>
          <w:lang w:val="x-none"/>
        </w:rPr>
        <w:t>政府已於2024年6月18日公布「保護國民免受詐騙綜合對策」，</w:t>
      </w:r>
      <w:proofErr w:type="spellStart"/>
      <w:r w:rsidR="00197DFB" w:rsidRPr="00197DFB">
        <w:rPr>
          <w:rFonts w:ascii="標楷體" w:eastAsia="標楷體" w:hAnsi="標楷體" w:hint="eastAsia"/>
          <w:snapToGrid w:val="0"/>
          <w:lang w:val="x-none"/>
        </w:rPr>
        <w:t>宣導推廣</w:t>
      </w:r>
      <w:proofErr w:type="spellEnd"/>
      <w:r w:rsidR="00197DFB" w:rsidRPr="00197DFB">
        <w:rPr>
          <w:rFonts w:ascii="標楷體" w:eastAsia="標楷體" w:hAnsi="標楷體" w:hint="eastAsia"/>
          <w:snapToGrid w:val="0"/>
          <w:lang w:val="x-none"/>
        </w:rPr>
        <w:t>：（1）推動與金融機構合作，針對長期未使用</w:t>
      </w:r>
      <w:proofErr w:type="spellStart"/>
      <w:r w:rsidR="00197DFB" w:rsidRPr="00197DFB">
        <w:rPr>
          <w:rFonts w:ascii="標楷體" w:eastAsia="標楷體" w:hAnsi="標楷體" w:hint="eastAsia"/>
          <w:snapToGrid w:val="0"/>
          <w:lang w:val="x-none"/>
        </w:rPr>
        <w:t>ATM轉帳功能之高齡客戶，將其ATM轉帳限額設定至極低金額等預防性作為</w:t>
      </w:r>
      <w:proofErr w:type="spellEnd"/>
      <w:r w:rsidR="00197DFB" w:rsidRPr="00197DFB">
        <w:rPr>
          <w:rFonts w:ascii="標楷體" w:eastAsia="標楷體" w:hAnsi="標楷體" w:hint="eastAsia"/>
          <w:snapToGrid w:val="0"/>
          <w:lang w:val="x-none"/>
        </w:rPr>
        <w:t>；（2）銀髮族於家用電話安裝防騷擾設備，並設定拒接國際電話或來電不明電話，或將家用電話預設為語音信箱，於確認對方</w:t>
      </w:r>
      <w:r w:rsidR="00EE6BB6" w:rsidRPr="00197DFB">
        <w:rPr>
          <w:rFonts w:ascii="標楷體" w:eastAsia="標楷體" w:hAnsi="標楷體"/>
          <w:b/>
          <w:bCs/>
          <w:noProof/>
          <w:snapToGrid w:val="0"/>
          <w:szCs w:val="24"/>
          <w:lang w:val="x-none"/>
        </w:rPr>
        <mc:AlternateContent>
          <mc:Choice Requires="wps">
            <w:drawing>
              <wp:anchor distT="45720" distB="45720" distL="114300" distR="114300" simplePos="0" relativeHeight="251640832" behindDoc="0" locked="0" layoutInCell="1" allowOverlap="1" wp14:anchorId="07EA4F7C" wp14:editId="1AC769F8">
                <wp:simplePos x="0" y="0"/>
                <wp:positionH relativeFrom="column">
                  <wp:posOffset>2056765</wp:posOffset>
                </wp:positionH>
                <wp:positionV relativeFrom="paragraph">
                  <wp:posOffset>1525270</wp:posOffset>
                </wp:positionV>
                <wp:extent cx="4235450" cy="265430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0" cy="2654300"/>
                        </a:xfrm>
                        <a:prstGeom prst="rect">
                          <a:avLst/>
                        </a:prstGeom>
                        <a:noFill/>
                        <a:ln w="9525">
                          <a:noFill/>
                          <a:miter lim="800000"/>
                          <a:headEnd/>
                          <a:tailEnd/>
                        </a:ln>
                      </wps:spPr>
                      <wps:txbx>
                        <w:txbxContent>
                          <w:tbl>
                            <w:tblPr>
                              <w:tblStyle w:val="afff"/>
                              <w:tblW w:w="6379" w:type="dxa"/>
                              <w:tblLook w:val="04A0" w:firstRow="1" w:lastRow="0" w:firstColumn="1" w:lastColumn="0" w:noHBand="0" w:noVBand="1"/>
                            </w:tblPr>
                            <w:tblGrid>
                              <w:gridCol w:w="770"/>
                              <w:gridCol w:w="5609"/>
                            </w:tblGrid>
                            <w:tr w:rsidR="00197DFB" w:rsidRPr="00197DFB" w14:paraId="17E47CB6" w14:textId="77777777" w:rsidTr="00FE3F13">
                              <w:tc>
                                <w:tcPr>
                                  <w:tcW w:w="6379" w:type="dxa"/>
                                  <w:gridSpan w:val="2"/>
                                  <w:tcBorders>
                                    <w:top w:val="nil"/>
                                    <w:left w:val="nil"/>
                                    <w:bottom w:val="single" w:sz="4" w:space="0" w:color="auto"/>
                                    <w:right w:val="nil"/>
                                  </w:tcBorders>
                                  <w:vAlign w:val="center"/>
                                </w:tcPr>
                                <w:p w14:paraId="3FA429CD" w14:textId="4D756A4D" w:rsidR="00197DFB" w:rsidRPr="00197DFB" w:rsidRDefault="00197DFB" w:rsidP="00E00D07">
                                  <w:pPr>
                                    <w:spacing w:afterLines="25" w:after="90"/>
                                    <w:jc w:val="center"/>
                                    <w:rPr>
                                      <w:rFonts w:ascii="標楷體" w:eastAsia="標楷體" w:hAnsi="標楷體"/>
                                      <w:b/>
                                      <w:color w:val="000000" w:themeColor="text1"/>
                                    </w:rPr>
                                  </w:pPr>
                                  <w:r w:rsidRPr="00197DFB">
                                    <w:rPr>
                                      <w:rFonts w:ascii="標楷體" w:eastAsia="標楷體" w:hAnsi="標楷體" w:hint="eastAsia"/>
                                      <w:b/>
                                      <w:color w:val="000000" w:themeColor="text1"/>
                                    </w:rPr>
                                    <w:t>表</w:t>
                                  </w:r>
                                  <w:r w:rsidR="00657EA3">
                                    <w:rPr>
                                      <w:rFonts w:ascii="標楷體" w:eastAsia="標楷體" w:hAnsi="標楷體" w:hint="eastAsia"/>
                                      <w:b/>
                                      <w:color w:val="000000" w:themeColor="text1"/>
                                    </w:rPr>
                                    <w:t>1</w:t>
                                  </w:r>
                                  <w:r w:rsidR="00657EA3">
                                    <w:rPr>
                                      <w:rFonts w:ascii="標楷體" w:eastAsia="標楷體" w:hAnsi="標楷體"/>
                                      <w:b/>
                                      <w:color w:val="000000" w:themeColor="text1"/>
                                    </w:rPr>
                                    <w:t>1</w:t>
                                  </w:r>
                                  <w:r w:rsidRPr="00197DFB">
                                    <w:rPr>
                                      <w:rFonts w:ascii="標楷體" w:eastAsia="標楷體" w:hAnsi="標楷體" w:hint="eastAsia"/>
                                      <w:b/>
                                      <w:color w:val="000000" w:themeColor="text1"/>
                                    </w:rPr>
                                    <w:t xml:space="preserve">　世界先進國家防制電信詐騙法制規範概況</w:t>
                                  </w:r>
                                </w:p>
                              </w:tc>
                            </w:tr>
                            <w:tr w:rsidR="00197DFB" w:rsidRPr="00197DFB" w14:paraId="4F409EC3" w14:textId="77777777" w:rsidTr="00E00D07">
                              <w:trPr>
                                <w:trHeight w:val="340"/>
                              </w:trPr>
                              <w:tc>
                                <w:tcPr>
                                  <w:tcW w:w="770" w:type="dxa"/>
                                  <w:tcBorders>
                                    <w:top w:val="single" w:sz="4" w:space="0" w:color="auto"/>
                                  </w:tcBorders>
                                  <w:vAlign w:val="center"/>
                                </w:tcPr>
                                <w:p w14:paraId="3391006D" w14:textId="77777777" w:rsidR="00197DFB" w:rsidRPr="00197DFB" w:rsidRDefault="00197DFB" w:rsidP="00E00D07">
                                  <w:pPr>
                                    <w:spacing w:line="20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國別</w:t>
                                  </w:r>
                                </w:p>
                              </w:tc>
                              <w:tc>
                                <w:tcPr>
                                  <w:tcW w:w="5609" w:type="dxa"/>
                                  <w:tcBorders>
                                    <w:top w:val="single" w:sz="4" w:space="0" w:color="auto"/>
                                  </w:tcBorders>
                                  <w:vAlign w:val="center"/>
                                </w:tcPr>
                                <w:p w14:paraId="5CCA12D0" w14:textId="77777777" w:rsidR="00197DFB" w:rsidRPr="00197DFB" w:rsidRDefault="00197DFB" w:rsidP="00E00D07">
                                  <w:pPr>
                                    <w:spacing w:line="200" w:lineRule="exact"/>
                                    <w:jc w:val="center"/>
                                    <w:rPr>
                                      <w:rFonts w:ascii="標楷體" w:eastAsia="標楷體" w:hAnsi="標楷體"/>
                                      <w:color w:val="000000" w:themeColor="text1"/>
                                      <w:sz w:val="20"/>
                                    </w:rPr>
                                  </w:pPr>
                                  <w:r w:rsidRPr="00197DFB">
                                    <w:rPr>
                                      <w:rFonts w:ascii="標楷體" w:eastAsia="標楷體" w:hAnsi="標楷體" w:hint="eastAsia"/>
                                      <w:color w:val="000000" w:themeColor="text1"/>
                                      <w:sz w:val="20"/>
                                    </w:rPr>
                                    <w:t>法    制    重    點</w:t>
                                  </w:r>
                                </w:p>
                              </w:tc>
                            </w:tr>
                            <w:tr w:rsidR="00197DFB" w:rsidRPr="00197DFB" w14:paraId="7C79BA53" w14:textId="77777777" w:rsidTr="00E00D07">
                              <w:trPr>
                                <w:trHeight w:val="807"/>
                              </w:trPr>
                              <w:tc>
                                <w:tcPr>
                                  <w:tcW w:w="770" w:type="dxa"/>
                                  <w:vAlign w:val="center"/>
                                </w:tcPr>
                                <w:p w14:paraId="7D177993" w14:textId="77777777" w:rsidR="00197DFB" w:rsidRPr="00197DFB" w:rsidRDefault="00197DFB" w:rsidP="00E00D07">
                                  <w:pPr>
                                    <w:spacing w:line="29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英國</w:t>
                                  </w:r>
                                </w:p>
                              </w:tc>
                              <w:tc>
                                <w:tcPr>
                                  <w:tcW w:w="5609" w:type="dxa"/>
                                  <w:vAlign w:val="center"/>
                                </w:tcPr>
                                <w:p w14:paraId="089FFB56" w14:textId="77777777" w:rsidR="00197DFB" w:rsidRPr="00197DFB" w:rsidRDefault="00197DFB" w:rsidP="00E00D07">
                                  <w:pPr>
                                    <w:widowControl/>
                                    <w:overflowPunct w:val="0"/>
                                    <w:spacing w:line="290" w:lineRule="exact"/>
                                    <w:jc w:val="both"/>
                                    <w:rPr>
                                      <w:rFonts w:ascii="標楷體" w:eastAsia="標楷體" w:hAnsi="標楷體"/>
                                      <w:color w:val="000000" w:themeColor="text1"/>
                                      <w:sz w:val="20"/>
                                    </w:rPr>
                                  </w:pPr>
                                  <w:r w:rsidRPr="00197DFB">
                                    <w:rPr>
                                      <w:rFonts w:ascii="標楷體" w:eastAsia="標楷體" w:hAnsi="標楷體" w:hint="eastAsia"/>
                                      <w:color w:val="000000" w:themeColor="text1"/>
                                      <w:sz w:val="20"/>
                                    </w:rPr>
                                    <w:t>英國支付系統監管機構</w:t>
                                  </w:r>
                                  <w:r w:rsidRPr="00197DFB">
                                    <w:rPr>
                                      <w:rFonts w:ascii="標楷體" w:eastAsia="標楷體" w:hAnsi="標楷體" w:hint="eastAsia"/>
                                      <w:color w:val="000000" w:themeColor="text1"/>
                                      <w:spacing w:val="2"/>
                                      <w:sz w:val="20"/>
                                    </w:rPr>
                                    <w:t>（T</w:t>
                                  </w:r>
                                  <w:r w:rsidRPr="00197DFB">
                                    <w:rPr>
                                      <w:rFonts w:ascii="標楷體" w:eastAsia="標楷體" w:hAnsi="標楷體"/>
                                      <w:color w:val="000000" w:themeColor="text1"/>
                                      <w:spacing w:val="2"/>
                                      <w:sz w:val="20"/>
                                    </w:rPr>
                                    <w:t>he Payment Systems Regulator, PSR</w:t>
                                  </w:r>
                                  <w:r w:rsidRPr="00197DFB">
                                    <w:rPr>
                                      <w:rFonts w:ascii="標楷體" w:eastAsia="標楷體" w:hAnsi="標楷體" w:hint="eastAsia"/>
                                      <w:color w:val="000000" w:themeColor="text1"/>
                                      <w:spacing w:val="2"/>
                                      <w:sz w:val="20"/>
                                    </w:rPr>
                                    <w:t>）規定，如客戶於授權支付（A</w:t>
                                  </w:r>
                                  <w:r w:rsidRPr="00197DFB">
                                    <w:rPr>
                                      <w:rFonts w:ascii="標楷體" w:eastAsia="標楷體" w:hAnsi="標楷體"/>
                                      <w:color w:val="000000" w:themeColor="text1"/>
                                      <w:spacing w:val="2"/>
                                      <w:sz w:val="20"/>
                                    </w:rPr>
                                    <w:t xml:space="preserve">uthorised Push Payment, </w:t>
                                  </w:r>
                                  <w:r w:rsidRPr="00197DFB">
                                    <w:rPr>
                                      <w:rFonts w:ascii="標楷體" w:eastAsia="標楷體" w:hAnsi="標楷體" w:hint="eastAsia"/>
                                      <w:color w:val="000000" w:themeColor="text1"/>
                                      <w:spacing w:val="2"/>
                                      <w:sz w:val="20"/>
                                    </w:rPr>
                                    <w:t>APP）期間遭受詐騙，強制提供支付服務業者須賠償用戶損失。</w:t>
                                  </w:r>
                                </w:p>
                              </w:tc>
                            </w:tr>
                            <w:tr w:rsidR="00197DFB" w:rsidRPr="00197DFB" w14:paraId="0863F91E" w14:textId="77777777" w:rsidTr="00E00D07">
                              <w:tc>
                                <w:tcPr>
                                  <w:tcW w:w="770" w:type="dxa"/>
                                  <w:vAlign w:val="center"/>
                                </w:tcPr>
                                <w:p w14:paraId="64EE092C" w14:textId="77777777" w:rsidR="00197DFB" w:rsidRPr="00197DFB" w:rsidRDefault="00197DFB" w:rsidP="00E00D07">
                                  <w:pPr>
                                    <w:spacing w:line="290" w:lineRule="exact"/>
                                    <w:jc w:val="distribute"/>
                                    <w:rPr>
                                      <w:rFonts w:ascii="標楷體" w:eastAsia="標楷體" w:hAnsi="標楷體"/>
                                      <w:color w:val="000000" w:themeColor="text1"/>
                                      <w:spacing w:val="-30"/>
                                      <w:sz w:val="20"/>
                                    </w:rPr>
                                  </w:pPr>
                                  <w:r w:rsidRPr="00197DFB">
                                    <w:rPr>
                                      <w:rFonts w:ascii="標楷體" w:eastAsia="標楷體" w:hAnsi="標楷體" w:hint="eastAsia"/>
                                      <w:color w:val="000000" w:themeColor="text1"/>
                                      <w:spacing w:val="-30"/>
                                      <w:sz w:val="20"/>
                                    </w:rPr>
                                    <w:t>新加坡</w:t>
                                  </w:r>
                                </w:p>
                              </w:tc>
                              <w:tc>
                                <w:tcPr>
                                  <w:tcW w:w="5609" w:type="dxa"/>
                                  <w:vAlign w:val="center"/>
                                </w:tcPr>
                                <w:p w14:paraId="1AE2C31D" w14:textId="77777777" w:rsidR="00197DFB" w:rsidRPr="00197DFB" w:rsidRDefault="00197DFB" w:rsidP="00E00D07">
                                  <w:pPr>
                                    <w:widowControl/>
                                    <w:overflowPunct w:val="0"/>
                                    <w:spacing w:line="290" w:lineRule="exact"/>
                                    <w:jc w:val="both"/>
                                    <w:rPr>
                                      <w:rFonts w:ascii="標楷體" w:eastAsia="標楷體" w:hAnsi="標楷體"/>
                                      <w:color w:val="000000" w:themeColor="text1"/>
                                      <w:sz w:val="20"/>
                                    </w:rPr>
                                  </w:pPr>
                                  <w:r w:rsidRPr="00197DFB">
                                    <w:rPr>
                                      <w:rFonts w:ascii="標楷體" w:eastAsia="標楷體" w:hAnsi="標楷體" w:hint="eastAsia"/>
                                      <w:color w:val="000000" w:themeColor="text1"/>
                                      <w:sz w:val="20"/>
                                    </w:rPr>
                                    <w:t>政府要求落實網路通信服務及電子商務服務守則，並得要求指定電信及網路服務業者建立主動攔截惡意網路活動之系統，違規者視同觸犯刑事罪名。</w:t>
                                  </w:r>
                                </w:p>
                              </w:tc>
                            </w:tr>
                            <w:tr w:rsidR="00197DFB" w:rsidRPr="00197DFB" w14:paraId="776F06FF" w14:textId="77777777" w:rsidTr="00E00D07">
                              <w:tc>
                                <w:tcPr>
                                  <w:tcW w:w="770" w:type="dxa"/>
                                  <w:tcBorders>
                                    <w:bottom w:val="single" w:sz="4" w:space="0" w:color="auto"/>
                                  </w:tcBorders>
                                  <w:vAlign w:val="center"/>
                                </w:tcPr>
                                <w:p w14:paraId="7E58B59B" w14:textId="77777777" w:rsidR="00197DFB" w:rsidRPr="00197DFB" w:rsidRDefault="00197DFB" w:rsidP="00E00D07">
                                  <w:pPr>
                                    <w:spacing w:line="29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澳大</w:t>
                                  </w:r>
                                </w:p>
                                <w:p w14:paraId="2C3C06FA" w14:textId="77777777" w:rsidR="00197DFB" w:rsidRPr="00197DFB" w:rsidRDefault="00197DFB" w:rsidP="00E00D07">
                                  <w:pPr>
                                    <w:spacing w:line="29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利亞</w:t>
                                  </w:r>
                                </w:p>
                              </w:tc>
                              <w:tc>
                                <w:tcPr>
                                  <w:tcW w:w="5609" w:type="dxa"/>
                                  <w:tcBorders>
                                    <w:bottom w:val="single" w:sz="4" w:space="0" w:color="auto"/>
                                  </w:tcBorders>
                                  <w:vAlign w:val="center"/>
                                </w:tcPr>
                                <w:p w14:paraId="15E46E7A" w14:textId="77777777" w:rsidR="00197DFB" w:rsidRPr="00197DFB" w:rsidRDefault="00197DFB" w:rsidP="00E00D07">
                                  <w:pPr>
                                    <w:widowControl/>
                                    <w:overflowPunct w:val="0"/>
                                    <w:spacing w:line="290" w:lineRule="exact"/>
                                    <w:jc w:val="both"/>
                                    <w:rPr>
                                      <w:rFonts w:ascii="標楷體" w:eastAsia="標楷體" w:hAnsi="標楷體"/>
                                      <w:color w:val="000000" w:themeColor="text1"/>
                                      <w:sz w:val="20"/>
                                    </w:rPr>
                                  </w:pPr>
                                  <w:r w:rsidRPr="00197DFB">
                                    <w:rPr>
                                      <w:rFonts w:ascii="標楷體" w:eastAsia="標楷體" w:hAnsi="標楷體" w:hint="eastAsia"/>
                                      <w:color w:val="000000" w:themeColor="text1"/>
                                      <w:sz w:val="20"/>
                                    </w:rPr>
                                    <w:t>政府要求金融機構及電信、網路服務供應、社群媒體等業者合作，與權責機關建立防制電信詐騙情報共享網路，任何一方發現疑似電信詐騙行為，</w:t>
                                  </w:r>
                                  <w:proofErr w:type="gramStart"/>
                                  <w:r w:rsidRPr="00197DFB">
                                    <w:rPr>
                                      <w:rFonts w:ascii="標楷體" w:eastAsia="標楷體" w:hAnsi="標楷體" w:hint="eastAsia"/>
                                      <w:color w:val="000000" w:themeColor="text1"/>
                                      <w:sz w:val="20"/>
                                    </w:rPr>
                                    <w:t>均須及時</w:t>
                                  </w:r>
                                  <w:proofErr w:type="gramEnd"/>
                                  <w:r w:rsidRPr="00197DFB">
                                    <w:rPr>
                                      <w:rFonts w:ascii="標楷體" w:eastAsia="標楷體" w:hAnsi="標楷體" w:hint="eastAsia"/>
                                      <w:color w:val="000000" w:themeColor="text1"/>
                                      <w:sz w:val="20"/>
                                    </w:rPr>
                                    <w:t>報警並追蹤，未能及時攔截電信詐騙之業者可課罰。</w:t>
                                  </w:r>
                                </w:p>
                              </w:tc>
                            </w:tr>
                            <w:tr w:rsidR="00197DFB" w:rsidRPr="00197DFB" w14:paraId="4F7F112D" w14:textId="77777777" w:rsidTr="00FE3F13">
                              <w:trPr>
                                <w:trHeight w:val="286"/>
                              </w:trPr>
                              <w:tc>
                                <w:tcPr>
                                  <w:tcW w:w="6379" w:type="dxa"/>
                                  <w:gridSpan w:val="2"/>
                                  <w:tcBorders>
                                    <w:top w:val="single" w:sz="4" w:space="0" w:color="auto"/>
                                    <w:left w:val="nil"/>
                                    <w:bottom w:val="nil"/>
                                    <w:right w:val="nil"/>
                                  </w:tcBorders>
                                  <w:vAlign w:val="center"/>
                                </w:tcPr>
                                <w:p w14:paraId="796C6C2E" w14:textId="77777777" w:rsidR="00197DFB" w:rsidRPr="00197DFB" w:rsidRDefault="00197DFB" w:rsidP="00E00D07">
                                  <w:pPr>
                                    <w:widowControl/>
                                    <w:overflowPunct w:val="0"/>
                                    <w:spacing w:line="240" w:lineRule="exact"/>
                                    <w:ind w:leftChars="-45" w:left="-108" w:rightChars="-47" w:right="-113"/>
                                    <w:jc w:val="both"/>
                                    <w:rPr>
                                      <w:rFonts w:ascii="標楷體" w:eastAsia="標楷體" w:hAnsi="標楷體"/>
                                      <w:color w:val="000000" w:themeColor="text1"/>
                                      <w:sz w:val="20"/>
                                    </w:rPr>
                                  </w:pPr>
                                  <w:r w:rsidRPr="00197DFB">
                                    <w:rPr>
                                      <w:rFonts w:ascii="標楷體" w:eastAsia="標楷體" w:hAnsi="標楷體" w:hint="eastAsia"/>
                                      <w:color w:val="000000" w:themeColor="text1"/>
                                      <w:sz w:val="18"/>
                                      <w:szCs w:val="18"/>
                                    </w:rPr>
                                    <w:t>資料來源：整理自經濟部國際貿易署113年9月4日商情訊息及相關媒體報導。</w:t>
                                  </w:r>
                                </w:p>
                              </w:tc>
                            </w:tr>
                          </w:tbl>
                          <w:p w14:paraId="58C2DDE9" w14:textId="77777777" w:rsidR="00197DFB" w:rsidRPr="00197DFB" w:rsidRDefault="00197DFB" w:rsidP="00197DFB">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EA4F7C" id="_x0000_s1053" type="#_x0000_t202" style="position:absolute;left:0;text-align:left;margin-left:161.95pt;margin-top:120.1pt;width:333.5pt;height:209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" filled="f" stroked="f">
                <v:textbox>
                  <w:txbxContent>
                    <w:tbl>
                      <w:tblPr>
                        <w:tblStyle w:val="afff"/>
                        <w:tblW w:w="6379" w:type="dxa"/>
                        <w:tblLook w:val="04A0" w:firstRow="1" w:lastRow="0" w:firstColumn="1" w:lastColumn="0" w:noHBand="0" w:noVBand="1"/>
                      </w:tblPr>
                      <w:tblGrid>
                        <w:gridCol w:w="770"/>
                        <w:gridCol w:w="5609"/>
                      </w:tblGrid>
                      <w:tr w:rsidR="00197DFB" w:rsidRPr="00197DFB" w14:paraId="17E47CB6" w14:textId="77777777" w:rsidTr="00FE3F13">
                        <w:tc>
                          <w:tcPr>
                            <w:tcW w:w="6379" w:type="dxa"/>
                            <w:gridSpan w:val="2"/>
                            <w:tcBorders>
                              <w:top w:val="nil"/>
                              <w:left w:val="nil"/>
                              <w:bottom w:val="single" w:sz="4" w:space="0" w:color="auto"/>
                              <w:right w:val="nil"/>
                            </w:tcBorders>
                            <w:vAlign w:val="center"/>
                          </w:tcPr>
                          <w:p w14:paraId="3FA429CD" w14:textId="4D756A4D" w:rsidR="00197DFB" w:rsidRPr="00197DFB" w:rsidRDefault="00197DFB" w:rsidP="00E00D07">
                            <w:pPr>
                              <w:spacing w:afterLines="25" w:after="90"/>
                              <w:jc w:val="center"/>
                              <w:rPr>
                                <w:rFonts w:ascii="標楷體" w:eastAsia="標楷體" w:hAnsi="標楷體"/>
                                <w:b/>
                                <w:color w:val="000000" w:themeColor="text1"/>
                              </w:rPr>
                            </w:pPr>
                            <w:r w:rsidRPr="00197DFB">
                              <w:rPr>
                                <w:rFonts w:ascii="標楷體" w:eastAsia="標楷體" w:hAnsi="標楷體" w:hint="eastAsia"/>
                                <w:b/>
                                <w:color w:val="000000" w:themeColor="text1"/>
                              </w:rPr>
                              <w:t>表</w:t>
                            </w:r>
                            <w:r w:rsidR="00657EA3">
                              <w:rPr>
                                <w:rFonts w:ascii="標楷體" w:eastAsia="標楷體" w:hAnsi="標楷體" w:hint="eastAsia"/>
                                <w:b/>
                                <w:color w:val="000000" w:themeColor="text1"/>
                              </w:rPr>
                              <w:t>1</w:t>
                            </w:r>
                            <w:r w:rsidR="00657EA3">
                              <w:rPr>
                                <w:rFonts w:ascii="標楷體" w:eastAsia="標楷體" w:hAnsi="標楷體"/>
                                <w:b/>
                                <w:color w:val="000000" w:themeColor="text1"/>
                              </w:rPr>
                              <w:t>1</w:t>
                            </w:r>
                            <w:r w:rsidRPr="00197DFB">
                              <w:rPr>
                                <w:rFonts w:ascii="標楷體" w:eastAsia="標楷體" w:hAnsi="標楷體" w:hint="eastAsia"/>
                                <w:b/>
                                <w:color w:val="000000" w:themeColor="text1"/>
                              </w:rPr>
                              <w:t xml:space="preserve">　世界先進國家防制電信詐騙法制規範概況</w:t>
                            </w:r>
                          </w:p>
                        </w:tc>
                      </w:tr>
                      <w:tr w:rsidR="00197DFB" w:rsidRPr="00197DFB" w14:paraId="4F409EC3" w14:textId="77777777" w:rsidTr="00E00D07">
                        <w:trPr>
                          <w:trHeight w:val="340"/>
                        </w:trPr>
                        <w:tc>
                          <w:tcPr>
                            <w:tcW w:w="770" w:type="dxa"/>
                            <w:tcBorders>
                              <w:top w:val="single" w:sz="4" w:space="0" w:color="auto"/>
                            </w:tcBorders>
                            <w:vAlign w:val="center"/>
                          </w:tcPr>
                          <w:p w14:paraId="3391006D" w14:textId="77777777" w:rsidR="00197DFB" w:rsidRPr="00197DFB" w:rsidRDefault="00197DFB" w:rsidP="00E00D07">
                            <w:pPr>
                              <w:spacing w:line="20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國別</w:t>
                            </w:r>
                          </w:p>
                        </w:tc>
                        <w:tc>
                          <w:tcPr>
                            <w:tcW w:w="5609" w:type="dxa"/>
                            <w:tcBorders>
                              <w:top w:val="single" w:sz="4" w:space="0" w:color="auto"/>
                            </w:tcBorders>
                            <w:vAlign w:val="center"/>
                          </w:tcPr>
                          <w:p w14:paraId="5CCA12D0" w14:textId="77777777" w:rsidR="00197DFB" w:rsidRPr="00197DFB" w:rsidRDefault="00197DFB" w:rsidP="00E00D07">
                            <w:pPr>
                              <w:spacing w:line="200" w:lineRule="exact"/>
                              <w:jc w:val="center"/>
                              <w:rPr>
                                <w:rFonts w:ascii="標楷體" w:eastAsia="標楷體" w:hAnsi="標楷體"/>
                                <w:color w:val="000000" w:themeColor="text1"/>
                                <w:sz w:val="20"/>
                              </w:rPr>
                            </w:pPr>
                            <w:r w:rsidRPr="00197DFB">
                              <w:rPr>
                                <w:rFonts w:ascii="標楷體" w:eastAsia="標楷體" w:hAnsi="標楷體" w:hint="eastAsia"/>
                                <w:color w:val="000000" w:themeColor="text1"/>
                                <w:sz w:val="20"/>
                              </w:rPr>
                              <w:t>法    制    重    點</w:t>
                            </w:r>
                          </w:p>
                        </w:tc>
                      </w:tr>
                      <w:tr w:rsidR="00197DFB" w:rsidRPr="00197DFB" w14:paraId="7C79BA53" w14:textId="77777777" w:rsidTr="00E00D07">
                        <w:trPr>
                          <w:trHeight w:val="807"/>
                        </w:trPr>
                        <w:tc>
                          <w:tcPr>
                            <w:tcW w:w="770" w:type="dxa"/>
                            <w:vAlign w:val="center"/>
                          </w:tcPr>
                          <w:p w14:paraId="7D177993" w14:textId="77777777" w:rsidR="00197DFB" w:rsidRPr="00197DFB" w:rsidRDefault="00197DFB" w:rsidP="00E00D07">
                            <w:pPr>
                              <w:spacing w:line="29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英國</w:t>
                            </w:r>
                          </w:p>
                        </w:tc>
                        <w:tc>
                          <w:tcPr>
                            <w:tcW w:w="5609" w:type="dxa"/>
                            <w:vAlign w:val="center"/>
                          </w:tcPr>
                          <w:p w14:paraId="089FFB56" w14:textId="77777777" w:rsidR="00197DFB" w:rsidRPr="00197DFB" w:rsidRDefault="00197DFB" w:rsidP="00E00D07">
                            <w:pPr>
                              <w:widowControl/>
                              <w:overflowPunct w:val="0"/>
                              <w:spacing w:line="290" w:lineRule="exact"/>
                              <w:jc w:val="both"/>
                              <w:rPr>
                                <w:rFonts w:ascii="標楷體" w:eastAsia="標楷體" w:hAnsi="標楷體"/>
                                <w:color w:val="000000" w:themeColor="text1"/>
                                <w:sz w:val="20"/>
                              </w:rPr>
                            </w:pPr>
                            <w:r w:rsidRPr="00197DFB">
                              <w:rPr>
                                <w:rFonts w:ascii="標楷體" w:eastAsia="標楷體" w:hAnsi="標楷體" w:hint="eastAsia"/>
                                <w:color w:val="000000" w:themeColor="text1"/>
                                <w:sz w:val="20"/>
                              </w:rPr>
                              <w:t>英國支付系統監管機構</w:t>
                            </w:r>
                            <w:r w:rsidRPr="00197DFB">
                              <w:rPr>
                                <w:rFonts w:ascii="標楷體" w:eastAsia="標楷體" w:hAnsi="標楷體" w:hint="eastAsia"/>
                                <w:color w:val="000000" w:themeColor="text1"/>
                                <w:spacing w:val="2"/>
                                <w:sz w:val="20"/>
                              </w:rPr>
                              <w:t>（T</w:t>
                            </w:r>
                            <w:r w:rsidRPr="00197DFB">
                              <w:rPr>
                                <w:rFonts w:ascii="標楷體" w:eastAsia="標楷體" w:hAnsi="標楷體"/>
                                <w:color w:val="000000" w:themeColor="text1"/>
                                <w:spacing w:val="2"/>
                                <w:sz w:val="20"/>
                              </w:rPr>
                              <w:t>he Payment Systems Regulator, PSR</w:t>
                            </w:r>
                            <w:r w:rsidRPr="00197DFB">
                              <w:rPr>
                                <w:rFonts w:ascii="標楷體" w:eastAsia="標楷體" w:hAnsi="標楷體" w:hint="eastAsia"/>
                                <w:color w:val="000000" w:themeColor="text1"/>
                                <w:spacing w:val="2"/>
                                <w:sz w:val="20"/>
                              </w:rPr>
                              <w:t>）規定，如客戶於授權支付（A</w:t>
                            </w:r>
                            <w:r w:rsidRPr="00197DFB">
                              <w:rPr>
                                <w:rFonts w:ascii="標楷體" w:eastAsia="標楷體" w:hAnsi="標楷體"/>
                                <w:color w:val="000000" w:themeColor="text1"/>
                                <w:spacing w:val="2"/>
                                <w:sz w:val="20"/>
                              </w:rPr>
                              <w:t xml:space="preserve">uthorised Push Payment, </w:t>
                            </w:r>
                            <w:r w:rsidRPr="00197DFB">
                              <w:rPr>
                                <w:rFonts w:ascii="標楷體" w:eastAsia="標楷體" w:hAnsi="標楷體" w:hint="eastAsia"/>
                                <w:color w:val="000000" w:themeColor="text1"/>
                                <w:spacing w:val="2"/>
                                <w:sz w:val="20"/>
                              </w:rPr>
                              <w:t>APP）期間遭受詐騙，強制提供支付服務業者須賠償用戶損失。</w:t>
                            </w:r>
                          </w:p>
                        </w:tc>
                      </w:tr>
                      <w:tr w:rsidR="00197DFB" w:rsidRPr="00197DFB" w14:paraId="0863F91E" w14:textId="77777777" w:rsidTr="00E00D07">
                        <w:tc>
                          <w:tcPr>
                            <w:tcW w:w="770" w:type="dxa"/>
                            <w:vAlign w:val="center"/>
                          </w:tcPr>
                          <w:p w14:paraId="64EE092C" w14:textId="77777777" w:rsidR="00197DFB" w:rsidRPr="00197DFB" w:rsidRDefault="00197DFB" w:rsidP="00E00D07">
                            <w:pPr>
                              <w:spacing w:line="290" w:lineRule="exact"/>
                              <w:jc w:val="distribute"/>
                              <w:rPr>
                                <w:rFonts w:ascii="標楷體" w:eastAsia="標楷體" w:hAnsi="標楷體"/>
                                <w:color w:val="000000" w:themeColor="text1"/>
                                <w:spacing w:val="-30"/>
                                <w:sz w:val="20"/>
                              </w:rPr>
                            </w:pPr>
                            <w:r w:rsidRPr="00197DFB">
                              <w:rPr>
                                <w:rFonts w:ascii="標楷體" w:eastAsia="標楷體" w:hAnsi="標楷體" w:hint="eastAsia"/>
                                <w:color w:val="000000" w:themeColor="text1"/>
                                <w:spacing w:val="-30"/>
                                <w:sz w:val="20"/>
                              </w:rPr>
                              <w:t>新加坡</w:t>
                            </w:r>
                          </w:p>
                        </w:tc>
                        <w:tc>
                          <w:tcPr>
                            <w:tcW w:w="5609" w:type="dxa"/>
                            <w:vAlign w:val="center"/>
                          </w:tcPr>
                          <w:p w14:paraId="1AE2C31D" w14:textId="77777777" w:rsidR="00197DFB" w:rsidRPr="00197DFB" w:rsidRDefault="00197DFB" w:rsidP="00E00D07">
                            <w:pPr>
                              <w:widowControl/>
                              <w:overflowPunct w:val="0"/>
                              <w:spacing w:line="290" w:lineRule="exact"/>
                              <w:jc w:val="both"/>
                              <w:rPr>
                                <w:rFonts w:ascii="標楷體" w:eastAsia="標楷體" w:hAnsi="標楷體"/>
                                <w:color w:val="000000" w:themeColor="text1"/>
                                <w:sz w:val="20"/>
                              </w:rPr>
                            </w:pPr>
                            <w:r w:rsidRPr="00197DFB">
                              <w:rPr>
                                <w:rFonts w:ascii="標楷體" w:eastAsia="標楷體" w:hAnsi="標楷體" w:hint="eastAsia"/>
                                <w:color w:val="000000" w:themeColor="text1"/>
                                <w:sz w:val="20"/>
                              </w:rPr>
                              <w:t>政府要求落實網路通信服務及電子商務服務守則，並得要求指定電信及網路服務業者建立主動攔截惡意網路活動之系統，違規者視同觸犯刑事罪名。</w:t>
                            </w:r>
                          </w:p>
                        </w:tc>
                      </w:tr>
                      <w:tr w:rsidR="00197DFB" w:rsidRPr="00197DFB" w14:paraId="776F06FF" w14:textId="77777777" w:rsidTr="00E00D07">
                        <w:tc>
                          <w:tcPr>
                            <w:tcW w:w="770" w:type="dxa"/>
                            <w:tcBorders>
                              <w:bottom w:val="single" w:sz="4" w:space="0" w:color="auto"/>
                            </w:tcBorders>
                            <w:vAlign w:val="center"/>
                          </w:tcPr>
                          <w:p w14:paraId="7E58B59B" w14:textId="77777777" w:rsidR="00197DFB" w:rsidRPr="00197DFB" w:rsidRDefault="00197DFB" w:rsidP="00E00D07">
                            <w:pPr>
                              <w:spacing w:line="29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澳大</w:t>
                            </w:r>
                          </w:p>
                          <w:p w14:paraId="2C3C06FA" w14:textId="77777777" w:rsidR="00197DFB" w:rsidRPr="00197DFB" w:rsidRDefault="00197DFB" w:rsidP="00E00D07">
                            <w:pPr>
                              <w:spacing w:line="290" w:lineRule="exact"/>
                              <w:jc w:val="distribute"/>
                              <w:rPr>
                                <w:rFonts w:ascii="標楷體" w:eastAsia="標楷體" w:hAnsi="標楷體"/>
                                <w:color w:val="000000" w:themeColor="text1"/>
                                <w:sz w:val="20"/>
                              </w:rPr>
                            </w:pPr>
                            <w:r w:rsidRPr="00197DFB">
                              <w:rPr>
                                <w:rFonts w:ascii="標楷體" w:eastAsia="標楷體" w:hAnsi="標楷體" w:hint="eastAsia"/>
                                <w:color w:val="000000" w:themeColor="text1"/>
                                <w:sz w:val="20"/>
                              </w:rPr>
                              <w:t>利亞</w:t>
                            </w:r>
                          </w:p>
                        </w:tc>
                        <w:tc>
                          <w:tcPr>
                            <w:tcW w:w="5609" w:type="dxa"/>
                            <w:tcBorders>
                              <w:bottom w:val="single" w:sz="4" w:space="0" w:color="auto"/>
                            </w:tcBorders>
                            <w:vAlign w:val="center"/>
                          </w:tcPr>
                          <w:p w14:paraId="15E46E7A" w14:textId="77777777" w:rsidR="00197DFB" w:rsidRPr="00197DFB" w:rsidRDefault="00197DFB" w:rsidP="00E00D07">
                            <w:pPr>
                              <w:widowControl/>
                              <w:overflowPunct w:val="0"/>
                              <w:spacing w:line="290" w:lineRule="exact"/>
                              <w:jc w:val="both"/>
                              <w:rPr>
                                <w:rFonts w:ascii="標楷體" w:eastAsia="標楷體" w:hAnsi="標楷體"/>
                                <w:color w:val="000000" w:themeColor="text1"/>
                                <w:sz w:val="20"/>
                              </w:rPr>
                            </w:pPr>
                            <w:r w:rsidRPr="00197DFB">
                              <w:rPr>
                                <w:rFonts w:ascii="標楷體" w:eastAsia="標楷體" w:hAnsi="標楷體" w:hint="eastAsia"/>
                                <w:color w:val="000000" w:themeColor="text1"/>
                                <w:sz w:val="20"/>
                              </w:rPr>
                              <w:t>政府要求金融機構及電信、網路服務供應、社群媒體等業者合作，與權責機關建立防制電信詐騙情報共享網路，任何一方發現疑似電信詐騙行為，</w:t>
                            </w:r>
                            <w:proofErr w:type="gramStart"/>
                            <w:r w:rsidRPr="00197DFB">
                              <w:rPr>
                                <w:rFonts w:ascii="標楷體" w:eastAsia="標楷體" w:hAnsi="標楷體" w:hint="eastAsia"/>
                                <w:color w:val="000000" w:themeColor="text1"/>
                                <w:sz w:val="20"/>
                              </w:rPr>
                              <w:t>均須及時</w:t>
                            </w:r>
                            <w:proofErr w:type="gramEnd"/>
                            <w:r w:rsidRPr="00197DFB">
                              <w:rPr>
                                <w:rFonts w:ascii="標楷體" w:eastAsia="標楷體" w:hAnsi="標楷體" w:hint="eastAsia"/>
                                <w:color w:val="000000" w:themeColor="text1"/>
                                <w:sz w:val="20"/>
                              </w:rPr>
                              <w:t>報警並追蹤，未能及時攔截電信詐騙之業者可課罰。</w:t>
                            </w:r>
                          </w:p>
                        </w:tc>
                      </w:tr>
                      <w:tr w:rsidR="00197DFB" w:rsidRPr="00197DFB" w14:paraId="4F7F112D" w14:textId="77777777" w:rsidTr="00FE3F13">
                        <w:trPr>
                          <w:trHeight w:val="286"/>
                        </w:trPr>
                        <w:tc>
                          <w:tcPr>
                            <w:tcW w:w="6379" w:type="dxa"/>
                            <w:gridSpan w:val="2"/>
                            <w:tcBorders>
                              <w:top w:val="single" w:sz="4" w:space="0" w:color="auto"/>
                              <w:left w:val="nil"/>
                              <w:bottom w:val="nil"/>
                              <w:right w:val="nil"/>
                            </w:tcBorders>
                            <w:vAlign w:val="center"/>
                          </w:tcPr>
                          <w:p w14:paraId="796C6C2E" w14:textId="77777777" w:rsidR="00197DFB" w:rsidRPr="00197DFB" w:rsidRDefault="00197DFB" w:rsidP="00E00D07">
                            <w:pPr>
                              <w:widowControl/>
                              <w:overflowPunct w:val="0"/>
                              <w:spacing w:line="240" w:lineRule="exact"/>
                              <w:ind w:leftChars="-45" w:left="-108" w:rightChars="-47" w:right="-113"/>
                              <w:jc w:val="both"/>
                              <w:rPr>
                                <w:rFonts w:ascii="標楷體" w:eastAsia="標楷體" w:hAnsi="標楷體"/>
                                <w:color w:val="000000" w:themeColor="text1"/>
                                <w:sz w:val="20"/>
                              </w:rPr>
                            </w:pPr>
                            <w:r w:rsidRPr="00197DFB">
                              <w:rPr>
                                <w:rFonts w:ascii="標楷體" w:eastAsia="標楷體" w:hAnsi="標楷體" w:hint="eastAsia"/>
                                <w:color w:val="000000" w:themeColor="text1"/>
                                <w:sz w:val="18"/>
                                <w:szCs w:val="18"/>
                              </w:rPr>
                              <w:t>資料來源：整理自經濟部國際貿易署113年9月4日商情訊息及相關媒體報導。</w:t>
                            </w:r>
                          </w:p>
                        </w:tc>
                      </w:tr>
                    </w:tbl>
                    <w:p w14:paraId="58C2DDE9" w14:textId="77777777" w:rsidR="00197DFB" w:rsidRPr="00197DFB" w:rsidRDefault="00197DFB" w:rsidP="00197DFB">
                      <w:pPr>
                        <w:rPr>
                          <w:rFonts w:ascii="標楷體" w:eastAsia="標楷體" w:hAnsi="標楷體"/>
                        </w:rPr>
                      </w:pPr>
                    </w:p>
                  </w:txbxContent>
                </v:textbox>
                <w10:wrap type="square"/>
              </v:shape>
            </w:pict>
          </mc:Fallback>
        </mc:AlternateContent>
      </w:r>
      <w:r w:rsidR="00197DFB" w:rsidRPr="00197DFB">
        <w:rPr>
          <w:rFonts w:ascii="標楷體" w:eastAsia="標楷體" w:hAnsi="標楷體" w:hint="eastAsia"/>
          <w:snapToGrid w:val="0"/>
          <w:lang w:val="x-none"/>
        </w:rPr>
        <w:t>身分後始能應對等措施；至有關高齡者易遭受之電信詐騙，英國、新加坡及澳大利亞等國亦已發布防制電信詐騙相關法規以為因應（表</w:t>
      </w:r>
      <w:r w:rsidR="00657EA3">
        <w:rPr>
          <w:rFonts w:ascii="標楷體" w:eastAsia="標楷體" w:hAnsi="標楷體" w:hint="eastAsia"/>
          <w:snapToGrid w:val="0"/>
          <w:lang w:val="x-none"/>
        </w:rPr>
        <w:t>11</w:t>
      </w:r>
      <w:r w:rsidR="00197DFB" w:rsidRPr="00197DFB">
        <w:rPr>
          <w:rFonts w:ascii="標楷體" w:eastAsia="標楷體" w:hAnsi="標楷體" w:hint="eastAsia"/>
          <w:snapToGrid w:val="0"/>
          <w:lang w:val="x-none"/>
        </w:rPr>
        <w:t>），殊值我國優化相關施政措施之借鏡。經函請行政院督促各權責機關針對高齡者接觸詐欺訊息管道，審酌長者認知能力衰退兼具相當資產之特質，參考先進國家實務，妥謀友善高齡者之因應對策，並輔以成果型指標衡量績效，</w:t>
      </w:r>
      <w:proofErr w:type="gramStart"/>
      <w:r w:rsidR="00197DFB" w:rsidRPr="00197DFB">
        <w:rPr>
          <w:rFonts w:ascii="標楷體" w:eastAsia="標楷體" w:hAnsi="標楷體" w:hint="eastAsia"/>
          <w:snapToGrid w:val="0"/>
          <w:lang w:val="x-none"/>
        </w:rPr>
        <w:t>俾</w:t>
      </w:r>
      <w:proofErr w:type="gramEnd"/>
      <w:r w:rsidR="00197DFB" w:rsidRPr="00197DFB">
        <w:rPr>
          <w:rFonts w:ascii="標楷體" w:eastAsia="標楷體" w:hAnsi="標楷體" w:hint="eastAsia"/>
          <w:snapToGrid w:val="0"/>
          <w:lang w:val="x-none"/>
        </w:rPr>
        <w:t>有效防堵高齡金融詐欺（剝削）案件發生。據復：已針對高齡族群</w:t>
      </w:r>
      <w:proofErr w:type="gramStart"/>
      <w:r w:rsidR="00197DFB" w:rsidRPr="00197DFB">
        <w:rPr>
          <w:rFonts w:ascii="標楷體" w:eastAsia="標楷體" w:hAnsi="標楷體" w:hint="eastAsia"/>
          <w:snapToGrid w:val="0"/>
          <w:lang w:val="x-none"/>
        </w:rPr>
        <w:t>不</w:t>
      </w:r>
      <w:proofErr w:type="gramEnd"/>
      <w:r w:rsidR="00197DFB" w:rsidRPr="00197DFB">
        <w:rPr>
          <w:rFonts w:ascii="標楷體" w:eastAsia="標楷體" w:hAnsi="標楷體" w:hint="eastAsia"/>
          <w:snapToGrid w:val="0"/>
          <w:lang w:val="x-none"/>
        </w:rPr>
        <w:t>擅使用網路、出入場所固定等特性，規劃因應措施，避免高齡者遭詐欺危害。</w:t>
      </w:r>
    </w:p>
    <w:p w14:paraId="22A40DA1" w14:textId="265356B5" w:rsidR="00693D1C" w:rsidRDefault="00122919" w:rsidP="00DA7738">
      <w:pPr>
        <w:overflowPunct w:val="0"/>
        <w:spacing w:line="430" w:lineRule="exact"/>
        <w:ind w:firstLineChars="450" w:firstLine="1117"/>
        <w:jc w:val="both"/>
        <w:rPr>
          <w:rFonts w:ascii="標楷體" w:eastAsia="標楷體" w:hAnsi="標楷體"/>
          <w:color w:val="000000" w:themeColor="text1"/>
          <w:kern w:val="0"/>
          <w:szCs w:val="24"/>
        </w:rPr>
      </w:pPr>
      <w:r w:rsidRPr="004D7C92">
        <w:rPr>
          <w:rFonts w:ascii="標楷體" w:eastAsia="標楷體" w:hAnsi="標楷體" w:cs="新細明體"/>
          <w:b/>
          <w:bCs/>
          <w:color w:val="000000" w:themeColor="text1"/>
          <w:spacing w:val="4"/>
          <w:szCs w:val="24"/>
        </w:rPr>
        <w:t xml:space="preserve">6.　</w:t>
      </w:r>
      <w:r w:rsidR="003812CC" w:rsidRPr="003812CC">
        <w:rPr>
          <w:rFonts w:ascii="標楷體" w:eastAsia="標楷體" w:hAnsi="標楷體" w:cs="新細明體" w:hint="eastAsia"/>
          <w:b/>
          <w:bCs/>
          <w:color w:val="000000" w:themeColor="text1"/>
          <w:spacing w:val="4"/>
          <w:szCs w:val="24"/>
        </w:rPr>
        <w:t>政府為防制求職詐欺已加強宣導，惟受騙案件數仍呈成長趨勢，允宜整合跨部會資源並妥為規劃，聚焦求職詐騙進化特性與新興發展趨勢，</w:t>
      </w:r>
      <w:proofErr w:type="gramStart"/>
      <w:r w:rsidR="003812CC" w:rsidRPr="003812CC">
        <w:rPr>
          <w:rFonts w:ascii="標楷體" w:eastAsia="標楷體" w:hAnsi="標楷體" w:cs="新細明體" w:hint="eastAsia"/>
          <w:b/>
          <w:bCs/>
          <w:color w:val="000000" w:themeColor="text1"/>
          <w:spacing w:val="4"/>
          <w:szCs w:val="24"/>
        </w:rPr>
        <w:t>研謀防</w:t>
      </w:r>
      <w:proofErr w:type="gramEnd"/>
      <w:r w:rsidR="003812CC" w:rsidRPr="003812CC">
        <w:rPr>
          <w:rFonts w:ascii="標楷體" w:eastAsia="標楷體" w:hAnsi="標楷體" w:cs="新細明體" w:hint="eastAsia"/>
          <w:b/>
          <w:bCs/>
          <w:color w:val="000000" w:themeColor="text1"/>
          <w:spacing w:val="4"/>
          <w:szCs w:val="24"/>
        </w:rPr>
        <w:t>救措施，以</w:t>
      </w:r>
      <w:proofErr w:type="gramStart"/>
      <w:r w:rsidR="003812CC" w:rsidRPr="003812CC">
        <w:rPr>
          <w:rFonts w:ascii="標楷體" w:eastAsia="標楷體" w:hAnsi="標楷體" w:cs="新細明體" w:hint="eastAsia"/>
          <w:b/>
          <w:bCs/>
          <w:color w:val="000000" w:themeColor="text1"/>
          <w:spacing w:val="4"/>
          <w:szCs w:val="24"/>
        </w:rPr>
        <w:t>有效抑減</w:t>
      </w:r>
      <w:proofErr w:type="gramEnd"/>
      <w:r w:rsidR="003812CC" w:rsidRPr="003812CC">
        <w:rPr>
          <w:rFonts w:ascii="標楷體" w:eastAsia="標楷體" w:hAnsi="標楷體" w:cs="新細明體" w:hint="eastAsia"/>
          <w:b/>
          <w:bCs/>
          <w:color w:val="000000" w:themeColor="text1"/>
          <w:spacing w:val="4"/>
          <w:szCs w:val="24"/>
        </w:rPr>
        <w:t>求職詐騙案件與危害程度：</w:t>
      </w:r>
      <w:r w:rsidR="003812CC" w:rsidRPr="003812CC">
        <w:rPr>
          <w:rFonts w:ascii="標楷體" w:eastAsia="標楷體" w:hAnsi="標楷體" w:cs="新細明體" w:hint="eastAsia"/>
          <w:color w:val="000000" w:themeColor="text1"/>
          <w:spacing w:val="4"/>
          <w:szCs w:val="24"/>
        </w:rPr>
        <w:t>依美國身分竊盜資源中心（</w:t>
      </w:r>
      <w:r w:rsidR="003812CC" w:rsidRPr="003812CC">
        <w:rPr>
          <w:rFonts w:ascii="標楷體" w:eastAsia="標楷體" w:hAnsi="標楷體" w:cs="新細明體"/>
          <w:color w:val="000000" w:themeColor="text1"/>
          <w:spacing w:val="4"/>
          <w:szCs w:val="24"/>
        </w:rPr>
        <w:t xml:space="preserve">Identity Theft Resource Center, </w:t>
      </w:r>
      <w:r w:rsidR="003812CC" w:rsidRPr="003812CC">
        <w:rPr>
          <w:rFonts w:ascii="標楷體" w:eastAsia="標楷體" w:hAnsi="標楷體" w:cs="新細明體" w:hint="eastAsia"/>
          <w:color w:val="000000" w:themeColor="text1"/>
          <w:spacing w:val="4"/>
          <w:szCs w:val="24"/>
        </w:rPr>
        <w:t>ITRC）於2024年6月發布報告載述，美國2023年總詐騙案件數較2022年下降18個百分點，求職詐騙</w:t>
      </w:r>
      <w:proofErr w:type="gramStart"/>
      <w:r w:rsidR="003812CC" w:rsidRPr="003812CC">
        <w:rPr>
          <w:rFonts w:ascii="標楷體" w:eastAsia="標楷體" w:hAnsi="標楷體" w:cs="新細明體" w:hint="eastAsia"/>
          <w:color w:val="000000" w:themeColor="text1"/>
          <w:spacing w:val="4"/>
          <w:szCs w:val="24"/>
        </w:rPr>
        <w:t>案件數反激增</w:t>
      </w:r>
      <w:proofErr w:type="gramEnd"/>
      <w:r w:rsidR="003812CC" w:rsidRPr="003812CC">
        <w:rPr>
          <w:rFonts w:ascii="標楷體" w:eastAsia="標楷體" w:hAnsi="標楷體" w:cs="新細明體" w:hint="eastAsia"/>
          <w:color w:val="000000" w:themeColor="text1"/>
          <w:spacing w:val="4"/>
          <w:szCs w:val="24"/>
        </w:rPr>
        <w:t>118個百分點。又近期屢有國人求職遭誘騙赴柬埔寨等國從事電信詐騙等不法活動遭拘捕、被限制人身自由或</w:t>
      </w:r>
      <w:proofErr w:type="gramStart"/>
      <w:r w:rsidR="003812CC" w:rsidRPr="003812CC">
        <w:rPr>
          <w:rFonts w:ascii="標楷體" w:eastAsia="標楷體" w:hAnsi="標楷體" w:cs="新細明體" w:hint="eastAsia"/>
          <w:color w:val="000000" w:themeColor="text1"/>
          <w:spacing w:val="4"/>
          <w:szCs w:val="24"/>
        </w:rPr>
        <w:t>失聯暨境外</w:t>
      </w:r>
      <w:proofErr w:type="gramEnd"/>
      <w:r w:rsidR="003812CC" w:rsidRPr="003812CC">
        <w:rPr>
          <w:rFonts w:ascii="標楷體" w:eastAsia="標楷體" w:hAnsi="標楷體" w:cs="新細明體" w:hint="eastAsia"/>
          <w:color w:val="000000" w:themeColor="text1"/>
          <w:spacing w:val="4"/>
          <w:szCs w:val="24"/>
        </w:rPr>
        <w:t>求職受騙求援等案件</w:t>
      </w:r>
      <w:proofErr w:type="gramStart"/>
      <w:r w:rsidR="003812CC" w:rsidRPr="003812CC">
        <w:rPr>
          <w:rFonts w:ascii="標楷體" w:eastAsia="標楷體" w:hAnsi="標楷體" w:cs="新細明體" w:hint="eastAsia"/>
          <w:color w:val="000000" w:themeColor="text1"/>
          <w:spacing w:val="4"/>
          <w:szCs w:val="24"/>
        </w:rPr>
        <w:t>數均呈成長</w:t>
      </w:r>
      <w:proofErr w:type="gramEnd"/>
      <w:r w:rsidR="003812CC" w:rsidRPr="003812CC">
        <w:rPr>
          <w:rFonts w:ascii="標楷體" w:eastAsia="標楷體" w:hAnsi="標楷體" w:cs="新細明體" w:hint="eastAsia"/>
          <w:color w:val="000000" w:themeColor="text1"/>
          <w:spacing w:val="4"/>
          <w:szCs w:val="24"/>
        </w:rPr>
        <w:t>趨勢。我國為防制求職詐騙，雖推動</w:t>
      </w:r>
      <w:proofErr w:type="gramStart"/>
      <w:r w:rsidR="003812CC" w:rsidRPr="003812CC">
        <w:rPr>
          <w:rFonts w:ascii="標楷體" w:eastAsia="標楷體" w:hAnsi="標楷體" w:cs="新細明體" w:hint="eastAsia"/>
          <w:color w:val="000000" w:themeColor="text1"/>
          <w:spacing w:val="4"/>
          <w:szCs w:val="24"/>
        </w:rPr>
        <w:t>打詐綱領</w:t>
      </w:r>
      <w:proofErr w:type="gramEnd"/>
      <w:r w:rsidR="003812CC" w:rsidRPr="003812CC">
        <w:rPr>
          <w:rFonts w:ascii="標楷體" w:eastAsia="標楷體" w:hAnsi="標楷體" w:cs="新細明體" w:hint="eastAsia"/>
          <w:color w:val="000000" w:themeColor="text1"/>
          <w:spacing w:val="4"/>
          <w:szCs w:val="24"/>
        </w:rPr>
        <w:t>1.5版加強宣導，惟尚未以跨部會多元資源整合方式，妥為規劃於潛在受騙人機場搭機前及時攔阻、搭機中求救支援、受騙後營救協助，或</w:t>
      </w:r>
      <w:proofErr w:type="gramStart"/>
      <w:r w:rsidR="003812CC" w:rsidRPr="003812CC">
        <w:rPr>
          <w:rFonts w:ascii="標楷體" w:eastAsia="標楷體" w:hAnsi="標楷體" w:cs="新細明體" w:hint="eastAsia"/>
          <w:color w:val="000000" w:themeColor="text1"/>
          <w:spacing w:val="4"/>
          <w:szCs w:val="24"/>
        </w:rPr>
        <w:t>研</w:t>
      </w:r>
      <w:proofErr w:type="gramEnd"/>
      <w:r w:rsidR="003812CC" w:rsidRPr="003812CC">
        <w:rPr>
          <w:rFonts w:ascii="標楷體" w:eastAsia="標楷體" w:hAnsi="標楷體" w:cs="新細明體" w:hint="eastAsia"/>
          <w:color w:val="000000" w:themeColor="text1"/>
          <w:spacing w:val="4"/>
          <w:szCs w:val="24"/>
        </w:rPr>
        <w:t>議修正就業服務法增訂規範，要求網路平</w:t>
      </w:r>
      <w:proofErr w:type="gramStart"/>
      <w:r w:rsidR="003812CC" w:rsidRPr="003812CC">
        <w:rPr>
          <w:rFonts w:ascii="標楷體" w:eastAsia="標楷體" w:hAnsi="標楷體" w:cs="新細明體" w:hint="eastAsia"/>
          <w:color w:val="000000" w:themeColor="text1"/>
          <w:spacing w:val="4"/>
          <w:szCs w:val="24"/>
        </w:rPr>
        <w:t>臺</w:t>
      </w:r>
      <w:proofErr w:type="gramEnd"/>
      <w:r w:rsidR="003812CC" w:rsidRPr="003812CC">
        <w:rPr>
          <w:rFonts w:ascii="標楷體" w:eastAsia="標楷體" w:hAnsi="標楷體" w:cs="新細明體" w:hint="eastAsia"/>
          <w:color w:val="000000" w:themeColor="text1"/>
          <w:spacing w:val="4"/>
          <w:szCs w:val="24"/>
        </w:rPr>
        <w:t>業者發現異常求職廣告或未符規定者，予以限制瀏覽或移除等防制措施，暨對於被害人輔導協助及補償等機制，並設置對應之績效衡量指標，不利防制境內、外求職詐騙及事後補救。</w:t>
      </w:r>
      <w:proofErr w:type="gramStart"/>
      <w:r w:rsidR="003812CC" w:rsidRPr="003812CC">
        <w:rPr>
          <w:rFonts w:ascii="標楷體" w:eastAsia="標楷體" w:hAnsi="標楷體" w:cs="新細明體" w:hint="eastAsia"/>
          <w:color w:val="000000" w:themeColor="text1"/>
          <w:spacing w:val="4"/>
          <w:szCs w:val="24"/>
        </w:rPr>
        <w:t>鑑</w:t>
      </w:r>
      <w:proofErr w:type="gramEnd"/>
      <w:r w:rsidR="003812CC" w:rsidRPr="003812CC">
        <w:rPr>
          <w:rFonts w:ascii="標楷體" w:eastAsia="標楷體" w:hAnsi="標楷體" w:cs="新細明體" w:hint="eastAsia"/>
          <w:color w:val="000000" w:themeColor="text1"/>
          <w:spacing w:val="4"/>
          <w:szCs w:val="24"/>
        </w:rPr>
        <w:t>於世界經濟論壇（WEF）於2025年1月發布之「2025全球風險報告」（The Global Risks Report 2025），載列「錯誤訊息及假消息之傳播」分居短期（2年）、長期（10年）風險之第1位與第5位（表</w:t>
      </w:r>
      <w:r w:rsidR="003812CC">
        <w:rPr>
          <w:rFonts w:ascii="標楷體" w:eastAsia="標楷體" w:hAnsi="標楷體" w:cs="新細明體" w:hint="eastAsia"/>
          <w:color w:val="000000" w:themeColor="text1"/>
          <w:spacing w:val="4"/>
          <w:szCs w:val="24"/>
        </w:rPr>
        <w:t>12</w:t>
      </w:r>
      <w:r w:rsidR="003812CC" w:rsidRPr="003812CC">
        <w:rPr>
          <w:rFonts w:ascii="標楷體" w:eastAsia="標楷體" w:hAnsi="標楷體" w:cs="新細明體" w:hint="eastAsia"/>
          <w:color w:val="000000" w:themeColor="text1"/>
          <w:spacing w:val="4"/>
          <w:szCs w:val="24"/>
        </w:rPr>
        <w:t>），並敘明人工智慧（</w:t>
      </w:r>
      <w:r w:rsidR="003812CC" w:rsidRPr="003812CC">
        <w:rPr>
          <w:rFonts w:ascii="標楷體" w:eastAsia="標楷體" w:hAnsi="標楷體" w:cs="新細明體"/>
          <w:color w:val="000000" w:themeColor="text1"/>
          <w:spacing w:val="4"/>
          <w:szCs w:val="24"/>
        </w:rPr>
        <w:t>A</w:t>
      </w:r>
      <w:r w:rsidR="003812CC" w:rsidRPr="003812CC">
        <w:rPr>
          <w:rFonts w:ascii="標楷體" w:eastAsia="標楷體" w:hAnsi="標楷體" w:cs="新細明體" w:hint="eastAsia"/>
          <w:color w:val="000000" w:themeColor="text1"/>
          <w:spacing w:val="4"/>
          <w:szCs w:val="24"/>
        </w:rPr>
        <w:t xml:space="preserve">rtificial </w:t>
      </w:r>
      <w:r w:rsidR="003812CC" w:rsidRPr="003812CC">
        <w:rPr>
          <w:rFonts w:ascii="標楷體" w:eastAsia="標楷體" w:hAnsi="標楷體" w:cs="新細明體"/>
          <w:color w:val="000000" w:themeColor="text1"/>
          <w:spacing w:val="4"/>
          <w:szCs w:val="24"/>
        </w:rPr>
        <w:t>I</w:t>
      </w:r>
      <w:r w:rsidR="003812CC" w:rsidRPr="003812CC">
        <w:rPr>
          <w:rFonts w:ascii="標楷體" w:eastAsia="標楷體" w:hAnsi="標楷體" w:cs="新細明體" w:hint="eastAsia"/>
          <w:color w:val="000000" w:themeColor="text1"/>
          <w:spacing w:val="4"/>
          <w:szCs w:val="24"/>
        </w:rPr>
        <w:t>ntelligence,</w:t>
      </w:r>
      <w:r w:rsidR="003812CC" w:rsidRPr="003812CC">
        <w:rPr>
          <w:rFonts w:ascii="標楷體" w:eastAsia="標楷體" w:hAnsi="標楷體" w:cs="新細明體"/>
          <w:color w:val="000000" w:themeColor="text1"/>
          <w:spacing w:val="4"/>
          <w:szCs w:val="24"/>
        </w:rPr>
        <w:t xml:space="preserve"> </w:t>
      </w:r>
      <w:r w:rsidR="003812CC" w:rsidRPr="003812CC">
        <w:rPr>
          <w:rFonts w:ascii="標楷體" w:eastAsia="標楷體" w:hAnsi="標楷體" w:cs="新細明體" w:hint="eastAsia"/>
          <w:color w:val="000000" w:themeColor="text1"/>
          <w:spacing w:val="4"/>
          <w:szCs w:val="24"/>
        </w:rPr>
        <w:t>AI）技術發展加劇虛假訊息之傳播，顯示詐欺資訊氾濫引發之負面影響，廣</w:t>
      </w:r>
      <w:r w:rsidR="003812CC" w:rsidRPr="003812CC">
        <w:rPr>
          <w:rFonts w:ascii="標楷體" w:eastAsia="標楷體" w:hAnsi="標楷體" w:cs="新細明體"/>
          <w:noProof/>
          <w:color w:val="000000" w:themeColor="text1"/>
          <w:spacing w:val="4"/>
          <w:szCs w:val="24"/>
        </w:rPr>
        <w:lastRenderedPageBreak/>
        <mc:AlternateContent>
          <mc:Choice Requires="wps">
            <w:drawing>
              <wp:anchor distT="45720" distB="45720" distL="114300" distR="114300" simplePos="0" relativeHeight="251641856" behindDoc="0" locked="0" layoutInCell="1" allowOverlap="1" wp14:anchorId="4FD2DC9D" wp14:editId="6F39045D">
                <wp:simplePos x="0" y="0"/>
                <wp:positionH relativeFrom="column">
                  <wp:posOffset>2879725</wp:posOffset>
                </wp:positionH>
                <wp:positionV relativeFrom="paragraph">
                  <wp:posOffset>39370</wp:posOffset>
                </wp:positionV>
                <wp:extent cx="3422650" cy="3441700"/>
                <wp:effectExtent l="0" t="0" r="0" b="635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0" cy="3441700"/>
                        </a:xfrm>
                        <a:prstGeom prst="rect">
                          <a:avLst/>
                        </a:prstGeom>
                        <a:noFill/>
                        <a:ln w="9525">
                          <a:noFill/>
                          <a:miter lim="800000"/>
                          <a:headEnd/>
                          <a:tailEnd/>
                        </a:ln>
                      </wps:spPr>
                      <wps:txbx>
                        <w:txbxContent>
                          <w:p w14:paraId="6C84744A" w14:textId="77777777" w:rsidR="003812CC" w:rsidRPr="003812CC" w:rsidRDefault="003812CC" w:rsidP="003812CC">
                            <w:pPr>
                              <w:spacing w:line="20" w:lineRule="exact"/>
                              <w:rPr>
                                <w:rFonts w:ascii="標楷體" w:eastAsia="標楷體" w:hAnsi="標楷體"/>
                              </w:rPr>
                            </w:pPr>
                          </w:p>
                          <w:tbl>
                            <w:tblPr>
                              <w:tblStyle w:val="afff"/>
                              <w:tblW w:w="0" w:type="auto"/>
                              <w:tblLook w:val="04A0" w:firstRow="1" w:lastRow="0" w:firstColumn="1" w:lastColumn="0" w:noHBand="0" w:noVBand="1"/>
                            </w:tblPr>
                            <w:tblGrid>
                              <w:gridCol w:w="562"/>
                              <w:gridCol w:w="2268"/>
                              <w:gridCol w:w="2268"/>
                            </w:tblGrid>
                            <w:tr w:rsidR="003812CC" w:rsidRPr="003812CC" w14:paraId="0D3FCAF3" w14:textId="77777777" w:rsidTr="001136FD">
                              <w:tc>
                                <w:tcPr>
                                  <w:tcW w:w="5098" w:type="dxa"/>
                                  <w:gridSpan w:val="3"/>
                                  <w:tcBorders>
                                    <w:top w:val="nil"/>
                                    <w:left w:val="nil"/>
                                    <w:bottom w:val="single" w:sz="4" w:space="0" w:color="auto"/>
                                    <w:right w:val="nil"/>
                                  </w:tcBorders>
                                </w:tcPr>
                                <w:p w14:paraId="306E29A1" w14:textId="1063716E" w:rsidR="003812CC" w:rsidRPr="003812CC" w:rsidRDefault="003812CC" w:rsidP="005D3AEC">
                                  <w:pPr>
                                    <w:widowControl/>
                                    <w:spacing w:line="260" w:lineRule="exact"/>
                                    <w:ind w:left="781" w:hangingChars="325" w:hanging="781"/>
                                    <w:rPr>
                                      <w:rFonts w:ascii="標楷體" w:eastAsia="標楷體" w:hAnsi="標楷體"/>
                                      <w:b/>
                                      <w:noProof/>
                                      <w:color w:val="000000" w:themeColor="text1"/>
                                    </w:rPr>
                                  </w:pPr>
                                  <w:r w:rsidRPr="003812CC">
                                    <w:rPr>
                                      <w:rFonts w:ascii="標楷體" w:eastAsia="標楷體" w:hAnsi="標楷體" w:hint="eastAsia"/>
                                      <w:b/>
                                      <w:noProof/>
                                      <w:color w:val="000000" w:themeColor="text1"/>
                                    </w:rPr>
                                    <w:t>表</w:t>
                                  </w:r>
                                  <w:r>
                                    <w:rPr>
                                      <w:rFonts w:ascii="標楷體" w:eastAsia="標楷體" w:hAnsi="標楷體" w:hint="eastAsia"/>
                                      <w:b/>
                                      <w:noProof/>
                                      <w:color w:val="000000" w:themeColor="text1"/>
                                    </w:rPr>
                                    <w:t>1</w:t>
                                  </w:r>
                                  <w:r>
                                    <w:rPr>
                                      <w:rFonts w:ascii="標楷體" w:eastAsia="標楷體" w:hAnsi="標楷體"/>
                                      <w:b/>
                                      <w:noProof/>
                                      <w:color w:val="000000" w:themeColor="text1"/>
                                    </w:rPr>
                                    <w:t>2</w:t>
                                  </w:r>
                                  <w:r w:rsidRPr="003812CC">
                                    <w:rPr>
                                      <w:rFonts w:ascii="標楷體" w:eastAsia="標楷體" w:hAnsi="標楷體" w:hint="eastAsia"/>
                                      <w:b/>
                                      <w:noProof/>
                                      <w:color w:val="000000" w:themeColor="text1"/>
                                    </w:rPr>
                                    <w:t xml:space="preserve">  </w:t>
                                  </w:r>
                                  <w:r w:rsidR="005D3AEC" w:rsidRPr="005D3AEC">
                                    <w:rPr>
                                      <w:rFonts w:ascii="標楷體" w:eastAsia="標楷體" w:hAnsi="標楷體" w:hint="eastAsia"/>
                                      <w:b/>
                                      <w:noProof/>
                                      <w:color w:val="000000" w:themeColor="text1"/>
                                    </w:rPr>
                                    <w:t>世界經濟論壇「2025全球風險報告」載列全球短期與長期風險排名</w:t>
                                  </w:r>
                                </w:p>
                              </w:tc>
                            </w:tr>
                            <w:tr w:rsidR="003812CC" w:rsidRPr="003812CC" w14:paraId="0DEF99EA" w14:textId="77777777" w:rsidTr="002C6D47">
                              <w:trPr>
                                <w:trHeight w:hRule="exact" w:val="397"/>
                              </w:trPr>
                              <w:tc>
                                <w:tcPr>
                                  <w:tcW w:w="562" w:type="dxa"/>
                                  <w:tcBorders>
                                    <w:top w:val="single" w:sz="4" w:space="0" w:color="auto"/>
                                  </w:tcBorders>
                                  <w:vAlign w:val="center"/>
                                </w:tcPr>
                                <w:p w14:paraId="63598E5D" w14:textId="77777777" w:rsidR="003812CC" w:rsidRPr="003812CC" w:rsidRDefault="003812CC" w:rsidP="005437F6">
                                  <w:pPr>
                                    <w:spacing w:line="200" w:lineRule="exact"/>
                                    <w:ind w:leftChars="-80" w:rightChars="-78" w:right="-187" w:hangingChars="96" w:hanging="192"/>
                                    <w:jc w:val="center"/>
                                    <w:rPr>
                                      <w:rFonts w:ascii="標楷體" w:eastAsia="標楷體" w:hAnsi="標楷體"/>
                                      <w:noProof/>
                                      <w:color w:val="000000" w:themeColor="text1"/>
                                      <w:sz w:val="20"/>
                                    </w:rPr>
                                  </w:pPr>
                                  <w:r w:rsidRPr="003812CC">
                                    <w:rPr>
                                      <w:rFonts w:ascii="標楷體" w:eastAsia="標楷體" w:hAnsi="標楷體" w:hint="eastAsia"/>
                                      <w:color w:val="000000" w:themeColor="text1"/>
                                      <w:kern w:val="0"/>
                                      <w:sz w:val="20"/>
                                    </w:rPr>
                                    <w:t>排序</w:t>
                                  </w:r>
                                </w:p>
                              </w:tc>
                              <w:tc>
                                <w:tcPr>
                                  <w:tcW w:w="2268" w:type="dxa"/>
                                  <w:tcBorders>
                                    <w:top w:val="single" w:sz="4" w:space="0" w:color="auto"/>
                                    <w:right w:val="single" w:sz="4" w:space="0" w:color="auto"/>
                                  </w:tcBorders>
                                  <w:vAlign w:val="center"/>
                                </w:tcPr>
                                <w:p w14:paraId="7DB76790" w14:textId="77777777" w:rsidR="003812CC" w:rsidRPr="003812CC" w:rsidRDefault="003812CC" w:rsidP="005437F6">
                                  <w:pPr>
                                    <w:spacing w:line="200" w:lineRule="exact"/>
                                    <w:ind w:left="-80"/>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2年短期風險</w:t>
                                  </w:r>
                                </w:p>
                              </w:tc>
                              <w:tc>
                                <w:tcPr>
                                  <w:tcW w:w="2268" w:type="dxa"/>
                                  <w:tcBorders>
                                    <w:top w:val="single" w:sz="4" w:space="0" w:color="auto"/>
                                    <w:left w:val="single" w:sz="4" w:space="0" w:color="auto"/>
                                  </w:tcBorders>
                                  <w:vAlign w:val="center"/>
                                </w:tcPr>
                                <w:p w14:paraId="000D0118" w14:textId="77777777" w:rsidR="003812CC" w:rsidRPr="003812CC" w:rsidRDefault="003812CC" w:rsidP="005437F6">
                                  <w:pPr>
                                    <w:spacing w:line="200" w:lineRule="exact"/>
                                    <w:ind w:left="-80"/>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10年長期風險</w:t>
                                  </w:r>
                                </w:p>
                              </w:tc>
                            </w:tr>
                            <w:tr w:rsidR="003812CC" w:rsidRPr="003812CC" w14:paraId="16C519DA" w14:textId="77777777" w:rsidTr="005D3AEC">
                              <w:trPr>
                                <w:trHeight w:val="380"/>
                              </w:trPr>
                              <w:tc>
                                <w:tcPr>
                                  <w:tcW w:w="562" w:type="dxa"/>
                                  <w:shd w:val="clear" w:color="auto" w:fill="D9D9D9" w:themeFill="background1" w:themeFillShade="D9"/>
                                  <w:vAlign w:val="center"/>
                                </w:tcPr>
                                <w:p w14:paraId="3BF04F38"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1</w:t>
                                  </w:r>
                                </w:p>
                              </w:tc>
                              <w:tc>
                                <w:tcPr>
                                  <w:tcW w:w="2268" w:type="dxa"/>
                                  <w:tcBorders>
                                    <w:right w:val="single" w:sz="4" w:space="0" w:color="auto"/>
                                  </w:tcBorders>
                                  <w:shd w:val="clear" w:color="auto" w:fill="D9D9D9" w:themeFill="background1" w:themeFillShade="D9"/>
                                  <w:vAlign w:val="center"/>
                                </w:tcPr>
                                <w:p w14:paraId="0D1BFB18" w14:textId="77777777" w:rsidR="003812CC" w:rsidRPr="003812CC" w:rsidRDefault="003812CC" w:rsidP="00FE3F13">
                                  <w:pPr>
                                    <w:spacing w:line="200" w:lineRule="exact"/>
                                    <w:ind w:left="-45"/>
                                    <w:jc w:val="both"/>
                                    <w:rPr>
                                      <w:rFonts w:ascii="標楷體" w:eastAsia="標楷體" w:hAnsi="標楷體"/>
                                      <w:noProof/>
                                      <w:color w:val="000000" w:themeColor="text1"/>
                                      <w:spacing w:val="-8"/>
                                      <w:sz w:val="20"/>
                                    </w:rPr>
                                  </w:pPr>
                                  <w:r w:rsidRPr="003812CC">
                                    <w:rPr>
                                      <w:rFonts w:ascii="標楷體" w:eastAsia="標楷體" w:hAnsi="標楷體" w:hint="eastAsia"/>
                                      <w:noProof/>
                                      <w:color w:val="000000" w:themeColor="text1"/>
                                      <w:spacing w:val="-8"/>
                                      <w:sz w:val="20"/>
                                    </w:rPr>
                                    <w:t>錯誤訊息及假消息之傳播</w:t>
                                  </w:r>
                                </w:p>
                              </w:tc>
                              <w:tc>
                                <w:tcPr>
                                  <w:tcW w:w="2268" w:type="dxa"/>
                                  <w:tcBorders>
                                    <w:left w:val="single" w:sz="4" w:space="0" w:color="auto"/>
                                  </w:tcBorders>
                                  <w:shd w:val="clear" w:color="auto" w:fill="D9D9D9" w:themeFill="background1" w:themeFillShade="D9"/>
                                  <w:vAlign w:val="center"/>
                                </w:tcPr>
                                <w:p w14:paraId="057C90A1"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極端天氣事件</w:t>
                                  </w:r>
                                </w:p>
                              </w:tc>
                            </w:tr>
                            <w:tr w:rsidR="003812CC" w:rsidRPr="003812CC" w14:paraId="2C4D798A" w14:textId="77777777" w:rsidTr="005D3AEC">
                              <w:trPr>
                                <w:trHeight w:val="499"/>
                              </w:trPr>
                              <w:tc>
                                <w:tcPr>
                                  <w:tcW w:w="562" w:type="dxa"/>
                                  <w:vAlign w:val="center"/>
                                </w:tcPr>
                                <w:p w14:paraId="227D7DDD"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2</w:t>
                                  </w:r>
                                </w:p>
                              </w:tc>
                              <w:tc>
                                <w:tcPr>
                                  <w:tcW w:w="2268" w:type="dxa"/>
                                  <w:tcBorders>
                                    <w:right w:val="single" w:sz="4" w:space="0" w:color="auto"/>
                                  </w:tcBorders>
                                  <w:vAlign w:val="center"/>
                                </w:tcPr>
                                <w:p w14:paraId="43524D91"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極端天氣事件</w:t>
                                  </w:r>
                                </w:p>
                              </w:tc>
                              <w:tc>
                                <w:tcPr>
                                  <w:tcW w:w="2268" w:type="dxa"/>
                                  <w:tcBorders>
                                    <w:left w:val="single" w:sz="4" w:space="0" w:color="auto"/>
                                  </w:tcBorders>
                                  <w:vAlign w:val="center"/>
                                </w:tcPr>
                                <w:p w14:paraId="47769C0D"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生物多樣性喪失與生態系統崩潰</w:t>
                                  </w:r>
                                </w:p>
                              </w:tc>
                            </w:tr>
                            <w:tr w:rsidR="003812CC" w:rsidRPr="003812CC" w14:paraId="27409C0F" w14:textId="77777777" w:rsidTr="002C6D47">
                              <w:trPr>
                                <w:trHeight w:hRule="exact" w:val="397"/>
                              </w:trPr>
                              <w:tc>
                                <w:tcPr>
                                  <w:tcW w:w="562" w:type="dxa"/>
                                  <w:shd w:val="clear" w:color="auto" w:fill="D9D9D9" w:themeFill="background1" w:themeFillShade="D9"/>
                                  <w:vAlign w:val="center"/>
                                </w:tcPr>
                                <w:p w14:paraId="333C5C4E"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3</w:t>
                                  </w:r>
                                </w:p>
                              </w:tc>
                              <w:tc>
                                <w:tcPr>
                                  <w:tcW w:w="2268" w:type="dxa"/>
                                  <w:tcBorders>
                                    <w:right w:val="single" w:sz="4" w:space="0" w:color="auto"/>
                                  </w:tcBorders>
                                  <w:shd w:val="clear" w:color="auto" w:fill="D9D9D9" w:themeFill="background1" w:themeFillShade="D9"/>
                                  <w:vAlign w:val="center"/>
                                </w:tcPr>
                                <w:p w14:paraId="2DADE684"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國家間之武裝衝突</w:t>
                                  </w:r>
                                </w:p>
                              </w:tc>
                              <w:tc>
                                <w:tcPr>
                                  <w:tcW w:w="2268" w:type="dxa"/>
                                  <w:tcBorders>
                                    <w:left w:val="single" w:sz="4" w:space="0" w:color="auto"/>
                                  </w:tcBorders>
                                  <w:shd w:val="clear" w:color="auto" w:fill="D9D9D9" w:themeFill="background1" w:themeFillShade="D9"/>
                                  <w:vAlign w:val="center"/>
                                </w:tcPr>
                                <w:p w14:paraId="0371290D"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地球系統發生重大變化</w:t>
                                  </w:r>
                                </w:p>
                              </w:tc>
                            </w:tr>
                            <w:tr w:rsidR="003812CC" w:rsidRPr="003812CC" w14:paraId="3F4A821A" w14:textId="77777777" w:rsidTr="002C6D47">
                              <w:trPr>
                                <w:trHeight w:hRule="exact" w:val="397"/>
                              </w:trPr>
                              <w:tc>
                                <w:tcPr>
                                  <w:tcW w:w="562" w:type="dxa"/>
                                  <w:vAlign w:val="center"/>
                                </w:tcPr>
                                <w:p w14:paraId="74AFB819"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4</w:t>
                                  </w:r>
                                </w:p>
                              </w:tc>
                              <w:tc>
                                <w:tcPr>
                                  <w:tcW w:w="2268" w:type="dxa"/>
                                  <w:tcBorders>
                                    <w:right w:val="single" w:sz="4" w:space="0" w:color="auto"/>
                                  </w:tcBorders>
                                  <w:shd w:val="clear" w:color="auto" w:fill="FFFFFF" w:themeFill="background1"/>
                                  <w:vAlign w:val="center"/>
                                </w:tcPr>
                                <w:p w14:paraId="14369052"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社會極端化</w:t>
                                  </w:r>
                                </w:p>
                              </w:tc>
                              <w:tc>
                                <w:tcPr>
                                  <w:tcW w:w="2268" w:type="dxa"/>
                                  <w:tcBorders>
                                    <w:left w:val="single" w:sz="4" w:space="0" w:color="auto"/>
                                  </w:tcBorders>
                                  <w:vAlign w:val="center"/>
                                </w:tcPr>
                                <w:p w14:paraId="0C4B495F"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自然資源短缺</w:t>
                                  </w:r>
                                </w:p>
                              </w:tc>
                            </w:tr>
                            <w:tr w:rsidR="003812CC" w:rsidRPr="003812CC" w14:paraId="1F42D5D3" w14:textId="77777777" w:rsidTr="002C6D47">
                              <w:trPr>
                                <w:trHeight w:hRule="exact" w:val="397"/>
                              </w:trPr>
                              <w:tc>
                                <w:tcPr>
                                  <w:tcW w:w="562" w:type="dxa"/>
                                  <w:shd w:val="clear" w:color="auto" w:fill="D9D9D9" w:themeFill="background1" w:themeFillShade="D9"/>
                                  <w:vAlign w:val="center"/>
                                </w:tcPr>
                                <w:p w14:paraId="286DE8F4"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5</w:t>
                                  </w:r>
                                </w:p>
                              </w:tc>
                              <w:tc>
                                <w:tcPr>
                                  <w:tcW w:w="2268" w:type="dxa"/>
                                  <w:tcBorders>
                                    <w:right w:val="single" w:sz="4" w:space="0" w:color="auto"/>
                                  </w:tcBorders>
                                  <w:shd w:val="clear" w:color="auto" w:fill="D9D9D9" w:themeFill="background1" w:themeFillShade="D9"/>
                                  <w:vAlign w:val="center"/>
                                </w:tcPr>
                                <w:p w14:paraId="1B8E9363"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網路間諜與戰爭</w:t>
                                  </w:r>
                                </w:p>
                              </w:tc>
                              <w:tc>
                                <w:tcPr>
                                  <w:tcW w:w="2268" w:type="dxa"/>
                                  <w:tcBorders>
                                    <w:left w:val="single" w:sz="4" w:space="0" w:color="auto"/>
                                  </w:tcBorders>
                                  <w:shd w:val="clear" w:color="auto" w:fill="D9D9D9" w:themeFill="background1" w:themeFillShade="D9"/>
                                  <w:vAlign w:val="center"/>
                                </w:tcPr>
                                <w:p w14:paraId="47B90007" w14:textId="77777777" w:rsidR="003812CC" w:rsidRPr="003812CC" w:rsidRDefault="003812CC" w:rsidP="00FE3F13">
                                  <w:pPr>
                                    <w:spacing w:line="200" w:lineRule="exact"/>
                                    <w:ind w:left="-45"/>
                                    <w:jc w:val="both"/>
                                    <w:rPr>
                                      <w:rFonts w:ascii="標楷體" w:eastAsia="標楷體" w:hAnsi="標楷體"/>
                                      <w:noProof/>
                                      <w:color w:val="000000" w:themeColor="text1"/>
                                      <w:spacing w:val="-8"/>
                                      <w:sz w:val="20"/>
                                    </w:rPr>
                                  </w:pPr>
                                  <w:r w:rsidRPr="003812CC">
                                    <w:rPr>
                                      <w:rFonts w:ascii="標楷體" w:eastAsia="標楷體" w:hAnsi="標楷體" w:hint="eastAsia"/>
                                      <w:noProof/>
                                      <w:color w:val="000000" w:themeColor="text1"/>
                                      <w:spacing w:val="-8"/>
                                      <w:sz w:val="20"/>
                                    </w:rPr>
                                    <w:t>錯誤訊息及假消息之傳播</w:t>
                                  </w:r>
                                </w:p>
                              </w:tc>
                            </w:tr>
                            <w:tr w:rsidR="003812CC" w:rsidRPr="003812CC" w14:paraId="0509E629" w14:textId="77777777" w:rsidTr="002C6D47">
                              <w:trPr>
                                <w:trHeight w:hRule="exact" w:val="397"/>
                              </w:trPr>
                              <w:tc>
                                <w:tcPr>
                                  <w:tcW w:w="562" w:type="dxa"/>
                                  <w:vAlign w:val="center"/>
                                </w:tcPr>
                                <w:p w14:paraId="6211CBDA"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6</w:t>
                                  </w:r>
                                </w:p>
                              </w:tc>
                              <w:tc>
                                <w:tcPr>
                                  <w:tcW w:w="2268" w:type="dxa"/>
                                  <w:tcBorders>
                                    <w:right w:val="single" w:sz="4" w:space="0" w:color="auto"/>
                                  </w:tcBorders>
                                  <w:vAlign w:val="center"/>
                                </w:tcPr>
                                <w:p w14:paraId="5FC65FFB"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環境污染</w:t>
                                  </w:r>
                                </w:p>
                              </w:tc>
                              <w:tc>
                                <w:tcPr>
                                  <w:tcW w:w="2268" w:type="dxa"/>
                                  <w:tcBorders>
                                    <w:left w:val="single" w:sz="4" w:space="0" w:color="auto"/>
                                  </w:tcBorders>
                                  <w:vAlign w:val="center"/>
                                </w:tcPr>
                                <w:p w14:paraId="585D0EB4"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A</w:t>
                                  </w:r>
                                  <w:r w:rsidRPr="003812CC">
                                    <w:rPr>
                                      <w:rFonts w:ascii="標楷體" w:eastAsia="標楷體" w:hAnsi="標楷體"/>
                                      <w:noProof/>
                                      <w:color w:val="000000" w:themeColor="text1"/>
                                      <w:sz w:val="20"/>
                                    </w:rPr>
                                    <w:t>I</w:t>
                                  </w:r>
                                  <w:r w:rsidRPr="003812CC">
                                    <w:rPr>
                                      <w:rFonts w:ascii="標楷體" w:eastAsia="標楷體" w:hAnsi="標楷體" w:hint="eastAsia"/>
                                      <w:noProof/>
                                      <w:color w:val="000000" w:themeColor="text1"/>
                                      <w:sz w:val="20"/>
                                    </w:rPr>
                                    <w:t>技術之不良後果</w:t>
                                  </w:r>
                                </w:p>
                              </w:tc>
                            </w:tr>
                            <w:tr w:rsidR="003812CC" w:rsidRPr="003812CC" w14:paraId="775FF6BC" w14:textId="77777777" w:rsidTr="002C6D47">
                              <w:trPr>
                                <w:trHeight w:hRule="exact" w:val="397"/>
                              </w:trPr>
                              <w:tc>
                                <w:tcPr>
                                  <w:tcW w:w="562" w:type="dxa"/>
                                  <w:shd w:val="clear" w:color="auto" w:fill="D9D9D9" w:themeFill="background1" w:themeFillShade="D9"/>
                                  <w:vAlign w:val="center"/>
                                </w:tcPr>
                                <w:p w14:paraId="67CF7368"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7</w:t>
                                  </w:r>
                                </w:p>
                              </w:tc>
                              <w:tc>
                                <w:tcPr>
                                  <w:tcW w:w="2268" w:type="dxa"/>
                                  <w:tcBorders>
                                    <w:right w:val="single" w:sz="4" w:space="0" w:color="auto"/>
                                  </w:tcBorders>
                                  <w:shd w:val="clear" w:color="auto" w:fill="D9D9D9" w:themeFill="background1" w:themeFillShade="D9"/>
                                  <w:vAlign w:val="center"/>
                                </w:tcPr>
                                <w:p w14:paraId="1C8B45AF"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經濟上之不平等</w:t>
                                  </w:r>
                                </w:p>
                              </w:tc>
                              <w:tc>
                                <w:tcPr>
                                  <w:tcW w:w="2268" w:type="dxa"/>
                                  <w:tcBorders>
                                    <w:left w:val="single" w:sz="4" w:space="0" w:color="auto"/>
                                  </w:tcBorders>
                                  <w:shd w:val="clear" w:color="auto" w:fill="D9D9D9" w:themeFill="background1" w:themeFillShade="D9"/>
                                  <w:vAlign w:val="center"/>
                                </w:tcPr>
                                <w:p w14:paraId="25FD0971"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經濟上之不平等</w:t>
                                  </w:r>
                                </w:p>
                              </w:tc>
                            </w:tr>
                            <w:tr w:rsidR="003812CC" w:rsidRPr="003812CC" w14:paraId="37F8D6B6" w14:textId="77777777" w:rsidTr="002C6D47">
                              <w:trPr>
                                <w:trHeight w:hRule="exact" w:val="397"/>
                              </w:trPr>
                              <w:tc>
                                <w:tcPr>
                                  <w:tcW w:w="562" w:type="dxa"/>
                                  <w:vAlign w:val="center"/>
                                </w:tcPr>
                                <w:p w14:paraId="37897D76"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8</w:t>
                                  </w:r>
                                </w:p>
                              </w:tc>
                              <w:tc>
                                <w:tcPr>
                                  <w:tcW w:w="2268" w:type="dxa"/>
                                  <w:tcBorders>
                                    <w:right w:val="single" w:sz="4" w:space="0" w:color="auto"/>
                                  </w:tcBorders>
                                  <w:vAlign w:val="center"/>
                                </w:tcPr>
                                <w:p w14:paraId="309EF8C0"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非自願性遷徙</w:t>
                                  </w:r>
                                </w:p>
                              </w:tc>
                              <w:tc>
                                <w:tcPr>
                                  <w:tcW w:w="2268" w:type="dxa"/>
                                  <w:tcBorders>
                                    <w:left w:val="single" w:sz="4" w:space="0" w:color="auto"/>
                                  </w:tcBorders>
                                  <w:vAlign w:val="center"/>
                                </w:tcPr>
                                <w:p w14:paraId="5DB9B245"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社會極端化</w:t>
                                  </w:r>
                                </w:p>
                              </w:tc>
                            </w:tr>
                            <w:tr w:rsidR="003812CC" w:rsidRPr="003812CC" w14:paraId="10634172" w14:textId="77777777" w:rsidTr="002C6D47">
                              <w:trPr>
                                <w:trHeight w:hRule="exact" w:val="397"/>
                              </w:trPr>
                              <w:tc>
                                <w:tcPr>
                                  <w:tcW w:w="562" w:type="dxa"/>
                                  <w:shd w:val="clear" w:color="auto" w:fill="D9D9D9" w:themeFill="background1" w:themeFillShade="D9"/>
                                  <w:vAlign w:val="center"/>
                                </w:tcPr>
                                <w:p w14:paraId="6051CF32"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9</w:t>
                                  </w:r>
                                </w:p>
                              </w:tc>
                              <w:tc>
                                <w:tcPr>
                                  <w:tcW w:w="2268" w:type="dxa"/>
                                  <w:tcBorders>
                                    <w:right w:val="single" w:sz="4" w:space="0" w:color="auto"/>
                                  </w:tcBorders>
                                  <w:shd w:val="clear" w:color="auto" w:fill="D9D9D9" w:themeFill="background1" w:themeFillShade="D9"/>
                                  <w:vAlign w:val="center"/>
                                </w:tcPr>
                                <w:p w14:paraId="3D868B27"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地緣經濟對抗</w:t>
                                  </w:r>
                                </w:p>
                              </w:tc>
                              <w:tc>
                                <w:tcPr>
                                  <w:tcW w:w="2268" w:type="dxa"/>
                                  <w:tcBorders>
                                    <w:left w:val="single" w:sz="4" w:space="0" w:color="auto"/>
                                  </w:tcBorders>
                                  <w:shd w:val="clear" w:color="auto" w:fill="D9D9D9" w:themeFill="background1" w:themeFillShade="D9"/>
                                  <w:vAlign w:val="center"/>
                                </w:tcPr>
                                <w:p w14:paraId="6D9536C6"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網路間諜與戰爭</w:t>
                                  </w:r>
                                </w:p>
                              </w:tc>
                            </w:tr>
                            <w:tr w:rsidR="003812CC" w:rsidRPr="003812CC" w14:paraId="7BE23BDB" w14:textId="77777777" w:rsidTr="002C6D47">
                              <w:trPr>
                                <w:trHeight w:hRule="exact" w:val="397"/>
                              </w:trPr>
                              <w:tc>
                                <w:tcPr>
                                  <w:tcW w:w="562" w:type="dxa"/>
                                  <w:tcBorders>
                                    <w:bottom w:val="single" w:sz="4" w:space="0" w:color="auto"/>
                                  </w:tcBorders>
                                  <w:vAlign w:val="center"/>
                                </w:tcPr>
                                <w:p w14:paraId="4AD25B1A"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10</w:t>
                                  </w:r>
                                </w:p>
                              </w:tc>
                              <w:tc>
                                <w:tcPr>
                                  <w:tcW w:w="2268" w:type="dxa"/>
                                  <w:tcBorders>
                                    <w:bottom w:val="single" w:sz="4" w:space="0" w:color="auto"/>
                                    <w:right w:val="single" w:sz="4" w:space="0" w:color="auto"/>
                                  </w:tcBorders>
                                  <w:vAlign w:val="center"/>
                                </w:tcPr>
                                <w:p w14:paraId="02FDC020" w14:textId="77777777" w:rsidR="003812CC" w:rsidRPr="003812CC" w:rsidRDefault="003812CC" w:rsidP="00FE3F13">
                                  <w:pPr>
                                    <w:spacing w:line="200" w:lineRule="exact"/>
                                    <w:ind w:left="-45"/>
                                    <w:jc w:val="both"/>
                                    <w:rPr>
                                      <w:rFonts w:ascii="標楷體" w:eastAsia="標楷體" w:hAnsi="標楷體"/>
                                      <w:noProof/>
                                      <w:color w:val="000000" w:themeColor="text1"/>
                                      <w:spacing w:val="-4"/>
                                      <w:sz w:val="20"/>
                                    </w:rPr>
                                  </w:pPr>
                                  <w:r w:rsidRPr="003812CC">
                                    <w:rPr>
                                      <w:rFonts w:ascii="標楷體" w:eastAsia="標楷體" w:hAnsi="標楷體" w:hint="eastAsia"/>
                                      <w:noProof/>
                                      <w:color w:val="000000" w:themeColor="text1"/>
                                      <w:spacing w:val="-4"/>
                                      <w:sz w:val="20"/>
                                    </w:rPr>
                                    <w:t>人權與/或人民自由惡化</w:t>
                                  </w:r>
                                </w:p>
                              </w:tc>
                              <w:tc>
                                <w:tcPr>
                                  <w:tcW w:w="2268" w:type="dxa"/>
                                  <w:tcBorders>
                                    <w:left w:val="single" w:sz="4" w:space="0" w:color="auto"/>
                                    <w:bottom w:val="single" w:sz="4" w:space="0" w:color="auto"/>
                                  </w:tcBorders>
                                  <w:vAlign w:val="center"/>
                                </w:tcPr>
                                <w:p w14:paraId="5BC050A2"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環境污染</w:t>
                                  </w:r>
                                </w:p>
                              </w:tc>
                            </w:tr>
                            <w:tr w:rsidR="003812CC" w:rsidRPr="003812CC" w14:paraId="13DC8F01" w14:textId="77777777" w:rsidTr="001136FD">
                              <w:tc>
                                <w:tcPr>
                                  <w:tcW w:w="5098" w:type="dxa"/>
                                  <w:gridSpan w:val="3"/>
                                  <w:tcBorders>
                                    <w:top w:val="single" w:sz="4" w:space="0" w:color="auto"/>
                                    <w:left w:val="nil"/>
                                    <w:bottom w:val="nil"/>
                                    <w:right w:val="nil"/>
                                  </w:tcBorders>
                                  <w:vAlign w:val="center"/>
                                </w:tcPr>
                                <w:p w14:paraId="311F2BB5" w14:textId="77777777" w:rsidR="003812CC" w:rsidRPr="003812CC" w:rsidRDefault="003812CC" w:rsidP="00830CC1">
                                  <w:pPr>
                                    <w:spacing w:line="260" w:lineRule="exact"/>
                                    <w:ind w:leftChars="-45" w:left="-11" w:hangingChars="54" w:hanging="97"/>
                                    <w:rPr>
                                      <w:rFonts w:ascii="標楷體" w:eastAsia="標楷體" w:hAnsi="標楷體"/>
                                      <w:noProof/>
                                      <w:color w:val="000000" w:themeColor="text1"/>
                                      <w:sz w:val="20"/>
                                    </w:rPr>
                                  </w:pPr>
                                  <w:r w:rsidRPr="003812CC">
                                    <w:rPr>
                                      <w:rFonts w:ascii="標楷體" w:eastAsia="標楷體" w:hAnsi="標楷體" w:hint="eastAsia"/>
                                      <w:color w:val="000000" w:themeColor="text1"/>
                                      <w:sz w:val="18"/>
                                      <w:szCs w:val="18"/>
                                    </w:rPr>
                                    <w:t>資料來源：擷取自世界經濟論壇「2025全球風險報告」。</w:t>
                                  </w:r>
                                </w:p>
                              </w:tc>
                            </w:tr>
                          </w:tbl>
                          <w:p w14:paraId="0F66E173" w14:textId="77777777" w:rsidR="003812CC" w:rsidRPr="003812CC" w:rsidRDefault="003812CC" w:rsidP="003812CC">
                            <w:pPr>
                              <w:spacing w:line="2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D2DC9D" id="文字方塊 10" o:spid="_x0000_s1054" type="#_x0000_t202" style="position:absolute;left:0;text-align:left;margin-left:226.75pt;margin-top:3.1pt;width:269.5pt;height:271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" filled="f" stroked="f">
                <v:textbox>
                  <w:txbxContent>
                    <w:p w14:paraId="6C84744A" w14:textId="77777777" w:rsidR="003812CC" w:rsidRPr="003812CC" w:rsidRDefault="003812CC" w:rsidP="003812CC">
                      <w:pPr>
                        <w:spacing w:line="20" w:lineRule="exact"/>
                        <w:rPr>
                          <w:rFonts w:ascii="標楷體" w:eastAsia="標楷體" w:hAnsi="標楷體"/>
                        </w:rPr>
                      </w:pPr>
                    </w:p>
                    <w:tbl>
                      <w:tblPr>
                        <w:tblStyle w:val="afff"/>
                        <w:tblW w:w="0" w:type="auto"/>
                        <w:tblLook w:val="04A0" w:firstRow="1" w:lastRow="0" w:firstColumn="1" w:lastColumn="0" w:noHBand="0" w:noVBand="1"/>
                      </w:tblPr>
                      <w:tblGrid>
                        <w:gridCol w:w="562"/>
                        <w:gridCol w:w="2268"/>
                        <w:gridCol w:w="2268"/>
                      </w:tblGrid>
                      <w:tr w:rsidR="003812CC" w:rsidRPr="003812CC" w14:paraId="0D3FCAF3" w14:textId="77777777" w:rsidTr="001136FD">
                        <w:tc>
                          <w:tcPr>
                            <w:tcW w:w="5098" w:type="dxa"/>
                            <w:gridSpan w:val="3"/>
                            <w:tcBorders>
                              <w:top w:val="nil"/>
                              <w:left w:val="nil"/>
                              <w:bottom w:val="single" w:sz="4" w:space="0" w:color="auto"/>
                              <w:right w:val="nil"/>
                            </w:tcBorders>
                          </w:tcPr>
                          <w:p w14:paraId="306E29A1" w14:textId="1063716E" w:rsidR="003812CC" w:rsidRPr="003812CC" w:rsidRDefault="003812CC" w:rsidP="005D3AEC">
                            <w:pPr>
                              <w:widowControl/>
                              <w:spacing w:line="260" w:lineRule="exact"/>
                              <w:ind w:left="781" w:hangingChars="325" w:hanging="781"/>
                              <w:rPr>
                                <w:rFonts w:ascii="標楷體" w:eastAsia="標楷體" w:hAnsi="標楷體"/>
                                <w:b/>
                                <w:noProof/>
                                <w:color w:val="000000" w:themeColor="text1"/>
                              </w:rPr>
                            </w:pPr>
                            <w:r w:rsidRPr="003812CC">
                              <w:rPr>
                                <w:rFonts w:ascii="標楷體" w:eastAsia="標楷體" w:hAnsi="標楷體" w:hint="eastAsia"/>
                                <w:b/>
                                <w:noProof/>
                                <w:color w:val="000000" w:themeColor="text1"/>
                              </w:rPr>
                              <w:t>表</w:t>
                            </w:r>
                            <w:r>
                              <w:rPr>
                                <w:rFonts w:ascii="標楷體" w:eastAsia="標楷體" w:hAnsi="標楷體" w:hint="eastAsia"/>
                                <w:b/>
                                <w:noProof/>
                                <w:color w:val="000000" w:themeColor="text1"/>
                              </w:rPr>
                              <w:t>1</w:t>
                            </w:r>
                            <w:r>
                              <w:rPr>
                                <w:rFonts w:ascii="標楷體" w:eastAsia="標楷體" w:hAnsi="標楷體"/>
                                <w:b/>
                                <w:noProof/>
                                <w:color w:val="000000" w:themeColor="text1"/>
                              </w:rPr>
                              <w:t>2</w:t>
                            </w:r>
                            <w:r w:rsidRPr="003812CC">
                              <w:rPr>
                                <w:rFonts w:ascii="標楷體" w:eastAsia="標楷體" w:hAnsi="標楷體" w:hint="eastAsia"/>
                                <w:b/>
                                <w:noProof/>
                                <w:color w:val="000000" w:themeColor="text1"/>
                              </w:rPr>
                              <w:t xml:space="preserve">  </w:t>
                            </w:r>
                            <w:r w:rsidR="005D3AEC" w:rsidRPr="005D3AEC">
                              <w:rPr>
                                <w:rFonts w:ascii="標楷體" w:eastAsia="標楷體" w:hAnsi="標楷體" w:hint="eastAsia"/>
                                <w:b/>
                                <w:noProof/>
                                <w:color w:val="000000" w:themeColor="text1"/>
                              </w:rPr>
                              <w:t>世界經濟論壇「2025全球風險報告」載列全球短期與長期風險排名</w:t>
                            </w:r>
                          </w:p>
                        </w:tc>
                      </w:tr>
                      <w:tr w:rsidR="003812CC" w:rsidRPr="003812CC" w14:paraId="0DEF99EA" w14:textId="77777777" w:rsidTr="002C6D47">
                        <w:trPr>
                          <w:trHeight w:hRule="exact" w:val="397"/>
                        </w:trPr>
                        <w:tc>
                          <w:tcPr>
                            <w:tcW w:w="562" w:type="dxa"/>
                            <w:tcBorders>
                              <w:top w:val="single" w:sz="4" w:space="0" w:color="auto"/>
                            </w:tcBorders>
                            <w:vAlign w:val="center"/>
                          </w:tcPr>
                          <w:p w14:paraId="63598E5D" w14:textId="77777777" w:rsidR="003812CC" w:rsidRPr="003812CC" w:rsidRDefault="003812CC" w:rsidP="005437F6">
                            <w:pPr>
                              <w:spacing w:line="200" w:lineRule="exact"/>
                              <w:ind w:leftChars="-80" w:rightChars="-78" w:right="-187" w:hangingChars="96" w:hanging="192"/>
                              <w:jc w:val="center"/>
                              <w:rPr>
                                <w:rFonts w:ascii="標楷體" w:eastAsia="標楷體" w:hAnsi="標楷體"/>
                                <w:noProof/>
                                <w:color w:val="000000" w:themeColor="text1"/>
                                <w:sz w:val="20"/>
                              </w:rPr>
                            </w:pPr>
                            <w:r w:rsidRPr="003812CC">
                              <w:rPr>
                                <w:rFonts w:ascii="標楷體" w:eastAsia="標楷體" w:hAnsi="標楷體" w:hint="eastAsia"/>
                                <w:color w:val="000000" w:themeColor="text1"/>
                                <w:kern w:val="0"/>
                                <w:sz w:val="20"/>
                              </w:rPr>
                              <w:t>排序</w:t>
                            </w:r>
                          </w:p>
                        </w:tc>
                        <w:tc>
                          <w:tcPr>
                            <w:tcW w:w="2268" w:type="dxa"/>
                            <w:tcBorders>
                              <w:top w:val="single" w:sz="4" w:space="0" w:color="auto"/>
                              <w:right w:val="single" w:sz="4" w:space="0" w:color="auto"/>
                            </w:tcBorders>
                            <w:vAlign w:val="center"/>
                          </w:tcPr>
                          <w:p w14:paraId="7DB76790" w14:textId="77777777" w:rsidR="003812CC" w:rsidRPr="003812CC" w:rsidRDefault="003812CC" w:rsidP="005437F6">
                            <w:pPr>
                              <w:spacing w:line="200" w:lineRule="exact"/>
                              <w:ind w:left="-80"/>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2年短期風險</w:t>
                            </w:r>
                          </w:p>
                        </w:tc>
                        <w:tc>
                          <w:tcPr>
                            <w:tcW w:w="2268" w:type="dxa"/>
                            <w:tcBorders>
                              <w:top w:val="single" w:sz="4" w:space="0" w:color="auto"/>
                              <w:left w:val="single" w:sz="4" w:space="0" w:color="auto"/>
                            </w:tcBorders>
                            <w:vAlign w:val="center"/>
                          </w:tcPr>
                          <w:p w14:paraId="000D0118" w14:textId="77777777" w:rsidR="003812CC" w:rsidRPr="003812CC" w:rsidRDefault="003812CC" w:rsidP="005437F6">
                            <w:pPr>
                              <w:spacing w:line="200" w:lineRule="exact"/>
                              <w:ind w:left="-80"/>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10年長期風險</w:t>
                            </w:r>
                          </w:p>
                        </w:tc>
                      </w:tr>
                      <w:tr w:rsidR="003812CC" w:rsidRPr="003812CC" w14:paraId="16C519DA" w14:textId="77777777" w:rsidTr="005D3AEC">
                        <w:trPr>
                          <w:trHeight w:val="380"/>
                        </w:trPr>
                        <w:tc>
                          <w:tcPr>
                            <w:tcW w:w="562" w:type="dxa"/>
                            <w:shd w:val="clear" w:color="auto" w:fill="D9D9D9" w:themeFill="background1" w:themeFillShade="D9"/>
                            <w:vAlign w:val="center"/>
                          </w:tcPr>
                          <w:p w14:paraId="3BF04F38"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1</w:t>
                            </w:r>
                          </w:p>
                        </w:tc>
                        <w:tc>
                          <w:tcPr>
                            <w:tcW w:w="2268" w:type="dxa"/>
                            <w:tcBorders>
                              <w:right w:val="single" w:sz="4" w:space="0" w:color="auto"/>
                            </w:tcBorders>
                            <w:shd w:val="clear" w:color="auto" w:fill="D9D9D9" w:themeFill="background1" w:themeFillShade="D9"/>
                            <w:vAlign w:val="center"/>
                          </w:tcPr>
                          <w:p w14:paraId="0D1BFB18" w14:textId="77777777" w:rsidR="003812CC" w:rsidRPr="003812CC" w:rsidRDefault="003812CC" w:rsidP="00FE3F13">
                            <w:pPr>
                              <w:spacing w:line="200" w:lineRule="exact"/>
                              <w:ind w:left="-45"/>
                              <w:jc w:val="both"/>
                              <w:rPr>
                                <w:rFonts w:ascii="標楷體" w:eastAsia="標楷體" w:hAnsi="標楷體"/>
                                <w:noProof/>
                                <w:color w:val="000000" w:themeColor="text1"/>
                                <w:spacing w:val="-8"/>
                                <w:sz w:val="20"/>
                              </w:rPr>
                            </w:pPr>
                            <w:r w:rsidRPr="003812CC">
                              <w:rPr>
                                <w:rFonts w:ascii="標楷體" w:eastAsia="標楷體" w:hAnsi="標楷體" w:hint="eastAsia"/>
                                <w:noProof/>
                                <w:color w:val="000000" w:themeColor="text1"/>
                                <w:spacing w:val="-8"/>
                                <w:sz w:val="20"/>
                              </w:rPr>
                              <w:t>錯誤訊息及假消息之傳播</w:t>
                            </w:r>
                          </w:p>
                        </w:tc>
                        <w:tc>
                          <w:tcPr>
                            <w:tcW w:w="2268" w:type="dxa"/>
                            <w:tcBorders>
                              <w:left w:val="single" w:sz="4" w:space="0" w:color="auto"/>
                            </w:tcBorders>
                            <w:shd w:val="clear" w:color="auto" w:fill="D9D9D9" w:themeFill="background1" w:themeFillShade="D9"/>
                            <w:vAlign w:val="center"/>
                          </w:tcPr>
                          <w:p w14:paraId="057C90A1"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極端天氣事件</w:t>
                            </w:r>
                          </w:p>
                        </w:tc>
                      </w:tr>
                      <w:tr w:rsidR="003812CC" w:rsidRPr="003812CC" w14:paraId="2C4D798A" w14:textId="77777777" w:rsidTr="005D3AEC">
                        <w:trPr>
                          <w:trHeight w:val="499"/>
                        </w:trPr>
                        <w:tc>
                          <w:tcPr>
                            <w:tcW w:w="562" w:type="dxa"/>
                            <w:vAlign w:val="center"/>
                          </w:tcPr>
                          <w:p w14:paraId="227D7DDD"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2</w:t>
                            </w:r>
                          </w:p>
                        </w:tc>
                        <w:tc>
                          <w:tcPr>
                            <w:tcW w:w="2268" w:type="dxa"/>
                            <w:tcBorders>
                              <w:right w:val="single" w:sz="4" w:space="0" w:color="auto"/>
                            </w:tcBorders>
                            <w:vAlign w:val="center"/>
                          </w:tcPr>
                          <w:p w14:paraId="43524D91"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極端天氣事件</w:t>
                            </w:r>
                          </w:p>
                        </w:tc>
                        <w:tc>
                          <w:tcPr>
                            <w:tcW w:w="2268" w:type="dxa"/>
                            <w:tcBorders>
                              <w:left w:val="single" w:sz="4" w:space="0" w:color="auto"/>
                            </w:tcBorders>
                            <w:vAlign w:val="center"/>
                          </w:tcPr>
                          <w:p w14:paraId="47769C0D"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生物多樣性喪失與生態系統崩潰</w:t>
                            </w:r>
                          </w:p>
                        </w:tc>
                      </w:tr>
                      <w:tr w:rsidR="003812CC" w:rsidRPr="003812CC" w14:paraId="27409C0F" w14:textId="77777777" w:rsidTr="002C6D47">
                        <w:trPr>
                          <w:trHeight w:hRule="exact" w:val="397"/>
                        </w:trPr>
                        <w:tc>
                          <w:tcPr>
                            <w:tcW w:w="562" w:type="dxa"/>
                            <w:shd w:val="clear" w:color="auto" w:fill="D9D9D9" w:themeFill="background1" w:themeFillShade="D9"/>
                            <w:vAlign w:val="center"/>
                          </w:tcPr>
                          <w:p w14:paraId="333C5C4E"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3</w:t>
                            </w:r>
                          </w:p>
                        </w:tc>
                        <w:tc>
                          <w:tcPr>
                            <w:tcW w:w="2268" w:type="dxa"/>
                            <w:tcBorders>
                              <w:right w:val="single" w:sz="4" w:space="0" w:color="auto"/>
                            </w:tcBorders>
                            <w:shd w:val="clear" w:color="auto" w:fill="D9D9D9" w:themeFill="background1" w:themeFillShade="D9"/>
                            <w:vAlign w:val="center"/>
                          </w:tcPr>
                          <w:p w14:paraId="2DADE684"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國家間之武裝衝突</w:t>
                            </w:r>
                          </w:p>
                        </w:tc>
                        <w:tc>
                          <w:tcPr>
                            <w:tcW w:w="2268" w:type="dxa"/>
                            <w:tcBorders>
                              <w:left w:val="single" w:sz="4" w:space="0" w:color="auto"/>
                            </w:tcBorders>
                            <w:shd w:val="clear" w:color="auto" w:fill="D9D9D9" w:themeFill="background1" w:themeFillShade="D9"/>
                            <w:vAlign w:val="center"/>
                          </w:tcPr>
                          <w:p w14:paraId="0371290D"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地球系統發生重大變化</w:t>
                            </w:r>
                          </w:p>
                        </w:tc>
                      </w:tr>
                      <w:tr w:rsidR="003812CC" w:rsidRPr="003812CC" w14:paraId="3F4A821A" w14:textId="77777777" w:rsidTr="002C6D47">
                        <w:trPr>
                          <w:trHeight w:hRule="exact" w:val="397"/>
                        </w:trPr>
                        <w:tc>
                          <w:tcPr>
                            <w:tcW w:w="562" w:type="dxa"/>
                            <w:vAlign w:val="center"/>
                          </w:tcPr>
                          <w:p w14:paraId="74AFB819"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4</w:t>
                            </w:r>
                          </w:p>
                        </w:tc>
                        <w:tc>
                          <w:tcPr>
                            <w:tcW w:w="2268" w:type="dxa"/>
                            <w:tcBorders>
                              <w:right w:val="single" w:sz="4" w:space="0" w:color="auto"/>
                            </w:tcBorders>
                            <w:shd w:val="clear" w:color="auto" w:fill="FFFFFF" w:themeFill="background1"/>
                            <w:vAlign w:val="center"/>
                          </w:tcPr>
                          <w:p w14:paraId="14369052"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社會極端化</w:t>
                            </w:r>
                          </w:p>
                        </w:tc>
                        <w:tc>
                          <w:tcPr>
                            <w:tcW w:w="2268" w:type="dxa"/>
                            <w:tcBorders>
                              <w:left w:val="single" w:sz="4" w:space="0" w:color="auto"/>
                            </w:tcBorders>
                            <w:vAlign w:val="center"/>
                          </w:tcPr>
                          <w:p w14:paraId="0C4B495F"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自然資源短缺</w:t>
                            </w:r>
                          </w:p>
                        </w:tc>
                      </w:tr>
                      <w:tr w:rsidR="003812CC" w:rsidRPr="003812CC" w14:paraId="1F42D5D3" w14:textId="77777777" w:rsidTr="002C6D47">
                        <w:trPr>
                          <w:trHeight w:hRule="exact" w:val="397"/>
                        </w:trPr>
                        <w:tc>
                          <w:tcPr>
                            <w:tcW w:w="562" w:type="dxa"/>
                            <w:shd w:val="clear" w:color="auto" w:fill="D9D9D9" w:themeFill="background1" w:themeFillShade="D9"/>
                            <w:vAlign w:val="center"/>
                          </w:tcPr>
                          <w:p w14:paraId="286DE8F4"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5</w:t>
                            </w:r>
                          </w:p>
                        </w:tc>
                        <w:tc>
                          <w:tcPr>
                            <w:tcW w:w="2268" w:type="dxa"/>
                            <w:tcBorders>
                              <w:right w:val="single" w:sz="4" w:space="0" w:color="auto"/>
                            </w:tcBorders>
                            <w:shd w:val="clear" w:color="auto" w:fill="D9D9D9" w:themeFill="background1" w:themeFillShade="D9"/>
                            <w:vAlign w:val="center"/>
                          </w:tcPr>
                          <w:p w14:paraId="1B8E9363"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網路間諜與戰爭</w:t>
                            </w:r>
                          </w:p>
                        </w:tc>
                        <w:tc>
                          <w:tcPr>
                            <w:tcW w:w="2268" w:type="dxa"/>
                            <w:tcBorders>
                              <w:left w:val="single" w:sz="4" w:space="0" w:color="auto"/>
                            </w:tcBorders>
                            <w:shd w:val="clear" w:color="auto" w:fill="D9D9D9" w:themeFill="background1" w:themeFillShade="D9"/>
                            <w:vAlign w:val="center"/>
                          </w:tcPr>
                          <w:p w14:paraId="47B90007" w14:textId="77777777" w:rsidR="003812CC" w:rsidRPr="003812CC" w:rsidRDefault="003812CC" w:rsidP="00FE3F13">
                            <w:pPr>
                              <w:spacing w:line="200" w:lineRule="exact"/>
                              <w:ind w:left="-45"/>
                              <w:jc w:val="both"/>
                              <w:rPr>
                                <w:rFonts w:ascii="標楷體" w:eastAsia="標楷體" w:hAnsi="標楷體"/>
                                <w:noProof/>
                                <w:color w:val="000000" w:themeColor="text1"/>
                                <w:spacing w:val="-8"/>
                                <w:sz w:val="20"/>
                              </w:rPr>
                            </w:pPr>
                            <w:r w:rsidRPr="003812CC">
                              <w:rPr>
                                <w:rFonts w:ascii="標楷體" w:eastAsia="標楷體" w:hAnsi="標楷體" w:hint="eastAsia"/>
                                <w:noProof/>
                                <w:color w:val="000000" w:themeColor="text1"/>
                                <w:spacing w:val="-8"/>
                                <w:sz w:val="20"/>
                              </w:rPr>
                              <w:t>錯誤訊息及假消息之傳播</w:t>
                            </w:r>
                          </w:p>
                        </w:tc>
                      </w:tr>
                      <w:tr w:rsidR="003812CC" w:rsidRPr="003812CC" w14:paraId="0509E629" w14:textId="77777777" w:rsidTr="002C6D47">
                        <w:trPr>
                          <w:trHeight w:hRule="exact" w:val="397"/>
                        </w:trPr>
                        <w:tc>
                          <w:tcPr>
                            <w:tcW w:w="562" w:type="dxa"/>
                            <w:vAlign w:val="center"/>
                          </w:tcPr>
                          <w:p w14:paraId="6211CBDA"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6</w:t>
                            </w:r>
                          </w:p>
                        </w:tc>
                        <w:tc>
                          <w:tcPr>
                            <w:tcW w:w="2268" w:type="dxa"/>
                            <w:tcBorders>
                              <w:right w:val="single" w:sz="4" w:space="0" w:color="auto"/>
                            </w:tcBorders>
                            <w:vAlign w:val="center"/>
                          </w:tcPr>
                          <w:p w14:paraId="5FC65FFB"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環境污染</w:t>
                            </w:r>
                          </w:p>
                        </w:tc>
                        <w:tc>
                          <w:tcPr>
                            <w:tcW w:w="2268" w:type="dxa"/>
                            <w:tcBorders>
                              <w:left w:val="single" w:sz="4" w:space="0" w:color="auto"/>
                            </w:tcBorders>
                            <w:vAlign w:val="center"/>
                          </w:tcPr>
                          <w:p w14:paraId="585D0EB4"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A</w:t>
                            </w:r>
                            <w:r w:rsidRPr="003812CC">
                              <w:rPr>
                                <w:rFonts w:ascii="標楷體" w:eastAsia="標楷體" w:hAnsi="標楷體"/>
                                <w:noProof/>
                                <w:color w:val="000000" w:themeColor="text1"/>
                                <w:sz w:val="20"/>
                              </w:rPr>
                              <w:t>I</w:t>
                            </w:r>
                            <w:r w:rsidRPr="003812CC">
                              <w:rPr>
                                <w:rFonts w:ascii="標楷體" w:eastAsia="標楷體" w:hAnsi="標楷體" w:hint="eastAsia"/>
                                <w:noProof/>
                                <w:color w:val="000000" w:themeColor="text1"/>
                                <w:sz w:val="20"/>
                              </w:rPr>
                              <w:t>技術之不良後果</w:t>
                            </w:r>
                          </w:p>
                        </w:tc>
                      </w:tr>
                      <w:tr w:rsidR="003812CC" w:rsidRPr="003812CC" w14:paraId="775FF6BC" w14:textId="77777777" w:rsidTr="002C6D47">
                        <w:trPr>
                          <w:trHeight w:hRule="exact" w:val="397"/>
                        </w:trPr>
                        <w:tc>
                          <w:tcPr>
                            <w:tcW w:w="562" w:type="dxa"/>
                            <w:shd w:val="clear" w:color="auto" w:fill="D9D9D9" w:themeFill="background1" w:themeFillShade="D9"/>
                            <w:vAlign w:val="center"/>
                          </w:tcPr>
                          <w:p w14:paraId="67CF7368"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7</w:t>
                            </w:r>
                          </w:p>
                        </w:tc>
                        <w:tc>
                          <w:tcPr>
                            <w:tcW w:w="2268" w:type="dxa"/>
                            <w:tcBorders>
                              <w:right w:val="single" w:sz="4" w:space="0" w:color="auto"/>
                            </w:tcBorders>
                            <w:shd w:val="clear" w:color="auto" w:fill="D9D9D9" w:themeFill="background1" w:themeFillShade="D9"/>
                            <w:vAlign w:val="center"/>
                          </w:tcPr>
                          <w:p w14:paraId="1C8B45AF"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經濟上之不平等</w:t>
                            </w:r>
                          </w:p>
                        </w:tc>
                        <w:tc>
                          <w:tcPr>
                            <w:tcW w:w="2268" w:type="dxa"/>
                            <w:tcBorders>
                              <w:left w:val="single" w:sz="4" w:space="0" w:color="auto"/>
                            </w:tcBorders>
                            <w:shd w:val="clear" w:color="auto" w:fill="D9D9D9" w:themeFill="background1" w:themeFillShade="D9"/>
                            <w:vAlign w:val="center"/>
                          </w:tcPr>
                          <w:p w14:paraId="25FD0971"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經濟上之不平等</w:t>
                            </w:r>
                          </w:p>
                        </w:tc>
                      </w:tr>
                      <w:tr w:rsidR="003812CC" w:rsidRPr="003812CC" w14:paraId="37F8D6B6" w14:textId="77777777" w:rsidTr="002C6D47">
                        <w:trPr>
                          <w:trHeight w:hRule="exact" w:val="397"/>
                        </w:trPr>
                        <w:tc>
                          <w:tcPr>
                            <w:tcW w:w="562" w:type="dxa"/>
                            <w:vAlign w:val="center"/>
                          </w:tcPr>
                          <w:p w14:paraId="37897D76"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8</w:t>
                            </w:r>
                          </w:p>
                        </w:tc>
                        <w:tc>
                          <w:tcPr>
                            <w:tcW w:w="2268" w:type="dxa"/>
                            <w:tcBorders>
                              <w:right w:val="single" w:sz="4" w:space="0" w:color="auto"/>
                            </w:tcBorders>
                            <w:vAlign w:val="center"/>
                          </w:tcPr>
                          <w:p w14:paraId="309EF8C0"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非自願性遷徙</w:t>
                            </w:r>
                          </w:p>
                        </w:tc>
                        <w:tc>
                          <w:tcPr>
                            <w:tcW w:w="2268" w:type="dxa"/>
                            <w:tcBorders>
                              <w:left w:val="single" w:sz="4" w:space="0" w:color="auto"/>
                            </w:tcBorders>
                            <w:vAlign w:val="center"/>
                          </w:tcPr>
                          <w:p w14:paraId="5DB9B245"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社會極端化</w:t>
                            </w:r>
                          </w:p>
                        </w:tc>
                      </w:tr>
                      <w:tr w:rsidR="003812CC" w:rsidRPr="003812CC" w14:paraId="10634172" w14:textId="77777777" w:rsidTr="002C6D47">
                        <w:trPr>
                          <w:trHeight w:hRule="exact" w:val="397"/>
                        </w:trPr>
                        <w:tc>
                          <w:tcPr>
                            <w:tcW w:w="562" w:type="dxa"/>
                            <w:shd w:val="clear" w:color="auto" w:fill="D9D9D9" w:themeFill="background1" w:themeFillShade="D9"/>
                            <w:vAlign w:val="center"/>
                          </w:tcPr>
                          <w:p w14:paraId="6051CF32"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9</w:t>
                            </w:r>
                          </w:p>
                        </w:tc>
                        <w:tc>
                          <w:tcPr>
                            <w:tcW w:w="2268" w:type="dxa"/>
                            <w:tcBorders>
                              <w:right w:val="single" w:sz="4" w:space="0" w:color="auto"/>
                            </w:tcBorders>
                            <w:shd w:val="clear" w:color="auto" w:fill="D9D9D9" w:themeFill="background1" w:themeFillShade="D9"/>
                            <w:vAlign w:val="center"/>
                          </w:tcPr>
                          <w:p w14:paraId="3D868B27"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地緣經濟對抗</w:t>
                            </w:r>
                          </w:p>
                        </w:tc>
                        <w:tc>
                          <w:tcPr>
                            <w:tcW w:w="2268" w:type="dxa"/>
                            <w:tcBorders>
                              <w:left w:val="single" w:sz="4" w:space="0" w:color="auto"/>
                            </w:tcBorders>
                            <w:shd w:val="clear" w:color="auto" w:fill="D9D9D9" w:themeFill="background1" w:themeFillShade="D9"/>
                            <w:vAlign w:val="center"/>
                          </w:tcPr>
                          <w:p w14:paraId="6D9536C6"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網路間諜與戰爭</w:t>
                            </w:r>
                          </w:p>
                        </w:tc>
                      </w:tr>
                      <w:tr w:rsidR="003812CC" w:rsidRPr="003812CC" w14:paraId="7BE23BDB" w14:textId="77777777" w:rsidTr="002C6D47">
                        <w:trPr>
                          <w:trHeight w:hRule="exact" w:val="397"/>
                        </w:trPr>
                        <w:tc>
                          <w:tcPr>
                            <w:tcW w:w="562" w:type="dxa"/>
                            <w:tcBorders>
                              <w:bottom w:val="single" w:sz="4" w:space="0" w:color="auto"/>
                            </w:tcBorders>
                            <w:vAlign w:val="center"/>
                          </w:tcPr>
                          <w:p w14:paraId="4AD25B1A" w14:textId="77777777" w:rsidR="003812CC" w:rsidRPr="003812CC" w:rsidRDefault="003812CC" w:rsidP="00FE3F13">
                            <w:pPr>
                              <w:spacing w:line="200" w:lineRule="exact"/>
                              <w:ind w:left="-45"/>
                              <w:jc w:val="center"/>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10</w:t>
                            </w:r>
                          </w:p>
                        </w:tc>
                        <w:tc>
                          <w:tcPr>
                            <w:tcW w:w="2268" w:type="dxa"/>
                            <w:tcBorders>
                              <w:bottom w:val="single" w:sz="4" w:space="0" w:color="auto"/>
                              <w:right w:val="single" w:sz="4" w:space="0" w:color="auto"/>
                            </w:tcBorders>
                            <w:vAlign w:val="center"/>
                          </w:tcPr>
                          <w:p w14:paraId="02FDC020" w14:textId="77777777" w:rsidR="003812CC" w:rsidRPr="003812CC" w:rsidRDefault="003812CC" w:rsidP="00FE3F13">
                            <w:pPr>
                              <w:spacing w:line="200" w:lineRule="exact"/>
                              <w:ind w:left="-45"/>
                              <w:jc w:val="both"/>
                              <w:rPr>
                                <w:rFonts w:ascii="標楷體" w:eastAsia="標楷體" w:hAnsi="標楷體"/>
                                <w:noProof/>
                                <w:color w:val="000000" w:themeColor="text1"/>
                                <w:spacing w:val="-4"/>
                                <w:sz w:val="20"/>
                              </w:rPr>
                            </w:pPr>
                            <w:r w:rsidRPr="003812CC">
                              <w:rPr>
                                <w:rFonts w:ascii="標楷體" w:eastAsia="標楷體" w:hAnsi="標楷體" w:hint="eastAsia"/>
                                <w:noProof/>
                                <w:color w:val="000000" w:themeColor="text1"/>
                                <w:spacing w:val="-4"/>
                                <w:sz w:val="20"/>
                              </w:rPr>
                              <w:t>人權與/或人民自由惡化</w:t>
                            </w:r>
                          </w:p>
                        </w:tc>
                        <w:tc>
                          <w:tcPr>
                            <w:tcW w:w="2268" w:type="dxa"/>
                            <w:tcBorders>
                              <w:left w:val="single" w:sz="4" w:space="0" w:color="auto"/>
                              <w:bottom w:val="single" w:sz="4" w:space="0" w:color="auto"/>
                            </w:tcBorders>
                            <w:vAlign w:val="center"/>
                          </w:tcPr>
                          <w:p w14:paraId="5BC050A2" w14:textId="77777777" w:rsidR="003812CC" w:rsidRPr="003812CC" w:rsidRDefault="003812CC" w:rsidP="00FE3F13">
                            <w:pPr>
                              <w:spacing w:line="200" w:lineRule="exact"/>
                              <w:ind w:left="-45"/>
                              <w:jc w:val="both"/>
                              <w:rPr>
                                <w:rFonts w:ascii="標楷體" w:eastAsia="標楷體" w:hAnsi="標楷體"/>
                                <w:noProof/>
                                <w:color w:val="000000" w:themeColor="text1"/>
                                <w:sz w:val="20"/>
                              </w:rPr>
                            </w:pPr>
                            <w:r w:rsidRPr="003812CC">
                              <w:rPr>
                                <w:rFonts w:ascii="標楷體" w:eastAsia="標楷體" w:hAnsi="標楷體" w:hint="eastAsia"/>
                                <w:noProof/>
                                <w:color w:val="000000" w:themeColor="text1"/>
                                <w:sz w:val="20"/>
                              </w:rPr>
                              <w:t>環境污染</w:t>
                            </w:r>
                          </w:p>
                        </w:tc>
                      </w:tr>
                      <w:tr w:rsidR="003812CC" w:rsidRPr="003812CC" w14:paraId="13DC8F01" w14:textId="77777777" w:rsidTr="001136FD">
                        <w:tc>
                          <w:tcPr>
                            <w:tcW w:w="5098" w:type="dxa"/>
                            <w:gridSpan w:val="3"/>
                            <w:tcBorders>
                              <w:top w:val="single" w:sz="4" w:space="0" w:color="auto"/>
                              <w:left w:val="nil"/>
                              <w:bottom w:val="nil"/>
                              <w:right w:val="nil"/>
                            </w:tcBorders>
                            <w:vAlign w:val="center"/>
                          </w:tcPr>
                          <w:p w14:paraId="311F2BB5" w14:textId="77777777" w:rsidR="003812CC" w:rsidRPr="003812CC" w:rsidRDefault="003812CC" w:rsidP="00830CC1">
                            <w:pPr>
                              <w:spacing w:line="260" w:lineRule="exact"/>
                              <w:ind w:leftChars="-45" w:left="-11" w:hangingChars="54" w:hanging="97"/>
                              <w:rPr>
                                <w:rFonts w:ascii="標楷體" w:eastAsia="標楷體" w:hAnsi="標楷體"/>
                                <w:noProof/>
                                <w:color w:val="000000" w:themeColor="text1"/>
                                <w:sz w:val="20"/>
                              </w:rPr>
                            </w:pPr>
                            <w:r w:rsidRPr="003812CC">
                              <w:rPr>
                                <w:rFonts w:ascii="標楷體" w:eastAsia="標楷體" w:hAnsi="標楷體" w:hint="eastAsia"/>
                                <w:color w:val="000000" w:themeColor="text1"/>
                                <w:sz w:val="18"/>
                                <w:szCs w:val="18"/>
                              </w:rPr>
                              <w:t>資料來源：擷取自世界經濟論壇「2025全球風險報告」。</w:t>
                            </w:r>
                          </w:p>
                        </w:tc>
                      </w:tr>
                    </w:tbl>
                    <w:p w14:paraId="0F66E173" w14:textId="77777777" w:rsidR="003812CC" w:rsidRPr="003812CC" w:rsidRDefault="003812CC" w:rsidP="003812CC">
                      <w:pPr>
                        <w:spacing w:line="20" w:lineRule="exact"/>
                        <w:rPr>
                          <w:rFonts w:ascii="標楷體" w:eastAsia="標楷體" w:hAnsi="標楷體"/>
                        </w:rPr>
                      </w:pPr>
                    </w:p>
                  </w:txbxContent>
                </v:textbox>
                <w10:wrap type="square"/>
              </v:shape>
            </w:pict>
          </mc:Fallback>
        </mc:AlternateContent>
      </w:r>
      <w:r w:rsidR="003812CC" w:rsidRPr="003812CC">
        <w:rPr>
          <w:rFonts w:ascii="標楷體" w:eastAsia="標楷體" w:hAnsi="標楷體" w:cs="新細明體" w:hint="eastAsia"/>
          <w:color w:val="000000" w:themeColor="text1"/>
          <w:spacing w:val="4"/>
          <w:szCs w:val="24"/>
        </w:rPr>
        <w:t>受國際關注。又詐騙集團透過仲介求職詐騙等方式，取得</w:t>
      </w:r>
      <w:proofErr w:type="gramStart"/>
      <w:r w:rsidR="003812CC" w:rsidRPr="003812CC">
        <w:rPr>
          <w:rFonts w:ascii="標楷體" w:eastAsia="標楷體" w:hAnsi="標楷體" w:cs="新細明體" w:hint="eastAsia"/>
          <w:color w:val="000000" w:themeColor="text1"/>
          <w:spacing w:val="4"/>
          <w:szCs w:val="24"/>
        </w:rPr>
        <w:t>外籍移工帳戶</w:t>
      </w:r>
      <w:proofErr w:type="gramEnd"/>
      <w:r w:rsidR="003812CC" w:rsidRPr="003812CC">
        <w:rPr>
          <w:rFonts w:ascii="標楷體" w:eastAsia="標楷體" w:hAnsi="標楷體" w:cs="新細明體" w:hint="eastAsia"/>
          <w:color w:val="000000" w:themeColor="text1"/>
          <w:spacing w:val="4"/>
          <w:szCs w:val="24"/>
        </w:rPr>
        <w:t>作為詐欺洗錢工具之案件日增，</w:t>
      </w:r>
      <w:proofErr w:type="gramStart"/>
      <w:r w:rsidR="003812CC" w:rsidRPr="003812CC">
        <w:rPr>
          <w:rFonts w:ascii="標楷體" w:eastAsia="標楷體" w:hAnsi="標楷體" w:cs="新細明體" w:hint="eastAsia"/>
          <w:color w:val="000000" w:themeColor="text1"/>
          <w:spacing w:val="4"/>
          <w:szCs w:val="24"/>
        </w:rPr>
        <w:t>據移工</w:t>
      </w:r>
      <w:proofErr w:type="gramEnd"/>
      <w:r w:rsidR="003812CC" w:rsidRPr="003812CC">
        <w:rPr>
          <w:rFonts w:ascii="標楷體" w:eastAsia="標楷體" w:hAnsi="標楷體" w:cs="新細明體" w:hint="eastAsia"/>
          <w:color w:val="000000" w:themeColor="text1"/>
          <w:spacing w:val="4"/>
          <w:szCs w:val="24"/>
        </w:rPr>
        <w:t>教育非營利組織One-Forty等機構於113年9月發布之調查結果，27％受</w:t>
      </w:r>
      <w:proofErr w:type="gramStart"/>
      <w:r w:rsidR="003812CC" w:rsidRPr="003812CC">
        <w:rPr>
          <w:rFonts w:ascii="標楷體" w:eastAsia="標楷體" w:hAnsi="標楷體" w:cs="新細明體" w:hint="eastAsia"/>
          <w:color w:val="000000" w:themeColor="text1"/>
          <w:spacing w:val="4"/>
          <w:szCs w:val="24"/>
        </w:rPr>
        <w:t>訪移工曾</w:t>
      </w:r>
      <w:proofErr w:type="gramEnd"/>
      <w:r w:rsidR="003812CC" w:rsidRPr="003812CC">
        <w:rPr>
          <w:rFonts w:ascii="標楷體" w:eastAsia="標楷體" w:hAnsi="標楷體" w:cs="新細明體" w:hint="eastAsia"/>
          <w:color w:val="000000" w:themeColor="text1"/>
          <w:spacing w:val="4"/>
          <w:szCs w:val="24"/>
        </w:rPr>
        <w:t>受騙，每名受害</w:t>
      </w:r>
      <w:proofErr w:type="gramStart"/>
      <w:r w:rsidR="003812CC" w:rsidRPr="003812CC">
        <w:rPr>
          <w:rFonts w:ascii="標楷體" w:eastAsia="標楷體" w:hAnsi="標楷體" w:cs="新細明體" w:hint="eastAsia"/>
          <w:color w:val="000000" w:themeColor="text1"/>
          <w:spacing w:val="4"/>
          <w:szCs w:val="24"/>
        </w:rPr>
        <w:t>移工平均受詐新</w:t>
      </w:r>
      <w:proofErr w:type="gramEnd"/>
      <w:r w:rsidR="003812CC" w:rsidRPr="003812CC">
        <w:rPr>
          <w:rFonts w:ascii="標楷體" w:eastAsia="標楷體" w:hAnsi="標楷體" w:cs="新細明體" w:hint="eastAsia"/>
          <w:color w:val="000000" w:themeColor="text1"/>
          <w:spacing w:val="4"/>
          <w:szCs w:val="24"/>
        </w:rPr>
        <w:t>臺幣7,995元，以全</w:t>
      </w:r>
      <w:proofErr w:type="gramStart"/>
      <w:r w:rsidR="003812CC" w:rsidRPr="003812CC">
        <w:rPr>
          <w:rFonts w:ascii="標楷體" w:eastAsia="標楷體" w:hAnsi="標楷體" w:cs="新細明體" w:hint="eastAsia"/>
          <w:color w:val="000000" w:themeColor="text1"/>
          <w:spacing w:val="4"/>
          <w:szCs w:val="24"/>
        </w:rPr>
        <w:t>臺</w:t>
      </w:r>
      <w:proofErr w:type="gramEnd"/>
      <w:r w:rsidR="003812CC" w:rsidRPr="003812CC">
        <w:rPr>
          <w:rFonts w:ascii="標楷體" w:eastAsia="標楷體" w:hAnsi="標楷體" w:cs="新細明體" w:hint="eastAsia"/>
          <w:color w:val="000000" w:themeColor="text1"/>
          <w:spacing w:val="4"/>
          <w:szCs w:val="24"/>
        </w:rPr>
        <w:t>80萬</w:t>
      </w:r>
      <w:proofErr w:type="gramStart"/>
      <w:r w:rsidR="003812CC" w:rsidRPr="003812CC">
        <w:rPr>
          <w:rFonts w:ascii="標楷體" w:eastAsia="標楷體" w:hAnsi="標楷體" w:cs="新細明體" w:hint="eastAsia"/>
          <w:color w:val="000000" w:themeColor="text1"/>
          <w:spacing w:val="4"/>
          <w:szCs w:val="24"/>
        </w:rPr>
        <w:t>移工推估受詐總額</w:t>
      </w:r>
      <w:proofErr w:type="gramEnd"/>
      <w:r w:rsidR="003812CC" w:rsidRPr="003812CC">
        <w:rPr>
          <w:rFonts w:ascii="標楷體" w:eastAsia="標楷體" w:hAnsi="標楷體" w:cs="新細明體" w:hint="eastAsia"/>
          <w:color w:val="000000" w:themeColor="text1"/>
          <w:spacing w:val="4"/>
          <w:szCs w:val="24"/>
        </w:rPr>
        <w:t>達17億元，防詐措施容有擴及</w:t>
      </w:r>
      <w:proofErr w:type="gramStart"/>
      <w:r w:rsidR="003812CC" w:rsidRPr="003812CC">
        <w:rPr>
          <w:rFonts w:ascii="標楷體" w:eastAsia="標楷體" w:hAnsi="標楷體" w:cs="新細明體" w:hint="eastAsia"/>
          <w:color w:val="000000" w:themeColor="text1"/>
          <w:spacing w:val="4"/>
          <w:szCs w:val="24"/>
        </w:rPr>
        <w:t>移工與移工</w:t>
      </w:r>
      <w:proofErr w:type="gramEnd"/>
      <w:r w:rsidR="003812CC" w:rsidRPr="003812CC">
        <w:rPr>
          <w:rFonts w:ascii="標楷體" w:eastAsia="標楷體" w:hAnsi="標楷體" w:cs="新細明體" w:hint="eastAsia"/>
          <w:color w:val="000000" w:themeColor="text1"/>
          <w:spacing w:val="4"/>
          <w:szCs w:val="24"/>
        </w:rPr>
        <w:t>母語友善性需求。經函請行政院督促各權責機關審酌求職詐騙案件居高不下之現況及AI導引詐騙進化之特性，並</w:t>
      </w:r>
      <w:proofErr w:type="gramStart"/>
      <w:r w:rsidR="003812CC" w:rsidRPr="003812CC">
        <w:rPr>
          <w:rFonts w:ascii="標楷體" w:eastAsia="標楷體" w:hAnsi="標楷體" w:cs="新細明體" w:hint="eastAsia"/>
          <w:color w:val="000000" w:themeColor="text1"/>
          <w:spacing w:val="4"/>
          <w:szCs w:val="24"/>
        </w:rPr>
        <w:t>就移工仲介</w:t>
      </w:r>
      <w:proofErr w:type="gramEnd"/>
      <w:r w:rsidR="003812CC" w:rsidRPr="003812CC">
        <w:rPr>
          <w:rFonts w:ascii="標楷體" w:eastAsia="標楷體" w:hAnsi="標楷體" w:cs="新細明體" w:hint="eastAsia"/>
          <w:color w:val="000000" w:themeColor="text1"/>
          <w:spacing w:val="4"/>
          <w:szCs w:val="24"/>
        </w:rPr>
        <w:t>求職詐騙之新興發展趨勢，</w:t>
      </w:r>
      <w:proofErr w:type="gramStart"/>
      <w:r w:rsidR="003812CC" w:rsidRPr="003812CC">
        <w:rPr>
          <w:rFonts w:ascii="標楷體" w:eastAsia="標楷體" w:hAnsi="標楷體" w:cs="新細明體" w:hint="eastAsia"/>
          <w:color w:val="000000" w:themeColor="text1"/>
          <w:spacing w:val="4"/>
          <w:szCs w:val="24"/>
        </w:rPr>
        <w:t>研</w:t>
      </w:r>
      <w:proofErr w:type="gramEnd"/>
      <w:r w:rsidR="003812CC" w:rsidRPr="003812CC">
        <w:rPr>
          <w:rFonts w:ascii="標楷體" w:eastAsia="標楷體" w:hAnsi="標楷體" w:cs="新細明體" w:hint="eastAsia"/>
          <w:color w:val="000000" w:themeColor="text1"/>
          <w:spacing w:val="4"/>
          <w:szCs w:val="24"/>
        </w:rPr>
        <w:t>謀預防、勸阻、救援、究辦及輔導等事前防制與事後補救機制，以</w:t>
      </w:r>
      <w:proofErr w:type="gramStart"/>
      <w:r w:rsidR="003812CC" w:rsidRPr="003812CC">
        <w:rPr>
          <w:rFonts w:ascii="標楷體" w:eastAsia="標楷體" w:hAnsi="標楷體" w:cs="新細明體" w:hint="eastAsia"/>
          <w:color w:val="000000" w:themeColor="text1"/>
          <w:spacing w:val="4"/>
          <w:szCs w:val="24"/>
        </w:rPr>
        <w:t>有效抑減境內</w:t>
      </w:r>
      <w:proofErr w:type="gramEnd"/>
      <w:r w:rsidR="003812CC" w:rsidRPr="003812CC">
        <w:rPr>
          <w:rFonts w:ascii="標楷體" w:eastAsia="標楷體" w:hAnsi="標楷體" w:cs="新細明體" w:hint="eastAsia"/>
          <w:color w:val="000000" w:themeColor="text1"/>
          <w:spacing w:val="4"/>
          <w:szCs w:val="24"/>
        </w:rPr>
        <w:t>、外求職詐騙案件與危害程度。據復：已由權責機關就求職詐騙之法制、事前防制、事中及事後救援等面向，審酌數位發展與詐騙集團</w:t>
      </w:r>
      <w:proofErr w:type="gramStart"/>
      <w:r w:rsidR="003812CC" w:rsidRPr="003812CC">
        <w:rPr>
          <w:rFonts w:ascii="標楷體" w:eastAsia="標楷體" w:hAnsi="標楷體" w:cs="新細明體" w:hint="eastAsia"/>
          <w:color w:val="000000" w:themeColor="text1"/>
          <w:spacing w:val="4"/>
          <w:szCs w:val="24"/>
        </w:rPr>
        <w:t>轉向移工仲介</w:t>
      </w:r>
      <w:proofErr w:type="gramEnd"/>
      <w:r w:rsidR="003812CC" w:rsidRPr="003812CC">
        <w:rPr>
          <w:rFonts w:ascii="標楷體" w:eastAsia="標楷體" w:hAnsi="標楷體" w:cs="新細明體" w:hint="eastAsia"/>
          <w:color w:val="000000" w:themeColor="text1"/>
          <w:spacing w:val="4"/>
          <w:szCs w:val="24"/>
        </w:rPr>
        <w:t>求職詐騙等趨勢，</w:t>
      </w:r>
      <w:proofErr w:type="gramStart"/>
      <w:r w:rsidR="003812CC" w:rsidRPr="003812CC">
        <w:rPr>
          <w:rFonts w:ascii="標楷體" w:eastAsia="標楷體" w:hAnsi="標楷體" w:cs="新細明體" w:hint="eastAsia"/>
          <w:color w:val="000000" w:themeColor="text1"/>
          <w:spacing w:val="4"/>
          <w:szCs w:val="24"/>
        </w:rPr>
        <w:t>研</w:t>
      </w:r>
      <w:proofErr w:type="gramEnd"/>
      <w:r w:rsidR="003812CC" w:rsidRPr="003812CC">
        <w:rPr>
          <w:rFonts w:ascii="標楷體" w:eastAsia="標楷體" w:hAnsi="標楷體" w:cs="新細明體" w:hint="eastAsia"/>
          <w:color w:val="000000" w:themeColor="text1"/>
          <w:spacing w:val="4"/>
          <w:szCs w:val="24"/>
        </w:rPr>
        <w:t>謀具體措施，並強化各機關橫向聯繫及資訊交流，據以精進相關對策。</w:t>
      </w:r>
    </w:p>
    <w:p w14:paraId="41D315D0" w14:textId="4614F96C" w:rsidR="00693D1C" w:rsidRDefault="00693D1C" w:rsidP="00A42113">
      <w:pPr>
        <w:pStyle w:val="affb"/>
        <w:kinsoku/>
        <w:overflowPunct w:val="0"/>
        <w:adjustRightInd/>
        <w:spacing w:beforeLines="20" w:before="72" w:afterLines="20" w:after="72" w:line="440" w:lineRule="exact"/>
        <w:ind w:left="0" w:firstLineChars="200" w:firstLine="561"/>
        <w:jc w:val="both"/>
        <w:outlineLvl w:val="1"/>
        <w:rPr>
          <w:rFonts w:hAnsi="標楷體"/>
          <w:b/>
          <w:color w:val="000000" w:themeColor="text1"/>
          <w:sz w:val="28"/>
          <w:szCs w:val="28"/>
        </w:rPr>
      </w:pPr>
      <w:r>
        <w:rPr>
          <w:rFonts w:hAnsi="標楷體" w:hint="eastAsia"/>
          <w:b/>
          <w:color w:val="000000" w:themeColor="text1"/>
          <w:sz w:val="28"/>
          <w:szCs w:val="28"/>
        </w:rPr>
        <w:t>（八</w:t>
      </w:r>
      <w:r w:rsidRPr="00BD687A">
        <w:rPr>
          <w:rFonts w:hAnsi="標楷體" w:hint="eastAsia"/>
          <w:b/>
          <w:color w:val="000000" w:themeColor="text1"/>
          <w:sz w:val="28"/>
          <w:szCs w:val="28"/>
        </w:rPr>
        <w:t>）</w:t>
      </w:r>
      <w:r w:rsidRPr="00693D1C">
        <w:rPr>
          <w:rFonts w:hAnsi="標楷體" w:hint="eastAsia"/>
          <w:b/>
          <w:color w:val="000000" w:themeColor="text1"/>
          <w:sz w:val="28"/>
          <w:szCs w:val="28"/>
        </w:rPr>
        <w:t xml:space="preserve">　</w:t>
      </w:r>
      <w:r w:rsidR="00DF3A75" w:rsidRPr="00DF3A75">
        <w:rPr>
          <w:rFonts w:hAnsi="標楷體" w:hint="eastAsia"/>
          <w:b/>
          <w:color w:val="000000" w:themeColor="text1"/>
          <w:sz w:val="28"/>
          <w:szCs w:val="28"/>
        </w:rPr>
        <w:t>政府為防制虛擬貨幣洗錢及打擊</w:t>
      </w:r>
      <w:proofErr w:type="gramStart"/>
      <w:r w:rsidR="00DF3A75" w:rsidRPr="00DF3A75">
        <w:rPr>
          <w:rFonts w:hAnsi="標楷體" w:hint="eastAsia"/>
          <w:b/>
          <w:color w:val="000000" w:themeColor="text1"/>
          <w:sz w:val="28"/>
          <w:szCs w:val="28"/>
        </w:rPr>
        <w:t>資恐，</w:t>
      </w:r>
      <w:proofErr w:type="gramEnd"/>
      <w:r w:rsidR="00DF3A75" w:rsidRPr="00DF3A75">
        <w:rPr>
          <w:rFonts w:hAnsi="標楷體" w:hint="eastAsia"/>
          <w:b/>
          <w:color w:val="000000" w:themeColor="text1"/>
          <w:sz w:val="28"/>
          <w:szCs w:val="28"/>
        </w:rPr>
        <w:t>已積極強化並執行相關</w:t>
      </w:r>
      <w:proofErr w:type="gramStart"/>
      <w:r w:rsidR="00DF3A75" w:rsidRPr="00DF3A75">
        <w:rPr>
          <w:rFonts w:hAnsi="標楷體" w:hint="eastAsia"/>
          <w:b/>
          <w:color w:val="000000" w:themeColor="text1"/>
          <w:sz w:val="28"/>
          <w:szCs w:val="28"/>
        </w:rPr>
        <w:t>阻詐措施</w:t>
      </w:r>
      <w:proofErr w:type="gramEnd"/>
      <w:r w:rsidR="00DF3A75" w:rsidRPr="00DF3A75">
        <w:rPr>
          <w:rFonts w:hAnsi="標楷體" w:hint="eastAsia"/>
          <w:b/>
          <w:color w:val="000000" w:themeColor="text1"/>
          <w:sz w:val="28"/>
          <w:szCs w:val="28"/>
        </w:rPr>
        <w:t>，惟匯款人間有未據實申報規避金融機構監控，又執法機關對於境外虛擬貨幣交易所調閱機制有待優化及拓展合作家數，</w:t>
      </w:r>
      <w:proofErr w:type="gramStart"/>
      <w:r w:rsidR="00DF3A75" w:rsidRPr="00DF3A75">
        <w:rPr>
          <w:rFonts w:hAnsi="標楷體" w:hint="eastAsia"/>
          <w:b/>
          <w:color w:val="000000" w:themeColor="text1"/>
          <w:sz w:val="28"/>
          <w:szCs w:val="28"/>
        </w:rPr>
        <w:t>另迭有詐騙</w:t>
      </w:r>
      <w:proofErr w:type="gramEnd"/>
      <w:r w:rsidR="00DF3A75" w:rsidRPr="00DF3A75">
        <w:rPr>
          <w:rFonts w:hAnsi="標楷體" w:hint="eastAsia"/>
          <w:b/>
          <w:color w:val="000000" w:themeColor="text1"/>
          <w:sz w:val="28"/>
          <w:szCs w:val="28"/>
        </w:rPr>
        <w:t>集團運用人頭公司帳戶作為洗錢掩護工具情事</w:t>
      </w:r>
      <w:r w:rsidR="00BD4359">
        <w:rPr>
          <w:rFonts w:hAnsi="標楷體" w:hint="eastAsia"/>
          <w:b/>
          <w:color w:val="000000" w:themeColor="text1"/>
          <w:sz w:val="28"/>
          <w:szCs w:val="28"/>
        </w:rPr>
        <w:t>，</w:t>
      </w:r>
      <w:r w:rsidR="00DF3A75" w:rsidRPr="00DF3A75">
        <w:rPr>
          <w:rFonts w:hAnsi="標楷體" w:hint="eastAsia"/>
          <w:b/>
          <w:color w:val="000000" w:themeColor="text1"/>
          <w:sz w:val="28"/>
          <w:szCs w:val="28"/>
        </w:rPr>
        <w:t>允宜</w:t>
      </w:r>
      <w:proofErr w:type="gramStart"/>
      <w:r w:rsidR="00DF3A75" w:rsidRPr="00DF3A75">
        <w:rPr>
          <w:rFonts w:hAnsi="標楷體" w:hint="eastAsia"/>
          <w:b/>
          <w:color w:val="000000" w:themeColor="text1"/>
          <w:sz w:val="28"/>
          <w:szCs w:val="28"/>
        </w:rPr>
        <w:t>研</w:t>
      </w:r>
      <w:proofErr w:type="gramEnd"/>
      <w:r w:rsidR="00DF3A75" w:rsidRPr="00DF3A75">
        <w:rPr>
          <w:rFonts w:hAnsi="標楷體" w:hint="eastAsia"/>
          <w:b/>
          <w:color w:val="000000" w:themeColor="text1"/>
          <w:sz w:val="28"/>
          <w:szCs w:val="28"/>
        </w:rPr>
        <w:t>謀改善持續精</w:t>
      </w:r>
      <w:proofErr w:type="gramStart"/>
      <w:r w:rsidR="00DF3A75" w:rsidRPr="00DF3A75">
        <w:rPr>
          <w:rFonts w:hAnsi="標楷體" w:hint="eastAsia"/>
          <w:b/>
          <w:color w:val="000000" w:themeColor="text1"/>
          <w:sz w:val="28"/>
          <w:szCs w:val="28"/>
        </w:rPr>
        <w:t>進阻詐措施</w:t>
      </w:r>
      <w:proofErr w:type="gramEnd"/>
      <w:r w:rsidR="00DF3A75" w:rsidRPr="00DF3A75">
        <w:rPr>
          <w:rFonts w:hAnsi="標楷體" w:hint="eastAsia"/>
          <w:b/>
          <w:color w:val="000000" w:themeColor="text1"/>
          <w:sz w:val="28"/>
          <w:szCs w:val="28"/>
        </w:rPr>
        <w:t>，以降低金流追蹤難度，並確實防</w:t>
      </w:r>
      <w:proofErr w:type="gramStart"/>
      <w:r w:rsidR="00DF3A75" w:rsidRPr="00DF3A75">
        <w:rPr>
          <w:rFonts w:hAnsi="標楷體" w:hint="eastAsia"/>
          <w:b/>
          <w:color w:val="000000" w:themeColor="text1"/>
          <w:sz w:val="28"/>
          <w:szCs w:val="28"/>
        </w:rPr>
        <w:t>杜詐團</w:t>
      </w:r>
      <w:proofErr w:type="gramEnd"/>
      <w:r w:rsidR="00DF3A75" w:rsidRPr="00DF3A75">
        <w:rPr>
          <w:rFonts w:hAnsi="標楷體" w:hint="eastAsia"/>
          <w:b/>
          <w:color w:val="000000" w:themeColor="text1"/>
          <w:sz w:val="28"/>
          <w:szCs w:val="28"/>
        </w:rPr>
        <w:t>運用人頭帳戶進行詐騙。</w:t>
      </w:r>
    </w:p>
    <w:p w14:paraId="67CEE62F" w14:textId="77777777" w:rsidR="00A42113" w:rsidRDefault="00A42113" w:rsidP="00A42113">
      <w:pPr>
        <w:overflowPunct w:val="0"/>
        <w:spacing w:line="438" w:lineRule="exact"/>
        <w:ind w:firstLineChars="200" w:firstLine="480"/>
        <w:jc w:val="both"/>
        <w:rPr>
          <w:rFonts w:ascii="標楷體" w:eastAsia="標楷體" w:hAnsi="標楷體" w:cs="新細明體"/>
          <w:color w:val="000000" w:themeColor="text1"/>
          <w:szCs w:val="24"/>
        </w:rPr>
      </w:pPr>
      <w:r w:rsidRPr="00A42113">
        <w:rPr>
          <w:rFonts w:ascii="標楷體" w:eastAsia="標楷體" w:hAnsi="標楷體" w:cs="新細明體" w:hint="eastAsia"/>
          <w:color w:val="000000" w:themeColor="text1"/>
          <w:szCs w:val="24"/>
        </w:rPr>
        <w:t>行政院為防止詐騙集團使用人頭帳戶設立偵查斷點，並藉由虛擬貨幣之去中心化特性隱匿贓款流向，已</w:t>
      </w:r>
      <w:proofErr w:type="gramStart"/>
      <w:r w:rsidRPr="00A42113">
        <w:rPr>
          <w:rFonts w:ascii="標楷體" w:eastAsia="標楷體" w:hAnsi="標楷體" w:cs="新細明體" w:hint="eastAsia"/>
          <w:color w:val="000000" w:themeColor="text1"/>
          <w:szCs w:val="24"/>
        </w:rPr>
        <w:t>研</w:t>
      </w:r>
      <w:proofErr w:type="gramEnd"/>
      <w:r w:rsidRPr="00A42113">
        <w:rPr>
          <w:rFonts w:ascii="標楷體" w:eastAsia="標楷體" w:hAnsi="標楷體" w:cs="新細明體" w:hint="eastAsia"/>
          <w:color w:val="000000" w:themeColor="text1"/>
          <w:szCs w:val="24"/>
        </w:rPr>
        <w:t>提「防制人頭帳戶進行詐騙」及「制定虛擬通貨洗錢防制管理規範」</w:t>
      </w:r>
      <w:proofErr w:type="gramStart"/>
      <w:r w:rsidRPr="00A42113">
        <w:rPr>
          <w:rFonts w:ascii="標楷體" w:eastAsia="標楷體" w:hAnsi="標楷體" w:cs="新細明體" w:hint="eastAsia"/>
          <w:color w:val="000000" w:themeColor="text1"/>
          <w:szCs w:val="24"/>
        </w:rPr>
        <w:t>等阻詐策略</w:t>
      </w:r>
      <w:proofErr w:type="gramEnd"/>
      <w:r w:rsidRPr="00A42113">
        <w:rPr>
          <w:rFonts w:ascii="標楷體" w:eastAsia="標楷體" w:hAnsi="標楷體" w:cs="新細明體" w:hint="eastAsia"/>
          <w:color w:val="000000" w:themeColor="text1"/>
          <w:szCs w:val="24"/>
        </w:rPr>
        <w:t>，納入「新世代打擊詐欺策略行動綱領」1.5版，由金融監督管理委員會（下稱金管會）、法務部、經濟部、數位發展部、內政部等機關共同辦理。截至113年底止，金管會已責成中華民國銀行商業同業公會全國聯合會（下稱銀行公會）彙整共通性之疑似不法或顯屬異常交易態樣，要求銀行業納入警示監控指標，另由法務部及金管會持續依國際防制洗錢標準，修正相關法規，對未完成洗錢防制登記之虛擬貨幣業者課予刑責及明定不法交付帳戶罪。經</w:t>
      </w:r>
      <w:proofErr w:type="gramStart"/>
      <w:r w:rsidRPr="00A42113">
        <w:rPr>
          <w:rFonts w:ascii="標楷體" w:eastAsia="標楷體" w:hAnsi="標楷體" w:cs="新細明體" w:hint="eastAsia"/>
          <w:color w:val="000000" w:themeColor="text1"/>
          <w:szCs w:val="24"/>
        </w:rPr>
        <w:t>查上開阻詐措施</w:t>
      </w:r>
      <w:proofErr w:type="gramEnd"/>
      <w:r w:rsidRPr="00A42113">
        <w:rPr>
          <w:rFonts w:ascii="標楷體" w:eastAsia="標楷體" w:hAnsi="標楷體" w:cs="新細明體" w:hint="eastAsia"/>
          <w:color w:val="000000" w:themeColor="text1"/>
          <w:szCs w:val="24"/>
        </w:rPr>
        <w:t>執行情形，核有下列事項：</w:t>
      </w:r>
    </w:p>
    <w:p w14:paraId="01206C15" w14:textId="2BE4F714" w:rsidR="003761F2" w:rsidRDefault="00A42113" w:rsidP="0087305C">
      <w:pPr>
        <w:overflowPunct w:val="0"/>
        <w:spacing w:line="424" w:lineRule="exact"/>
        <w:ind w:firstLineChars="450" w:firstLine="1081"/>
        <w:jc w:val="both"/>
        <w:rPr>
          <w:rFonts w:ascii="標楷體" w:eastAsia="標楷體" w:hAnsi="標楷體" w:cs="新細明體"/>
          <w:color w:val="000000" w:themeColor="text1"/>
          <w:szCs w:val="24"/>
        </w:rPr>
      </w:pPr>
      <w:r w:rsidRPr="003761F2">
        <w:rPr>
          <w:rFonts w:ascii="標楷體" w:eastAsia="標楷體" w:hAnsi="標楷體" w:cs="新細明體" w:hint="eastAsia"/>
          <w:b/>
          <w:bCs/>
          <w:color w:val="000000" w:themeColor="text1"/>
          <w:szCs w:val="24"/>
        </w:rPr>
        <w:t>1.　金管會已陸續</w:t>
      </w:r>
      <w:proofErr w:type="gramStart"/>
      <w:r w:rsidRPr="003761F2">
        <w:rPr>
          <w:rFonts w:ascii="標楷體" w:eastAsia="標楷體" w:hAnsi="標楷體" w:cs="新細明體" w:hint="eastAsia"/>
          <w:b/>
          <w:bCs/>
          <w:color w:val="000000" w:themeColor="text1"/>
          <w:szCs w:val="24"/>
        </w:rPr>
        <w:t>訂定相關防</w:t>
      </w:r>
      <w:proofErr w:type="gramEnd"/>
      <w:r w:rsidRPr="003761F2">
        <w:rPr>
          <w:rFonts w:ascii="標楷體" w:eastAsia="標楷體" w:hAnsi="標楷體" w:cs="新細明體" w:hint="eastAsia"/>
          <w:b/>
          <w:bCs/>
          <w:color w:val="000000" w:themeColor="text1"/>
          <w:szCs w:val="24"/>
        </w:rPr>
        <w:t>制洗錢及</w:t>
      </w:r>
      <w:proofErr w:type="gramStart"/>
      <w:r w:rsidRPr="003761F2">
        <w:rPr>
          <w:rFonts w:ascii="標楷體" w:eastAsia="標楷體" w:hAnsi="標楷體" w:cs="新細明體" w:hint="eastAsia"/>
          <w:b/>
          <w:bCs/>
          <w:color w:val="000000" w:themeColor="text1"/>
          <w:szCs w:val="24"/>
        </w:rPr>
        <w:t>打擊資恐規定</w:t>
      </w:r>
      <w:proofErr w:type="gramEnd"/>
      <w:r w:rsidRPr="003761F2">
        <w:rPr>
          <w:rFonts w:ascii="標楷體" w:eastAsia="標楷體" w:hAnsi="標楷體" w:cs="新細明體" w:hint="eastAsia"/>
          <w:b/>
          <w:bCs/>
          <w:color w:val="000000" w:themeColor="text1"/>
          <w:szCs w:val="24"/>
        </w:rPr>
        <w:t>，並由銀行業將異常匯入虛擬貨幣交易平台境外帳戶之款項納入警示監控，惟部分匯款人未據實申報規避金融機構警示監控；又內政部警政署已與部分境內外虛擬貨幣交易所建立投</w:t>
      </w:r>
      <w:proofErr w:type="gramStart"/>
      <w:r w:rsidRPr="003761F2">
        <w:rPr>
          <w:rFonts w:ascii="標楷體" w:eastAsia="標楷體" w:hAnsi="標楷體" w:cs="新細明體" w:hint="eastAsia"/>
          <w:b/>
          <w:bCs/>
          <w:color w:val="000000" w:themeColor="text1"/>
          <w:szCs w:val="24"/>
        </w:rPr>
        <w:t>單調閱等</w:t>
      </w:r>
      <w:proofErr w:type="gramEnd"/>
      <w:r w:rsidRPr="003761F2">
        <w:rPr>
          <w:rFonts w:ascii="標楷體" w:eastAsia="標楷體" w:hAnsi="標楷體" w:cs="新細明體" w:hint="eastAsia"/>
          <w:b/>
          <w:bCs/>
          <w:color w:val="000000" w:themeColor="text1"/>
          <w:szCs w:val="24"/>
        </w:rPr>
        <w:t>合作機制，惟合作建立家數仍</w:t>
      </w:r>
      <w:r w:rsidRPr="003761F2">
        <w:rPr>
          <w:rFonts w:ascii="標楷體" w:eastAsia="標楷體" w:hAnsi="標楷體" w:cs="新細明體" w:hint="eastAsia"/>
          <w:b/>
          <w:bCs/>
          <w:color w:val="000000" w:themeColor="text1"/>
          <w:szCs w:val="24"/>
        </w:rPr>
        <w:lastRenderedPageBreak/>
        <w:t>待有效拓展，允宜督促檢討改善：</w:t>
      </w:r>
      <w:r w:rsidRPr="00A42113">
        <w:rPr>
          <w:rFonts w:ascii="標楷體" w:eastAsia="標楷體" w:hAnsi="標楷體" w:cs="新細明體" w:hint="eastAsia"/>
          <w:color w:val="000000" w:themeColor="text1"/>
          <w:szCs w:val="24"/>
        </w:rPr>
        <w:t>金管會為防範虛擬資產洗錢</w:t>
      </w:r>
      <w:proofErr w:type="gramStart"/>
      <w:r w:rsidRPr="00A42113">
        <w:rPr>
          <w:rFonts w:ascii="標楷體" w:eastAsia="標楷體" w:hAnsi="標楷體" w:cs="新細明體" w:hint="eastAsia"/>
          <w:color w:val="000000" w:themeColor="text1"/>
          <w:szCs w:val="24"/>
        </w:rPr>
        <w:t>及資恐風險</w:t>
      </w:r>
      <w:proofErr w:type="gramEnd"/>
      <w:r w:rsidRPr="00A42113">
        <w:rPr>
          <w:rFonts w:ascii="標楷體" w:eastAsia="標楷體" w:hAnsi="標楷體" w:cs="新細明體" w:hint="eastAsia"/>
          <w:color w:val="000000" w:themeColor="text1"/>
          <w:szCs w:val="24"/>
        </w:rPr>
        <w:t>，陸續訂定「虛擬通貨平台及交易業務事業（下稱VASP）防制洗錢及</w:t>
      </w:r>
      <w:proofErr w:type="gramStart"/>
      <w:r w:rsidRPr="00A42113">
        <w:rPr>
          <w:rFonts w:ascii="標楷體" w:eastAsia="標楷體" w:hAnsi="標楷體" w:cs="新細明體" w:hint="eastAsia"/>
          <w:color w:val="000000" w:themeColor="text1"/>
          <w:szCs w:val="24"/>
        </w:rPr>
        <w:t>打擊資恐辦法</w:t>
      </w:r>
      <w:proofErr w:type="gramEnd"/>
      <w:r w:rsidRPr="00A42113">
        <w:rPr>
          <w:rFonts w:ascii="標楷體" w:eastAsia="標楷體" w:hAnsi="標楷體" w:cs="新細明體" w:hint="eastAsia"/>
          <w:color w:val="000000" w:themeColor="text1"/>
          <w:szCs w:val="24"/>
        </w:rPr>
        <w:t>」、「銀行與虛擬資產服務提供者建立業務關係及交易監控自律規範」等規定，並已</w:t>
      </w:r>
      <w:proofErr w:type="gramStart"/>
      <w:r w:rsidRPr="00A42113">
        <w:rPr>
          <w:rFonts w:ascii="標楷體" w:eastAsia="標楷體" w:hAnsi="標楷體" w:cs="新細明體" w:hint="eastAsia"/>
          <w:color w:val="000000" w:themeColor="text1"/>
          <w:szCs w:val="24"/>
        </w:rPr>
        <w:t>研</w:t>
      </w:r>
      <w:proofErr w:type="gramEnd"/>
      <w:r w:rsidRPr="00A42113">
        <w:rPr>
          <w:rFonts w:ascii="標楷體" w:eastAsia="標楷體" w:hAnsi="標楷體" w:cs="新細明體" w:hint="eastAsia"/>
          <w:color w:val="000000" w:themeColor="text1"/>
          <w:szCs w:val="24"/>
        </w:rPr>
        <w:t>議制定VASP管理專法，另中央銀行為強化資金進出之管理，亦自112年1月1日起新增「268購買（出售）國外虛擬資產」之匯出（入）分類項目，並經銀行公會將「款項匯入後，迅速轉入虛擬貨幣交易平台之境外帳戶」，列為具共通性之疑似不法或顯屬異常交易態樣，由金融機構進行監控。</w:t>
      </w:r>
      <w:proofErr w:type="gramStart"/>
      <w:r w:rsidRPr="00A42113">
        <w:rPr>
          <w:rFonts w:ascii="標楷體" w:eastAsia="標楷體" w:hAnsi="標楷體" w:cs="新細明體" w:hint="eastAsia"/>
          <w:color w:val="000000" w:themeColor="text1"/>
          <w:szCs w:val="24"/>
        </w:rPr>
        <w:t>惟前揭</w:t>
      </w:r>
      <w:proofErr w:type="gramEnd"/>
      <w:r w:rsidRPr="00A42113">
        <w:rPr>
          <w:rFonts w:ascii="標楷體" w:eastAsia="標楷體" w:hAnsi="標楷體" w:cs="新細明體" w:hint="eastAsia"/>
          <w:color w:val="000000" w:themeColor="text1"/>
          <w:szCs w:val="24"/>
        </w:rPr>
        <w:t>申報項目係由匯款人自行選定，且部分金融機構並未建置境外虛擬通貨平台名單，致發生詐騙集團勾結國營銀行</w:t>
      </w:r>
      <w:proofErr w:type="gramStart"/>
      <w:r w:rsidRPr="00A42113">
        <w:rPr>
          <w:rFonts w:ascii="標楷體" w:eastAsia="標楷體" w:hAnsi="標楷體" w:cs="新細明體" w:hint="eastAsia"/>
          <w:color w:val="000000" w:themeColor="text1"/>
          <w:szCs w:val="24"/>
        </w:rPr>
        <w:t>行</w:t>
      </w:r>
      <w:proofErr w:type="gramEnd"/>
      <w:r w:rsidRPr="00A42113">
        <w:rPr>
          <w:rFonts w:ascii="標楷體" w:eastAsia="標楷體" w:hAnsi="標楷體" w:cs="新細明體" w:hint="eastAsia"/>
          <w:color w:val="000000" w:themeColor="text1"/>
          <w:szCs w:val="24"/>
        </w:rPr>
        <w:t>員藉由未據實申報，規避金融機構異常交易警示監控，藉此隱匿詐欺款項，並因虛擬貨幣去中心化之特性，且境外虛擬資產交易平台</w:t>
      </w:r>
      <w:proofErr w:type="gramStart"/>
      <w:r w:rsidRPr="00A42113">
        <w:rPr>
          <w:rFonts w:ascii="標楷體" w:eastAsia="標楷體" w:hAnsi="標楷體" w:cs="新細明體" w:hint="eastAsia"/>
          <w:color w:val="000000" w:themeColor="text1"/>
          <w:szCs w:val="24"/>
        </w:rPr>
        <w:t>非屬經金管會</w:t>
      </w:r>
      <w:proofErr w:type="gramEnd"/>
      <w:r w:rsidRPr="00A42113">
        <w:rPr>
          <w:rFonts w:ascii="標楷體" w:eastAsia="標楷體" w:hAnsi="標楷體" w:cs="新細明體" w:hint="eastAsia"/>
          <w:color w:val="000000" w:themeColor="text1"/>
          <w:szCs w:val="24"/>
        </w:rPr>
        <w:t>核准設立之機構，增加追查境外資金流向之難度。另據內政部統計，警政署已</w:t>
      </w:r>
      <w:proofErr w:type="gramStart"/>
      <w:r w:rsidRPr="00A42113">
        <w:rPr>
          <w:rFonts w:ascii="標楷體" w:eastAsia="標楷體" w:hAnsi="標楷體" w:cs="新細明體" w:hint="eastAsia"/>
          <w:color w:val="000000" w:themeColor="text1"/>
          <w:szCs w:val="24"/>
        </w:rPr>
        <w:t>與幣安</w:t>
      </w:r>
      <w:proofErr w:type="gramEnd"/>
      <w:r w:rsidRPr="00A42113">
        <w:rPr>
          <w:rFonts w:ascii="標楷體" w:eastAsia="標楷體" w:hAnsi="標楷體" w:cs="新細明體" w:hint="eastAsia"/>
          <w:color w:val="000000" w:themeColor="text1"/>
          <w:szCs w:val="24"/>
        </w:rPr>
        <w:t>（</w:t>
      </w:r>
      <w:proofErr w:type="spellStart"/>
      <w:r w:rsidRPr="00A42113">
        <w:rPr>
          <w:rFonts w:ascii="標楷體" w:eastAsia="標楷體" w:hAnsi="標楷體" w:cs="新細明體" w:hint="eastAsia"/>
          <w:color w:val="000000" w:themeColor="text1"/>
          <w:szCs w:val="24"/>
        </w:rPr>
        <w:t>Binance</w:t>
      </w:r>
      <w:proofErr w:type="spellEnd"/>
      <w:r w:rsidRPr="00A42113">
        <w:rPr>
          <w:rFonts w:ascii="標楷體" w:eastAsia="標楷體" w:hAnsi="標楷體" w:cs="新細明體" w:hint="eastAsia"/>
          <w:color w:val="000000" w:themeColor="text1"/>
          <w:szCs w:val="24"/>
        </w:rPr>
        <w:t>）等12家境內外VASP業者建立投</w:t>
      </w:r>
      <w:proofErr w:type="gramStart"/>
      <w:r w:rsidRPr="00A42113">
        <w:rPr>
          <w:rFonts w:ascii="標楷體" w:eastAsia="標楷體" w:hAnsi="標楷體" w:cs="新細明體" w:hint="eastAsia"/>
          <w:color w:val="000000" w:themeColor="text1"/>
          <w:szCs w:val="24"/>
        </w:rPr>
        <w:t>單調閱等</w:t>
      </w:r>
      <w:proofErr w:type="gramEnd"/>
      <w:r w:rsidRPr="00A42113">
        <w:rPr>
          <w:rFonts w:ascii="標楷體" w:eastAsia="標楷體" w:hAnsi="標楷體" w:cs="新細明體" w:hint="eastAsia"/>
          <w:color w:val="000000" w:themeColor="text1"/>
          <w:szCs w:val="24"/>
        </w:rPr>
        <w:t>合作機制，惟境外有超過千家虛擬貨幣交易所，</w:t>
      </w:r>
      <w:proofErr w:type="gramStart"/>
      <w:r w:rsidRPr="00A42113">
        <w:rPr>
          <w:rFonts w:ascii="標楷體" w:eastAsia="標楷體" w:hAnsi="標楷體" w:cs="新細明體" w:hint="eastAsia"/>
          <w:color w:val="000000" w:themeColor="text1"/>
          <w:szCs w:val="24"/>
        </w:rPr>
        <w:t>僅有幣安</w:t>
      </w:r>
      <w:proofErr w:type="gramEnd"/>
      <w:r w:rsidRPr="00A42113">
        <w:rPr>
          <w:rFonts w:ascii="標楷體" w:eastAsia="標楷體" w:hAnsi="標楷體" w:cs="新細明體" w:hint="eastAsia"/>
          <w:color w:val="000000" w:themeColor="text1"/>
          <w:szCs w:val="24"/>
        </w:rPr>
        <w:t>（</w:t>
      </w:r>
      <w:proofErr w:type="spellStart"/>
      <w:r w:rsidRPr="00A42113">
        <w:rPr>
          <w:rFonts w:ascii="標楷體" w:eastAsia="標楷體" w:hAnsi="標楷體" w:cs="新細明體" w:hint="eastAsia"/>
          <w:color w:val="000000" w:themeColor="text1"/>
          <w:szCs w:val="24"/>
        </w:rPr>
        <w:t>Binance</w:t>
      </w:r>
      <w:proofErr w:type="spellEnd"/>
      <w:r w:rsidRPr="00A42113">
        <w:rPr>
          <w:rFonts w:ascii="標楷體" w:eastAsia="標楷體" w:hAnsi="標楷體" w:cs="新細明體" w:hint="eastAsia"/>
          <w:color w:val="000000" w:themeColor="text1"/>
          <w:szCs w:val="24"/>
        </w:rPr>
        <w:t>）等少數境外交易所配合國內執法機關調閱涉案帳戶及</w:t>
      </w:r>
      <w:proofErr w:type="gramStart"/>
      <w:r w:rsidRPr="00A42113">
        <w:rPr>
          <w:rFonts w:ascii="標楷體" w:eastAsia="標楷體" w:hAnsi="標楷體" w:cs="新細明體" w:hint="eastAsia"/>
          <w:color w:val="000000" w:themeColor="text1"/>
          <w:szCs w:val="24"/>
        </w:rPr>
        <w:t>圈存涉案</w:t>
      </w:r>
      <w:proofErr w:type="gramEnd"/>
      <w:r w:rsidRPr="00A42113">
        <w:rPr>
          <w:rFonts w:ascii="標楷體" w:eastAsia="標楷體" w:hAnsi="標楷體" w:cs="新細明體" w:hint="eastAsia"/>
          <w:color w:val="000000" w:themeColor="text1"/>
          <w:szCs w:val="24"/>
        </w:rPr>
        <w:t>虛擬資產，又目前虛擬貨幣之冷錢包及非託管錢包尚未</w:t>
      </w:r>
      <w:proofErr w:type="gramStart"/>
      <w:r w:rsidRPr="00A42113">
        <w:rPr>
          <w:rFonts w:ascii="標楷體" w:eastAsia="標楷體" w:hAnsi="標楷體" w:cs="新細明體" w:hint="eastAsia"/>
          <w:color w:val="000000" w:themeColor="text1"/>
          <w:szCs w:val="24"/>
        </w:rPr>
        <w:t>採實名制</w:t>
      </w:r>
      <w:proofErr w:type="gramEnd"/>
      <w:r w:rsidRPr="00A42113">
        <w:rPr>
          <w:rFonts w:ascii="標楷體" w:eastAsia="標楷體" w:hAnsi="標楷體" w:cs="新細明體" w:hint="eastAsia"/>
          <w:color w:val="000000" w:themeColor="text1"/>
          <w:szCs w:val="24"/>
        </w:rPr>
        <w:t>，致難以證明錢包之持有人，並據以凍結涉案財產及追回犯罪金額。</w:t>
      </w:r>
      <w:proofErr w:type="gramStart"/>
      <w:r w:rsidRPr="00A42113">
        <w:rPr>
          <w:rFonts w:ascii="標楷體" w:eastAsia="標楷體" w:hAnsi="標楷體" w:cs="新細明體" w:hint="eastAsia"/>
          <w:color w:val="000000" w:themeColor="text1"/>
          <w:szCs w:val="24"/>
        </w:rPr>
        <w:t>鑑</w:t>
      </w:r>
      <w:proofErr w:type="gramEnd"/>
      <w:r w:rsidRPr="00A42113">
        <w:rPr>
          <w:rFonts w:ascii="標楷體" w:eastAsia="標楷體" w:hAnsi="標楷體" w:cs="新細明體" w:hint="eastAsia"/>
          <w:color w:val="000000" w:themeColor="text1"/>
          <w:szCs w:val="24"/>
        </w:rPr>
        <w:t>於詐騙集團規避金融機構警示監控及隱</w:t>
      </w:r>
      <w:proofErr w:type="gramStart"/>
      <w:r w:rsidRPr="00A42113">
        <w:rPr>
          <w:rFonts w:ascii="標楷體" w:eastAsia="標楷體" w:hAnsi="標楷體" w:cs="新細明體" w:hint="eastAsia"/>
          <w:color w:val="000000" w:themeColor="text1"/>
          <w:szCs w:val="24"/>
        </w:rPr>
        <w:t>匯</w:t>
      </w:r>
      <w:proofErr w:type="gramEnd"/>
      <w:r w:rsidRPr="00A42113">
        <w:rPr>
          <w:rFonts w:ascii="標楷體" w:eastAsia="標楷體" w:hAnsi="標楷體" w:cs="新細明體" w:hint="eastAsia"/>
          <w:color w:val="000000" w:themeColor="text1"/>
          <w:szCs w:val="24"/>
        </w:rPr>
        <w:t>不法金流方式日新月異，政府阻攔不法詐欺金流仍面臨嚴峻挑戰，經</w:t>
      </w:r>
      <w:r w:rsidR="00093817">
        <w:rPr>
          <w:rFonts w:ascii="標楷體" w:eastAsia="標楷體" w:hAnsi="標楷體" w:cs="新細明體" w:hint="eastAsia"/>
          <w:color w:val="000000" w:themeColor="text1"/>
          <w:szCs w:val="24"/>
        </w:rPr>
        <w:t>建</w:t>
      </w:r>
      <w:r w:rsidRPr="00A42113">
        <w:rPr>
          <w:rFonts w:ascii="標楷體" w:eastAsia="標楷體" w:hAnsi="標楷體" w:cs="新細明體" w:hint="eastAsia"/>
          <w:color w:val="000000" w:themeColor="text1"/>
          <w:szCs w:val="24"/>
        </w:rPr>
        <w:t>請行政院督促金管會、內政部等相關主管機關</w:t>
      </w:r>
      <w:proofErr w:type="gramStart"/>
      <w:r w:rsidRPr="00A42113">
        <w:rPr>
          <w:rFonts w:ascii="標楷體" w:eastAsia="標楷體" w:hAnsi="標楷體" w:cs="新細明體" w:hint="eastAsia"/>
          <w:color w:val="000000" w:themeColor="text1"/>
          <w:szCs w:val="24"/>
        </w:rPr>
        <w:t>研</w:t>
      </w:r>
      <w:proofErr w:type="gramEnd"/>
      <w:r w:rsidRPr="00A42113">
        <w:rPr>
          <w:rFonts w:ascii="標楷體" w:eastAsia="標楷體" w:hAnsi="標楷體" w:cs="新細明體" w:hint="eastAsia"/>
          <w:color w:val="000000" w:themeColor="text1"/>
          <w:szCs w:val="24"/>
        </w:rPr>
        <w:t>謀因應，精進強化款項異常匯入虛擬貨幣平台境外帳戶之監控功能，並強化警政等執法機關與境外VASP業者合作機制及拓展合作家數，以有效防制洗錢及打擊</w:t>
      </w:r>
      <w:proofErr w:type="gramStart"/>
      <w:r w:rsidRPr="00A42113">
        <w:rPr>
          <w:rFonts w:ascii="標楷體" w:eastAsia="標楷體" w:hAnsi="標楷體" w:cs="新細明體" w:hint="eastAsia"/>
          <w:color w:val="000000" w:themeColor="text1"/>
          <w:szCs w:val="24"/>
        </w:rPr>
        <w:t>資恐。</w:t>
      </w:r>
      <w:proofErr w:type="gramEnd"/>
      <w:r w:rsidRPr="0087305C">
        <w:rPr>
          <w:rFonts w:ascii="標楷體" w:eastAsia="標楷體" w:hAnsi="標楷體" w:cs="新細明體" w:hint="eastAsia"/>
          <w:color w:val="000000" w:themeColor="text1"/>
          <w:szCs w:val="24"/>
        </w:rPr>
        <w:t>據復：</w:t>
      </w:r>
      <w:r w:rsidR="0087305C" w:rsidRPr="0087305C">
        <w:rPr>
          <w:rFonts w:ascii="標楷體" w:eastAsia="標楷體" w:hAnsi="標楷體" w:cs="新細明體" w:hint="eastAsia"/>
          <w:color w:val="000000" w:themeColor="text1"/>
          <w:szCs w:val="24"/>
        </w:rPr>
        <w:t>警政署刑事警察局將持續與境外VASP交易所加強聯繫，以拓展配合之業者名單，又臺灣高等檢察署亦將持續與VASP交易所資料進行</w:t>
      </w:r>
      <w:proofErr w:type="gramStart"/>
      <w:r w:rsidR="0087305C" w:rsidRPr="0087305C">
        <w:rPr>
          <w:rFonts w:ascii="標楷體" w:eastAsia="標楷體" w:hAnsi="標楷體" w:cs="新細明體" w:hint="eastAsia"/>
          <w:color w:val="000000" w:themeColor="text1"/>
          <w:szCs w:val="24"/>
        </w:rPr>
        <w:t>介</w:t>
      </w:r>
      <w:proofErr w:type="gramEnd"/>
      <w:r w:rsidR="0087305C" w:rsidRPr="0087305C">
        <w:rPr>
          <w:rFonts w:ascii="標楷體" w:eastAsia="標楷體" w:hAnsi="標楷體" w:cs="新細明體" w:hint="eastAsia"/>
          <w:color w:val="000000" w:themeColor="text1"/>
          <w:szCs w:val="24"/>
        </w:rPr>
        <w:t>接，並</w:t>
      </w:r>
      <w:proofErr w:type="gramStart"/>
      <w:r w:rsidR="0087305C" w:rsidRPr="0087305C">
        <w:rPr>
          <w:rFonts w:ascii="標楷體" w:eastAsia="標楷體" w:hAnsi="標楷體" w:cs="新細明體" w:hint="eastAsia"/>
          <w:color w:val="000000" w:themeColor="text1"/>
          <w:szCs w:val="24"/>
        </w:rPr>
        <w:t>研</w:t>
      </w:r>
      <w:proofErr w:type="gramEnd"/>
      <w:r w:rsidR="0087305C" w:rsidRPr="0087305C">
        <w:rPr>
          <w:rFonts w:ascii="標楷體" w:eastAsia="標楷體" w:hAnsi="標楷體" w:cs="新細明體" w:hint="eastAsia"/>
          <w:color w:val="000000" w:themeColor="text1"/>
          <w:szCs w:val="24"/>
        </w:rPr>
        <w:t>議快速且有效取回被害人財產損失之精進措施，另金管會已督導財金資訊公司彙整各金融機構蒐集之境外VASP業者</w:t>
      </w:r>
      <w:proofErr w:type="gramStart"/>
      <w:r w:rsidR="0087305C" w:rsidRPr="0087305C">
        <w:rPr>
          <w:rFonts w:ascii="標楷體" w:eastAsia="標楷體" w:hAnsi="標楷體" w:cs="新細明體" w:hint="eastAsia"/>
          <w:color w:val="000000" w:themeColor="text1"/>
          <w:szCs w:val="24"/>
        </w:rPr>
        <w:t>匯</w:t>
      </w:r>
      <w:proofErr w:type="gramEnd"/>
      <w:r w:rsidR="0087305C" w:rsidRPr="0087305C">
        <w:rPr>
          <w:rFonts w:ascii="標楷體" w:eastAsia="標楷體" w:hAnsi="標楷體" w:cs="新細明體" w:hint="eastAsia"/>
          <w:color w:val="000000" w:themeColor="text1"/>
          <w:szCs w:val="24"/>
        </w:rPr>
        <w:t>外帳戶，並敦促境外VASP業者落地納管，以利及時攔阻並返還民眾遭詐款項。</w:t>
      </w:r>
    </w:p>
    <w:p w14:paraId="72F5CE8A" w14:textId="5C31D503" w:rsidR="000D5F51" w:rsidRPr="00A42113" w:rsidRDefault="00A42113" w:rsidP="00E06A58">
      <w:pPr>
        <w:overflowPunct w:val="0"/>
        <w:spacing w:line="424" w:lineRule="exact"/>
        <w:ind w:firstLineChars="450" w:firstLine="1081"/>
        <w:jc w:val="both"/>
        <w:rPr>
          <w:rFonts w:ascii="標楷體" w:eastAsia="標楷體" w:hAnsi="標楷體" w:cs="新細明體"/>
          <w:color w:val="000000" w:themeColor="text1"/>
          <w:szCs w:val="24"/>
        </w:rPr>
      </w:pPr>
      <w:r w:rsidRPr="00A42113">
        <w:rPr>
          <w:rFonts w:ascii="標楷體" w:eastAsia="標楷體" w:hAnsi="標楷體" w:cs="新細明體" w:hint="eastAsia"/>
          <w:b/>
          <w:bCs/>
          <w:color w:val="000000" w:themeColor="text1"/>
          <w:szCs w:val="24"/>
        </w:rPr>
        <w:t>2</w:t>
      </w:r>
      <w:r w:rsidRPr="00A42113">
        <w:rPr>
          <w:rFonts w:ascii="標楷體" w:eastAsia="標楷體" w:hAnsi="標楷體" w:cs="新細明體"/>
          <w:b/>
          <w:bCs/>
          <w:color w:val="000000" w:themeColor="text1"/>
          <w:szCs w:val="24"/>
        </w:rPr>
        <w:t>.</w:t>
      </w:r>
      <w:r w:rsidRPr="00A42113">
        <w:rPr>
          <w:rFonts w:ascii="標楷體" w:eastAsia="標楷體" w:hAnsi="標楷體" w:cs="新細明體" w:hint="eastAsia"/>
          <w:b/>
          <w:bCs/>
          <w:color w:val="000000" w:themeColor="text1"/>
          <w:szCs w:val="24"/>
        </w:rPr>
        <w:t xml:space="preserve">　洗錢防制法已增訂條文明定不法交付帳戶罪，以抑制人頭帳戶進行詐騙，惟國內公司行號設立之審查驗證措施有待強化，又企業帳戶易規避不法交易之警示及研判，衍生詐騙集團改以成立人頭公司帳戶作為洗錢掩護工具，允宜督促</w:t>
      </w:r>
      <w:proofErr w:type="gramStart"/>
      <w:r w:rsidRPr="00A42113">
        <w:rPr>
          <w:rFonts w:ascii="標楷體" w:eastAsia="標楷體" w:hAnsi="標楷體" w:cs="新細明體" w:hint="eastAsia"/>
          <w:b/>
          <w:bCs/>
          <w:color w:val="000000" w:themeColor="text1"/>
          <w:szCs w:val="24"/>
        </w:rPr>
        <w:t>研</w:t>
      </w:r>
      <w:proofErr w:type="gramEnd"/>
      <w:r w:rsidRPr="00A42113">
        <w:rPr>
          <w:rFonts w:ascii="標楷體" w:eastAsia="標楷體" w:hAnsi="標楷體" w:cs="新細明體" w:hint="eastAsia"/>
          <w:b/>
          <w:bCs/>
          <w:color w:val="000000" w:themeColor="text1"/>
          <w:szCs w:val="24"/>
        </w:rPr>
        <w:t>謀因應：</w:t>
      </w:r>
      <w:r w:rsidRPr="00A42113">
        <w:rPr>
          <w:rFonts w:ascii="標楷體" w:eastAsia="標楷體" w:hAnsi="標楷體" w:cs="新細明體" w:hint="eastAsia"/>
          <w:color w:val="000000" w:themeColor="text1"/>
          <w:szCs w:val="24"/>
        </w:rPr>
        <w:t>政府為降低民眾提供金融帳戶之誘因，以防制詐騙集團收集人頭帳戶進行詐騙，除持續強化金融機構異常交易態樣監控機制等措施外，另於1</w:t>
      </w:r>
      <w:r w:rsidRPr="00A42113">
        <w:rPr>
          <w:rFonts w:ascii="標楷體" w:eastAsia="標楷體" w:hAnsi="標楷體" w:cs="新細明體"/>
          <w:color w:val="000000" w:themeColor="text1"/>
          <w:szCs w:val="24"/>
        </w:rPr>
        <w:t>12</w:t>
      </w:r>
      <w:r w:rsidRPr="00A42113">
        <w:rPr>
          <w:rFonts w:ascii="標楷體" w:eastAsia="標楷體" w:hAnsi="標楷體" w:cs="新細明體" w:hint="eastAsia"/>
          <w:color w:val="000000" w:themeColor="text1"/>
          <w:szCs w:val="24"/>
        </w:rPr>
        <w:t>年6月1</w:t>
      </w:r>
      <w:r w:rsidRPr="00A42113">
        <w:rPr>
          <w:rFonts w:ascii="標楷體" w:eastAsia="標楷體" w:hAnsi="標楷體" w:cs="新細明體"/>
          <w:color w:val="000000" w:themeColor="text1"/>
          <w:szCs w:val="24"/>
        </w:rPr>
        <w:t>4</w:t>
      </w:r>
      <w:r w:rsidRPr="00A42113">
        <w:rPr>
          <w:rFonts w:ascii="標楷體" w:eastAsia="標楷體" w:hAnsi="標楷體" w:cs="新細明體" w:hint="eastAsia"/>
          <w:color w:val="000000" w:themeColor="text1"/>
          <w:szCs w:val="24"/>
        </w:rPr>
        <w:t>日修正公布洗錢防制法第15條之2（113年7月31日修正公布全文，改置第22條），明定「不正交付帳戶罪」，交付或提供金融帳戶者將被裁處告誡或科以刑責，並暫停、限制或</w:t>
      </w:r>
      <w:proofErr w:type="gramStart"/>
      <w:r w:rsidRPr="00A42113">
        <w:rPr>
          <w:rFonts w:ascii="標楷體" w:eastAsia="標楷體" w:hAnsi="標楷體" w:cs="新細明體" w:hint="eastAsia"/>
          <w:color w:val="000000" w:themeColor="text1"/>
          <w:szCs w:val="24"/>
        </w:rPr>
        <w:t>逕</w:t>
      </w:r>
      <w:proofErr w:type="gramEnd"/>
      <w:r w:rsidRPr="00A42113">
        <w:rPr>
          <w:rFonts w:ascii="標楷體" w:eastAsia="標楷體" w:hAnsi="標楷體" w:cs="新細明體" w:hint="eastAsia"/>
          <w:color w:val="000000" w:themeColor="text1"/>
          <w:szCs w:val="24"/>
        </w:rPr>
        <w:t>予關閉帳戶（號）。據金管會統計，「不正交付帳戶罪」自1</w:t>
      </w:r>
      <w:r w:rsidRPr="00A42113">
        <w:rPr>
          <w:rFonts w:ascii="標楷體" w:eastAsia="標楷體" w:hAnsi="標楷體" w:cs="新細明體"/>
          <w:color w:val="000000" w:themeColor="text1"/>
          <w:szCs w:val="24"/>
        </w:rPr>
        <w:t>12</w:t>
      </w:r>
      <w:r w:rsidRPr="00A42113">
        <w:rPr>
          <w:rFonts w:ascii="標楷體" w:eastAsia="標楷體" w:hAnsi="標楷體" w:cs="新細明體" w:hint="eastAsia"/>
          <w:color w:val="000000" w:themeColor="text1"/>
          <w:szCs w:val="24"/>
        </w:rPr>
        <w:t>年6月1</w:t>
      </w:r>
      <w:r w:rsidRPr="00A42113">
        <w:rPr>
          <w:rFonts w:ascii="標楷體" w:eastAsia="標楷體" w:hAnsi="標楷體" w:cs="新細明體"/>
          <w:color w:val="000000" w:themeColor="text1"/>
          <w:szCs w:val="24"/>
        </w:rPr>
        <w:t>4</w:t>
      </w:r>
      <w:r w:rsidRPr="00A42113">
        <w:rPr>
          <w:rFonts w:ascii="標楷體" w:eastAsia="標楷體" w:hAnsi="標楷體" w:cs="新細明體" w:hint="eastAsia"/>
          <w:color w:val="000000" w:themeColor="text1"/>
          <w:szCs w:val="24"/>
        </w:rPr>
        <w:t>日施行以來，國內金融機構警示帳戶之增幅已自當年第2季之8</w:t>
      </w:r>
      <w:r w:rsidRPr="00A42113">
        <w:rPr>
          <w:rFonts w:ascii="標楷體" w:eastAsia="標楷體" w:hAnsi="標楷體" w:cs="新細明體"/>
          <w:color w:val="000000" w:themeColor="text1"/>
          <w:szCs w:val="24"/>
        </w:rPr>
        <w:t>.5</w:t>
      </w:r>
      <w:r w:rsidRPr="00A42113">
        <w:rPr>
          <w:rFonts w:ascii="標楷體" w:eastAsia="標楷體" w:hAnsi="標楷體" w:cs="新細明體" w:hint="eastAsia"/>
          <w:color w:val="000000" w:themeColor="text1"/>
          <w:szCs w:val="24"/>
        </w:rPr>
        <w:t>1％，逐步下降至1</w:t>
      </w:r>
      <w:r w:rsidRPr="00A42113">
        <w:rPr>
          <w:rFonts w:ascii="標楷體" w:eastAsia="標楷體" w:hAnsi="標楷體" w:cs="新細明體"/>
          <w:color w:val="000000" w:themeColor="text1"/>
          <w:szCs w:val="24"/>
        </w:rPr>
        <w:t>14</w:t>
      </w:r>
      <w:r w:rsidRPr="00A42113">
        <w:rPr>
          <w:rFonts w:ascii="標楷體" w:eastAsia="標楷體" w:hAnsi="標楷體" w:cs="新細明體" w:hint="eastAsia"/>
          <w:color w:val="000000" w:themeColor="text1"/>
          <w:szCs w:val="24"/>
        </w:rPr>
        <w:t>年第1季之1</w:t>
      </w:r>
      <w:r w:rsidRPr="00A42113">
        <w:rPr>
          <w:rFonts w:ascii="標楷體" w:eastAsia="標楷體" w:hAnsi="標楷體" w:cs="新細明體"/>
          <w:color w:val="000000" w:themeColor="text1"/>
          <w:szCs w:val="24"/>
        </w:rPr>
        <w:t>.11</w:t>
      </w:r>
      <w:r w:rsidRPr="00A42113">
        <w:rPr>
          <w:rFonts w:ascii="標楷體" w:eastAsia="標楷體" w:hAnsi="標楷體" w:cs="新細明體" w:hint="eastAsia"/>
          <w:color w:val="000000" w:themeColor="text1"/>
          <w:szCs w:val="24"/>
        </w:rPr>
        <w:t>％，惟截至114年3月底止，國內金融機構警示帳戶數仍高達15萬928戶（表</w:t>
      </w:r>
      <w:r w:rsidR="007A7799">
        <w:rPr>
          <w:rFonts w:ascii="標楷體" w:eastAsia="標楷體" w:hAnsi="標楷體" w:cs="新細明體" w:hint="eastAsia"/>
          <w:color w:val="000000" w:themeColor="text1"/>
          <w:szCs w:val="24"/>
        </w:rPr>
        <w:t>13</w:t>
      </w:r>
      <w:r w:rsidRPr="00A42113">
        <w:rPr>
          <w:rFonts w:ascii="標楷體" w:eastAsia="標楷體" w:hAnsi="標楷體" w:cs="新細明體"/>
          <w:color w:val="000000" w:themeColor="text1"/>
          <w:szCs w:val="24"/>
        </w:rPr>
        <w:t>）</w:t>
      </w:r>
      <w:r w:rsidRPr="00A42113">
        <w:rPr>
          <w:rFonts w:ascii="標楷體" w:eastAsia="標楷體" w:hAnsi="標楷體" w:cs="新細明體" w:hint="eastAsia"/>
          <w:color w:val="000000" w:themeColor="text1"/>
          <w:szCs w:val="24"/>
        </w:rPr>
        <w:t>，且</w:t>
      </w:r>
      <w:bookmarkStart w:id="3" w:name="_Hlk200359098"/>
      <w:r w:rsidRPr="00A42113">
        <w:rPr>
          <w:rFonts w:ascii="標楷體" w:eastAsia="標楷體" w:hAnsi="標楷體" w:cs="新細明體" w:hint="eastAsia"/>
          <w:color w:val="000000" w:themeColor="text1"/>
          <w:szCs w:val="24"/>
        </w:rPr>
        <w:t>近來陸續發生詐騙集團與會計師事務所或金融機構行員合作，以成立人頭公司方式作為洗錢掩護工具之情事</w:t>
      </w:r>
      <w:bookmarkEnd w:id="3"/>
      <w:r w:rsidRPr="00A42113">
        <w:rPr>
          <w:rFonts w:ascii="標楷體" w:eastAsia="標楷體" w:hAnsi="標楷體" w:cs="新細明體" w:hint="eastAsia"/>
          <w:color w:val="000000" w:themeColor="text1"/>
          <w:szCs w:val="24"/>
        </w:rPr>
        <w:t>。</w:t>
      </w:r>
      <w:proofErr w:type="gramStart"/>
      <w:r w:rsidR="00FE35F5" w:rsidRPr="00FE35F5">
        <w:rPr>
          <w:rFonts w:ascii="標楷體" w:eastAsia="標楷體" w:hAnsi="標楷體" w:cs="新細明體" w:hint="eastAsia"/>
          <w:color w:val="000000" w:themeColor="text1"/>
          <w:szCs w:val="24"/>
        </w:rPr>
        <w:t>囿</w:t>
      </w:r>
      <w:proofErr w:type="gramEnd"/>
      <w:r w:rsidR="00FE35F5" w:rsidRPr="00FE35F5">
        <w:rPr>
          <w:rFonts w:ascii="標楷體" w:eastAsia="標楷體" w:hAnsi="標楷體" w:cs="新細明體" w:hint="eastAsia"/>
          <w:color w:val="000000" w:themeColor="text1"/>
          <w:szCs w:val="24"/>
        </w:rPr>
        <w:t>於詐騙集團可利用變更營業登記項目方式，規避特定主管機關之監理，及警察機關等執行單位之查緝，</w:t>
      </w:r>
      <w:proofErr w:type="gramStart"/>
      <w:r w:rsidR="00FE35F5" w:rsidRPr="00FE35F5">
        <w:rPr>
          <w:rFonts w:ascii="標楷體" w:eastAsia="標楷體" w:hAnsi="標楷體" w:cs="新細明體" w:hint="eastAsia"/>
          <w:color w:val="000000" w:themeColor="text1"/>
          <w:szCs w:val="24"/>
        </w:rPr>
        <w:t>致迭有虛設</w:t>
      </w:r>
      <w:proofErr w:type="gramEnd"/>
      <w:r w:rsidR="00FE35F5" w:rsidRPr="00FE35F5">
        <w:rPr>
          <w:rFonts w:ascii="標楷體" w:eastAsia="標楷體" w:hAnsi="標楷體" w:cs="新細明體" w:hint="eastAsia"/>
          <w:color w:val="000000" w:themeColor="text1"/>
          <w:szCs w:val="24"/>
        </w:rPr>
        <w:t>公司行號之情事發生，並因企業帳戶易以投資或支付貨款為由，合理化銀行業不法交易之警示及研判，成為洗錢防制漏洞。</w:t>
      </w:r>
      <w:proofErr w:type="gramStart"/>
      <w:r w:rsidRPr="00A42113">
        <w:rPr>
          <w:rFonts w:ascii="標楷體" w:eastAsia="標楷體" w:hAnsi="標楷體" w:cs="新細明體" w:hint="eastAsia"/>
          <w:color w:val="000000" w:themeColor="text1"/>
          <w:szCs w:val="24"/>
        </w:rPr>
        <w:t>鑑</w:t>
      </w:r>
      <w:proofErr w:type="gramEnd"/>
      <w:r w:rsidRPr="00A42113">
        <w:rPr>
          <w:rFonts w:ascii="標楷體" w:eastAsia="標楷體" w:hAnsi="標楷體" w:cs="新細明體" w:hint="eastAsia"/>
          <w:color w:val="000000" w:themeColor="text1"/>
          <w:szCs w:val="24"/>
        </w:rPr>
        <w:t>於</w:t>
      </w:r>
      <w:proofErr w:type="gramStart"/>
      <w:r w:rsidRPr="00A42113">
        <w:rPr>
          <w:rFonts w:ascii="標楷體" w:eastAsia="標楷體" w:hAnsi="標楷體" w:cs="新細明體" w:hint="eastAsia"/>
          <w:color w:val="000000" w:themeColor="text1"/>
          <w:szCs w:val="24"/>
        </w:rPr>
        <w:t>邇來迭有詐騙</w:t>
      </w:r>
      <w:proofErr w:type="gramEnd"/>
      <w:r w:rsidRPr="00A42113">
        <w:rPr>
          <w:rFonts w:ascii="標楷體" w:eastAsia="標楷體" w:hAnsi="標楷體" w:cs="新細明體" w:hint="eastAsia"/>
          <w:color w:val="000000" w:themeColor="text1"/>
          <w:szCs w:val="24"/>
        </w:rPr>
        <w:t>集</w:t>
      </w:r>
      <w:r w:rsidR="00164E03" w:rsidRPr="00164E03">
        <w:rPr>
          <w:rFonts w:ascii="標楷體" w:eastAsia="標楷體" w:hAnsi="標楷體" w:cs="新細明體" w:hint="eastAsia"/>
          <w:b/>
          <w:bCs/>
          <w:noProof/>
          <w:color w:val="000000" w:themeColor="text1"/>
          <w:szCs w:val="24"/>
        </w:rPr>
        <w:lastRenderedPageBreak/>
        <mc:AlternateContent>
          <mc:Choice Requires="wps">
            <w:drawing>
              <wp:anchor distT="0" distB="0" distL="114300" distR="114300" simplePos="0" relativeHeight="251675648" behindDoc="0" locked="0" layoutInCell="1" allowOverlap="1" wp14:anchorId="20E18B49" wp14:editId="7969699B">
                <wp:simplePos x="0" y="0"/>
                <wp:positionH relativeFrom="margin">
                  <wp:posOffset>3688715</wp:posOffset>
                </wp:positionH>
                <wp:positionV relativeFrom="paragraph">
                  <wp:posOffset>74930</wp:posOffset>
                </wp:positionV>
                <wp:extent cx="2600325" cy="2773680"/>
                <wp:effectExtent l="0" t="0" r="9525" b="7620"/>
                <wp:wrapSquare wrapText="bothSides"/>
                <wp:docPr id="11" name="文字方塊 11"/>
                <wp:cNvGraphicFramePr/>
                <a:graphic xmlns:a="http://schemas.openxmlformats.org/drawingml/2006/main">
                  <a:graphicData uri="http://schemas.microsoft.com/office/word/2010/wordprocessingShape">
                    <wps:wsp>
                      <wps:cNvSpPr txBox="1"/>
                      <wps:spPr>
                        <a:xfrm>
                          <a:off x="0" y="0"/>
                          <a:ext cx="2600325" cy="2773680"/>
                        </a:xfrm>
                        <a:prstGeom prst="rect">
                          <a:avLst/>
                        </a:prstGeom>
                        <a:solidFill>
                          <a:sysClr val="window" lastClr="FFFFFF"/>
                        </a:solidFill>
                        <a:ln w="6350">
                          <a:noFill/>
                        </a:ln>
                      </wps:spPr>
                      <wps:txbx>
                        <w:txbxContent>
                          <w:tbl>
                            <w:tblPr>
                              <w:tblW w:w="3828" w:type="dxa"/>
                              <w:tblCellMar>
                                <w:left w:w="28" w:type="dxa"/>
                                <w:right w:w="28" w:type="dxa"/>
                              </w:tblCellMar>
                              <w:tblLook w:val="04A0" w:firstRow="1" w:lastRow="0" w:firstColumn="1" w:lastColumn="0" w:noHBand="0" w:noVBand="1"/>
                            </w:tblPr>
                            <w:tblGrid>
                              <w:gridCol w:w="1871"/>
                              <w:gridCol w:w="992"/>
                              <w:gridCol w:w="965"/>
                            </w:tblGrid>
                            <w:tr w:rsidR="00164E03" w:rsidRPr="00D30B5D" w14:paraId="7A006C49" w14:textId="77777777" w:rsidTr="006145E6">
                              <w:trPr>
                                <w:trHeight w:val="324"/>
                              </w:trPr>
                              <w:tc>
                                <w:tcPr>
                                  <w:tcW w:w="3828" w:type="dxa"/>
                                  <w:gridSpan w:val="3"/>
                                  <w:tcBorders>
                                    <w:top w:val="nil"/>
                                    <w:left w:val="nil"/>
                                    <w:bottom w:val="nil"/>
                                    <w:right w:val="nil"/>
                                  </w:tcBorders>
                                  <w:shd w:val="clear" w:color="auto" w:fill="auto"/>
                                  <w:noWrap/>
                                  <w:vAlign w:val="center"/>
                                  <w:hideMark/>
                                </w:tcPr>
                                <w:p w14:paraId="1B1E71CC" w14:textId="77777777" w:rsidR="00164E03" w:rsidRPr="00D6198A" w:rsidRDefault="00164E03" w:rsidP="002822FC">
                                  <w:pPr>
                                    <w:widowControl/>
                                    <w:snapToGrid w:val="0"/>
                                    <w:spacing w:line="200" w:lineRule="atLeast"/>
                                    <w:ind w:left="841" w:hangingChars="350" w:hanging="841"/>
                                    <w:jc w:val="both"/>
                                    <w:rPr>
                                      <w:rFonts w:ascii="標楷體" w:eastAsia="標楷體" w:hAnsi="標楷體" w:cs="新細明體"/>
                                      <w:b/>
                                      <w:bCs/>
                                      <w:color w:val="000000"/>
                                      <w:kern w:val="0"/>
                                      <w:szCs w:val="24"/>
                                    </w:rPr>
                                  </w:pPr>
                                  <w:bookmarkStart w:id="4" w:name="_Hlk200533407"/>
                                  <w:bookmarkEnd w:id="4"/>
                                  <w:r w:rsidRPr="00D6198A">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1</w:t>
                                  </w:r>
                                  <w:r>
                                    <w:rPr>
                                      <w:rFonts w:ascii="標楷體" w:eastAsia="標楷體" w:hAnsi="標楷體" w:cs="新細明體"/>
                                      <w:b/>
                                      <w:bCs/>
                                      <w:color w:val="000000"/>
                                      <w:kern w:val="0"/>
                                      <w:szCs w:val="24"/>
                                    </w:rPr>
                                    <w:t>3</w:t>
                                  </w:r>
                                  <w:r w:rsidRPr="00D6198A">
                                    <w:rPr>
                                      <w:rFonts w:ascii="標楷體" w:eastAsia="標楷體" w:hAnsi="標楷體" w:hint="eastAsia"/>
                                      <w:szCs w:val="24"/>
                                    </w:rPr>
                                    <w:t xml:space="preserve">　</w:t>
                                  </w:r>
                                  <w:r w:rsidRPr="00D6198A">
                                    <w:rPr>
                                      <w:rFonts w:ascii="標楷體" w:eastAsia="標楷體" w:hAnsi="標楷體" w:cs="新細明體" w:hint="eastAsia"/>
                                      <w:b/>
                                      <w:bCs/>
                                      <w:color w:val="000000"/>
                                      <w:kern w:val="0"/>
                                      <w:szCs w:val="24"/>
                                    </w:rPr>
                                    <w:t>國內金融機構警示帳戶</w:t>
                                  </w:r>
                                  <w:proofErr w:type="gramStart"/>
                                  <w:r w:rsidRPr="00D6198A">
                                    <w:rPr>
                                      <w:rFonts w:ascii="標楷體" w:eastAsia="標楷體" w:hAnsi="標楷體" w:cs="新細明體" w:hint="eastAsia"/>
                                      <w:b/>
                                      <w:bCs/>
                                      <w:color w:val="000000"/>
                                      <w:kern w:val="0"/>
                                      <w:szCs w:val="24"/>
                                    </w:rPr>
                                    <w:t>戶</w:t>
                                  </w:r>
                                  <w:proofErr w:type="gramEnd"/>
                                  <w:r w:rsidRPr="00D6198A">
                                    <w:rPr>
                                      <w:rFonts w:ascii="標楷體" w:eastAsia="標楷體" w:hAnsi="標楷體" w:cs="新細明體" w:hint="eastAsia"/>
                                      <w:b/>
                                      <w:bCs/>
                                      <w:color w:val="000000"/>
                                      <w:kern w:val="0"/>
                                      <w:szCs w:val="24"/>
                                    </w:rPr>
                                    <w:t>數及</w:t>
                                  </w:r>
                                  <w:r>
                                    <w:rPr>
                                      <w:rFonts w:ascii="標楷體" w:eastAsia="標楷體" w:hAnsi="標楷體" w:cs="新細明體" w:hint="eastAsia"/>
                                      <w:b/>
                                      <w:bCs/>
                                      <w:color w:val="000000"/>
                                      <w:kern w:val="0"/>
                                      <w:szCs w:val="24"/>
                                    </w:rPr>
                                    <w:t>季</w:t>
                                  </w:r>
                                  <w:r w:rsidRPr="00D6198A">
                                    <w:rPr>
                                      <w:rFonts w:ascii="標楷體" w:eastAsia="標楷體" w:hAnsi="標楷體" w:cs="新細明體" w:hint="eastAsia"/>
                                      <w:b/>
                                      <w:bCs/>
                                      <w:color w:val="000000"/>
                                      <w:kern w:val="0"/>
                                      <w:szCs w:val="24"/>
                                    </w:rPr>
                                    <w:t>成長情形</w:t>
                                  </w:r>
                                </w:p>
                              </w:tc>
                            </w:tr>
                            <w:tr w:rsidR="00164E03" w:rsidRPr="00964DD1" w14:paraId="2B093F68" w14:textId="77777777" w:rsidTr="006145E6">
                              <w:trPr>
                                <w:trHeight w:val="110"/>
                              </w:trPr>
                              <w:tc>
                                <w:tcPr>
                                  <w:tcW w:w="3828" w:type="dxa"/>
                                  <w:gridSpan w:val="3"/>
                                  <w:tcBorders>
                                    <w:top w:val="nil"/>
                                    <w:left w:val="nil"/>
                                    <w:bottom w:val="nil"/>
                                    <w:right w:val="nil"/>
                                  </w:tcBorders>
                                  <w:shd w:val="clear" w:color="auto" w:fill="auto"/>
                                  <w:noWrap/>
                                  <w:vAlign w:val="center"/>
                                  <w:hideMark/>
                                </w:tcPr>
                                <w:p w14:paraId="7D47154E" w14:textId="77777777" w:rsidR="00164E03" w:rsidRPr="00F84F19" w:rsidRDefault="00164E03" w:rsidP="00973D53">
                                  <w:pPr>
                                    <w:widowControl/>
                                    <w:snapToGrid w:val="0"/>
                                    <w:spacing w:line="240" w:lineRule="atLeast"/>
                                    <w:jc w:val="right"/>
                                    <w:rPr>
                                      <w:rFonts w:ascii="標楷體" w:eastAsia="標楷體" w:hAnsi="標楷體" w:cs="新細明體"/>
                                      <w:color w:val="000000"/>
                                      <w:kern w:val="0"/>
                                      <w:sz w:val="20"/>
                                    </w:rPr>
                                  </w:pPr>
                                  <w:r w:rsidRPr="00F84F19">
                                    <w:rPr>
                                      <w:rFonts w:ascii="標楷體" w:eastAsia="標楷體" w:hAnsi="標楷體" w:cs="新細明體" w:hint="eastAsia"/>
                                      <w:color w:val="000000"/>
                                      <w:kern w:val="0"/>
                                      <w:sz w:val="20"/>
                                    </w:rPr>
                                    <w:t>單位：戶、％</w:t>
                                  </w:r>
                                </w:p>
                              </w:tc>
                            </w:tr>
                            <w:tr w:rsidR="00164E03" w:rsidRPr="00D30B5D" w14:paraId="283F1F45" w14:textId="77777777" w:rsidTr="006145E6">
                              <w:trPr>
                                <w:trHeight w:val="369"/>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24C2E" w14:textId="77777777" w:rsidR="00164E03" w:rsidRPr="00D6198A" w:rsidRDefault="00164E03" w:rsidP="00973D53">
                                  <w:pPr>
                                    <w:widowControl/>
                                    <w:snapToGrid w:val="0"/>
                                    <w:spacing w:line="240" w:lineRule="atLeas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日期</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AC13A8E" w14:textId="77777777" w:rsidR="00164E03" w:rsidRPr="00D6198A" w:rsidRDefault="00164E03" w:rsidP="00973D53">
                                  <w:pPr>
                                    <w:widowControl/>
                                    <w:snapToGrid w:val="0"/>
                                    <w:spacing w:line="240" w:lineRule="atLeas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戶數</w:t>
                                  </w:r>
                                </w:p>
                              </w:tc>
                              <w:tc>
                                <w:tcPr>
                                  <w:tcW w:w="965" w:type="dxa"/>
                                  <w:tcBorders>
                                    <w:top w:val="single" w:sz="4" w:space="0" w:color="auto"/>
                                    <w:left w:val="nil"/>
                                    <w:bottom w:val="single" w:sz="4" w:space="0" w:color="auto"/>
                                    <w:right w:val="single" w:sz="4" w:space="0" w:color="auto"/>
                                  </w:tcBorders>
                                  <w:shd w:val="clear" w:color="auto" w:fill="auto"/>
                                  <w:noWrap/>
                                  <w:vAlign w:val="center"/>
                                  <w:hideMark/>
                                </w:tcPr>
                                <w:p w14:paraId="71F03C1D" w14:textId="77777777" w:rsidR="00164E03" w:rsidRPr="00D6198A" w:rsidRDefault="00164E03" w:rsidP="00973D53">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季</w:t>
                                  </w:r>
                                  <w:r w:rsidRPr="00D6198A">
                                    <w:rPr>
                                      <w:rFonts w:ascii="標楷體" w:eastAsia="標楷體" w:hAnsi="標楷體" w:cs="新細明體" w:hint="eastAsia"/>
                                      <w:color w:val="000000"/>
                                      <w:kern w:val="0"/>
                                      <w:sz w:val="20"/>
                                    </w:rPr>
                                    <w:t>成長率</w:t>
                                  </w:r>
                                </w:p>
                              </w:tc>
                            </w:tr>
                            <w:tr w:rsidR="00164E03" w:rsidRPr="00D30B5D" w14:paraId="34848E78" w14:textId="77777777" w:rsidTr="009C1AFB">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189F61ED"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112年3月31日</w:t>
                                  </w:r>
                                </w:p>
                              </w:tc>
                              <w:tc>
                                <w:tcPr>
                                  <w:tcW w:w="992" w:type="dxa"/>
                                  <w:tcBorders>
                                    <w:top w:val="nil"/>
                                    <w:left w:val="nil"/>
                                    <w:bottom w:val="single" w:sz="4" w:space="0" w:color="auto"/>
                                    <w:right w:val="single" w:sz="4" w:space="0" w:color="auto"/>
                                  </w:tcBorders>
                                  <w:shd w:val="clear" w:color="auto" w:fill="auto"/>
                                  <w:noWrap/>
                                  <w:vAlign w:val="center"/>
                                  <w:hideMark/>
                                </w:tcPr>
                                <w:p w14:paraId="357C7BFE"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96,022</w:t>
                                  </w:r>
                                </w:p>
                              </w:tc>
                              <w:tc>
                                <w:tcPr>
                                  <w:tcW w:w="965" w:type="dxa"/>
                                  <w:tcBorders>
                                    <w:top w:val="nil"/>
                                    <w:left w:val="nil"/>
                                    <w:bottom w:val="single" w:sz="4" w:space="0" w:color="auto"/>
                                    <w:right w:val="single" w:sz="4" w:space="0" w:color="auto"/>
                                    <w:tl2br w:val="single" w:sz="4" w:space="0" w:color="auto"/>
                                  </w:tcBorders>
                                  <w:shd w:val="clear" w:color="auto" w:fill="auto"/>
                                  <w:noWrap/>
                                  <w:vAlign w:val="center"/>
                                  <w:hideMark/>
                                </w:tcPr>
                                <w:p w14:paraId="03AD9046"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 xml:space="preserve">　</w:t>
                                  </w:r>
                                </w:p>
                              </w:tc>
                            </w:tr>
                            <w:tr w:rsidR="00164E03" w:rsidRPr="00D30B5D" w14:paraId="511729E4"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5C5A5E8B"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112年6月30日</w:t>
                                  </w:r>
                                </w:p>
                              </w:tc>
                              <w:tc>
                                <w:tcPr>
                                  <w:tcW w:w="992" w:type="dxa"/>
                                  <w:tcBorders>
                                    <w:top w:val="nil"/>
                                    <w:left w:val="nil"/>
                                    <w:bottom w:val="single" w:sz="4" w:space="0" w:color="auto"/>
                                    <w:right w:val="single" w:sz="4" w:space="0" w:color="auto"/>
                                  </w:tcBorders>
                                  <w:shd w:val="clear" w:color="auto" w:fill="auto"/>
                                  <w:noWrap/>
                                  <w:vAlign w:val="center"/>
                                  <w:hideMark/>
                                </w:tcPr>
                                <w:p w14:paraId="11E9E93E"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104,191</w:t>
                                  </w:r>
                                </w:p>
                              </w:tc>
                              <w:tc>
                                <w:tcPr>
                                  <w:tcW w:w="965" w:type="dxa"/>
                                  <w:tcBorders>
                                    <w:top w:val="nil"/>
                                    <w:left w:val="nil"/>
                                    <w:bottom w:val="single" w:sz="4" w:space="0" w:color="auto"/>
                                    <w:right w:val="single" w:sz="4" w:space="0" w:color="auto"/>
                                  </w:tcBorders>
                                  <w:shd w:val="clear" w:color="auto" w:fill="auto"/>
                                  <w:noWrap/>
                                  <w:vAlign w:val="center"/>
                                  <w:hideMark/>
                                </w:tcPr>
                                <w:p w14:paraId="55A5B4D5"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8.51</w:t>
                                  </w:r>
                                </w:p>
                              </w:tc>
                            </w:tr>
                            <w:tr w:rsidR="00164E03" w:rsidRPr="00D30B5D" w14:paraId="647A1B33"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00AEF9DB"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112年9月30日</w:t>
                                  </w:r>
                                </w:p>
                              </w:tc>
                              <w:tc>
                                <w:tcPr>
                                  <w:tcW w:w="992" w:type="dxa"/>
                                  <w:tcBorders>
                                    <w:top w:val="nil"/>
                                    <w:left w:val="nil"/>
                                    <w:bottom w:val="single" w:sz="4" w:space="0" w:color="auto"/>
                                    <w:right w:val="single" w:sz="4" w:space="0" w:color="auto"/>
                                  </w:tcBorders>
                                  <w:shd w:val="clear" w:color="auto" w:fill="auto"/>
                                  <w:noWrap/>
                                  <w:vAlign w:val="center"/>
                                  <w:hideMark/>
                                </w:tcPr>
                                <w:p w14:paraId="53B3FADC"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110,766</w:t>
                                  </w:r>
                                </w:p>
                              </w:tc>
                              <w:tc>
                                <w:tcPr>
                                  <w:tcW w:w="965" w:type="dxa"/>
                                  <w:tcBorders>
                                    <w:top w:val="nil"/>
                                    <w:left w:val="nil"/>
                                    <w:bottom w:val="single" w:sz="4" w:space="0" w:color="auto"/>
                                    <w:right w:val="single" w:sz="4" w:space="0" w:color="auto"/>
                                  </w:tcBorders>
                                  <w:shd w:val="clear" w:color="auto" w:fill="auto"/>
                                  <w:noWrap/>
                                  <w:vAlign w:val="center"/>
                                  <w:hideMark/>
                                </w:tcPr>
                                <w:p w14:paraId="3AAB9B85"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6.31</w:t>
                                  </w:r>
                                </w:p>
                              </w:tc>
                            </w:tr>
                            <w:tr w:rsidR="00164E03" w:rsidRPr="00D30B5D" w14:paraId="663FBC47"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3B726438" w14:textId="77777777" w:rsidR="00164E03" w:rsidRPr="00F84F19" w:rsidRDefault="00164E03" w:rsidP="00F84F19">
                                  <w:pPr>
                                    <w:widowControl/>
                                    <w:snapToGrid w:val="0"/>
                                    <w:spacing w:line="240" w:lineRule="exact"/>
                                    <w:jc w:val="center"/>
                                    <w:rPr>
                                      <w:rFonts w:ascii="標楷體" w:eastAsia="標楷體" w:hAnsi="標楷體" w:cs="新細明體"/>
                                      <w:color w:val="000000"/>
                                      <w:spacing w:val="-7"/>
                                      <w:kern w:val="0"/>
                                      <w:sz w:val="20"/>
                                    </w:rPr>
                                  </w:pPr>
                                  <w:r w:rsidRPr="00F84F19">
                                    <w:rPr>
                                      <w:rFonts w:ascii="標楷體" w:eastAsia="標楷體" w:hAnsi="標楷體" w:cs="新細明體" w:hint="eastAsia"/>
                                      <w:color w:val="000000"/>
                                      <w:spacing w:val="-7"/>
                                      <w:kern w:val="0"/>
                                      <w:sz w:val="20"/>
                                    </w:rPr>
                                    <w:t>112年12月31日</w:t>
                                  </w:r>
                                </w:p>
                              </w:tc>
                              <w:tc>
                                <w:tcPr>
                                  <w:tcW w:w="992" w:type="dxa"/>
                                  <w:tcBorders>
                                    <w:top w:val="nil"/>
                                    <w:left w:val="nil"/>
                                    <w:bottom w:val="single" w:sz="4" w:space="0" w:color="auto"/>
                                    <w:right w:val="single" w:sz="4" w:space="0" w:color="auto"/>
                                  </w:tcBorders>
                                  <w:shd w:val="clear" w:color="auto" w:fill="auto"/>
                                  <w:noWrap/>
                                  <w:vAlign w:val="center"/>
                                  <w:hideMark/>
                                </w:tcPr>
                                <w:p w14:paraId="2E7B9961"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118,356</w:t>
                                  </w:r>
                                </w:p>
                              </w:tc>
                              <w:tc>
                                <w:tcPr>
                                  <w:tcW w:w="965" w:type="dxa"/>
                                  <w:tcBorders>
                                    <w:top w:val="nil"/>
                                    <w:left w:val="nil"/>
                                    <w:bottom w:val="single" w:sz="4" w:space="0" w:color="auto"/>
                                    <w:right w:val="single" w:sz="4" w:space="0" w:color="auto"/>
                                  </w:tcBorders>
                                  <w:shd w:val="clear" w:color="auto" w:fill="auto"/>
                                  <w:noWrap/>
                                  <w:vAlign w:val="center"/>
                                  <w:hideMark/>
                                </w:tcPr>
                                <w:p w14:paraId="56B7DA54"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6.85</w:t>
                                  </w:r>
                                </w:p>
                              </w:tc>
                            </w:tr>
                            <w:tr w:rsidR="00164E03" w:rsidRPr="00D30B5D" w14:paraId="2ADD8DAA"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3626E1FC"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113年3月31日</w:t>
                                  </w:r>
                                </w:p>
                              </w:tc>
                              <w:tc>
                                <w:tcPr>
                                  <w:tcW w:w="992" w:type="dxa"/>
                                  <w:tcBorders>
                                    <w:top w:val="nil"/>
                                    <w:left w:val="nil"/>
                                    <w:bottom w:val="single" w:sz="4" w:space="0" w:color="auto"/>
                                    <w:right w:val="single" w:sz="4" w:space="0" w:color="auto"/>
                                  </w:tcBorders>
                                  <w:shd w:val="clear" w:color="auto" w:fill="auto"/>
                                  <w:noWrap/>
                                  <w:vAlign w:val="center"/>
                                  <w:hideMark/>
                                </w:tcPr>
                                <w:p w14:paraId="0CB8537F"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126,335</w:t>
                                  </w:r>
                                </w:p>
                              </w:tc>
                              <w:tc>
                                <w:tcPr>
                                  <w:tcW w:w="965" w:type="dxa"/>
                                  <w:tcBorders>
                                    <w:top w:val="nil"/>
                                    <w:left w:val="nil"/>
                                    <w:bottom w:val="single" w:sz="4" w:space="0" w:color="auto"/>
                                    <w:right w:val="single" w:sz="4" w:space="0" w:color="auto"/>
                                  </w:tcBorders>
                                  <w:shd w:val="clear" w:color="auto" w:fill="auto"/>
                                  <w:noWrap/>
                                  <w:vAlign w:val="center"/>
                                  <w:hideMark/>
                                </w:tcPr>
                                <w:p w14:paraId="1667E58A"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6.74</w:t>
                                  </w:r>
                                </w:p>
                              </w:tc>
                            </w:tr>
                            <w:tr w:rsidR="00164E03" w:rsidRPr="00D30B5D" w14:paraId="513E3DB4"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109084E2"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113年6月30日</w:t>
                                  </w:r>
                                </w:p>
                              </w:tc>
                              <w:tc>
                                <w:tcPr>
                                  <w:tcW w:w="992" w:type="dxa"/>
                                  <w:tcBorders>
                                    <w:top w:val="nil"/>
                                    <w:left w:val="nil"/>
                                    <w:bottom w:val="single" w:sz="4" w:space="0" w:color="auto"/>
                                    <w:right w:val="single" w:sz="4" w:space="0" w:color="auto"/>
                                  </w:tcBorders>
                                  <w:shd w:val="clear" w:color="auto" w:fill="auto"/>
                                  <w:noWrap/>
                                  <w:vAlign w:val="center"/>
                                  <w:hideMark/>
                                </w:tcPr>
                                <w:p w14:paraId="13468894"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134,350</w:t>
                                  </w:r>
                                </w:p>
                              </w:tc>
                              <w:tc>
                                <w:tcPr>
                                  <w:tcW w:w="965" w:type="dxa"/>
                                  <w:tcBorders>
                                    <w:top w:val="nil"/>
                                    <w:left w:val="nil"/>
                                    <w:bottom w:val="single" w:sz="4" w:space="0" w:color="auto"/>
                                    <w:right w:val="single" w:sz="4" w:space="0" w:color="auto"/>
                                  </w:tcBorders>
                                  <w:shd w:val="clear" w:color="auto" w:fill="auto"/>
                                  <w:noWrap/>
                                  <w:vAlign w:val="center"/>
                                  <w:hideMark/>
                                </w:tcPr>
                                <w:p w14:paraId="13F24B44"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6.34</w:t>
                                  </w:r>
                                </w:p>
                              </w:tc>
                            </w:tr>
                            <w:tr w:rsidR="00164E03" w:rsidRPr="00D30B5D" w14:paraId="6B6059E0"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5BD1FF9A"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113年9月30日</w:t>
                                  </w:r>
                                </w:p>
                              </w:tc>
                              <w:tc>
                                <w:tcPr>
                                  <w:tcW w:w="992" w:type="dxa"/>
                                  <w:tcBorders>
                                    <w:top w:val="nil"/>
                                    <w:left w:val="nil"/>
                                    <w:bottom w:val="single" w:sz="4" w:space="0" w:color="auto"/>
                                    <w:right w:val="single" w:sz="4" w:space="0" w:color="auto"/>
                                  </w:tcBorders>
                                  <w:shd w:val="clear" w:color="auto" w:fill="auto"/>
                                  <w:noWrap/>
                                  <w:vAlign w:val="center"/>
                                  <w:hideMark/>
                                </w:tcPr>
                                <w:p w14:paraId="22478F4A"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142,403</w:t>
                                  </w:r>
                                </w:p>
                              </w:tc>
                              <w:tc>
                                <w:tcPr>
                                  <w:tcW w:w="965" w:type="dxa"/>
                                  <w:tcBorders>
                                    <w:top w:val="nil"/>
                                    <w:left w:val="nil"/>
                                    <w:bottom w:val="single" w:sz="4" w:space="0" w:color="auto"/>
                                    <w:right w:val="single" w:sz="4" w:space="0" w:color="auto"/>
                                  </w:tcBorders>
                                  <w:shd w:val="clear" w:color="auto" w:fill="auto"/>
                                  <w:noWrap/>
                                  <w:vAlign w:val="center"/>
                                  <w:hideMark/>
                                </w:tcPr>
                                <w:p w14:paraId="2E50C347"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5.99</w:t>
                                  </w:r>
                                </w:p>
                              </w:tc>
                            </w:tr>
                            <w:tr w:rsidR="00164E03" w:rsidRPr="00D30B5D" w14:paraId="714178C8"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6A64D378" w14:textId="77777777" w:rsidR="00164E03" w:rsidRPr="00F84F19" w:rsidRDefault="00164E03" w:rsidP="00F84F19">
                                  <w:pPr>
                                    <w:widowControl/>
                                    <w:snapToGrid w:val="0"/>
                                    <w:spacing w:line="240" w:lineRule="exact"/>
                                    <w:jc w:val="center"/>
                                    <w:rPr>
                                      <w:rFonts w:ascii="標楷體" w:eastAsia="標楷體" w:hAnsi="標楷體" w:cs="新細明體"/>
                                      <w:color w:val="000000"/>
                                      <w:spacing w:val="-7"/>
                                      <w:kern w:val="0"/>
                                      <w:sz w:val="20"/>
                                    </w:rPr>
                                  </w:pPr>
                                  <w:r w:rsidRPr="00F84F19">
                                    <w:rPr>
                                      <w:rFonts w:ascii="標楷體" w:eastAsia="標楷體" w:hAnsi="標楷體" w:cs="新細明體" w:hint="eastAsia"/>
                                      <w:color w:val="000000"/>
                                      <w:spacing w:val="-7"/>
                                      <w:kern w:val="0"/>
                                      <w:sz w:val="20"/>
                                    </w:rPr>
                                    <w:t>113年12月31日</w:t>
                                  </w:r>
                                </w:p>
                              </w:tc>
                              <w:tc>
                                <w:tcPr>
                                  <w:tcW w:w="992" w:type="dxa"/>
                                  <w:tcBorders>
                                    <w:top w:val="nil"/>
                                    <w:left w:val="nil"/>
                                    <w:bottom w:val="single" w:sz="4" w:space="0" w:color="auto"/>
                                    <w:right w:val="single" w:sz="4" w:space="0" w:color="auto"/>
                                  </w:tcBorders>
                                  <w:shd w:val="clear" w:color="auto" w:fill="auto"/>
                                  <w:noWrap/>
                                  <w:vAlign w:val="center"/>
                                  <w:hideMark/>
                                </w:tcPr>
                                <w:p w14:paraId="39118E6B"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149,274</w:t>
                                  </w:r>
                                </w:p>
                              </w:tc>
                              <w:tc>
                                <w:tcPr>
                                  <w:tcW w:w="965" w:type="dxa"/>
                                  <w:tcBorders>
                                    <w:top w:val="nil"/>
                                    <w:left w:val="nil"/>
                                    <w:bottom w:val="single" w:sz="4" w:space="0" w:color="auto"/>
                                    <w:right w:val="single" w:sz="4" w:space="0" w:color="auto"/>
                                  </w:tcBorders>
                                  <w:shd w:val="clear" w:color="auto" w:fill="auto"/>
                                  <w:noWrap/>
                                  <w:vAlign w:val="center"/>
                                  <w:hideMark/>
                                </w:tcPr>
                                <w:p w14:paraId="719160F5"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4.83</w:t>
                                  </w:r>
                                </w:p>
                              </w:tc>
                            </w:tr>
                            <w:tr w:rsidR="00164E03" w:rsidRPr="00D30B5D" w14:paraId="62571E1E"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77C39281"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114年3月31日</w:t>
                                  </w:r>
                                </w:p>
                              </w:tc>
                              <w:tc>
                                <w:tcPr>
                                  <w:tcW w:w="992" w:type="dxa"/>
                                  <w:tcBorders>
                                    <w:top w:val="nil"/>
                                    <w:left w:val="nil"/>
                                    <w:bottom w:val="single" w:sz="4" w:space="0" w:color="auto"/>
                                    <w:right w:val="single" w:sz="4" w:space="0" w:color="auto"/>
                                  </w:tcBorders>
                                  <w:shd w:val="clear" w:color="auto" w:fill="auto"/>
                                  <w:noWrap/>
                                  <w:vAlign w:val="center"/>
                                  <w:hideMark/>
                                </w:tcPr>
                                <w:p w14:paraId="24D856D3"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150,928</w:t>
                                  </w:r>
                                </w:p>
                              </w:tc>
                              <w:tc>
                                <w:tcPr>
                                  <w:tcW w:w="965" w:type="dxa"/>
                                  <w:tcBorders>
                                    <w:top w:val="nil"/>
                                    <w:left w:val="nil"/>
                                    <w:bottom w:val="single" w:sz="4" w:space="0" w:color="auto"/>
                                    <w:right w:val="single" w:sz="4" w:space="0" w:color="auto"/>
                                  </w:tcBorders>
                                  <w:shd w:val="clear" w:color="auto" w:fill="auto"/>
                                  <w:noWrap/>
                                  <w:vAlign w:val="center"/>
                                  <w:hideMark/>
                                </w:tcPr>
                                <w:p w14:paraId="1A87AF27"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1.11</w:t>
                                  </w:r>
                                </w:p>
                              </w:tc>
                            </w:tr>
                            <w:tr w:rsidR="00164E03" w:rsidRPr="0031425C" w14:paraId="70098830" w14:textId="77777777" w:rsidTr="006145E6">
                              <w:trPr>
                                <w:trHeight w:val="324"/>
                              </w:trPr>
                              <w:tc>
                                <w:tcPr>
                                  <w:tcW w:w="3828" w:type="dxa"/>
                                  <w:gridSpan w:val="3"/>
                                  <w:tcBorders>
                                    <w:top w:val="single" w:sz="4" w:space="0" w:color="auto"/>
                                    <w:left w:val="nil"/>
                                    <w:bottom w:val="nil"/>
                                    <w:right w:val="nil"/>
                                  </w:tcBorders>
                                  <w:shd w:val="clear" w:color="auto" w:fill="auto"/>
                                  <w:noWrap/>
                                  <w:vAlign w:val="center"/>
                                  <w:hideMark/>
                                </w:tcPr>
                                <w:p w14:paraId="432B5285" w14:textId="77777777" w:rsidR="00164E03" w:rsidRPr="0031425C" w:rsidRDefault="00164E03" w:rsidP="00973D53">
                                  <w:pPr>
                                    <w:widowControl/>
                                    <w:snapToGrid w:val="0"/>
                                    <w:spacing w:line="240" w:lineRule="atLeast"/>
                                    <w:rPr>
                                      <w:rFonts w:ascii="標楷體" w:eastAsia="標楷體" w:hAnsi="標楷體" w:cs="新細明體"/>
                                      <w:color w:val="000000"/>
                                      <w:spacing w:val="-2"/>
                                      <w:kern w:val="0"/>
                                      <w:sz w:val="18"/>
                                      <w:szCs w:val="18"/>
                                    </w:rPr>
                                  </w:pPr>
                                  <w:r w:rsidRPr="0031425C">
                                    <w:rPr>
                                      <w:rFonts w:ascii="標楷體" w:eastAsia="標楷體" w:hAnsi="標楷體" w:cs="新細明體" w:hint="eastAsia"/>
                                      <w:color w:val="000000"/>
                                      <w:spacing w:val="-2"/>
                                      <w:kern w:val="0"/>
                                      <w:sz w:val="18"/>
                                      <w:szCs w:val="18"/>
                                    </w:rPr>
                                    <w:t>資料來源：整理自金融監督管理委員會公告資料。</w:t>
                                  </w:r>
                                </w:p>
                              </w:tc>
                            </w:tr>
                          </w:tbl>
                          <w:p w14:paraId="38BA8B67" w14:textId="77777777" w:rsidR="00164E03" w:rsidRPr="00D30B5D" w:rsidRDefault="00164E03" w:rsidP="00164E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E18B49" id="文字方塊 11" o:spid="_x0000_s1055" type="#_x0000_t202" style="position:absolute;left:0;text-align:left;margin-left:290.45pt;margin-top:5.9pt;width:204.75pt;height:218.4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" fillcolor="window" stroked="f" strokeweight=".5pt">
                <v:textbox>
                  <w:txbxContent>
                    <w:tbl>
                      <w:tblPr>
                        <w:tblW w:w="3828" w:type="dxa"/>
                        <w:tblCellMar>
                          <w:left w:w="28" w:type="dxa"/>
                          <w:right w:w="28" w:type="dxa"/>
                        </w:tblCellMar>
                        <w:tblLook w:val="04A0" w:firstRow="1" w:lastRow="0" w:firstColumn="1" w:lastColumn="0" w:noHBand="0" w:noVBand="1"/>
                      </w:tblPr>
                      <w:tblGrid>
                        <w:gridCol w:w="1871"/>
                        <w:gridCol w:w="992"/>
                        <w:gridCol w:w="965"/>
                      </w:tblGrid>
                      <w:tr w:rsidR="00164E03" w:rsidRPr="00D30B5D" w14:paraId="7A006C49" w14:textId="77777777" w:rsidTr="006145E6">
                        <w:trPr>
                          <w:trHeight w:val="324"/>
                        </w:trPr>
                        <w:tc>
                          <w:tcPr>
                            <w:tcW w:w="3828" w:type="dxa"/>
                            <w:gridSpan w:val="3"/>
                            <w:tcBorders>
                              <w:top w:val="nil"/>
                              <w:left w:val="nil"/>
                              <w:bottom w:val="nil"/>
                              <w:right w:val="nil"/>
                            </w:tcBorders>
                            <w:shd w:val="clear" w:color="auto" w:fill="auto"/>
                            <w:noWrap/>
                            <w:vAlign w:val="center"/>
                            <w:hideMark/>
                          </w:tcPr>
                          <w:p w14:paraId="1B1E71CC" w14:textId="77777777" w:rsidR="00164E03" w:rsidRPr="00D6198A" w:rsidRDefault="00164E03" w:rsidP="002822FC">
                            <w:pPr>
                              <w:widowControl/>
                              <w:snapToGrid w:val="0"/>
                              <w:spacing w:line="200" w:lineRule="atLeast"/>
                              <w:ind w:left="841" w:hangingChars="350" w:hanging="841"/>
                              <w:jc w:val="both"/>
                              <w:rPr>
                                <w:rFonts w:ascii="標楷體" w:eastAsia="標楷體" w:hAnsi="標楷體" w:cs="新細明體"/>
                                <w:b/>
                                <w:bCs/>
                                <w:color w:val="000000"/>
                                <w:kern w:val="0"/>
                                <w:szCs w:val="24"/>
                              </w:rPr>
                            </w:pPr>
                            <w:bookmarkStart w:id="5" w:name="_Hlk200533407"/>
                            <w:bookmarkEnd w:id="5"/>
                            <w:r w:rsidRPr="00D6198A">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1</w:t>
                            </w:r>
                            <w:r>
                              <w:rPr>
                                <w:rFonts w:ascii="標楷體" w:eastAsia="標楷體" w:hAnsi="標楷體" w:cs="新細明體"/>
                                <w:b/>
                                <w:bCs/>
                                <w:color w:val="000000"/>
                                <w:kern w:val="0"/>
                                <w:szCs w:val="24"/>
                              </w:rPr>
                              <w:t>3</w:t>
                            </w:r>
                            <w:r w:rsidRPr="00D6198A">
                              <w:rPr>
                                <w:rFonts w:ascii="標楷體" w:eastAsia="標楷體" w:hAnsi="標楷體" w:hint="eastAsia"/>
                                <w:szCs w:val="24"/>
                              </w:rPr>
                              <w:t xml:space="preserve">　</w:t>
                            </w:r>
                            <w:r w:rsidRPr="00D6198A">
                              <w:rPr>
                                <w:rFonts w:ascii="標楷體" w:eastAsia="標楷體" w:hAnsi="標楷體" w:cs="新細明體" w:hint="eastAsia"/>
                                <w:b/>
                                <w:bCs/>
                                <w:color w:val="000000"/>
                                <w:kern w:val="0"/>
                                <w:szCs w:val="24"/>
                              </w:rPr>
                              <w:t>國內金融機構警示帳戶</w:t>
                            </w:r>
                            <w:proofErr w:type="gramStart"/>
                            <w:r w:rsidRPr="00D6198A">
                              <w:rPr>
                                <w:rFonts w:ascii="標楷體" w:eastAsia="標楷體" w:hAnsi="標楷體" w:cs="新細明體" w:hint="eastAsia"/>
                                <w:b/>
                                <w:bCs/>
                                <w:color w:val="000000"/>
                                <w:kern w:val="0"/>
                                <w:szCs w:val="24"/>
                              </w:rPr>
                              <w:t>戶</w:t>
                            </w:r>
                            <w:proofErr w:type="gramEnd"/>
                            <w:r w:rsidRPr="00D6198A">
                              <w:rPr>
                                <w:rFonts w:ascii="標楷體" w:eastAsia="標楷體" w:hAnsi="標楷體" w:cs="新細明體" w:hint="eastAsia"/>
                                <w:b/>
                                <w:bCs/>
                                <w:color w:val="000000"/>
                                <w:kern w:val="0"/>
                                <w:szCs w:val="24"/>
                              </w:rPr>
                              <w:t>數及</w:t>
                            </w:r>
                            <w:r>
                              <w:rPr>
                                <w:rFonts w:ascii="標楷體" w:eastAsia="標楷體" w:hAnsi="標楷體" w:cs="新細明體" w:hint="eastAsia"/>
                                <w:b/>
                                <w:bCs/>
                                <w:color w:val="000000"/>
                                <w:kern w:val="0"/>
                                <w:szCs w:val="24"/>
                              </w:rPr>
                              <w:t>季</w:t>
                            </w:r>
                            <w:r w:rsidRPr="00D6198A">
                              <w:rPr>
                                <w:rFonts w:ascii="標楷體" w:eastAsia="標楷體" w:hAnsi="標楷體" w:cs="新細明體" w:hint="eastAsia"/>
                                <w:b/>
                                <w:bCs/>
                                <w:color w:val="000000"/>
                                <w:kern w:val="0"/>
                                <w:szCs w:val="24"/>
                              </w:rPr>
                              <w:t>成長情形</w:t>
                            </w:r>
                          </w:p>
                        </w:tc>
                      </w:tr>
                      <w:tr w:rsidR="00164E03" w:rsidRPr="00964DD1" w14:paraId="2B093F68" w14:textId="77777777" w:rsidTr="006145E6">
                        <w:trPr>
                          <w:trHeight w:val="110"/>
                        </w:trPr>
                        <w:tc>
                          <w:tcPr>
                            <w:tcW w:w="3828" w:type="dxa"/>
                            <w:gridSpan w:val="3"/>
                            <w:tcBorders>
                              <w:top w:val="nil"/>
                              <w:left w:val="nil"/>
                              <w:bottom w:val="nil"/>
                              <w:right w:val="nil"/>
                            </w:tcBorders>
                            <w:shd w:val="clear" w:color="auto" w:fill="auto"/>
                            <w:noWrap/>
                            <w:vAlign w:val="center"/>
                            <w:hideMark/>
                          </w:tcPr>
                          <w:p w14:paraId="7D47154E" w14:textId="77777777" w:rsidR="00164E03" w:rsidRPr="00F84F19" w:rsidRDefault="00164E03" w:rsidP="00973D53">
                            <w:pPr>
                              <w:widowControl/>
                              <w:snapToGrid w:val="0"/>
                              <w:spacing w:line="240" w:lineRule="atLeast"/>
                              <w:jc w:val="right"/>
                              <w:rPr>
                                <w:rFonts w:ascii="標楷體" w:eastAsia="標楷體" w:hAnsi="標楷體" w:cs="新細明體"/>
                                <w:color w:val="000000"/>
                                <w:kern w:val="0"/>
                                <w:sz w:val="20"/>
                              </w:rPr>
                            </w:pPr>
                            <w:r w:rsidRPr="00F84F19">
                              <w:rPr>
                                <w:rFonts w:ascii="標楷體" w:eastAsia="標楷體" w:hAnsi="標楷體" w:cs="新細明體" w:hint="eastAsia"/>
                                <w:color w:val="000000"/>
                                <w:kern w:val="0"/>
                                <w:sz w:val="20"/>
                              </w:rPr>
                              <w:t>單位：戶、％</w:t>
                            </w:r>
                          </w:p>
                        </w:tc>
                      </w:tr>
                      <w:tr w:rsidR="00164E03" w:rsidRPr="00D30B5D" w14:paraId="283F1F45" w14:textId="77777777" w:rsidTr="006145E6">
                        <w:trPr>
                          <w:trHeight w:val="369"/>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24C2E" w14:textId="77777777" w:rsidR="00164E03" w:rsidRPr="00D6198A" w:rsidRDefault="00164E03" w:rsidP="00973D53">
                            <w:pPr>
                              <w:widowControl/>
                              <w:snapToGrid w:val="0"/>
                              <w:spacing w:line="240" w:lineRule="atLeas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日期</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AC13A8E" w14:textId="77777777" w:rsidR="00164E03" w:rsidRPr="00D6198A" w:rsidRDefault="00164E03" w:rsidP="00973D53">
                            <w:pPr>
                              <w:widowControl/>
                              <w:snapToGrid w:val="0"/>
                              <w:spacing w:line="240" w:lineRule="atLeas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戶數</w:t>
                            </w:r>
                          </w:p>
                        </w:tc>
                        <w:tc>
                          <w:tcPr>
                            <w:tcW w:w="965" w:type="dxa"/>
                            <w:tcBorders>
                              <w:top w:val="single" w:sz="4" w:space="0" w:color="auto"/>
                              <w:left w:val="nil"/>
                              <w:bottom w:val="single" w:sz="4" w:space="0" w:color="auto"/>
                              <w:right w:val="single" w:sz="4" w:space="0" w:color="auto"/>
                            </w:tcBorders>
                            <w:shd w:val="clear" w:color="auto" w:fill="auto"/>
                            <w:noWrap/>
                            <w:vAlign w:val="center"/>
                            <w:hideMark/>
                          </w:tcPr>
                          <w:p w14:paraId="71F03C1D" w14:textId="77777777" w:rsidR="00164E03" w:rsidRPr="00D6198A" w:rsidRDefault="00164E03" w:rsidP="00973D53">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季</w:t>
                            </w:r>
                            <w:r w:rsidRPr="00D6198A">
                              <w:rPr>
                                <w:rFonts w:ascii="標楷體" w:eastAsia="標楷體" w:hAnsi="標楷體" w:cs="新細明體" w:hint="eastAsia"/>
                                <w:color w:val="000000"/>
                                <w:kern w:val="0"/>
                                <w:sz w:val="20"/>
                              </w:rPr>
                              <w:t>成長率</w:t>
                            </w:r>
                          </w:p>
                        </w:tc>
                      </w:tr>
                      <w:tr w:rsidR="00164E03" w:rsidRPr="00D30B5D" w14:paraId="34848E78" w14:textId="77777777" w:rsidTr="009C1AFB">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189F61ED"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112年3月31日</w:t>
                            </w:r>
                          </w:p>
                        </w:tc>
                        <w:tc>
                          <w:tcPr>
                            <w:tcW w:w="992" w:type="dxa"/>
                            <w:tcBorders>
                              <w:top w:val="nil"/>
                              <w:left w:val="nil"/>
                              <w:bottom w:val="single" w:sz="4" w:space="0" w:color="auto"/>
                              <w:right w:val="single" w:sz="4" w:space="0" w:color="auto"/>
                            </w:tcBorders>
                            <w:shd w:val="clear" w:color="auto" w:fill="auto"/>
                            <w:noWrap/>
                            <w:vAlign w:val="center"/>
                            <w:hideMark/>
                          </w:tcPr>
                          <w:p w14:paraId="357C7BFE"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96,022</w:t>
                            </w:r>
                          </w:p>
                        </w:tc>
                        <w:tc>
                          <w:tcPr>
                            <w:tcW w:w="965" w:type="dxa"/>
                            <w:tcBorders>
                              <w:top w:val="nil"/>
                              <w:left w:val="nil"/>
                              <w:bottom w:val="single" w:sz="4" w:space="0" w:color="auto"/>
                              <w:right w:val="single" w:sz="4" w:space="0" w:color="auto"/>
                              <w:tl2br w:val="single" w:sz="4" w:space="0" w:color="auto"/>
                            </w:tcBorders>
                            <w:shd w:val="clear" w:color="auto" w:fill="auto"/>
                            <w:noWrap/>
                            <w:vAlign w:val="center"/>
                            <w:hideMark/>
                          </w:tcPr>
                          <w:p w14:paraId="03AD9046"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 xml:space="preserve">　</w:t>
                            </w:r>
                          </w:p>
                        </w:tc>
                      </w:tr>
                      <w:tr w:rsidR="00164E03" w:rsidRPr="00D30B5D" w14:paraId="511729E4"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5C5A5E8B"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112年6月30日</w:t>
                            </w:r>
                          </w:p>
                        </w:tc>
                        <w:tc>
                          <w:tcPr>
                            <w:tcW w:w="992" w:type="dxa"/>
                            <w:tcBorders>
                              <w:top w:val="nil"/>
                              <w:left w:val="nil"/>
                              <w:bottom w:val="single" w:sz="4" w:space="0" w:color="auto"/>
                              <w:right w:val="single" w:sz="4" w:space="0" w:color="auto"/>
                            </w:tcBorders>
                            <w:shd w:val="clear" w:color="auto" w:fill="auto"/>
                            <w:noWrap/>
                            <w:vAlign w:val="center"/>
                            <w:hideMark/>
                          </w:tcPr>
                          <w:p w14:paraId="11E9E93E"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104,191</w:t>
                            </w:r>
                          </w:p>
                        </w:tc>
                        <w:tc>
                          <w:tcPr>
                            <w:tcW w:w="965" w:type="dxa"/>
                            <w:tcBorders>
                              <w:top w:val="nil"/>
                              <w:left w:val="nil"/>
                              <w:bottom w:val="single" w:sz="4" w:space="0" w:color="auto"/>
                              <w:right w:val="single" w:sz="4" w:space="0" w:color="auto"/>
                            </w:tcBorders>
                            <w:shd w:val="clear" w:color="auto" w:fill="auto"/>
                            <w:noWrap/>
                            <w:vAlign w:val="center"/>
                            <w:hideMark/>
                          </w:tcPr>
                          <w:p w14:paraId="55A5B4D5"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8.51</w:t>
                            </w:r>
                          </w:p>
                        </w:tc>
                      </w:tr>
                      <w:tr w:rsidR="00164E03" w:rsidRPr="00D30B5D" w14:paraId="647A1B33"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00AEF9DB"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112年9月30日</w:t>
                            </w:r>
                          </w:p>
                        </w:tc>
                        <w:tc>
                          <w:tcPr>
                            <w:tcW w:w="992" w:type="dxa"/>
                            <w:tcBorders>
                              <w:top w:val="nil"/>
                              <w:left w:val="nil"/>
                              <w:bottom w:val="single" w:sz="4" w:space="0" w:color="auto"/>
                              <w:right w:val="single" w:sz="4" w:space="0" w:color="auto"/>
                            </w:tcBorders>
                            <w:shd w:val="clear" w:color="auto" w:fill="auto"/>
                            <w:noWrap/>
                            <w:vAlign w:val="center"/>
                            <w:hideMark/>
                          </w:tcPr>
                          <w:p w14:paraId="53B3FADC"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110,766</w:t>
                            </w:r>
                          </w:p>
                        </w:tc>
                        <w:tc>
                          <w:tcPr>
                            <w:tcW w:w="965" w:type="dxa"/>
                            <w:tcBorders>
                              <w:top w:val="nil"/>
                              <w:left w:val="nil"/>
                              <w:bottom w:val="single" w:sz="4" w:space="0" w:color="auto"/>
                              <w:right w:val="single" w:sz="4" w:space="0" w:color="auto"/>
                            </w:tcBorders>
                            <w:shd w:val="clear" w:color="auto" w:fill="auto"/>
                            <w:noWrap/>
                            <w:vAlign w:val="center"/>
                            <w:hideMark/>
                          </w:tcPr>
                          <w:p w14:paraId="3AAB9B85"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6.31</w:t>
                            </w:r>
                          </w:p>
                        </w:tc>
                      </w:tr>
                      <w:tr w:rsidR="00164E03" w:rsidRPr="00D30B5D" w14:paraId="663FBC47"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3B726438" w14:textId="77777777" w:rsidR="00164E03" w:rsidRPr="00F84F19" w:rsidRDefault="00164E03" w:rsidP="00F84F19">
                            <w:pPr>
                              <w:widowControl/>
                              <w:snapToGrid w:val="0"/>
                              <w:spacing w:line="240" w:lineRule="exact"/>
                              <w:jc w:val="center"/>
                              <w:rPr>
                                <w:rFonts w:ascii="標楷體" w:eastAsia="標楷體" w:hAnsi="標楷體" w:cs="新細明體"/>
                                <w:color w:val="000000"/>
                                <w:spacing w:val="-7"/>
                                <w:kern w:val="0"/>
                                <w:sz w:val="20"/>
                              </w:rPr>
                            </w:pPr>
                            <w:r w:rsidRPr="00F84F19">
                              <w:rPr>
                                <w:rFonts w:ascii="標楷體" w:eastAsia="標楷體" w:hAnsi="標楷體" w:cs="新細明體" w:hint="eastAsia"/>
                                <w:color w:val="000000"/>
                                <w:spacing w:val="-7"/>
                                <w:kern w:val="0"/>
                                <w:sz w:val="20"/>
                              </w:rPr>
                              <w:t>112年12月31日</w:t>
                            </w:r>
                          </w:p>
                        </w:tc>
                        <w:tc>
                          <w:tcPr>
                            <w:tcW w:w="992" w:type="dxa"/>
                            <w:tcBorders>
                              <w:top w:val="nil"/>
                              <w:left w:val="nil"/>
                              <w:bottom w:val="single" w:sz="4" w:space="0" w:color="auto"/>
                              <w:right w:val="single" w:sz="4" w:space="0" w:color="auto"/>
                            </w:tcBorders>
                            <w:shd w:val="clear" w:color="auto" w:fill="auto"/>
                            <w:noWrap/>
                            <w:vAlign w:val="center"/>
                            <w:hideMark/>
                          </w:tcPr>
                          <w:p w14:paraId="2E7B9961"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118,356</w:t>
                            </w:r>
                          </w:p>
                        </w:tc>
                        <w:tc>
                          <w:tcPr>
                            <w:tcW w:w="965" w:type="dxa"/>
                            <w:tcBorders>
                              <w:top w:val="nil"/>
                              <w:left w:val="nil"/>
                              <w:bottom w:val="single" w:sz="4" w:space="0" w:color="auto"/>
                              <w:right w:val="single" w:sz="4" w:space="0" w:color="auto"/>
                            </w:tcBorders>
                            <w:shd w:val="clear" w:color="auto" w:fill="auto"/>
                            <w:noWrap/>
                            <w:vAlign w:val="center"/>
                            <w:hideMark/>
                          </w:tcPr>
                          <w:p w14:paraId="56B7DA54"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6.85</w:t>
                            </w:r>
                          </w:p>
                        </w:tc>
                      </w:tr>
                      <w:tr w:rsidR="00164E03" w:rsidRPr="00D30B5D" w14:paraId="2ADD8DAA"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3626E1FC"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113年3月31日</w:t>
                            </w:r>
                          </w:p>
                        </w:tc>
                        <w:tc>
                          <w:tcPr>
                            <w:tcW w:w="992" w:type="dxa"/>
                            <w:tcBorders>
                              <w:top w:val="nil"/>
                              <w:left w:val="nil"/>
                              <w:bottom w:val="single" w:sz="4" w:space="0" w:color="auto"/>
                              <w:right w:val="single" w:sz="4" w:space="0" w:color="auto"/>
                            </w:tcBorders>
                            <w:shd w:val="clear" w:color="auto" w:fill="auto"/>
                            <w:noWrap/>
                            <w:vAlign w:val="center"/>
                            <w:hideMark/>
                          </w:tcPr>
                          <w:p w14:paraId="0CB8537F"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126,335</w:t>
                            </w:r>
                          </w:p>
                        </w:tc>
                        <w:tc>
                          <w:tcPr>
                            <w:tcW w:w="965" w:type="dxa"/>
                            <w:tcBorders>
                              <w:top w:val="nil"/>
                              <w:left w:val="nil"/>
                              <w:bottom w:val="single" w:sz="4" w:space="0" w:color="auto"/>
                              <w:right w:val="single" w:sz="4" w:space="0" w:color="auto"/>
                            </w:tcBorders>
                            <w:shd w:val="clear" w:color="auto" w:fill="auto"/>
                            <w:noWrap/>
                            <w:vAlign w:val="center"/>
                            <w:hideMark/>
                          </w:tcPr>
                          <w:p w14:paraId="1667E58A"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6.74</w:t>
                            </w:r>
                          </w:p>
                        </w:tc>
                      </w:tr>
                      <w:tr w:rsidR="00164E03" w:rsidRPr="00D30B5D" w14:paraId="513E3DB4"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109084E2"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113年6月30日</w:t>
                            </w:r>
                          </w:p>
                        </w:tc>
                        <w:tc>
                          <w:tcPr>
                            <w:tcW w:w="992" w:type="dxa"/>
                            <w:tcBorders>
                              <w:top w:val="nil"/>
                              <w:left w:val="nil"/>
                              <w:bottom w:val="single" w:sz="4" w:space="0" w:color="auto"/>
                              <w:right w:val="single" w:sz="4" w:space="0" w:color="auto"/>
                            </w:tcBorders>
                            <w:shd w:val="clear" w:color="auto" w:fill="auto"/>
                            <w:noWrap/>
                            <w:vAlign w:val="center"/>
                            <w:hideMark/>
                          </w:tcPr>
                          <w:p w14:paraId="13468894"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134,350</w:t>
                            </w:r>
                          </w:p>
                        </w:tc>
                        <w:tc>
                          <w:tcPr>
                            <w:tcW w:w="965" w:type="dxa"/>
                            <w:tcBorders>
                              <w:top w:val="nil"/>
                              <w:left w:val="nil"/>
                              <w:bottom w:val="single" w:sz="4" w:space="0" w:color="auto"/>
                              <w:right w:val="single" w:sz="4" w:space="0" w:color="auto"/>
                            </w:tcBorders>
                            <w:shd w:val="clear" w:color="auto" w:fill="auto"/>
                            <w:noWrap/>
                            <w:vAlign w:val="center"/>
                            <w:hideMark/>
                          </w:tcPr>
                          <w:p w14:paraId="13F24B44"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6.34</w:t>
                            </w:r>
                          </w:p>
                        </w:tc>
                      </w:tr>
                      <w:tr w:rsidR="00164E03" w:rsidRPr="00D30B5D" w14:paraId="6B6059E0"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5BD1FF9A"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113年9月30日</w:t>
                            </w:r>
                          </w:p>
                        </w:tc>
                        <w:tc>
                          <w:tcPr>
                            <w:tcW w:w="992" w:type="dxa"/>
                            <w:tcBorders>
                              <w:top w:val="nil"/>
                              <w:left w:val="nil"/>
                              <w:bottom w:val="single" w:sz="4" w:space="0" w:color="auto"/>
                              <w:right w:val="single" w:sz="4" w:space="0" w:color="auto"/>
                            </w:tcBorders>
                            <w:shd w:val="clear" w:color="auto" w:fill="auto"/>
                            <w:noWrap/>
                            <w:vAlign w:val="center"/>
                            <w:hideMark/>
                          </w:tcPr>
                          <w:p w14:paraId="22478F4A"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142,403</w:t>
                            </w:r>
                          </w:p>
                        </w:tc>
                        <w:tc>
                          <w:tcPr>
                            <w:tcW w:w="965" w:type="dxa"/>
                            <w:tcBorders>
                              <w:top w:val="nil"/>
                              <w:left w:val="nil"/>
                              <w:bottom w:val="single" w:sz="4" w:space="0" w:color="auto"/>
                              <w:right w:val="single" w:sz="4" w:space="0" w:color="auto"/>
                            </w:tcBorders>
                            <w:shd w:val="clear" w:color="auto" w:fill="auto"/>
                            <w:noWrap/>
                            <w:vAlign w:val="center"/>
                            <w:hideMark/>
                          </w:tcPr>
                          <w:p w14:paraId="2E50C347"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5.99</w:t>
                            </w:r>
                          </w:p>
                        </w:tc>
                      </w:tr>
                      <w:tr w:rsidR="00164E03" w:rsidRPr="00D30B5D" w14:paraId="714178C8"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6A64D378" w14:textId="77777777" w:rsidR="00164E03" w:rsidRPr="00F84F19" w:rsidRDefault="00164E03" w:rsidP="00F84F19">
                            <w:pPr>
                              <w:widowControl/>
                              <w:snapToGrid w:val="0"/>
                              <w:spacing w:line="240" w:lineRule="exact"/>
                              <w:jc w:val="center"/>
                              <w:rPr>
                                <w:rFonts w:ascii="標楷體" w:eastAsia="標楷體" w:hAnsi="標楷體" w:cs="新細明體"/>
                                <w:color w:val="000000"/>
                                <w:spacing w:val="-7"/>
                                <w:kern w:val="0"/>
                                <w:sz w:val="20"/>
                              </w:rPr>
                            </w:pPr>
                            <w:r w:rsidRPr="00F84F19">
                              <w:rPr>
                                <w:rFonts w:ascii="標楷體" w:eastAsia="標楷體" w:hAnsi="標楷體" w:cs="新細明體" w:hint="eastAsia"/>
                                <w:color w:val="000000"/>
                                <w:spacing w:val="-7"/>
                                <w:kern w:val="0"/>
                                <w:sz w:val="20"/>
                              </w:rPr>
                              <w:t>113年12月31日</w:t>
                            </w:r>
                          </w:p>
                        </w:tc>
                        <w:tc>
                          <w:tcPr>
                            <w:tcW w:w="992" w:type="dxa"/>
                            <w:tcBorders>
                              <w:top w:val="nil"/>
                              <w:left w:val="nil"/>
                              <w:bottom w:val="single" w:sz="4" w:space="0" w:color="auto"/>
                              <w:right w:val="single" w:sz="4" w:space="0" w:color="auto"/>
                            </w:tcBorders>
                            <w:shd w:val="clear" w:color="auto" w:fill="auto"/>
                            <w:noWrap/>
                            <w:vAlign w:val="center"/>
                            <w:hideMark/>
                          </w:tcPr>
                          <w:p w14:paraId="39118E6B"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149,274</w:t>
                            </w:r>
                          </w:p>
                        </w:tc>
                        <w:tc>
                          <w:tcPr>
                            <w:tcW w:w="965" w:type="dxa"/>
                            <w:tcBorders>
                              <w:top w:val="nil"/>
                              <w:left w:val="nil"/>
                              <w:bottom w:val="single" w:sz="4" w:space="0" w:color="auto"/>
                              <w:right w:val="single" w:sz="4" w:space="0" w:color="auto"/>
                            </w:tcBorders>
                            <w:shd w:val="clear" w:color="auto" w:fill="auto"/>
                            <w:noWrap/>
                            <w:vAlign w:val="center"/>
                            <w:hideMark/>
                          </w:tcPr>
                          <w:p w14:paraId="719160F5"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4.83</w:t>
                            </w:r>
                          </w:p>
                        </w:tc>
                      </w:tr>
                      <w:tr w:rsidR="00164E03" w:rsidRPr="00D30B5D" w14:paraId="62571E1E" w14:textId="77777777" w:rsidTr="006145E6">
                        <w:trPr>
                          <w:trHeight w:val="284"/>
                        </w:trPr>
                        <w:tc>
                          <w:tcPr>
                            <w:tcW w:w="1871" w:type="dxa"/>
                            <w:tcBorders>
                              <w:top w:val="nil"/>
                              <w:left w:val="single" w:sz="4" w:space="0" w:color="auto"/>
                              <w:bottom w:val="single" w:sz="4" w:space="0" w:color="auto"/>
                              <w:right w:val="single" w:sz="4" w:space="0" w:color="auto"/>
                            </w:tcBorders>
                            <w:shd w:val="clear" w:color="auto" w:fill="auto"/>
                            <w:noWrap/>
                            <w:vAlign w:val="center"/>
                            <w:hideMark/>
                          </w:tcPr>
                          <w:p w14:paraId="77C39281" w14:textId="77777777" w:rsidR="00164E03" w:rsidRPr="00D6198A" w:rsidRDefault="00164E03" w:rsidP="00F84F19">
                            <w:pPr>
                              <w:widowControl/>
                              <w:snapToGrid w:val="0"/>
                              <w:spacing w:line="240" w:lineRule="exact"/>
                              <w:jc w:val="center"/>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114年3月31日</w:t>
                            </w:r>
                          </w:p>
                        </w:tc>
                        <w:tc>
                          <w:tcPr>
                            <w:tcW w:w="992" w:type="dxa"/>
                            <w:tcBorders>
                              <w:top w:val="nil"/>
                              <w:left w:val="nil"/>
                              <w:bottom w:val="single" w:sz="4" w:space="0" w:color="auto"/>
                              <w:right w:val="single" w:sz="4" w:space="0" w:color="auto"/>
                            </w:tcBorders>
                            <w:shd w:val="clear" w:color="auto" w:fill="auto"/>
                            <w:noWrap/>
                            <w:vAlign w:val="center"/>
                            <w:hideMark/>
                          </w:tcPr>
                          <w:p w14:paraId="24D856D3"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150,928</w:t>
                            </w:r>
                          </w:p>
                        </w:tc>
                        <w:tc>
                          <w:tcPr>
                            <w:tcW w:w="965" w:type="dxa"/>
                            <w:tcBorders>
                              <w:top w:val="nil"/>
                              <w:left w:val="nil"/>
                              <w:bottom w:val="single" w:sz="4" w:space="0" w:color="auto"/>
                              <w:right w:val="single" w:sz="4" w:space="0" w:color="auto"/>
                            </w:tcBorders>
                            <w:shd w:val="clear" w:color="auto" w:fill="auto"/>
                            <w:noWrap/>
                            <w:vAlign w:val="center"/>
                            <w:hideMark/>
                          </w:tcPr>
                          <w:p w14:paraId="1A87AF27" w14:textId="77777777" w:rsidR="00164E03" w:rsidRPr="00D6198A" w:rsidRDefault="00164E03" w:rsidP="00C93A8F">
                            <w:pPr>
                              <w:widowControl/>
                              <w:snapToGrid w:val="0"/>
                              <w:spacing w:line="240" w:lineRule="exact"/>
                              <w:ind w:rightChars="20" w:right="48"/>
                              <w:jc w:val="right"/>
                              <w:rPr>
                                <w:rFonts w:ascii="標楷體" w:eastAsia="標楷體" w:hAnsi="標楷體" w:cs="新細明體"/>
                                <w:color w:val="000000"/>
                                <w:kern w:val="0"/>
                                <w:sz w:val="20"/>
                              </w:rPr>
                            </w:pPr>
                            <w:r w:rsidRPr="00D6198A">
                              <w:rPr>
                                <w:rFonts w:ascii="標楷體" w:eastAsia="標楷體" w:hAnsi="標楷體" w:cs="新細明體" w:hint="eastAsia"/>
                                <w:color w:val="000000"/>
                                <w:kern w:val="0"/>
                                <w:sz w:val="20"/>
                              </w:rPr>
                              <w:t>1.11</w:t>
                            </w:r>
                          </w:p>
                        </w:tc>
                      </w:tr>
                      <w:tr w:rsidR="00164E03" w:rsidRPr="0031425C" w14:paraId="70098830" w14:textId="77777777" w:rsidTr="006145E6">
                        <w:trPr>
                          <w:trHeight w:val="324"/>
                        </w:trPr>
                        <w:tc>
                          <w:tcPr>
                            <w:tcW w:w="3828" w:type="dxa"/>
                            <w:gridSpan w:val="3"/>
                            <w:tcBorders>
                              <w:top w:val="single" w:sz="4" w:space="0" w:color="auto"/>
                              <w:left w:val="nil"/>
                              <w:bottom w:val="nil"/>
                              <w:right w:val="nil"/>
                            </w:tcBorders>
                            <w:shd w:val="clear" w:color="auto" w:fill="auto"/>
                            <w:noWrap/>
                            <w:vAlign w:val="center"/>
                            <w:hideMark/>
                          </w:tcPr>
                          <w:p w14:paraId="432B5285" w14:textId="77777777" w:rsidR="00164E03" w:rsidRPr="0031425C" w:rsidRDefault="00164E03" w:rsidP="00973D53">
                            <w:pPr>
                              <w:widowControl/>
                              <w:snapToGrid w:val="0"/>
                              <w:spacing w:line="240" w:lineRule="atLeast"/>
                              <w:rPr>
                                <w:rFonts w:ascii="標楷體" w:eastAsia="標楷體" w:hAnsi="標楷體" w:cs="新細明體"/>
                                <w:color w:val="000000"/>
                                <w:spacing w:val="-2"/>
                                <w:kern w:val="0"/>
                                <w:sz w:val="18"/>
                                <w:szCs w:val="18"/>
                              </w:rPr>
                            </w:pPr>
                            <w:r w:rsidRPr="0031425C">
                              <w:rPr>
                                <w:rFonts w:ascii="標楷體" w:eastAsia="標楷體" w:hAnsi="標楷體" w:cs="新細明體" w:hint="eastAsia"/>
                                <w:color w:val="000000"/>
                                <w:spacing w:val="-2"/>
                                <w:kern w:val="0"/>
                                <w:sz w:val="18"/>
                                <w:szCs w:val="18"/>
                              </w:rPr>
                              <w:t>資料來源：整理自金融監督管理委員會公告資料。</w:t>
                            </w:r>
                          </w:p>
                        </w:tc>
                      </w:tr>
                    </w:tbl>
                    <w:p w14:paraId="38BA8B67" w14:textId="77777777" w:rsidR="00164E03" w:rsidRPr="00D30B5D" w:rsidRDefault="00164E03" w:rsidP="00164E03"/>
                  </w:txbxContent>
                </v:textbox>
                <w10:wrap type="square" anchorx="margin"/>
              </v:shape>
            </w:pict>
          </mc:Fallback>
        </mc:AlternateContent>
      </w:r>
      <w:r w:rsidRPr="00A42113">
        <w:rPr>
          <w:rFonts w:ascii="標楷體" w:eastAsia="標楷體" w:hAnsi="標楷體" w:cs="新細明體" w:hint="eastAsia"/>
          <w:color w:val="000000" w:themeColor="text1"/>
          <w:szCs w:val="24"/>
        </w:rPr>
        <w:t>團與會計師或銀行業行員合作成立人頭公司，作為洗錢掩護工具之情事，經建請行政院促請經濟部、金管會等相關機關</w:t>
      </w:r>
      <w:proofErr w:type="gramStart"/>
      <w:r w:rsidRPr="00A42113">
        <w:rPr>
          <w:rFonts w:ascii="標楷體" w:eastAsia="標楷體" w:hAnsi="標楷體" w:cs="新細明體" w:hint="eastAsia"/>
          <w:color w:val="000000" w:themeColor="text1"/>
          <w:szCs w:val="24"/>
        </w:rPr>
        <w:t>研</w:t>
      </w:r>
      <w:proofErr w:type="gramEnd"/>
      <w:r w:rsidRPr="00A42113">
        <w:rPr>
          <w:rFonts w:ascii="標楷體" w:eastAsia="標楷體" w:hAnsi="標楷體" w:cs="新細明體" w:hint="eastAsia"/>
          <w:color w:val="000000" w:themeColor="text1"/>
          <w:szCs w:val="24"/>
        </w:rPr>
        <w:t>議強化公司行號申請審查驗證措施，從源頭</w:t>
      </w:r>
      <w:proofErr w:type="gramStart"/>
      <w:r w:rsidRPr="00A42113">
        <w:rPr>
          <w:rFonts w:ascii="標楷體" w:eastAsia="標楷體" w:hAnsi="標楷體" w:cs="新細明體" w:hint="eastAsia"/>
          <w:color w:val="000000" w:themeColor="text1"/>
          <w:szCs w:val="24"/>
        </w:rPr>
        <w:t>把關審驗企業</w:t>
      </w:r>
      <w:proofErr w:type="gramEnd"/>
      <w:r w:rsidRPr="00A42113">
        <w:rPr>
          <w:rFonts w:ascii="標楷體" w:eastAsia="標楷體" w:hAnsi="標楷體" w:cs="新細明體" w:hint="eastAsia"/>
          <w:color w:val="000000" w:themeColor="text1"/>
          <w:szCs w:val="24"/>
        </w:rPr>
        <w:t>營業事實，並強化企業帳戶不法交易警示及研判等控管機制，</w:t>
      </w:r>
      <w:proofErr w:type="gramStart"/>
      <w:r w:rsidRPr="00A42113">
        <w:rPr>
          <w:rFonts w:ascii="標楷體" w:eastAsia="標楷體" w:hAnsi="標楷體" w:cs="新細明體" w:hint="eastAsia"/>
          <w:color w:val="000000" w:themeColor="text1"/>
          <w:szCs w:val="24"/>
        </w:rPr>
        <w:t>俾</w:t>
      </w:r>
      <w:proofErr w:type="gramEnd"/>
      <w:r w:rsidRPr="00A42113">
        <w:rPr>
          <w:rFonts w:ascii="標楷體" w:eastAsia="標楷體" w:hAnsi="標楷體" w:cs="新細明體" w:hint="eastAsia"/>
          <w:color w:val="000000" w:themeColor="text1"/>
          <w:szCs w:val="24"/>
        </w:rPr>
        <w:t>確實防杜詐騙集團運用人頭帳戶進行詐騙。</w:t>
      </w:r>
      <w:r w:rsidRPr="00E06A58">
        <w:rPr>
          <w:rFonts w:ascii="標楷體" w:eastAsia="標楷體" w:hAnsi="標楷體" w:cs="新細明體" w:hint="eastAsia"/>
          <w:color w:val="000000" w:themeColor="text1"/>
          <w:szCs w:val="24"/>
        </w:rPr>
        <w:t>據復：</w:t>
      </w:r>
      <w:r w:rsidR="00E06A58" w:rsidRPr="00E06A58">
        <w:rPr>
          <w:rFonts w:ascii="標楷體" w:eastAsia="標楷體" w:hAnsi="標楷體" w:cs="新細明體" w:hint="eastAsia"/>
          <w:color w:val="000000" w:themeColor="text1"/>
          <w:szCs w:val="24"/>
        </w:rPr>
        <w:t>為防制資本不實及虛設公司行號等情事發生，經濟部商業發展署</w:t>
      </w:r>
      <w:proofErr w:type="gramStart"/>
      <w:r w:rsidR="00E06A58" w:rsidRPr="00E06A58">
        <w:rPr>
          <w:rFonts w:ascii="標楷體" w:eastAsia="標楷體" w:hAnsi="標楷體" w:cs="新細明體" w:hint="eastAsia"/>
          <w:color w:val="000000" w:themeColor="text1"/>
          <w:szCs w:val="24"/>
        </w:rPr>
        <w:t>採</w:t>
      </w:r>
      <w:proofErr w:type="gramEnd"/>
      <w:r w:rsidR="00E06A58" w:rsidRPr="00E06A58">
        <w:rPr>
          <w:rFonts w:ascii="標楷體" w:eastAsia="標楷體" w:hAnsi="標楷體" w:cs="新細明體" w:hint="eastAsia"/>
          <w:color w:val="000000" w:themeColor="text1"/>
          <w:szCs w:val="24"/>
        </w:rPr>
        <w:t>行確認公司資本額真實性、命令解散無營業行為之公司、於公司登記與管理資訊系統新增提示，及將第三方支付服務業者之設立</w:t>
      </w:r>
      <w:proofErr w:type="gramStart"/>
      <w:r w:rsidR="00E06A58" w:rsidRPr="00E06A58">
        <w:rPr>
          <w:rFonts w:ascii="標楷體" w:eastAsia="標楷體" w:hAnsi="標楷體" w:cs="新細明體" w:hint="eastAsia"/>
          <w:color w:val="000000" w:themeColor="text1"/>
          <w:szCs w:val="24"/>
        </w:rPr>
        <w:t>核准函副知</w:t>
      </w:r>
      <w:proofErr w:type="gramEnd"/>
      <w:r w:rsidR="00E06A58" w:rsidRPr="00E06A58">
        <w:rPr>
          <w:rFonts w:ascii="標楷體" w:eastAsia="標楷體" w:hAnsi="標楷體" w:cs="新細明體" w:hint="eastAsia"/>
          <w:color w:val="000000" w:themeColor="text1"/>
          <w:szCs w:val="24"/>
        </w:rPr>
        <w:t>數位發展</w:t>
      </w:r>
      <w:proofErr w:type="gramStart"/>
      <w:r w:rsidR="00E06A58" w:rsidRPr="00E06A58">
        <w:rPr>
          <w:rFonts w:ascii="標楷體" w:eastAsia="標楷體" w:hAnsi="標楷體" w:cs="新細明體" w:hint="eastAsia"/>
          <w:color w:val="000000" w:themeColor="text1"/>
          <w:szCs w:val="24"/>
        </w:rPr>
        <w:t>部等督管</w:t>
      </w:r>
      <w:proofErr w:type="gramEnd"/>
      <w:r w:rsidR="00E06A58" w:rsidRPr="00E06A58">
        <w:rPr>
          <w:rFonts w:ascii="標楷體" w:eastAsia="標楷體" w:hAnsi="標楷體" w:cs="新細明體" w:hint="eastAsia"/>
          <w:color w:val="000000" w:themeColor="text1"/>
          <w:szCs w:val="24"/>
        </w:rPr>
        <w:t>機制；另金管會已責成銀行公會定期滾動檢討異常交易</w:t>
      </w:r>
      <w:proofErr w:type="gramStart"/>
      <w:r w:rsidR="00E06A58" w:rsidRPr="00E06A58">
        <w:rPr>
          <w:rFonts w:ascii="標楷體" w:eastAsia="標楷體" w:hAnsi="標楷體" w:cs="新細明體" w:hint="eastAsia"/>
          <w:color w:val="000000" w:themeColor="text1"/>
          <w:szCs w:val="24"/>
        </w:rPr>
        <w:t>共通性態樣</w:t>
      </w:r>
      <w:proofErr w:type="gramEnd"/>
      <w:r w:rsidR="00E06A58" w:rsidRPr="00E06A58">
        <w:rPr>
          <w:rFonts w:ascii="標楷體" w:eastAsia="標楷體" w:hAnsi="標楷體" w:cs="新細明體" w:hint="eastAsia"/>
          <w:color w:val="000000" w:themeColor="text1"/>
          <w:szCs w:val="24"/>
        </w:rPr>
        <w:t>，並協助銀行業者</w:t>
      </w:r>
      <w:proofErr w:type="gramStart"/>
      <w:r w:rsidR="00E06A58" w:rsidRPr="00E06A58">
        <w:rPr>
          <w:rFonts w:ascii="標楷體" w:eastAsia="標楷體" w:hAnsi="標楷體" w:cs="新細明體" w:hint="eastAsia"/>
          <w:color w:val="000000" w:themeColor="text1"/>
          <w:szCs w:val="24"/>
        </w:rPr>
        <w:t>介</w:t>
      </w:r>
      <w:proofErr w:type="gramEnd"/>
      <w:r w:rsidR="00E06A58" w:rsidRPr="00E06A58">
        <w:rPr>
          <w:rFonts w:ascii="標楷體" w:eastAsia="標楷體" w:hAnsi="標楷體" w:cs="新細明體" w:hint="eastAsia"/>
          <w:color w:val="000000" w:themeColor="text1"/>
          <w:szCs w:val="24"/>
        </w:rPr>
        <w:t>接查詢解散、撤銷、廢止及商業歇業等資料，</w:t>
      </w:r>
      <w:proofErr w:type="gramStart"/>
      <w:r w:rsidR="00E06A58" w:rsidRPr="00E06A58">
        <w:rPr>
          <w:rFonts w:ascii="標楷體" w:eastAsia="標楷體" w:hAnsi="標楷體" w:cs="新細明體" w:hint="eastAsia"/>
          <w:color w:val="000000" w:themeColor="text1"/>
          <w:szCs w:val="24"/>
        </w:rPr>
        <w:t>俾</w:t>
      </w:r>
      <w:proofErr w:type="gramEnd"/>
      <w:r w:rsidR="00E06A58" w:rsidRPr="00E06A58">
        <w:rPr>
          <w:rFonts w:ascii="標楷體" w:eastAsia="標楷體" w:hAnsi="標楷體" w:cs="新細明體" w:hint="eastAsia"/>
          <w:color w:val="000000" w:themeColor="text1"/>
          <w:szCs w:val="24"/>
        </w:rPr>
        <w:t>強化對企業法人金融帳戶之管控。</w:t>
      </w:r>
    </w:p>
    <w:p w14:paraId="1A28EEAA" w14:textId="2A4135C3" w:rsidR="003C6B92" w:rsidRPr="00BE45A3" w:rsidRDefault="003C6B92" w:rsidP="00B4526B">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7F02DD">
        <w:rPr>
          <w:rFonts w:hAnsi="標楷體" w:hint="eastAsia"/>
          <w:b/>
          <w:sz w:val="28"/>
          <w:szCs w:val="28"/>
        </w:rPr>
        <w:t>（</w:t>
      </w:r>
      <w:r>
        <w:rPr>
          <w:rFonts w:hAnsi="標楷體" w:hint="eastAsia"/>
          <w:b/>
          <w:sz w:val="28"/>
          <w:szCs w:val="28"/>
        </w:rPr>
        <w:t>九</w:t>
      </w:r>
      <w:r w:rsidR="009E577D">
        <w:rPr>
          <w:rFonts w:hAnsi="標楷體" w:hint="eastAsia"/>
          <w:b/>
          <w:bCs w:val="0"/>
          <w:color w:val="000000" w:themeColor="text1"/>
          <w:sz w:val="28"/>
          <w:szCs w:val="28"/>
        </w:rPr>
        <w:t>）</w:t>
      </w:r>
      <w:r w:rsidR="009E577D" w:rsidRPr="00693D1C">
        <w:rPr>
          <w:rFonts w:hAnsi="標楷體" w:hint="eastAsia"/>
          <w:b/>
          <w:color w:val="000000" w:themeColor="text1"/>
          <w:sz w:val="28"/>
          <w:szCs w:val="28"/>
        </w:rPr>
        <w:t xml:space="preserve">　</w:t>
      </w:r>
      <w:r w:rsidR="00DF1362" w:rsidRPr="005F0F63">
        <w:rPr>
          <w:rFonts w:hAnsi="標楷體" w:hint="eastAsia"/>
          <w:b/>
          <w:bCs w:val="0"/>
          <w:color w:val="000000" w:themeColor="text1"/>
          <w:spacing w:val="4"/>
          <w:sz w:val="28"/>
          <w:szCs w:val="28"/>
        </w:rPr>
        <w:t>國家通訊傳播委員會發布電信事業受理申辦電信服務風險管理機制指引，有助完善源頭管制，</w:t>
      </w:r>
      <w:proofErr w:type="gramStart"/>
      <w:r w:rsidR="00DF1362" w:rsidRPr="005F0F63">
        <w:rPr>
          <w:rFonts w:hAnsi="標楷體" w:hint="eastAsia"/>
          <w:b/>
          <w:bCs w:val="0"/>
          <w:color w:val="000000" w:themeColor="text1"/>
          <w:spacing w:val="4"/>
          <w:sz w:val="28"/>
          <w:szCs w:val="28"/>
        </w:rPr>
        <w:t>防堵資通訊</w:t>
      </w:r>
      <w:proofErr w:type="gramEnd"/>
      <w:r w:rsidR="00DF1362" w:rsidRPr="005F0F63">
        <w:rPr>
          <w:rFonts w:hAnsi="標楷體" w:hint="eastAsia"/>
          <w:b/>
          <w:bCs w:val="0"/>
          <w:color w:val="000000" w:themeColor="text1"/>
          <w:spacing w:val="4"/>
          <w:sz w:val="28"/>
          <w:szCs w:val="28"/>
        </w:rPr>
        <w:t>服務淪為犯罪工具，</w:t>
      </w:r>
      <w:proofErr w:type="gramStart"/>
      <w:r w:rsidR="00DF1362" w:rsidRPr="005F0F63">
        <w:rPr>
          <w:rFonts w:hAnsi="標楷體" w:hint="eastAsia"/>
          <w:b/>
          <w:bCs w:val="0"/>
          <w:color w:val="000000" w:themeColor="text1"/>
          <w:spacing w:val="4"/>
          <w:sz w:val="28"/>
          <w:szCs w:val="28"/>
        </w:rPr>
        <w:t>惟堵詐分</w:t>
      </w:r>
      <w:proofErr w:type="gramEnd"/>
      <w:r w:rsidR="00DF1362" w:rsidRPr="005F0F63">
        <w:rPr>
          <w:rFonts w:hAnsi="標楷體" w:hint="eastAsia"/>
          <w:b/>
          <w:bCs w:val="0"/>
          <w:color w:val="000000" w:themeColor="text1"/>
          <w:spacing w:val="4"/>
          <w:sz w:val="28"/>
          <w:szCs w:val="28"/>
        </w:rPr>
        <w:t>項指標與策略預期目標尚乏直接關聯，且簡訊服務平</w:t>
      </w:r>
      <w:proofErr w:type="gramStart"/>
      <w:r w:rsidR="00DF1362" w:rsidRPr="005F0F63">
        <w:rPr>
          <w:rFonts w:hAnsi="標楷體" w:hint="eastAsia"/>
          <w:b/>
          <w:bCs w:val="0"/>
          <w:color w:val="000000" w:themeColor="text1"/>
          <w:spacing w:val="4"/>
          <w:sz w:val="28"/>
          <w:szCs w:val="28"/>
        </w:rPr>
        <w:t>臺</w:t>
      </w:r>
      <w:proofErr w:type="gramEnd"/>
      <w:r w:rsidR="00DF1362" w:rsidRPr="005F0F63">
        <w:rPr>
          <w:rFonts w:hAnsi="標楷體" w:hint="eastAsia"/>
          <w:b/>
          <w:bCs w:val="0"/>
          <w:color w:val="000000" w:themeColor="text1"/>
          <w:spacing w:val="4"/>
          <w:sz w:val="28"/>
          <w:szCs w:val="28"/>
        </w:rPr>
        <w:t>業者尚未納管，恐成為政府打擊詐欺之破口，允宜</w:t>
      </w:r>
      <w:proofErr w:type="gramStart"/>
      <w:r w:rsidR="00DF1362" w:rsidRPr="005F0F63">
        <w:rPr>
          <w:rFonts w:hAnsi="標楷體" w:hint="eastAsia"/>
          <w:b/>
          <w:bCs w:val="0"/>
          <w:color w:val="000000" w:themeColor="text1"/>
          <w:spacing w:val="4"/>
          <w:sz w:val="28"/>
          <w:szCs w:val="28"/>
        </w:rPr>
        <w:t>研</w:t>
      </w:r>
      <w:proofErr w:type="gramEnd"/>
      <w:r w:rsidR="00DF1362" w:rsidRPr="005F0F63">
        <w:rPr>
          <w:rFonts w:hAnsi="標楷體" w:hint="eastAsia"/>
          <w:b/>
          <w:bCs w:val="0"/>
          <w:color w:val="000000" w:themeColor="text1"/>
          <w:spacing w:val="4"/>
          <w:sz w:val="28"/>
          <w:szCs w:val="28"/>
        </w:rPr>
        <w:t>謀改善，強化跨機關合作及商業簡訊風險管控，守護民眾財產安全。</w:t>
      </w:r>
    </w:p>
    <w:p w14:paraId="2F58A0B0" w14:textId="1FB4C792" w:rsidR="003C6B92" w:rsidRPr="007E4FA4" w:rsidRDefault="00CC0CEE" w:rsidP="00DA2192">
      <w:pPr>
        <w:overflowPunct w:val="0"/>
        <w:spacing w:line="434" w:lineRule="exact"/>
        <w:ind w:firstLineChars="200" w:firstLine="480"/>
        <w:jc w:val="both"/>
        <w:rPr>
          <w:rFonts w:ascii="標楷體" w:eastAsia="標楷體" w:hAnsi="標楷體"/>
          <w:szCs w:val="24"/>
        </w:rPr>
      </w:pPr>
      <w:r w:rsidRPr="00CC0CEE">
        <w:rPr>
          <w:rFonts w:ascii="標楷體" w:eastAsia="標楷體" w:hAnsi="標楷體" w:hint="eastAsia"/>
          <w:szCs w:val="24"/>
        </w:rPr>
        <w:t>行政院</w:t>
      </w:r>
      <w:proofErr w:type="gramStart"/>
      <w:r w:rsidRPr="00CC0CEE">
        <w:rPr>
          <w:rFonts w:ascii="標楷體" w:eastAsia="標楷體" w:hAnsi="標楷體" w:hint="eastAsia"/>
          <w:szCs w:val="24"/>
        </w:rPr>
        <w:t>鑑</w:t>
      </w:r>
      <w:proofErr w:type="gramEnd"/>
      <w:r w:rsidRPr="00CC0CEE">
        <w:rPr>
          <w:rFonts w:ascii="標楷體" w:eastAsia="標楷體" w:hAnsi="標楷體" w:hint="eastAsia"/>
          <w:szCs w:val="24"/>
        </w:rPr>
        <w:t>於近年來網路及電信詐騙猖獗，為有效遏止詐欺犯罪，前於</w:t>
      </w:r>
      <w:proofErr w:type="gramStart"/>
      <w:r w:rsidRPr="00CC0CEE">
        <w:rPr>
          <w:rFonts w:ascii="標楷體" w:eastAsia="標楷體" w:hAnsi="標楷體" w:hint="eastAsia"/>
          <w:szCs w:val="24"/>
        </w:rPr>
        <w:t>111年7月15日函頒2年</w:t>
      </w:r>
      <w:proofErr w:type="gramEnd"/>
      <w:r w:rsidRPr="00CC0CEE">
        <w:rPr>
          <w:rFonts w:ascii="標楷體" w:eastAsia="標楷體" w:hAnsi="標楷體" w:hint="eastAsia"/>
          <w:szCs w:val="24"/>
        </w:rPr>
        <w:t>期之「新世代打擊詐欺策略行動綱領」</w:t>
      </w:r>
      <w:r w:rsidR="004436ED">
        <w:rPr>
          <w:rFonts w:ascii="標楷體" w:eastAsia="標楷體" w:hAnsi="標楷體" w:hint="eastAsia"/>
          <w:szCs w:val="24"/>
        </w:rPr>
        <w:t>（</w:t>
      </w:r>
      <w:r w:rsidRPr="00CC0CEE">
        <w:rPr>
          <w:rFonts w:ascii="標楷體" w:eastAsia="標楷體" w:hAnsi="標楷體" w:hint="eastAsia"/>
          <w:szCs w:val="24"/>
        </w:rPr>
        <w:t>下稱打詐綱領），整合各部會資源，</w:t>
      </w:r>
      <w:proofErr w:type="gramStart"/>
      <w:r w:rsidRPr="00CC0CEE">
        <w:rPr>
          <w:rFonts w:ascii="標楷體" w:eastAsia="標楷體" w:hAnsi="標楷體" w:hint="eastAsia"/>
          <w:szCs w:val="24"/>
        </w:rPr>
        <w:t>研</w:t>
      </w:r>
      <w:proofErr w:type="gramEnd"/>
      <w:r w:rsidRPr="00CC0CEE">
        <w:rPr>
          <w:rFonts w:ascii="標楷體" w:eastAsia="標楷體" w:hAnsi="標楷體" w:hint="eastAsia"/>
          <w:szCs w:val="24"/>
        </w:rPr>
        <w:t>擬因應策略以共同打擊詐欺。</w:t>
      </w:r>
      <w:proofErr w:type="gramStart"/>
      <w:r w:rsidRPr="00CC0CEE">
        <w:rPr>
          <w:rFonts w:ascii="標楷體" w:eastAsia="標楷體" w:hAnsi="標楷體" w:hint="eastAsia"/>
          <w:szCs w:val="24"/>
        </w:rPr>
        <w:t>嗣</w:t>
      </w:r>
      <w:proofErr w:type="gramEnd"/>
      <w:r w:rsidRPr="00CC0CEE">
        <w:rPr>
          <w:rFonts w:ascii="標楷體" w:eastAsia="標楷體" w:hAnsi="標楷體" w:hint="eastAsia"/>
          <w:szCs w:val="24"/>
        </w:rPr>
        <w:t>該院經審酌現行防制詐欺犯罪尚存諸多待解決課題，</w:t>
      </w:r>
      <w:proofErr w:type="gramStart"/>
      <w:r w:rsidRPr="00CC0CEE">
        <w:rPr>
          <w:rFonts w:ascii="標楷體" w:eastAsia="標楷體" w:hAnsi="標楷體" w:hint="eastAsia"/>
          <w:szCs w:val="24"/>
        </w:rPr>
        <w:t>爰</w:t>
      </w:r>
      <w:proofErr w:type="gramEnd"/>
      <w:r w:rsidRPr="00CC0CEE">
        <w:rPr>
          <w:rFonts w:ascii="標楷體" w:eastAsia="標楷體" w:hAnsi="標楷體" w:hint="eastAsia"/>
          <w:szCs w:val="24"/>
        </w:rPr>
        <w:t>續於112年6月9日核定</w:t>
      </w:r>
      <w:proofErr w:type="gramStart"/>
      <w:r w:rsidRPr="00CC0CEE">
        <w:rPr>
          <w:rFonts w:ascii="標楷體" w:eastAsia="標楷體" w:hAnsi="標楷體" w:hint="eastAsia"/>
          <w:szCs w:val="24"/>
        </w:rPr>
        <w:t>打詐綱領</w:t>
      </w:r>
      <w:proofErr w:type="gramEnd"/>
      <w:r w:rsidRPr="00CC0CEE">
        <w:rPr>
          <w:rFonts w:ascii="標楷體" w:eastAsia="標楷體" w:hAnsi="標楷體" w:hint="eastAsia"/>
          <w:szCs w:val="24"/>
        </w:rPr>
        <w:t>1.5版，精進「</w:t>
      </w:r>
      <w:proofErr w:type="gramStart"/>
      <w:r w:rsidRPr="00CC0CEE">
        <w:rPr>
          <w:rFonts w:ascii="標楷體" w:eastAsia="標楷體" w:hAnsi="標楷體" w:hint="eastAsia"/>
          <w:szCs w:val="24"/>
        </w:rPr>
        <w:t>識詐、堵詐、阻詐、懲詐」</w:t>
      </w:r>
      <w:proofErr w:type="gramEnd"/>
      <w:r w:rsidRPr="00CC0CEE">
        <w:rPr>
          <w:rFonts w:ascii="標楷體" w:eastAsia="標楷體" w:hAnsi="標楷體" w:hint="eastAsia"/>
          <w:szCs w:val="24"/>
        </w:rPr>
        <w:t>四大面向之</w:t>
      </w:r>
      <w:proofErr w:type="gramStart"/>
      <w:r w:rsidRPr="00CC0CEE">
        <w:rPr>
          <w:rFonts w:ascii="標楷體" w:eastAsia="標楷體" w:hAnsi="標楷體" w:hint="eastAsia"/>
          <w:szCs w:val="24"/>
        </w:rPr>
        <w:t>偵</w:t>
      </w:r>
      <w:proofErr w:type="gramEnd"/>
      <w:r w:rsidRPr="00CC0CEE">
        <w:rPr>
          <w:rFonts w:ascii="標楷體" w:eastAsia="標楷體" w:hAnsi="標楷體" w:hint="eastAsia"/>
          <w:szCs w:val="24"/>
        </w:rPr>
        <w:t>防作為，計新增4項策略及17項行動方案，亦修訂相關分項指標，期能達成減少接觸、減少誤信、減少損害之「三減」策略目標，並延長推動</w:t>
      </w:r>
      <w:proofErr w:type="gramStart"/>
      <w:r w:rsidRPr="00CC0CEE">
        <w:rPr>
          <w:rFonts w:ascii="標楷體" w:eastAsia="標楷體" w:hAnsi="標楷體" w:hint="eastAsia"/>
          <w:szCs w:val="24"/>
        </w:rPr>
        <w:t>期程至113年12月31日</w:t>
      </w:r>
      <w:proofErr w:type="gramEnd"/>
      <w:r w:rsidRPr="00CC0CEE">
        <w:rPr>
          <w:rFonts w:ascii="標楷體" w:eastAsia="標楷體" w:hAnsi="標楷體" w:hint="eastAsia"/>
          <w:szCs w:val="24"/>
        </w:rPr>
        <w:t>止。國家通訊傳播委員會（下稱通傳會）擔任「</w:t>
      </w:r>
      <w:proofErr w:type="gramStart"/>
      <w:r w:rsidRPr="00CC0CEE">
        <w:rPr>
          <w:rFonts w:ascii="標楷體" w:eastAsia="標楷體" w:hAnsi="標楷體" w:hint="eastAsia"/>
          <w:szCs w:val="24"/>
        </w:rPr>
        <w:t>堵詐</w:t>
      </w:r>
      <w:r w:rsidR="004436ED">
        <w:rPr>
          <w:rFonts w:ascii="標楷體" w:eastAsia="標楷體" w:hAnsi="標楷體" w:hint="eastAsia"/>
          <w:szCs w:val="24"/>
        </w:rPr>
        <w:t>（</w:t>
      </w:r>
      <w:proofErr w:type="gramEnd"/>
      <w:r w:rsidRPr="00CC0CEE">
        <w:rPr>
          <w:rFonts w:ascii="標楷體" w:eastAsia="標楷體" w:hAnsi="標楷體" w:hint="eastAsia"/>
          <w:szCs w:val="24"/>
        </w:rPr>
        <w:t>電信網路面</w:t>
      </w:r>
      <w:r w:rsidR="004436ED">
        <w:rPr>
          <w:rFonts w:ascii="標楷體" w:eastAsia="標楷體" w:hAnsi="標楷體" w:hint="eastAsia"/>
          <w:szCs w:val="24"/>
        </w:rPr>
        <w:t>）</w:t>
      </w:r>
      <w:r w:rsidRPr="00CC0CEE">
        <w:rPr>
          <w:rFonts w:ascii="標楷體" w:eastAsia="標楷體" w:hAnsi="標楷體" w:hint="eastAsia"/>
          <w:szCs w:val="24"/>
        </w:rPr>
        <w:t>」之統籌機關，經查執行情形，核有下列事項：</w:t>
      </w:r>
    </w:p>
    <w:p w14:paraId="4ABC0B28" w14:textId="05E6A2F0" w:rsidR="00C2078A" w:rsidRPr="00C236D4" w:rsidRDefault="003C6B92" w:rsidP="00B4526B">
      <w:pPr>
        <w:overflowPunct w:val="0"/>
        <w:spacing w:line="440" w:lineRule="exact"/>
        <w:ind w:firstLineChars="450" w:firstLine="1081"/>
        <w:jc w:val="both"/>
        <w:rPr>
          <w:rFonts w:ascii="標楷體" w:eastAsia="標楷體" w:hAnsi="標楷體"/>
        </w:rPr>
      </w:pPr>
      <w:r>
        <w:rPr>
          <w:rFonts w:ascii="標楷體" w:eastAsia="標楷體" w:hAnsi="標楷體" w:hint="eastAsia"/>
          <w:b/>
          <w:szCs w:val="24"/>
        </w:rPr>
        <w:t>1.</w:t>
      </w:r>
      <w:r w:rsidRPr="009D11AD">
        <w:rPr>
          <w:rFonts w:ascii="標楷體" w:eastAsia="標楷體" w:hAnsi="標楷體" w:hint="eastAsia"/>
          <w:b/>
          <w:color w:val="000000"/>
          <w:szCs w:val="22"/>
        </w:rPr>
        <w:t xml:space="preserve">　</w:t>
      </w:r>
      <w:proofErr w:type="gramStart"/>
      <w:r w:rsidR="00C2078A" w:rsidRPr="00C35FBD">
        <w:rPr>
          <w:rFonts w:ascii="標楷體" w:eastAsia="標楷體" w:hAnsi="標楷體" w:hint="eastAsia"/>
          <w:b/>
          <w:bCs/>
        </w:rPr>
        <w:t>堵詐分</w:t>
      </w:r>
      <w:proofErr w:type="gramEnd"/>
      <w:r w:rsidR="00C2078A" w:rsidRPr="00C35FBD">
        <w:rPr>
          <w:rFonts w:ascii="標楷體" w:eastAsia="標楷體" w:hAnsi="標楷體" w:hint="eastAsia"/>
          <w:b/>
          <w:bCs/>
        </w:rPr>
        <w:t>項指標與策略預期目標尚乏直接關聯，尚難據以有效衡量政府推動打擊詐欺之成效，允宜檢討</w:t>
      </w:r>
      <w:proofErr w:type="gramStart"/>
      <w:r w:rsidR="00C2078A" w:rsidRPr="00C35FBD">
        <w:rPr>
          <w:rFonts w:ascii="標楷體" w:eastAsia="標楷體" w:hAnsi="標楷體" w:hint="eastAsia"/>
          <w:b/>
          <w:bCs/>
        </w:rPr>
        <w:t>妥適訂定</w:t>
      </w:r>
      <w:proofErr w:type="gramEnd"/>
      <w:r w:rsidR="00C2078A" w:rsidRPr="00C35FBD">
        <w:rPr>
          <w:rFonts w:ascii="標楷體" w:eastAsia="標楷體" w:hAnsi="標楷體" w:hint="eastAsia"/>
          <w:b/>
          <w:bCs/>
        </w:rPr>
        <w:t>指標及目標值，</w:t>
      </w:r>
      <w:proofErr w:type="gramStart"/>
      <w:r w:rsidR="00C2078A" w:rsidRPr="00C35FBD">
        <w:rPr>
          <w:rFonts w:ascii="標楷體" w:eastAsia="標楷體" w:hAnsi="標楷體" w:hint="eastAsia"/>
          <w:b/>
          <w:bCs/>
        </w:rPr>
        <w:t>俾</w:t>
      </w:r>
      <w:proofErr w:type="gramEnd"/>
      <w:r w:rsidR="00C2078A" w:rsidRPr="00C35FBD">
        <w:rPr>
          <w:rFonts w:ascii="標楷體" w:eastAsia="標楷體" w:hAnsi="標楷體" w:hint="eastAsia"/>
          <w:b/>
          <w:bCs/>
        </w:rPr>
        <w:t>利有效反映政府推動打擊詐欺策略目標達成情形</w:t>
      </w:r>
      <w:r w:rsidR="00C2078A" w:rsidRPr="00C35FBD">
        <w:rPr>
          <w:rFonts w:ascii="標楷體" w:eastAsia="標楷體" w:hAnsi="標楷體" w:hint="eastAsia"/>
          <w:b/>
        </w:rPr>
        <w:t>：</w:t>
      </w:r>
      <w:r w:rsidR="00C2078A" w:rsidRPr="00C35FBD">
        <w:rPr>
          <w:rFonts w:ascii="標楷體" w:eastAsia="標楷體" w:hAnsi="標楷體" w:hint="eastAsia"/>
        </w:rPr>
        <w:t>通傳會統籌「</w:t>
      </w:r>
      <w:proofErr w:type="gramStart"/>
      <w:r w:rsidR="00C2078A" w:rsidRPr="00C35FBD">
        <w:rPr>
          <w:rFonts w:ascii="標楷體" w:eastAsia="標楷體" w:hAnsi="標楷體" w:hint="eastAsia"/>
        </w:rPr>
        <w:t>堵詐（</w:t>
      </w:r>
      <w:proofErr w:type="gramEnd"/>
      <w:r w:rsidR="00C2078A" w:rsidRPr="00C35FBD">
        <w:rPr>
          <w:rFonts w:ascii="標楷體" w:eastAsia="標楷體" w:hAnsi="標楷體" w:hint="eastAsia"/>
        </w:rPr>
        <w:t>電信網路）」業務，計規劃「防杜境外竄改來話詐騙」等6項策略，除原訂有「每年攔阻簡訊3,000萬則」、「每年人頭門號停斷話5,000門」等2項分項指標外，另於</w:t>
      </w:r>
      <w:proofErr w:type="gramStart"/>
      <w:r w:rsidR="00C2078A" w:rsidRPr="00C35FBD">
        <w:rPr>
          <w:rFonts w:ascii="標楷體" w:eastAsia="標楷體" w:hAnsi="標楷體" w:hint="eastAsia"/>
        </w:rPr>
        <w:t>打詐綱領</w:t>
      </w:r>
      <w:proofErr w:type="gramEnd"/>
      <w:r w:rsidR="00C2078A" w:rsidRPr="00C35FBD">
        <w:rPr>
          <w:rFonts w:ascii="標楷體" w:eastAsia="標楷體" w:hAnsi="標楷體" w:hint="eastAsia"/>
        </w:rPr>
        <w:t>1.5版新增「開發2種以上數位防詐工具」、「輔導</w:t>
      </w:r>
      <w:proofErr w:type="gramStart"/>
      <w:r w:rsidR="00C2078A" w:rsidRPr="00C35FBD">
        <w:rPr>
          <w:rFonts w:ascii="標楷體" w:eastAsia="標楷體" w:hAnsi="標楷體" w:hint="eastAsia"/>
        </w:rPr>
        <w:t>三</w:t>
      </w:r>
      <w:proofErr w:type="gramEnd"/>
      <w:r w:rsidR="00C2078A" w:rsidRPr="00C35FBD">
        <w:rPr>
          <w:rFonts w:ascii="標楷體" w:eastAsia="標楷體" w:hAnsi="標楷體" w:hint="eastAsia"/>
        </w:rPr>
        <w:t>大公協會會員辦理網購程序之防詐相關警示措施及物</w:t>
      </w:r>
      <w:proofErr w:type="gramStart"/>
      <w:r w:rsidR="00C2078A" w:rsidRPr="00C35FBD">
        <w:rPr>
          <w:rFonts w:ascii="標楷體" w:eastAsia="標楷體" w:hAnsi="標楷體" w:hint="eastAsia"/>
        </w:rPr>
        <w:t>流隱碼</w:t>
      </w:r>
      <w:proofErr w:type="gramEnd"/>
      <w:r w:rsidR="00C2078A" w:rsidRPr="00C35FBD">
        <w:rPr>
          <w:rFonts w:ascii="標楷體" w:eastAsia="標楷體" w:hAnsi="標楷體" w:hint="eastAsia"/>
        </w:rPr>
        <w:t>技術」等2項分項指標。依該會辦理原2項指標之執行結果，111年6至12月、112年及113年分別攔阻詐騙簡訊3,733萬餘則、801萬餘則、798萬餘則；及停</w:t>
      </w:r>
      <w:proofErr w:type="gramStart"/>
      <w:r w:rsidR="00C2078A" w:rsidRPr="00C35FBD">
        <w:rPr>
          <w:rFonts w:ascii="標楷體" w:eastAsia="標楷體" w:hAnsi="標楷體" w:hint="eastAsia"/>
        </w:rPr>
        <w:lastRenderedPageBreak/>
        <w:t>斷話涉詐</w:t>
      </w:r>
      <w:proofErr w:type="gramEnd"/>
      <w:r w:rsidR="00C2078A" w:rsidRPr="00C35FBD">
        <w:rPr>
          <w:rFonts w:ascii="標楷體" w:eastAsia="標楷體" w:hAnsi="標楷體" w:hint="eastAsia"/>
        </w:rPr>
        <w:t>門號7,427門、1,456門、2,395門。有關112及113年未達預期目標值之原因，據該會說明係因112年6月訂頒「電信事業受理申辦電信服務風險管理機制指引」，已強化電信業者對於門號管理及加強簡訊風險管理措施，致詐騙簡訊及涉詐</w:t>
      </w:r>
      <w:proofErr w:type="gramStart"/>
      <w:r w:rsidR="00C2078A" w:rsidRPr="00C35FBD">
        <w:rPr>
          <w:rFonts w:ascii="標楷體" w:eastAsia="標楷體" w:hAnsi="標楷體" w:hint="eastAsia"/>
        </w:rPr>
        <w:t>門號隨減等</w:t>
      </w:r>
      <w:proofErr w:type="gramEnd"/>
      <w:r w:rsidR="00C2078A" w:rsidRPr="00C35FBD">
        <w:rPr>
          <w:rFonts w:ascii="標楷體" w:eastAsia="標楷體" w:hAnsi="標楷體" w:hint="eastAsia"/>
        </w:rPr>
        <w:t>所致。</w:t>
      </w:r>
      <w:proofErr w:type="gramStart"/>
      <w:r w:rsidR="00C2078A" w:rsidRPr="00C35FBD">
        <w:rPr>
          <w:rFonts w:ascii="標楷體" w:eastAsia="標楷體" w:hAnsi="標楷體" w:hint="eastAsia"/>
        </w:rPr>
        <w:t>惟查上</w:t>
      </w:r>
      <w:proofErr w:type="gramEnd"/>
      <w:r w:rsidR="00C2078A" w:rsidRPr="00C35FBD">
        <w:rPr>
          <w:rFonts w:ascii="標楷體" w:eastAsia="標楷體" w:hAnsi="標楷體" w:hint="eastAsia"/>
        </w:rPr>
        <w:t>開指標之</w:t>
      </w:r>
      <w:proofErr w:type="gramStart"/>
      <w:r w:rsidR="00C2078A" w:rsidRPr="00C35FBD">
        <w:rPr>
          <w:rFonts w:ascii="標楷體" w:eastAsia="標楷體" w:hAnsi="標楷體" w:hint="eastAsia"/>
        </w:rPr>
        <w:t>類型均為</w:t>
      </w:r>
      <w:proofErr w:type="gramEnd"/>
      <w:r w:rsidR="00C2078A" w:rsidRPr="00C35FBD">
        <w:rPr>
          <w:rFonts w:ascii="標楷體" w:eastAsia="標楷體" w:hAnsi="標楷體" w:hint="eastAsia"/>
        </w:rPr>
        <w:t>「過程型」或「產出型」，僅能呈現該會完成工作量等，與防制詐欺犯罪之績效未具</w:t>
      </w:r>
      <w:proofErr w:type="gramStart"/>
      <w:r w:rsidR="00C2078A" w:rsidRPr="00C35FBD">
        <w:rPr>
          <w:rFonts w:ascii="標楷體" w:eastAsia="標楷體" w:hAnsi="標楷體" w:hint="eastAsia"/>
        </w:rPr>
        <w:t>攸</w:t>
      </w:r>
      <w:proofErr w:type="gramEnd"/>
      <w:r w:rsidR="00C2078A" w:rsidRPr="00C35FBD">
        <w:rPr>
          <w:rFonts w:ascii="標楷體" w:eastAsia="標楷體" w:hAnsi="標楷體" w:hint="eastAsia"/>
        </w:rPr>
        <w:t>關性，尚難據以衡量其打擊詐欺業務執行績效。依</w:t>
      </w:r>
      <w:r w:rsidR="00C2078A" w:rsidRPr="00C35FBD">
        <w:rPr>
          <w:rFonts w:ascii="標楷體" w:eastAsia="標楷體" w:hAnsi="標楷體"/>
        </w:rPr>
        <w:t>內政部警政署統計，</w:t>
      </w:r>
      <w:r w:rsidR="00C2078A" w:rsidRPr="00C35FBD">
        <w:rPr>
          <w:rFonts w:ascii="標楷體" w:eastAsia="標楷體" w:hAnsi="標楷體" w:hint="eastAsia"/>
        </w:rPr>
        <w:t>111至113年度之詐欺案件發生數及財損金額仍</w:t>
      </w:r>
      <w:r w:rsidR="00C2078A" w:rsidRPr="00C35FBD">
        <w:rPr>
          <w:rFonts w:ascii="標楷體" w:eastAsia="標楷體" w:hAnsi="標楷體"/>
        </w:rPr>
        <w:t>逐年增長，</w:t>
      </w:r>
      <w:r w:rsidR="00C2078A" w:rsidRPr="00C35FBD">
        <w:rPr>
          <w:rFonts w:ascii="標楷體" w:eastAsia="標楷體" w:hAnsi="標楷體" w:hint="eastAsia"/>
        </w:rPr>
        <w:t>政府打擊詐欺犯罪、防堵受害事件之成效仍待提升，惟該會所訂上述分項指標與目標值之達成情形，未能充分反映實際防詐成效，恐影響資源配置，削弱整體</w:t>
      </w:r>
      <w:proofErr w:type="gramStart"/>
      <w:r w:rsidR="00C2078A" w:rsidRPr="00C35FBD">
        <w:rPr>
          <w:rFonts w:ascii="標楷體" w:eastAsia="標楷體" w:hAnsi="標楷體" w:hint="eastAsia"/>
        </w:rPr>
        <w:t>打詐效能</w:t>
      </w:r>
      <w:proofErr w:type="gramEnd"/>
      <w:r w:rsidR="00C2078A" w:rsidRPr="00C35FBD">
        <w:rPr>
          <w:rFonts w:ascii="標楷體" w:eastAsia="標楷體" w:hAnsi="標楷體" w:hint="eastAsia"/>
        </w:rPr>
        <w:t>，經</w:t>
      </w:r>
      <w:proofErr w:type="gramStart"/>
      <w:r w:rsidR="00C2078A" w:rsidRPr="00C35FBD">
        <w:rPr>
          <w:rFonts w:ascii="標楷體" w:eastAsia="標楷體" w:hAnsi="標楷體" w:hint="eastAsia"/>
        </w:rPr>
        <w:t>函請通傳</w:t>
      </w:r>
      <w:proofErr w:type="gramEnd"/>
      <w:r w:rsidR="00C2078A" w:rsidRPr="00C35FBD">
        <w:rPr>
          <w:rFonts w:ascii="標楷體" w:eastAsia="標楷體" w:hAnsi="標楷體" w:hint="eastAsia"/>
        </w:rPr>
        <w:t>會檢討改善。</w:t>
      </w:r>
      <w:r w:rsidR="00C236D4" w:rsidRPr="00C236D4">
        <w:rPr>
          <w:rFonts w:ascii="標楷體" w:eastAsia="標楷體" w:hAnsi="標楷體" w:hint="eastAsia"/>
        </w:rPr>
        <w:t>據復：將持續配合行政院規劃，依實際情況滾動檢討</w:t>
      </w:r>
      <w:proofErr w:type="gramStart"/>
      <w:r w:rsidR="00C236D4" w:rsidRPr="00C236D4">
        <w:rPr>
          <w:rFonts w:ascii="標楷體" w:eastAsia="標楷體" w:hAnsi="標楷體" w:hint="eastAsia"/>
        </w:rPr>
        <w:t>打詐綱領</w:t>
      </w:r>
      <w:proofErr w:type="gramEnd"/>
      <w:r w:rsidR="00C236D4" w:rsidRPr="00C236D4">
        <w:rPr>
          <w:rFonts w:ascii="標楷體" w:eastAsia="標楷體" w:hAnsi="標楷體" w:hint="eastAsia"/>
        </w:rPr>
        <w:t>策略及施行細項，訂定合理指標。</w:t>
      </w:r>
    </w:p>
    <w:p w14:paraId="26AC07AD" w14:textId="4BF48CCA" w:rsidR="000B0D6B" w:rsidRPr="00FC4E13" w:rsidRDefault="00CC0A11" w:rsidP="00DA2192">
      <w:pPr>
        <w:overflowPunct w:val="0"/>
        <w:spacing w:line="434" w:lineRule="exact"/>
        <w:ind w:firstLineChars="450" w:firstLine="1080"/>
        <w:jc w:val="both"/>
        <w:rPr>
          <w:rFonts w:ascii="標楷體" w:eastAsia="標楷體" w:hAnsi="標楷體"/>
        </w:rPr>
      </w:pPr>
      <w:r w:rsidRPr="00391F4D">
        <w:rPr>
          <w:noProof/>
          <w:spacing w:val="-2"/>
        </w:rPr>
        <mc:AlternateContent>
          <mc:Choice Requires="wps">
            <w:drawing>
              <wp:anchor distT="45720" distB="45720" distL="114300" distR="114300" simplePos="0" relativeHeight="251649024" behindDoc="0" locked="0" layoutInCell="1" allowOverlap="1" wp14:anchorId="0FB72269" wp14:editId="5C054908">
                <wp:simplePos x="0" y="0"/>
                <wp:positionH relativeFrom="column">
                  <wp:posOffset>3776345</wp:posOffset>
                </wp:positionH>
                <wp:positionV relativeFrom="paragraph">
                  <wp:posOffset>2601595</wp:posOffset>
                </wp:positionV>
                <wp:extent cx="2590165" cy="3749040"/>
                <wp:effectExtent l="0" t="0" r="0" b="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165" cy="3749040"/>
                        </a:xfrm>
                        <a:prstGeom prst="rect">
                          <a:avLst/>
                        </a:prstGeom>
                        <a:noFill/>
                        <a:ln w="9525">
                          <a:noFill/>
                          <a:miter lim="800000"/>
                          <a:headEnd/>
                          <a:tailEnd/>
                        </a:ln>
                      </wps:spPr>
                      <wps:txbx>
                        <w:txbxContent>
                          <w:p w14:paraId="19885FE3" w14:textId="72794B19" w:rsidR="00923584" w:rsidRPr="00A879F7" w:rsidRDefault="00923584" w:rsidP="00923584">
                            <w:pPr>
                              <w:pStyle w:val="-2"/>
                              <w:spacing w:after="0" w:line="240" w:lineRule="exact"/>
                              <w:ind w:left="649" w:hangingChars="270" w:hanging="649"/>
                              <w:jc w:val="both"/>
                            </w:pPr>
                            <w:r w:rsidRPr="00A879F7">
                              <w:rPr>
                                <w:rFonts w:hint="eastAsia"/>
                              </w:rPr>
                              <w:t>圖</w:t>
                            </w:r>
                            <w:r w:rsidR="00FC2949">
                              <w:t>7</w:t>
                            </w:r>
                            <w:r w:rsidRPr="00A879F7">
                              <w:rPr>
                                <w:rFonts w:hint="eastAsia"/>
                              </w:rPr>
                              <w:t xml:space="preserve">　</w:t>
                            </w:r>
                            <w:r w:rsidR="00975E9A">
                              <w:rPr>
                                <w:rFonts w:hint="eastAsia"/>
                              </w:rPr>
                              <w:t>國家</w:t>
                            </w:r>
                            <w:r w:rsidRPr="008E5B04">
                              <w:rPr>
                                <w:rFonts w:hint="eastAsia"/>
                              </w:rPr>
                              <w:t>通</w:t>
                            </w:r>
                            <w:r w:rsidR="00975E9A">
                              <w:rPr>
                                <w:rFonts w:hint="eastAsia"/>
                              </w:rPr>
                              <w:t>訊</w:t>
                            </w:r>
                            <w:r w:rsidRPr="008E5B04">
                              <w:rPr>
                                <w:rFonts w:hint="eastAsia"/>
                              </w:rPr>
                              <w:t>傳</w:t>
                            </w:r>
                            <w:r w:rsidR="00975E9A">
                              <w:rPr>
                                <w:rFonts w:hint="eastAsia"/>
                              </w:rPr>
                              <w:t>播委員</w:t>
                            </w:r>
                            <w:r w:rsidRPr="008E5B04">
                              <w:rPr>
                                <w:rFonts w:hint="eastAsia"/>
                              </w:rPr>
                              <w:t>會</w:t>
                            </w:r>
                            <w:proofErr w:type="gramStart"/>
                            <w:r w:rsidRPr="00AB6988">
                              <w:rPr>
                                <w:rFonts w:hint="eastAsia"/>
                              </w:rPr>
                              <w:t>114年1月16日臉書專</w:t>
                            </w:r>
                            <w:proofErr w:type="gramEnd"/>
                            <w:r w:rsidRPr="00AB6988">
                              <w:rPr>
                                <w:rFonts w:hint="eastAsia"/>
                              </w:rPr>
                              <w:t>頁發布貼文</w:t>
                            </w:r>
                          </w:p>
                          <w:p w14:paraId="1FD353D2" w14:textId="70E132DE" w:rsidR="00923584" w:rsidRDefault="00923584" w:rsidP="00923584">
                            <w:r w:rsidRPr="00816E10">
                              <w:rPr>
                                <w:noProof/>
                              </w:rPr>
                              <w:drawing>
                                <wp:inline distT="0" distB="0" distL="0" distR="0" wp14:anchorId="7FAFE245" wp14:editId="26426CCB">
                                  <wp:extent cx="2305050" cy="3076575"/>
                                  <wp:effectExtent l="0" t="0" r="0"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9">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l="1746" r="41760"/>
                                          <a:stretch>
                                            <a:fillRect/>
                                          </a:stretch>
                                        </pic:blipFill>
                                        <pic:spPr bwMode="auto">
                                          <a:xfrm>
                                            <a:off x="0" y="0"/>
                                            <a:ext cx="2305050" cy="3076575"/>
                                          </a:xfrm>
                                          <a:prstGeom prst="rect">
                                            <a:avLst/>
                                          </a:prstGeom>
                                          <a:noFill/>
                                          <a:ln>
                                            <a:noFill/>
                                          </a:ln>
                                        </pic:spPr>
                                      </pic:pic>
                                    </a:graphicData>
                                  </a:graphic>
                                </wp:inline>
                              </w:drawing>
                            </w:r>
                          </w:p>
                          <w:p w14:paraId="0943564A" w14:textId="302974B3" w:rsidR="00923584" w:rsidRPr="00187A49" w:rsidRDefault="00923584" w:rsidP="00393D1C">
                            <w:pPr>
                              <w:spacing w:line="240" w:lineRule="exact"/>
                              <w:rPr>
                                <w:rFonts w:ascii="標楷體" w:eastAsia="標楷體" w:hAnsi="標楷體"/>
                                <w:spacing w:val="-4"/>
                                <w:sz w:val="18"/>
                                <w:szCs w:val="18"/>
                              </w:rPr>
                            </w:pPr>
                            <w:r w:rsidRPr="00187A49">
                              <w:rPr>
                                <w:rFonts w:ascii="標楷體" w:eastAsia="標楷體" w:hAnsi="標楷體" w:hint="eastAsia"/>
                                <w:spacing w:val="-4"/>
                                <w:sz w:val="18"/>
                                <w:szCs w:val="18"/>
                              </w:rPr>
                              <w:t>資料來源：擷取自</w:t>
                            </w:r>
                            <w:r w:rsidR="00E0198E" w:rsidRPr="00187A49">
                              <w:rPr>
                                <w:rFonts w:ascii="標楷體" w:eastAsia="標楷體" w:hAnsi="標楷體" w:hint="eastAsia"/>
                                <w:spacing w:val="-4"/>
                                <w:sz w:val="18"/>
                                <w:szCs w:val="18"/>
                              </w:rPr>
                              <w:t>國家</w:t>
                            </w:r>
                            <w:r w:rsidRPr="00187A49">
                              <w:rPr>
                                <w:rFonts w:ascii="標楷體" w:eastAsia="標楷體" w:hAnsi="標楷體" w:hint="eastAsia"/>
                                <w:spacing w:val="-4"/>
                                <w:sz w:val="18"/>
                                <w:szCs w:val="18"/>
                              </w:rPr>
                              <w:t>通</w:t>
                            </w:r>
                            <w:r w:rsidR="00E0198E" w:rsidRPr="00187A49">
                              <w:rPr>
                                <w:rFonts w:ascii="標楷體" w:eastAsia="標楷體" w:hAnsi="標楷體" w:hint="eastAsia"/>
                                <w:spacing w:val="-4"/>
                                <w:sz w:val="18"/>
                                <w:szCs w:val="18"/>
                              </w:rPr>
                              <w:t>訊</w:t>
                            </w:r>
                            <w:r w:rsidRPr="00187A49">
                              <w:rPr>
                                <w:rFonts w:ascii="標楷體" w:eastAsia="標楷體" w:hAnsi="標楷體" w:hint="eastAsia"/>
                                <w:spacing w:val="-4"/>
                                <w:sz w:val="18"/>
                                <w:szCs w:val="18"/>
                              </w:rPr>
                              <w:t>傳</w:t>
                            </w:r>
                            <w:r w:rsidR="00E0198E" w:rsidRPr="00187A49">
                              <w:rPr>
                                <w:rFonts w:ascii="標楷體" w:eastAsia="標楷體" w:hAnsi="標楷體" w:hint="eastAsia"/>
                                <w:spacing w:val="-4"/>
                                <w:sz w:val="18"/>
                                <w:szCs w:val="18"/>
                              </w:rPr>
                              <w:t>播</w:t>
                            </w:r>
                            <w:proofErr w:type="gramStart"/>
                            <w:r w:rsidR="00E0198E" w:rsidRPr="00187A49">
                              <w:rPr>
                                <w:rFonts w:ascii="標楷體" w:eastAsia="標楷體" w:hAnsi="標楷體" w:hint="eastAsia"/>
                                <w:spacing w:val="-4"/>
                                <w:sz w:val="18"/>
                                <w:szCs w:val="18"/>
                              </w:rPr>
                              <w:t>委員</w:t>
                            </w:r>
                            <w:r w:rsidRPr="00187A49">
                              <w:rPr>
                                <w:rFonts w:ascii="標楷體" w:eastAsia="標楷體" w:hAnsi="標楷體" w:hint="eastAsia"/>
                                <w:spacing w:val="-4"/>
                                <w:sz w:val="18"/>
                                <w:szCs w:val="18"/>
                              </w:rPr>
                              <w:t>會臉書專</w:t>
                            </w:r>
                            <w:proofErr w:type="gramEnd"/>
                            <w:r w:rsidRPr="00187A49">
                              <w:rPr>
                                <w:rFonts w:ascii="標楷體" w:eastAsia="標楷體" w:hAnsi="標楷體" w:hint="eastAsia"/>
                                <w:spacing w:val="-4"/>
                                <w:sz w:val="18"/>
                                <w:szCs w:val="18"/>
                              </w:rPr>
                              <w:t>頁。</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FB72269" id="文字方塊 13" o:spid="_x0000_s1056" type="#_x0000_t202" style="position:absolute;left:0;text-align:left;margin-left:297.35pt;margin-top:204.85pt;width:203.95pt;height:295.2pt;z-index:2516490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" filled="f" stroked="f">
                <v:textbox style="mso-fit-shape-to-text:t">
                  <w:txbxContent>
                    <w:p w14:paraId="19885FE3" w14:textId="72794B19" w:rsidR="00923584" w:rsidRPr="00A879F7" w:rsidRDefault="00923584" w:rsidP="00923584">
                      <w:pPr>
                        <w:pStyle w:val="-2"/>
                        <w:spacing w:after="0" w:line="240" w:lineRule="exact"/>
                        <w:ind w:left="649" w:hangingChars="270" w:hanging="649"/>
                        <w:jc w:val="both"/>
                      </w:pPr>
                      <w:r w:rsidRPr="00A879F7">
                        <w:rPr>
                          <w:rFonts w:hint="eastAsia"/>
                        </w:rPr>
                        <w:t>圖</w:t>
                      </w:r>
                      <w:r w:rsidR="00FC2949">
                        <w:t>7</w:t>
                      </w:r>
                      <w:r w:rsidRPr="00A879F7">
                        <w:rPr>
                          <w:rFonts w:hint="eastAsia"/>
                        </w:rPr>
                        <w:t xml:space="preserve">　</w:t>
                      </w:r>
                      <w:r w:rsidR="00975E9A">
                        <w:rPr>
                          <w:rFonts w:hint="eastAsia"/>
                        </w:rPr>
                        <w:t>國家</w:t>
                      </w:r>
                      <w:r w:rsidRPr="008E5B04">
                        <w:rPr>
                          <w:rFonts w:hint="eastAsia"/>
                        </w:rPr>
                        <w:t>通</w:t>
                      </w:r>
                      <w:r w:rsidR="00975E9A">
                        <w:rPr>
                          <w:rFonts w:hint="eastAsia"/>
                        </w:rPr>
                        <w:t>訊</w:t>
                      </w:r>
                      <w:r w:rsidRPr="008E5B04">
                        <w:rPr>
                          <w:rFonts w:hint="eastAsia"/>
                        </w:rPr>
                        <w:t>傳</w:t>
                      </w:r>
                      <w:r w:rsidR="00975E9A">
                        <w:rPr>
                          <w:rFonts w:hint="eastAsia"/>
                        </w:rPr>
                        <w:t>播委員</w:t>
                      </w:r>
                      <w:r w:rsidRPr="008E5B04">
                        <w:rPr>
                          <w:rFonts w:hint="eastAsia"/>
                        </w:rPr>
                        <w:t>會</w:t>
                      </w:r>
                      <w:proofErr w:type="gramStart"/>
                      <w:r w:rsidRPr="00AB6988">
                        <w:rPr>
                          <w:rFonts w:hint="eastAsia"/>
                        </w:rPr>
                        <w:t>114年1月16日臉書專</w:t>
                      </w:r>
                      <w:proofErr w:type="gramEnd"/>
                      <w:r w:rsidRPr="00AB6988">
                        <w:rPr>
                          <w:rFonts w:hint="eastAsia"/>
                        </w:rPr>
                        <w:t>頁發布貼文</w:t>
                      </w:r>
                    </w:p>
                    <w:p w14:paraId="1FD353D2" w14:textId="70E132DE" w:rsidR="00923584" w:rsidRDefault="00923584" w:rsidP="00923584">
                      <w:r w:rsidRPr="00816E10">
                        <w:rPr>
                          <w:noProof/>
                        </w:rPr>
                        <w:drawing>
                          <wp:inline distT="0" distB="0" distL="0" distR="0" wp14:anchorId="7FAFE245" wp14:editId="26426CCB">
                            <wp:extent cx="2305050" cy="3076575"/>
                            <wp:effectExtent l="0" t="0" r="0"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9">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l="1746" r="41760"/>
                                    <a:stretch>
                                      <a:fillRect/>
                                    </a:stretch>
                                  </pic:blipFill>
                                  <pic:spPr bwMode="auto">
                                    <a:xfrm>
                                      <a:off x="0" y="0"/>
                                      <a:ext cx="2305050" cy="3076575"/>
                                    </a:xfrm>
                                    <a:prstGeom prst="rect">
                                      <a:avLst/>
                                    </a:prstGeom>
                                    <a:noFill/>
                                    <a:ln>
                                      <a:noFill/>
                                    </a:ln>
                                  </pic:spPr>
                                </pic:pic>
                              </a:graphicData>
                            </a:graphic>
                          </wp:inline>
                        </w:drawing>
                      </w:r>
                    </w:p>
                    <w:p w14:paraId="0943564A" w14:textId="302974B3" w:rsidR="00923584" w:rsidRPr="00187A49" w:rsidRDefault="00923584" w:rsidP="00393D1C">
                      <w:pPr>
                        <w:spacing w:line="240" w:lineRule="exact"/>
                        <w:rPr>
                          <w:rFonts w:ascii="標楷體" w:eastAsia="標楷體" w:hAnsi="標楷體"/>
                          <w:spacing w:val="-4"/>
                          <w:sz w:val="18"/>
                          <w:szCs w:val="18"/>
                        </w:rPr>
                      </w:pPr>
                      <w:r w:rsidRPr="00187A49">
                        <w:rPr>
                          <w:rFonts w:ascii="標楷體" w:eastAsia="標楷體" w:hAnsi="標楷體" w:hint="eastAsia"/>
                          <w:spacing w:val="-4"/>
                          <w:sz w:val="18"/>
                          <w:szCs w:val="18"/>
                        </w:rPr>
                        <w:t>資料來源：擷取自</w:t>
                      </w:r>
                      <w:r w:rsidR="00E0198E" w:rsidRPr="00187A49">
                        <w:rPr>
                          <w:rFonts w:ascii="標楷體" w:eastAsia="標楷體" w:hAnsi="標楷體" w:hint="eastAsia"/>
                          <w:spacing w:val="-4"/>
                          <w:sz w:val="18"/>
                          <w:szCs w:val="18"/>
                        </w:rPr>
                        <w:t>國家</w:t>
                      </w:r>
                      <w:r w:rsidRPr="00187A49">
                        <w:rPr>
                          <w:rFonts w:ascii="標楷體" w:eastAsia="標楷體" w:hAnsi="標楷體" w:hint="eastAsia"/>
                          <w:spacing w:val="-4"/>
                          <w:sz w:val="18"/>
                          <w:szCs w:val="18"/>
                        </w:rPr>
                        <w:t>通</w:t>
                      </w:r>
                      <w:r w:rsidR="00E0198E" w:rsidRPr="00187A49">
                        <w:rPr>
                          <w:rFonts w:ascii="標楷體" w:eastAsia="標楷體" w:hAnsi="標楷體" w:hint="eastAsia"/>
                          <w:spacing w:val="-4"/>
                          <w:sz w:val="18"/>
                          <w:szCs w:val="18"/>
                        </w:rPr>
                        <w:t>訊</w:t>
                      </w:r>
                      <w:r w:rsidRPr="00187A49">
                        <w:rPr>
                          <w:rFonts w:ascii="標楷體" w:eastAsia="標楷體" w:hAnsi="標楷體" w:hint="eastAsia"/>
                          <w:spacing w:val="-4"/>
                          <w:sz w:val="18"/>
                          <w:szCs w:val="18"/>
                        </w:rPr>
                        <w:t>傳</w:t>
                      </w:r>
                      <w:r w:rsidR="00E0198E" w:rsidRPr="00187A49">
                        <w:rPr>
                          <w:rFonts w:ascii="標楷體" w:eastAsia="標楷體" w:hAnsi="標楷體" w:hint="eastAsia"/>
                          <w:spacing w:val="-4"/>
                          <w:sz w:val="18"/>
                          <w:szCs w:val="18"/>
                        </w:rPr>
                        <w:t>播</w:t>
                      </w:r>
                      <w:proofErr w:type="gramStart"/>
                      <w:r w:rsidR="00E0198E" w:rsidRPr="00187A49">
                        <w:rPr>
                          <w:rFonts w:ascii="標楷體" w:eastAsia="標楷體" w:hAnsi="標楷體" w:hint="eastAsia"/>
                          <w:spacing w:val="-4"/>
                          <w:sz w:val="18"/>
                          <w:szCs w:val="18"/>
                        </w:rPr>
                        <w:t>委員</w:t>
                      </w:r>
                      <w:r w:rsidRPr="00187A49">
                        <w:rPr>
                          <w:rFonts w:ascii="標楷體" w:eastAsia="標楷體" w:hAnsi="標楷體" w:hint="eastAsia"/>
                          <w:spacing w:val="-4"/>
                          <w:sz w:val="18"/>
                          <w:szCs w:val="18"/>
                        </w:rPr>
                        <w:t>會臉書專</w:t>
                      </w:r>
                      <w:proofErr w:type="gramEnd"/>
                      <w:r w:rsidRPr="00187A49">
                        <w:rPr>
                          <w:rFonts w:ascii="標楷體" w:eastAsia="標楷體" w:hAnsi="標楷體" w:hint="eastAsia"/>
                          <w:spacing w:val="-4"/>
                          <w:sz w:val="18"/>
                          <w:szCs w:val="18"/>
                        </w:rPr>
                        <w:t>頁。</w:t>
                      </w:r>
                    </w:p>
                  </w:txbxContent>
                </v:textbox>
                <w10:wrap type="square"/>
              </v:shape>
            </w:pict>
          </mc:Fallback>
        </mc:AlternateContent>
      </w:r>
      <w:r w:rsidR="003C6B92" w:rsidRPr="00391F4D">
        <w:rPr>
          <w:rFonts w:ascii="標楷體" w:eastAsia="標楷體" w:hAnsi="標楷體" w:hint="eastAsia"/>
          <w:b/>
          <w:color w:val="000000" w:themeColor="text1"/>
          <w:spacing w:val="-2"/>
          <w:szCs w:val="24"/>
        </w:rPr>
        <w:t>2.</w:t>
      </w:r>
      <w:r w:rsidR="003C6B92" w:rsidRPr="00391F4D">
        <w:rPr>
          <w:rFonts w:ascii="標楷體" w:eastAsia="標楷體" w:hAnsi="標楷體" w:hint="eastAsia"/>
          <w:b/>
          <w:color w:val="000000"/>
          <w:spacing w:val="-2"/>
          <w:szCs w:val="22"/>
        </w:rPr>
        <w:t xml:space="preserve">　</w:t>
      </w:r>
      <w:r w:rsidR="00923584" w:rsidRPr="00391F4D">
        <w:rPr>
          <w:rFonts w:ascii="標楷體" w:eastAsia="標楷體" w:hAnsi="標楷體" w:hint="eastAsia"/>
          <w:b/>
          <w:bCs/>
          <w:spacing w:val="-2"/>
        </w:rPr>
        <w:t>發布管理指引強化業者客戶風險管理機制，以過濾攔阻詐騙簡訊，惟簡訊服務平</w:t>
      </w:r>
      <w:proofErr w:type="gramStart"/>
      <w:r w:rsidR="00923584" w:rsidRPr="00391F4D">
        <w:rPr>
          <w:rFonts w:ascii="標楷體" w:eastAsia="標楷體" w:hAnsi="標楷體" w:hint="eastAsia"/>
          <w:b/>
          <w:bCs/>
          <w:spacing w:val="-2"/>
        </w:rPr>
        <w:t>臺</w:t>
      </w:r>
      <w:proofErr w:type="gramEnd"/>
      <w:r w:rsidR="00923584" w:rsidRPr="00391F4D">
        <w:rPr>
          <w:rFonts w:ascii="標楷體" w:eastAsia="標楷體" w:hAnsi="標楷體" w:hint="eastAsia"/>
          <w:b/>
          <w:bCs/>
          <w:spacing w:val="-2"/>
        </w:rPr>
        <w:t>業者非屬管理指引規範之電信事業，尚難據以要求配合落實客戶風險管理，允宜透過跨機關溝通協調妥</w:t>
      </w:r>
      <w:proofErr w:type="gramStart"/>
      <w:r w:rsidR="00923584" w:rsidRPr="00391F4D">
        <w:rPr>
          <w:rFonts w:ascii="標楷體" w:eastAsia="標楷體" w:hAnsi="標楷體" w:hint="eastAsia"/>
          <w:b/>
          <w:bCs/>
          <w:spacing w:val="-2"/>
        </w:rPr>
        <w:t>謀善策</w:t>
      </w:r>
      <w:proofErr w:type="gramEnd"/>
      <w:r w:rsidR="00923584" w:rsidRPr="00391F4D">
        <w:rPr>
          <w:rFonts w:ascii="標楷體" w:eastAsia="標楷體" w:hAnsi="標楷體" w:hint="eastAsia"/>
          <w:b/>
          <w:bCs/>
          <w:spacing w:val="-2"/>
        </w:rPr>
        <w:t>，以落實源頭管理及強化商業簡訊風險管控，守護民眾財產安全</w:t>
      </w:r>
      <w:r w:rsidR="00923584" w:rsidRPr="00391F4D">
        <w:rPr>
          <w:rFonts w:ascii="標楷體" w:eastAsia="標楷體" w:hAnsi="標楷體" w:hint="eastAsia"/>
          <w:b/>
          <w:spacing w:val="-2"/>
        </w:rPr>
        <w:t>：</w:t>
      </w:r>
      <w:r w:rsidR="00923584" w:rsidRPr="00391F4D">
        <w:rPr>
          <w:rFonts w:ascii="標楷體" w:eastAsia="標楷體" w:hAnsi="標楷體" w:hint="eastAsia"/>
          <w:spacing w:val="-2"/>
        </w:rPr>
        <w:t>通傳會為強化電信事業分配用戶號碼之核對及登錄義務，避免用戶手機門號成為詐騙工具，於113年4月26日訂定「電信事業用戶號碼使用管理辦法」，並修正「電信事業受理申辦電信服務風險管理機制指引」，要求各電信事業於申辦電信服務時，應持續強化落實認識客戶風險管理機制。經查簡訊之發送形式，除可由單一手機門號發送外（下稱個人簡訊），發話人亦可委由相關業者（下稱簡訊代發業者）協助大量發送（下稱商業簡訊），因商業簡訊不需經過任何社群或通訊軟體，可直接發送至民眾手機，具更高之開啓率，近年已成為服務業行銷推展及金融業驗證等商業行為之主要使用工具。</w:t>
      </w:r>
      <w:proofErr w:type="gramStart"/>
      <w:r w:rsidR="00923584" w:rsidRPr="00391F4D">
        <w:rPr>
          <w:rFonts w:ascii="標楷體" w:eastAsia="標楷體" w:hAnsi="標楷體" w:hint="eastAsia"/>
          <w:spacing w:val="-4"/>
        </w:rPr>
        <w:t>據通傳</w:t>
      </w:r>
      <w:proofErr w:type="gramEnd"/>
      <w:r w:rsidR="00923584" w:rsidRPr="00391F4D">
        <w:rPr>
          <w:rFonts w:ascii="標楷體" w:eastAsia="標楷體" w:hAnsi="標楷體" w:hint="eastAsia"/>
          <w:spacing w:val="-4"/>
        </w:rPr>
        <w:t>會</w:t>
      </w:r>
      <w:proofErr w:type="gramStart"/>
      <w:r w:rsidR="00923584" w:rsidRPr="00391F4D">
        <w:rPr>
          <w:rFonts w:ascii="標楷體" w:eastAsia="標楷體" w:hAnsi="標楷體"/>
          <w:spacing w:val="-4"/>
        </w:rPr>
        <w:t>114</w:t>
      </w:r>
      <w:r w:rsidR="00923584" w:rsidRPr="00391F4D">
        <w:rPr>
          <w:rFonts w:ascii="標楷體" w:eastAsia="標楷體" w:hAnsi="標楷體" w:hint="eastAsia"/>
          <w:spacing w:val="-4"/>
        </w:rPr>
        <w:t>年1月16日臉書</w:t>
      </w:r>
      <w:proofErr w:type="gramEnd"/>
      <w:r w:rsidR="00923584" w:rsidRPr="00391F4D">
        <w:rPr>
          <w:rFonts w:ascii="標楷體" w:eastAsia="標楷體" w:hAnsi="標楷體" w:hint="eastAsia"/>
          <w:spacing w:val="-4"/>
        </w:rPr>
        <w:t>（FACEBOOK）專頁發布</w:t>
      </w:r>
      <w:proofErr w:type="gramStart"/>
      <w:r w:rsidR="00923584" w:rsidRPr="00391F4D">
        <w:rPr>
          <w:rFonts w:ascii="標楷體" w:eastAsia="標楷體" w:hAnsi="標楷體" w:hint="eastAsia"/>
          <w:spacing w:val="-4"/>
        </w:rPr>
        <w:t>之貼文</w:t>
      </w:r>
      <w:proofErr w:type="gramEnd"/>
      <w:r w:rsidR="00923584" w:rsidRPr="00391F4D">
        <w:rPr>
          <w:rFonts w:ascii="標楷體" w:eastAsia="標楷體" w:hAnsi="標楷體" w:hint="eastAsia"/>
          <w:spacing w:val="-4"/>
        </w:rPr>
        <w:t>，於前述管理辦法及管理指引發布後，個人簡訊發送則數自113年5月之208萬餘則，降至113年12月之94萬餘則，減少約54％，一般用戶發送大量簡訊</w:t>
      </w:r>
      <w:r w:rsidRPr="00391F4D">
        <w:rPr>
          <w:rFonts w:ascii="標楷體" w:eastAsia="標楷體" w:hAnsi="標楷體" w:hint="eastAsia"/>
          <w:spacing w:val="-4"/>
        </w:rPr>
        <w:t>（</w:t>
      </w:r>
      <w:r w:rsidR="00923584" w:rsidRPr="00391F4D">
        <w:rPr>
          <w:rFonts w:ascii="標楷體" w:eastAsia="標楷體" w:hAnsi="標楷體" w:hint="eastAsia"/>
          <w:spacing w:val="-4"/>
        </w:rPr>
        <w:t>50則</w:t>
      </w:r>
      <w:r w:rsidRPr="00391F4D">
        <w:rPr>
          <w:rFonts w:ascii="標楷體" w:eastAsia="標楷體" w:hAnsi="標楷體" w:hint="eastAsia"/>
          <w:spacing w:val="-4"/>
        </w:rPr>
        <w:t>）</w:t>
      </w:r>
      <w:r w:rsidR="00923584" w:rsidRPr="00391F4D">
        <w:rPr>
          <w:rFonts w:ascii="標楷體" w:eastAsia="標楷體" w:hAnsi="標楷體" w:hint="eastAsia"/>
          <w:spacing w:val="-4"/>
        </w:rPr>
        <w:t>門號數亦減少約61％</w:t>
      </w:r>
      <w:r w:rsidRPr="00391F4D">
        <w:rPr>
          <w:rFonts w:ascii="標楷體" w:eastAsia="標楷體" w:hAnsi="標楷體" w:hint="eastAsia"/>
          <w:spacing w:val="-4"/>
        </w:rPr>
        <w:t>（</w:t>
      </w:r>
      <w:r w:rsidR="00923584" w:rsidRPr="00391F4D">
        <w:rPr>
          <w:rFonts w:ascii="標楷體" w:eastAsia="標楷體" w:hAnsi="標楷體" w:hint="eastAsia"/>
          <w:spacing w:val="-4"/>
        </w:rPr>
        <w:t>圖</w:t>
      </w:r>
      <w:r w:rsidR="00FC2949" w:rsidRPr="00391F4D">
        <w:rPr>
          <w:rFonts w:ascii="標楷體" w:eastAsia="標楷體" w:hAnsi="標楷體" w:hint="eastAsia"/>
          <w:spacing w:val="-4"/>
        </w:rPr>
        <w:t>7</w:t>
      </w:r>
      <w:r w:rsidR="00923584" w:rsidRPr="00391F4D">
        <w:rPr>
          <w:rFonts w:ascii="標楷體" w:eastAsia="標楷體" w:hAnsi="標楷體" w:hint="eastAsia"/>
          <w:spacing w:val="-4"/>
        </w:rPr>
        <w:t>），個人簡訊發送量雖因政府</w:t>
      </w:r>
      <w:proofErr w:type="gramStart"/>
      <w:r w:rsidR="00923584" w:rsidRPr="00391F4D">
        <w:rPr>
          <w:rFonts w:ascii="標楷體" w:eastAsia="標楷體" w:hAnsi="標楷體" w:hint="eastAsia"/>
          <w:spacing w:val="-4"/>
        </w:rPr>
        <w:t>打詐措施</w:t>
      </w:r>
      <w:proofErr w:type="gramEnd"/>
      <w:r w:rsidR="00923584" w:rsidRPr="00391F4D">
        <w:rPr>
          <w:rFonts w:ascii="標楷體" w:eastAsia="標楷體" w:hAnsi="標楷體" w:hint="eastAsia"/>
          <w:spacing w:val="-4"/>
        </w:rPr>
        <w:t>大幅減少，商業簡訊以其行銷成本優勢，發送量仍持續成長。惟因該等管理辦法及管理指引之規範對象為電信事業，簡訊代發業者若未有辦理電信管理法第5條列舉之行為，則尚非屬電信事業，毋須依規定強化落實認識客戶風險管理機制</w:t>
      </w:r>
      <w:bookmarkStart w:id="6" w:name="_Hlk200447517"/>
      <w:r w:rsidR="00923584" w:rsidRPr="00391F4D">
        <w:rPr>
          <w:rFonts w:ascii="標楷體" w:eastAsia="標楷體" w:hAnsi="標楷體" w:hint="eastAsia"/>
          <w:spacing w:val="-4"/>
        </w:rPr>
        <w:t>，恐成為政府打擊詐欺之破口</w:t>
      </w:r>
      <w:bookmarkEnd w:id="6"/>
      <w:r w:rsidR="00923584" w:rsidRPr="00391F4D">
        <w:rPr>
          <w:rFonts w:ascii="標楷體" w:eastAsia="標楷體" w:hAnsi="標楷體" w:hint="eastAsia"/>
          <w:spacing w:val="-4"/>
        </w:rPr>
        <w:t>，導致民眾財產損失。經</w:t>
      </w:r>
      <w:proofErr w:type="gramStart"/>
      <w:r w:rsidR="00923584" w:rsidRPr="00391F4D">
        <w:rPr>
          <w:rFonts w:ascii="標楷體" w:eastAsia="標楷體" w:hAnsi="標楷體" w:hint="eastAsia"/>
          <w:spacing w:val="-4"/>
        </w:rPr>
        <w:t>函請通傳</w:t>
      </w:r>
      <w:proofErr w:type="gramEnd"/>
      <w:r w:rsidR="00923584" w:rsidRPr="00391F4D">
        <w:rPr>
          <w:rFonts w:ascii="標楷體" w:eastAsia="標楷體" w:hAnsi="標楷體" w:hint="eastAsia"/>
          <w:spacing w:val="-4"/>
        </w:rPr>
        <w:t>會透過跨機關溝通協調妥</w:t>
      </w:r>
      <w:proofErr w:type="gramStart"/>
      <w:r w:rsidR="00923584" w:rsidRPr="00391F4D">
        <w:rPr>
          <w:rFonts w:ascii="標楷體" w:eastAsia="標楷體" w:hAnsi="標楷體" w:hint="eastAsia"/>
          <w:spacing w:val="-4"/>
        </w:rPr>
        <w:t>謀善策</w:t>
      </w:r>
      <w:proofErr w:type="gramEnd"/>
      <w:r w:rsidR="00923584" w:rsidRPr="00391F4D">
        <w:rPr>
          <w:rFonts w:ascii="標楷體" w:eastAsia="標楷體" w:hAnsi="標楷體" w:hint="eastAsia"/>
          <w:spacing w:val="-4"/>
        </w:rPr>
        <w:t>，以落實源頭管理及強化商業簡訊風險管控，守護民眾財產安全。據復：</w:t>
      </w:r>
      <w:r w:rsidR="00FC4E13" w:rsidRPr="00391F4D">
        <w:rPr>
          <w:rFonts w:ascii="標楷體" w:eastAsia="標楷體" w:hAnsi="標楷體" w:hint="eastAsia"/>
          <w:spacing w:val="-4"/>
          <w:kern w:val="0"/>
          <w:szCs w:val="24"/>
        </w:rPr>
        <w:t>將督導各電信事業依規定進行商業簡訊之審查與把關，以強化責任機制並遏止違規情形。</w:t>
      </w:r>
    </w:p>
    <w:p w14:paraId="017F49EA" w14:textId="0384DEBF" w:rsidR="002C60C1" w:rsidRPr="00F16CCC" w:rsidRDefault="002C60C1" w:rsidP="004C47CE">
      <w:pPr>
        <w:overflowPunct w:val="0"/>
        <w:spacing w:beforeLines="20" w:before="72" w:afterLines="20" w:after="72" w:line="440" w:lineRule="exact"/>
        <w:ind w:firstLineChars="200" w:firstLine="561"/>
        <w:jc w:val="both"/>
        <w:outlineLvl w:val="1"/>
        <w:rPr>
          <w:rFonts w:ascii="標楷體" w:eastAsia="標楷體" w:hAnsi="標楷體"/>
          <w:sz w:val="28"/>
          <w:szCs w:val="32"/>
        </w:rPr>
      </w:pPr>
      <w:bookmarkStart w:id="7" w:name="_Toc482878350"/>
      <w:bookmarkStart w:id="8" w:name="_Toc483384669"/>
      <w:bookmarkStart w:id="9" w:name="_Toc486081631"/>
      <w:bookmarkStart w:id="10" w:name="_Toc486681964"/>
      <w:bookmarkStart w:id="11" w:name="_Toc487033686"/>
      <w:bookmarkStart w:id="12" w:name="_Toc486081632"/>
      <w:r w:rsidRPr="00301A4D">
        <w:rPr>
          <w:rFonts w:ascii="標楷體" w:eastAsia="標楷體" w:hAnsi="標楷體" w:cstheme="majorBidi" w:hint="eastAsia"/>
          <w:b/>
          <w:bCs/>
          <w:sz w:val="28"/>
          <w:szCs w:val="32"/>
        </w:rPr>
        <w:lastRenderedPageBreak/>
        <w:t xml:space="preserve">（十）　</w:t>
      </w:r>
      <w:r w:rsidR="009C50E8" w:rsidRPr="009C50E8">
        <w:rPr>
          <w:rFonts w:ascii="標楷體" w:eastAsia="標楷體" w:hAnsi="標楷體" w:hint="eastAsia"/>
          <w:b/>
          <w:sz w:val="28"/>
          <w:szCs w:val="32"/>
        </w:rPr>
        <w:t>政府推動國家關鍵基礎設施安全防護，有助確保設施安全及提升防護能量，</w:t>
      </w:r>
      <w:proofErr w:type="gramStart"/>
      <w:r w:rsidR="009C50E8" w:rsidRPr="009C50E8">
        <w:rPr>
          <w:rFonts w:ascii="標楷體" w:eastAsia="標楷體" w:hAnsi="標楷體" w:hint="eastAsia"/>
          <w:b/>
          <w:sz w:val="28"/>
          <w:szCs w:val="32"/>
        </w:rPr>
        <w:t>惟間有指導</w:t>
      </w:r>
      <w:proofErr w:type="gramEnd"/>
      <w:r w:rsidR="009C50E8" w:rsidRPr="009C50E8">
        <w:rPr>
          <w:rFonts w:ascii="標楷體" w:eastAsia="標楷體" w:hAnsi="標楷體" w:hint="eastAsia"/>
          <w:b/>
          <w:sz w:val="28"/>
          <w:szCs w:val="32"/>
        </w:rPr>
        <w:t>綱要部分規定與實務作法不同、現行法令欠缺對設施實體防護疏漏之究責與裁罰機制、設施保密範疇及安全管理辦法未</w:t>
      </w:r>
      <w:proofErr w:type="gramStart"/>
      <w:r w:rsidR="009C50E8" w:rsidRPr="009C50E8">
        <w:rPr>
          <w:rFonts w:ascii="標楷體" w:eastAsia="標楷體" w:hAnsi="標楷體" w:hint="eastAsia"/>
          <w:b/>
          <w:sz w:val="28"/>
          <w:szCs w:val="32"/>
        </w:rPr>
        <w:t>臻</w:t>
      </w:r>
      <w:proofErr w:type="gramEnd"/>
      <w:r w:rsidR="009C50E8" w:rsidRPr="009C50E8">
        <w:rPr>
          <w:rFonts w:ascii="標楷體" w:eastAsia="標楷體" w:hAnsi="標楷體" w:hint="eastAsia"/>
          <w:b/>
          <w:sz w:val="28"/>
          <w:szCs w:val="32"/>
        </w:rPr>
        <w:t>明確、部分機關未依篩選原則納列關鍵基礎設施、尚欠缺對各領域層級主管機關任務執行結果之評核機制等情事，</w:t>
      </w:r>
      <w:r w:rsidR="00F52AC3">
        <w:rPr>
          <w:rFonts w:ascii="標楷體" w:eastAsia="標楷體" w:hAnsi="標楷體" w:hint="eastAsia"/>
          <w:b/>
          <w:sz w:val="28"/>
          <w:szCs w:val="32"/>
        </w:rPr>
        <w:t>允宜</w:t>
      </w:r>
      <w:r w:rsidR="009C50E8" w:rsidRPr="009C50E8">
        <w:rPr>
          <w:rFonts w:ascii="標楷體" w:eastAsia="標楷體" w:hAnsi="標楷體" w:hint="eastAsia"/>
          <w:b/>
          <w:sz w:val="28"/>
          <w:szCs w:val="32"/>
        </w:rPr>
        <w:t>督促</w:t>
      </w:r>
      <w:proofErr w:type="gramStart"/>
      <w:r w:rsidR="009C50E8" w:rsidRPr="009C50E8">
        <w:rPr>
          <w:rFonts w:ascii="標楷體" w:eastAsia="標楷體" w:hAnsi="標楷體" w:hint="eastAsia"/>
          <w:b/>
          <w:sz w:val="28"/>
          <w:szCs w:val="32"/>
        </w:rPr>
        <w:t>研</w:t>
      </w:r>
      <w:proofErr w:type="gramEnd"/>
      <w:r w:rsidR="009C50E8" w:rsidRPr="009C50E8">
        <w:rPr>
          <w:rFonts w:ascii="標楷體" w:eastAsia="標楷體" w:hAnsi="標楷體" w:hint="eastAsia"/>
          <w:b/>
          <w:sz w:val="28"/>
          <w:szCs w:val="32"/>
        </w:rPr>
        <w:t>謀改善，以健全關鍵基礎設施防護體系與效能。</w:t>
      </w:r>
    </w:p>
    <w:p w14:paraId="764A7796" w14:textId="077658CD" w:rsidR="0014253D" w:rsidRPr="0014253D" w:rsidRDefault="00F16CCC" w:rsidP="004C47CE">
      <w:pPr>
        <w:pStyle w:val="-"/>
        <w:spacing w:line="420" w:lineRule="exact"/>
        <w:ind w:firstLine="480"/>
        <w:jc w:val="both"/>
        <w:rPr>
          <w:color w:val="000000" w:themeColor="text1"/>
        </w:rPr>
      </w:pPr>
      <w:r w:rsidRPr="00215DE3">
        <w:rPr>
          <w:noProof/>
          <w:color w:val="000000" w:themeColor="text1"/>
        </w:rPr>
        <mc:AlternateContent>
          <mc:Choice Requires="wps">
            <w:drawing>
              <wp:anchor distT="0" distB="0" distL="114300" distR="114300" simplePos="0" relativeHeight="251625472" behindDoc="0" locked="0" layoutInCell="1" allowOverlap="1" wp14:anchorId="3C8D39FB" wp14:editId="51CF9D22">
                <wp:simplePos x="0" y="0"/>
                <wp:positionH relativeFrom="column">
                  <wp:posOffset>2371725</wp:posOffset>
                </wp:positionH>
                <wp:positionV relativeFrom="paragraph">
                  <wp:posOffset>1438910</wp:posOffset>
                </wp:positionV>
                <wp:extent cx="3931920" cy="5356860"/>
                <wp:effectExtent l="0" t="0" r="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920" cy="535686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1DB86D" w14:textId="491A6FA2" w:rsidR="00F16CCC" w:rsidRDefault="00F16CCC" w:rsidP="00F16CCC">
                            <w:pPr>
                              <w:spacing w:afterLines="20" w:after="72" w:line="280" w:lineRule="exact"/>
                              <w:jc w:val="center"/>
                              <w:rPr>
                                <w:rFonts w:ascii="標楷體" w:eastAsia="標楷體" w:hAnsi="標楷體"/>
                                <w:b/>
                                <w:color w:val="FF0000"/>
                              </w:rPr>
                            </w:pPr>
                            <w:r>
                              <w:rPr>
                                <w:rFonts w:ascii="標楷體" w:eastAsia="標楷體" w:hAnsi="標楷體" w:hint="eastAsia"/>
                                <w:b/>
                                <w:bCs/>
                              </w:rPr>
                              <w:t>表1</w:t>
                            </w:r>
                            <w:r w:rsidR="006B021E">
                              <w:rPr>
                                <w:rFonts w:ascii="標楷體" w:eastAsia="標楷體" w:hAnsi="標楷體"/>
                                <w:b/>
                                <w:bCs/>
                              </w:rPr>
                              <w:t>4</w:t>
                            </w:r>
                            <w:r>
                              <w:rPr>
                                <w:rFonts w:ascii="標楷體" w:eastAsia="標楷體" w:hAnsi="標楷體" w:cs="新細明體" w:hint="eastAsia"/>
                                <w:b/>
                                <w:bCs/>
                                <w:color w:val="000000"/>
                              </w:rPr>
                              <w:t xml:space="preserve">　我國</w:t>
                            </w:r>
                            <w:r>
                              <w:rPr>
                                <w:rFonts w:ascii="標楷體" w:eastAsia="標楷體" w:hAnsi="標楷體" w:hint="eastAsia"/>
                                <w:b/>
                                <w:bCs/>
                                <w:color w:val="000000"/>
                              </w:rPr>
                              <w:t>關鍵基礎設施領域分類（114年2月）</w:t>
                            </w:r>
                          </w:p>
                          <w:tbl>
                            <w:tblPr>
                              <w:tblW w:w="5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3"/>
                              <w:gridCol w:w="1237"/>
                              <w:gridCol w:w="1641"/>
                              <w:gridCol w:w="1954"/>
                            </w:tblGrid>
                            <w:tr w:rsidR="00F16CCC" w14:paraId="263A4751" w14:textId="77777777" w:rsidTr="00612461">
                              <w:trPr>
                                <w:trHeight w:val="112"/>
                                <w:tblHeader/>
                              </w:trPr>
                              <w:tc>
                                <w:tcPr>
                                  <w:tcW w:w="2340" w:type="dxa"/>
                                  <w:gridSpan w:val="2"/>
                                  <w:vAlign w:val="center"/>
                                </w:tcPr>
                                <w:p w14:paraId="7638D947" w14:textId="77777777" w:rsidR="00F16CCC" w:rsidRDefault="00F16CCC" w:rsidP="00D624C9">
                                  <w:pPr>
                                    <w:pStyle w:val="TableParagraph"/>
                                    <w:spacing w:line="260" w:lineRule="exact"/>
                                    <w:jc w:val="center"/>
                                    <w:rPr>
                                      <w:rFonts w:ascii="標楷體" w:eastAsia="標楷體" w:hAnsi="標楷體"/>
                                      <w:sz w:val="20"/>
                                      <w:szCs w:val="20"/>
                                    </w:rPr>
                                  </w:pPr>
                                  <w:r>
                                    <w:rPr>
                                      <w:rFonts w:ascii="標楷體" w:eastAsia="標楷體" w:hAnsi="標楷體"/>
                                      <w:sz w:val="20"/>
                                      <w:szCs w:val="20"/>
                                    </w:rPr>
                                    <w:t>主領域</w:t>
                                  </w:r>
                                  <w:r>
                                    <w:rPr>
                                      <w:rFonts w:ascii="標楷體" w:eastAsia="標楷體" w:hAnsi="標楷體"/>
                                      <w:spacing w:val="-5"/>
                                      <w:sz w:val="20"/>
                                      <w:szCs w:val="20"/>
                                    </w:rPr>
                                    <w:t>（9）</w:t>
                                  </w:r>
                                </w:p>
                              </w:tc>
                              <w:tc>
                                <w:tcPr>
                                  <w:tcW w:w="3595" w:type="dxa"/>
                                  <w:gridSpan w:val="2"/>
                                  <w:vAlign w:val="center"/>
                                </w:tcPr>
                                <w:p w14:paraId="7DF47505" w14:textId="77777777" w:rsidR="00F16CCC" w:rsidRDefault="00F16CCC" w:rsidP="00D624C9">
                                  <w:pPr>
                                    <w:pStyle w:val="TableParagraph"/>
                                    <w:spacing w:line="260" w:lineRule="exact"/>
                                    <w:jc w:val="center"/>
                                    <w:rPr>
                                      <w:rFonts w:ascii="標楷體" w:eastAsia="標楷體" w:hAnsi="標楷體"/>
                                      <w:sz w:val="20"/>
                                      <w:szCs w:val="20"/>
                                    </w:rPr>
                                  </w:pPr>
                                  <w:r>
                                    <w:rPr>
                                      <w:rFonts w:ascii="標楷體" w:eastAsia="標楷體" w:hAnsi="標楷體"/>
                                      <w:sz w:val="20"/>
                                      <w:szCs w:val="20"/>
                                    </w:rPr>
                                    <w:t>次領域</w:t>
                                  </w:r>
                                  <w:r>
                                    <w:rPr>
                                      <w:rFonts w:ascii="標楷體" w:eastAsia="標楷體" w:hAnsi="標楷體"/>
                                      <w:spacing w:val="-4"/>
                                      <w:sz w:val="20"/>
                                      <w:szCs w:val="20"/>
                                    </w:rPr>
                                    <w:t>（22）</w:t>
                                  </w:r>
                                </w:p>
                              </w:tc>
                            </w:tr>
                            <w:tr w:rsidR="00F16CCC" w14:paraId="479E9E25" w14:textId="77777777" w:rsidTr="00C932FE">
                              <w:trPr>
                                <w:trHeight w:val="113"/>
                                <w:tblHeader/>
                              </w:trPr>
                              <w:tc>
                                <w:tcPr>
                                  <w:tcW w:w="1103" w:type="dxa"/>
                                  <w:vAlign w:val="center"/>
                                </w:tcPr>
                                <w:p w14:paraId="24CEA3B4" w14:textId="77777777" w:rsidR="00F16CCC" w:rsidRDefault="00F16CCC" w:rsidP="00D624C9">
                                  <w:pPr>
                                    <w:spacing w:line="260" w:lineRule="exact"/>
                                    <w:jc w:val="center"/>
                                    <w:rPr>
                                      <w:rFonts w:ascii="標楷體" w:eastAsia="標楷體" w:hAnsi="標楷體"/>
                                      <w:sz w:val="20"/>
                                      <w:lang w:eastAsia="en-US"/>
                                    </w:rPr>
                                  </w:pPr>
                                  <w:proofErr w:type="spellStart"/>
                                  <w:r>
                                    <w:rPr>
                                      <w:rFonts w:ascii="標楷體" w:eastAsia="標楷體" w:hAnsi="標楷體"/>
                                      <w:sz w:val="20"/>
                                      <w:lang w:eastAsia="en-US"/>
                                    </w:rPr>
                                    <w:t>名稱</w:t>
                                  </w:r>
                                  <w:proofErr w:type="spellEnd"/>
                                </w:p>
                              </w:tc>
                              <w:tc>
                                <w:tcPr>
                                  <w:tcW w:w="1237" w:type="dxa"/>
                                  <w:vAlign w:val="center"/>
                                </w:tcPr>
                                <w:p w14:paraId="266AE97D" w14:textId="77777777" w:rsidR="00F16CCC" w:rsidRDefault="00F16CCC" w:rsidP="00D624C9">
                                  <w:pPr>
                                    <w:spacing w:line="260" w:lineRule="exact"/>
                                    <w:jc w:val="center"/>
                                    <w:rPr>
                                      <w:rFonts w:ascii="標楷體" w:eastAsia="標楷體" w:hAnsi="標楷體"/>
                                      <w:sz w:val="20"/>
                                      <w:lang w:eastAsia="en-US"/>
                                    </w:rPr>
                                  </w:pPr>
                                  <w:proofErr w:type="spellStart"/>
                                  <w:r>
                                    <w:rPr>
                                      <w:rFonts w:ascii="標楷體" w:eastAsia="標楷體" w:hAnsi="標楷體"/>
                                      <w:spacing w:val="-3"/>
                                      <w:sz w:val="20"/>
                                      <w:lang w:eastAsia="en-US"/>
                                    </w:rPr>
                                    <w:t>協調機關</w:t>
                                  </w:r>
                                  <w:proofErr w:type="spellEnd"/>
                                </w:p>
                              </w:tc>
                              <w:tc>
                                <w:tcPr>
                                  <w:tcW w:w="1641" w:type="dxa"/>
                                  <w:tcBorders>
                                    <w:right w:val="single" w:sz="4" w:space="0" w:color="000000"/>
                                  </w:tcBorders>
                                  <w:vAlign w:val="center"/>
                                </w:tcPr>
                                <w:p w14:paraId="6E8C239E" w14:textId="77777777" w:rsidR="00F16CCC" w:rsidRDefault="00F16CCC" w:rsidP="00D624C9">
                                  <w:pPr>
                                    <w:spacing w:line="260" w:lineRule="exact"/>
                                    <w:jc w:val="center"/>
                                    <w:rPr>
                                      <w:rFonts w:ascii="標楷體" w:eastAsia="標楷體" w:hAnsi="標楷體"/>
                                      <w:sz w:val="20"/>
                                      <w:lang w:eastAsia="en-US"/>
                                    </w:rPr>
                                  </w:pPr>
                                  <w:proofErr w:type="spellStart"/>
                                  <w:r>
                                    <w:rPr>
                                      <w:rFonts w:ascii="標楷體" w:eastAsia="標楷體" w:hAnsi="標楷體"/>
                                      <w:sz w:val="20"/>
                                      <w:lang w:eastAsia="en-US"/>
                                    </w:rPr>
                                    <w:t>名稱</w:t>
                                  </w:r>
                                  <w:proofErr w:type="spellEnd"/>
                                </w:p>
                              </w:tc>
                              <w:tc>
                                <w:tcPr>
                                  <w:tcW w:w="1954" w:type="dxa"/>
                                  <w:tcBorders>
                                    <w:left w:val="single" w:sz="4" w:space="0" w:color="000000"/>
                                  </w:tcBorders>
                                  <w:vAlign w:val="center"/>
                                </w:tcPr>
                                <w:p w14:paraId="113F61FB" w14:textId="77777777" w:rsidR="00F16CCC" w:rsidRDefault="00F16CCC" w:rsidP="00D624C9">
                                  <w:pPr>
                                    <w:pStyle w:val="TableParagraph"/>
                                    <w:spacing w:line="260" w:lineRule="exact"/>
                                    <w:jc w:val="center"/>
                                    <w:rPr>
                                      <w:rFonts w:ascii="標楷體" w:eastAsia="標楷體" w:hAnsi="標楷體"/>
                                      <w:sz w:val="20"/>
                                      <w:szCs w:val="20"/>
                                    </w:rPr>
                                  </w:pPr>
                                  <w:proofErr w:type="spellStart"/>
                                  <w:r>
                                    <w:rPr>
                                      <w:rFonts w:ascii="標楷體" w:eastAsia="標楷體" w:hAnsi="標楷體"/>
                                      <w:spacing w:val="-3"/>
                                      <w:sz w:val="20"/>
                                      <w:szCs w:val="20"/>
                                    </w:rPr>
                                    <w:t>主管機關</w:t>
                                  </w:r>
                                  <w:proofErr w:type="spellEnd"/>
                                </w:p>
                              </w:tc>
                            </w:tr>
                            <w:tr w:rsidR="00F16CCC" w14:paraId="04ECB5E2" w14:textId="77777777" w:rsidTr="00C932FE">
                              <w:trPr>
                                <w:trHeight w:val="253"/>
                              </w:trPr>
                              <w:tc>
                                <w:tcPr>
                                  <w:tcW w:w="1103" w:type="dxa"/>
                                  <w:vMerge w:val="restart"/>
                                  <w:vAlign w:val="center"/>
                                </w:tcPr>
                                <w:p w14:paraId="2B25C19E"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能源</w:t>
                                  </w:r>
                                  <w:proofErr w:type="spellEnd"/>
                                </w:p>
                              </w:tc>
                              <w:tc>
                                <w:tcPr>
                                  <w:tcW w:w="1237" w:type="dxa"/>
                                  <w:vMerge w:val="restart"/>
                                  <w:vAlign w:val="center"/>
                                </w:tcPr>
                                <w:p w14:paraId="62818B8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c>
                                <w:tcPr>
                                  <w:tcW w:w="1641" w:type="dxa"/>
                                  <w:vAlign w:val="center"/>
                                </w:tcPr>
                                <w:p w14:paraId="1ED1F483"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電力</w:t>
                                  </w:r>
                                  <w:proofErr w:type="spellEnd"/>
                                </w:p>
                              </w:tc>
                              <w:tc>
                                <w:tcPr>
                                  <w:tcW w:w="1954" w:type="dxa"/>
                                </w:tcPr>
                                <w:p w14:paraId="779E09D9"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65DCFC3D" w14:textId="77777777" w:rsidTr="00C932FE">
                              <w:trPr>
                                <w:trHeight w:val="255"/>
                              </w:trPr>
                              <w:tc>
                                <w:tcPr>
                                  <w:tcW w:w="1103" w:type="dxa"/>
                                  <w:vMerge/>
                                  <w:tcBorders>
                                    <w:top w:val="none" w:sz="4" w:space="0" w:color="000000"/>
                                  </w:tcBorders>
                                  <w:vAlign w:val="center"/>
                                </w:tcPr>
                                <w:p w14:paraId="080A4FE2"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top w:val="none" w:sz="4" w:space="0" w:color="000000"/>
                                  </w:tcBorders>
                                  <w:vAlign w:val="center"/>
                                </w:tcPr>
                                <w:p w14:paraId="0EA74E19"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436BC303"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石油</w:t>
                                  </w:r>
                                  <w:proofErr w:type="spellEnd"/>
                                </w:p>
                              </w:tc>
                              <w:tc>
                                <w:tcPr>
                                  <w:tcW w:w="1954" w:type="dxa"/>
                                  <w:vAlign w:val="center"/>
                                </w:tcPr>
                                <w:p w14:paraId="1825313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20A3C5D4" w14:textId="77777777" w:rsidTr="00C932FE">
                              <w:trPr>
                                <w:trHeight w:val="255"/>
                              </w:trPr>
                              <w:tc>
                                <w:tcPr>
                                  <w:tcW w:w="1103" w:type="dxa"/>
                                  <w:vMerge/>
                                  <w:tcBorders>
                                    <w:top w:val="none" w:sz="4" w:space="0" w:color="000000"/>
                                  </w:tcBorders>
                                  <w:vAlign w:val="center"/>
                                </w:tcPr>
                                <w:p w14:paraId="69C5AF63"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top w:val="none" w:sz="4" w:space="0" w:color="000000"/>
                                  </w:tcBorders>
                                  <w:vAlign w:val="center"/>
                                </w:tcPr>
                                <w:p w14:paraId="5FE65323"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22104E51"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天然氣</w:t>
                                  </w:r>
                                  <w:proofErr w:type="spellEnd"/>
                                </w:p>
                              </w:tc>
                              <w:tc>
                                <w:tcPr>
                                  <w:tcW w:w="1954" w:type="dxa"/>
                                  <w:vAlign w:val="center"/>
                                </w:tcPr>
                                <w:p w14:paraId="669942C7"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70F247E7" w14:textId="77777777" w:rsidTr="00C932FE">
                              <w:trPr>
                                <w:trHeight w:val="255"/>
                              </w:trPr>
                              <w:tc>
                                <w:tcPr>
                                  <w:tcW w:w="1103" w:type="dxa"/>
                                  <w:vAlign w:val="center"/>
                                </w:tcPr>
                                <w:p w14:paraId="45E9215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水資源</w:t>
                                  </w:r>
                                  <w:proofErr w:type="spellEnd"/>
                                </w:p>
                              </w:tc>
                              <w:tc>
                                <w:tcPr>
                                  <w:tcW w:w="1237" w:type="dxa"/>
                                  <w:vAlign w:val="center"/>
                                </w:tcPr>
                                <w:p w14:paraId="1BB00F5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c>
                                <w:tcPr>
                                  <w:tcW w:w="1641" w:type="dxa"/>
                                  <w:vAlign w:val="center"/>
                                </w:tcPr>
                                <w:p w14:paraId="4C489009"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供水</w:t>
                                  </w:r>
                                  <w:proofErr w:type="spellEnd"/>
                                </w:p>
                              </w:tc>
                              <w:tc>
                                <w:tcPr>
                                  <w:tcW w:w="1954" w:type="dxa"/>
                                  <w:vAlign w:val="center"/>
                                </w:tcPr>
                                <w:p w14:paraId="16CA7B8B"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4E7CC661" w14:textId="77777777" w:rsidTr="00C932FE">
                              <w:trPr>
                                <w:trHeight w:val="336"/>
                              </w:trPr>
                              <w:tc>
                                <w:tcPr>
                                  <w:tcW w:w="1103" w:type="dxa"/>
                                  <w:vMerge w:val="restart"/>
                                  <w:vAlign w:val="center"/>
                                </w:tcPr>
                                <w:p w14:paraId="19BD62E7"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3"/>
                                      <w:sz w:val="20"/>
                                      <w:lang w:eastAsia="en-US"/>
                                    </w:rPr>
                                    <w:t>通訊傳播</w:t>
                                  </w:r>
                                  <w:proofErr w:type="spellEnd"/>
                                </w:p>
                              </w:tc>
                              <w:tc>
                                <w:tcPr>
                                  <w:tcW w:w="1237" w:type="dxa"/>
                                  <w:vMerge w:val="restart"/>
                                  <w:vAlign w:val="center"/>
                                </w:tcPr>
                                <w:p w14:paraId="118806AC"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數位發展部</w:t>
                                  </w:r>
                                  <w:proofErr w:type="spellEnd"/>
                                </w:p>
                              </w:tc>
                              <w:tc>
                                <w:tcPr>
                                  <w:tcW w:w="1641" w:type="dxa"/>
                                  <w:vAlign w:val="center"/>
                                </w:tcPr>
                                <w:p w14:paraId="2A74A44A"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通訊</w:t>
                                  </w:r>
                                  <w:proofErr w:type="spellEnd"/>
                                </w:p>
                              </w:tc>
                              <w:tc>
                                <w:tcPr>
                                  <w:tcW w:w="1954" w:type="dxa"/>
                                  <w:vAlign w:val="center"/>
                                </w:tcPr>
                                <w:p w14:paraId="57CF8060"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數位發展部</w:t>
                                  </w:r>
                                  <w:proofErr w:type="spellEnd"/>
                                </w:p>
                              </w:tc>
                            </w:tr>
                            <w:tr w:rsidR="00F16CCC" w14:paraId="5859A539" w14:textId="77777777" w:rsidTr="00C932FE">
                              <w:trPr>
                                <w:trHeight w:val="255"/>
                              </w:trPr>
                              <w:tc>
                                <w:tcPr>
                                  <w:tcW w:w="1103" w:type="dxa"/>
                                  <w:vMerge/>
                                  <w:tcBorders>
                                    <w:top w:val="none" w:sz="4" w:space="0" w:color="000000"/>
                                  </w:tcBorders>
                                  <w:vAlign w:val="center"/>
                                </w:tcPr>
                                <w:p w14:paraId="23D35979"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top w:val="none" w:sz="4" w:space="0" w:color="000000"/>
                                  </w:tcBorders>
                                  <w:vAlign w:val="center"/>
                                </w:tcPr>
                                <w:p w14:paraId="7E1C2F73"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1A554D55"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傳播</w:t>
                                  </w:r>
                                  <w:proofErr w:type="spellEnd"/>
                                </w:p>
                              </w:tc>
                              <w:tc>
                                <w:tcPr>
                                  <w:tcW w:w="1954" w:type="dxa"/>
                                  <w:vAlign w:val="center"/>
                                </w:tcPr>
                                <w:p w14:paraId="558487C6"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數位發展部</w:t>
                                  </w:r>
                                  <w:proofErr w:type="spellEnd"/>
                                </w:p>
                              </w:tc>
                            </w:tr>
                            <w:tr w:rsidR="00F16CCC" w14:paraId="11FD7924" w14:textId="77777777" w:rsidTr="00C932FE">
                              <w:trPr>
                                <w:trHeight w:val="419"/>
                              </w:trPr>
                              <w:tc>
                                <w:tcPr>
                                  <w:tcW w:w="1103" w:type="dxa"/>
                                  <w:vMerge w:val="restart"/>
                                  <w:vAlign w:val="center"/>
                                </w:tcPr>
                                <w:p w14:paraId="022463F0"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交通</w:t>
                                  </w:r>
                                  <w:proofErr w:type="spellEnd"/>
                                </w:p>
                              </w:tc>
                              <w:tc>
                                <w:tcPr>
                                  <w:tcW w:w="1237" w:type="dxa"/>
                                  <w:vMerge w:val="restart"/>
                                  <w:vAlign w:val="center"/>
                                </w:tcPr>
                                <w:p w14:paraId="491A94B3"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c>
                                <w:tcPr>
                                  <w:tcW w:w="1641" w:type="dxa"/>
                                  <w:vAlign w:val="center"/>
                                </w:tcPr>
                                <w:p w14:paraId="1BC77ECF"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陸運</w:t>
                                  </w:r>
                                  <w:proofErr w:type="spellEnd"/>
                                </w:p>
                              </w:tc>
                              <w:tc>
                                <w:tcPr>
                                  <w:tcW w:w="1954" w:type="dxa"/>
                                  <w:vAlign w:val="center"/>
                                </w:tcPr>
                                <w:p w14:paraId="4F588545"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r>
                            <w:tr w:rsidR="00F16CCC" w14:paraId="042D65D6" w14:textId="77777777" w:rsidTr="00C932FE">
                              <w:trPr>
                                <w:trHeight w:val="255"/>
                              </w:trPr>
                              <w:tc>
                                <w:tcPr>
                                  <w:tcW w:w="1103" w:type="dxa"/>
                                  <w:vMerge/>
                                  <w:vAlign w:val="center"/>
                                </w:tcPr>
                                <w:p w14:paraId="441D2216" w14:textId="77777777" w:rsidR="00F16CCC" w:rsidRDefault="00F16CCC" w:rsidP="00D624C9">
                                  <w:pPr>
                                    <w:spacing w:line="260" w:lineRule="exact"/>
                                    <w:jc w:val="both"/>
                                    <w:rPr>
                                      <w:rFonts w:ascii="標楷體" w:eastAsia="標楷體" w:hAnsi="標楷體"/>
                                      <w:sz w:val="20"/>
                                      <w:lang w:eastAsia="en-US"/>
                                    </w:rPr>
                                  </w:pPr>
                                </w:p>
                              </w:tc>
                              <w:tc>
                                <w:tcPr>
                                  <w:tcW w:w="1237" w:type="dxa"/>
                                  <w:vMerge/>
                                  <w:vAlign w:val="center"/>
                                </w:tcPr>
                                <w:p w14:paraId="2CB16ED3"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2DF55D69"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海運</w:t>
                                  </w:r>
                                  <w:proofErr w:type="spellEnd"/>
                                </w:p>
                              </w:tc>
                              <w:tc>
                                <w:tcPr>
                                  <w:tcW w:w="1954" w:type="dxa"/>
                                  <w:vAlign w:val="center"/>
                                </w:tcPr>
                                <w:p w14:paraId="390D46EF" w14:textId="77777777" w:rsidR="00F16CCC" w:rsidRDefault="00F16CCC" w:rsidP="00D624C9">
                                  <w:pPr>
                                    <w:spacing w:line="260" w:lineRule="exact"/>
                                    <w:jc w:val="both"/>
                                    <w:rPr>
                                      <w:rFonts w:ascii="標楷體" w:eastAsia="標楷體" w:hAnsi="標楷體"/>
                                      <w:spacing w:val="-4"/>
                                      <w:sz w:val="20"/>
                                    </w:rPr>
                                  </w:pPr>
                                  <w:r>
                                    <w:rPr>
                                      <w:rFonts w:ascii="標楷體" w:eastAsia="標楷體" w:hAnsi="標楷體"/>
                                      <w:spacing w:val="-4"/>
                                      <w:sz w:val="20"/>
                                    </w:rPr>
                                    <w:t>交通部、經濟部、</w:t>
                                  </w:r>
                                </w:p>
                                <w:p w14:paraId="4D6704BB" w14:textId="77777777" w:rsidR="00F16CCC" w:rsidRDefault="00F16CCC" w:rsidP="00D624C9">
                                  <w:pPr>
                                    <w:spacing w:line="260" w:lineRule="exact"/>
                                    <w:jc w:val="both"/>
                                    <w:rPr>
                                      <w:rFonts w:ascii="標楷體" w:eastAsia="標楷體" w:hAnsi="標楷體"/>
                                      <w:sz w:val="20"/>
                                    </w:rPr>
                                  </w:pPr>
                                  <w:r>
                                    <w:rPr>
                                      <w:rFonts w:ascii="標楷體" w:eastAsia="標楷體" w:hAnsi="標楷體"/>
                                      <w:spacing w:val="-4"/>
                                      <w:sz w:val="20"/>
                                    </w:rPr>
                                    <w:t>農業部</w:t>
                                  </w:r>
                                </w:p>
                              </w:tc>
                            </w:tr>
                            <w:tr w:rsidR="00F16CCC" w14:paraId="63B0E7C2" w14:textId="77777777" w:rsidTr="00C932FE">
                              <w:trPr>
                                <w:trHeight w:val="255"/>
                              </w:trPr>
                              <w:tc>
                                <w:tcPr>
                                  <w:tcW w:w="1103" w:type="dxa"/>
                                  <w:vMerge/>
                                  <w:vAlign w:val="center"/>
                                </w:tcPr>
                                <w:p w14:paraId="5CA8656F" w14:textId="77777777" w:rsidR="00F16CCC" w:rsidRDefault="00F16CCC" w:rsidP="00D624C9">
                                  <w:pPr>
                                    <w:spacing w:line="260" w:lineRule="exact"/>
                                    <w:jc w:val="both"/>
                                    <w:rPr>
                                      <w:rFonts w:ascii="標楷體" w:eastAsia="標楷體" w:hAnsi="標楷體"/>
                                      <w:sz w:val="20"/>
                                    </w:rPr>
                                  </w:pPr>
                                </w:p>
                              </w:tc>
                              <w:tc>
                                <w:tcPr>
                                  <w:tcW w:w="1237" w:type="dxa"/>
                                  <w:vMerge/>
                                  <w:vAlign w:val="center"/>
                                </w:tcPr>
                                <w:p w14:paraId="434830FC" w14:textId="77777777" w:rsidR="00F16CCC" w:rsidRDefault="00F16CCC" w:rsidP="00D624C9">
                                  <w:pPr>
                                    <w:spacing w:line="260" w:lineRule="exact"/>
                                    <w:jc w:val="both"/>
                                    <w:rPr>
                                      <w:rFonts w:ascii="標楷體" w:eastAsia="標楷體" w:hAnsi="標楷體"/>
                                      <w:sz w:val="20"/>
                                    </w:rPr>
                                  </w:pPr>
                                </w:p>
                              </w:tc>
                              <w:tc>
                                <w:tcPr>
                                  <w:tcW w:w="1641" w:type="dxa"/>
                                  <w:tcBorders>
                                    <w:bottom w:val="single" w:sz="4" w:space="0" w:color="000000"/>
                                  </w:tcBorders>
                                  <w:vAlign w:val="center"/>
                                </w:tcPr>
                                <w:p w14:paraId="438C0F56"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空運</w:t>
                                  </w:r>
                                  <w:proofErr w:type="spellEnd"/>
                                </w:p>
                              </w:tc>
                              <w:tc>
                                <w:tcPr>
                                  <w:tcW w:w="1954" w:type="dxa"/>
                                  <w:vAlign w:val="center"/>
                                </w:tcPr>
                                <w:p w14:paraId="6F351D46"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r>
                            <w:tr w:rsidR="00F16CCC" w14:paraId="4F4A1AC4" w14:textId="77777777" w:rsidTr="00C932FE">
                              <w:trPr>
                                <w:trHeight w:val="336"/>
                              </w:trPr>
                              <w:tc>
                                <w:tcPr>
                                  <w:tcW w:w="1103" w:type="dxa"/>
                                  <w:vMerge/>
                                  <w:tcBorders>
                                    <w:bottom w:val="single" w:sz="4" w:space="0" w:color="000000"/>
                                  </w:tcBorders>
                                  <w:vAlign w:val="center"/>
                                </w:tcPr>
                                <w:p w14:paraId="14B7FBE2"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bottom w:val="single" w:sz="4" w:space="0" w:color="000000"/>
                                  </w:tcBorders>
                                  <w:vAlign w:val="center"/>
                                </w:tcPr>
                                <w:p w14:paraId="7146D0FC" w14:textId="77777777" w:rsidR="00F16CCC" w:rsidRDefault="00F16CCC" w:rsidP="00D624C9">
                                  <w:pPr>
                                    <w:spacing w:line="260" w:lineRule="exact"/>
                                    <w:jc w:val="both"/>
                                    <w:rPr>
                                      <w:rFonts w:ascii="標楷體" w:eastAsia="標楷體" w:hAnsi="標楷體"/>
                                      <w:sz w:val="20"/>
                                      <w:lang w:eastAsia="en-US"/>
                                    </w:rPr>
                                  </w:pPr>
                                </w:p>
                              </w:tc>
                              <w:tc>
                                <w:tcPr>
                                  <w:tcW w:w="1641" w:type="dxa"/>
                                  <w:tcBorders>
                                    <w:top w:val="single" w:sz="4" w:space="0" w:color="000000"/>
                                    <w:bottom w:val="single" w:sz="4" w:space="0" w:color="000000"/>
                                  </w:tcBorders>
                                  <w:vAlign w:val="center"/>
                                </w:tcPr>
                                <w:p w14:paraId="44CC431D"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氣象</w:t>
                                  </w:r>
                                  <w:proofErr w:type="spellEnd"/>
                                </w:p>
                              </w:tc>
                              <w:tc>
                                <w:tcPr>
                                  <w:tcW w:w="1954" w:type="dxa"/>
                                  <w:tcBorders>
                                    <w:bottom w:val="single" w:sz="4" w:space="0" w:color="000000"/>
                                  </w:tcBorders>
                                  <w:vAlign w:val="center"/>
                                </w:tcPr>
                                <w:p w14:paraId="6B379B34"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r>
                            <w:tr w:rsidR="00F16CCC" w14:paraId="10081762" w14:textId="77777777" w:rsidTr="00C932FE">
                              <w:trPr>
                                <w:trHeight w:val="5"/>
                              </w:trPr>
                              <w:tc>
                                <w:tcPr>
                                  <w:tcW w:w="1103" w:type="dxa"/>
                                  <w:vMerge w:val="restart"/>
                                  <w:tcBorders>
                                    <w:top w:val="single" w:sz="4" w:space="0" w:color="000000"/>
                                  </w:tcBorders>
                                  <w:vAlign w:val="center"/>
                                </w:tcPr>
                                <w:p w14:paraId="68F1BB39" w14:textId="77777777"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金融</w:t>
                                  </w:r>
                                  <w:proofErr w:type="spellEnd"/>
                                </w:p>
                              </w:tc>
                              <w:tc>
                                <w:tcPr>
                                  <w:tcW w:w="1237" w:type="dxa"/>
                                  <w:vMerge w:val="restart"/>
                                  <w:tcBorders>
                                    <w:top w:val="single" w:sz="4" w:space="0" w:color="000000"/>
                                  </w:tcBorders>
                                  <w:vAlign w:val="center"/>
                                </w:tcPr>
                                <w:p w14:paraId="3D40BAA5" w14:textId="77777777" w:rsidR="007C38BE"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金融監督管</w:t>
                                  </w:r>
                                  <w:proofErr w:type="spellEnd"/>
                                </w:p>
                                <w:p w14:paraId="1CA87ABC" w14:textId="4E701775"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理委員會</w:t>
                                  </w:r>
                                  <w:proofErr w:type="spellEnd"/>
                                </w:p>
                              </w:tc>
                              <w:tc>
                                <w:tcPr>
                                  <w:tcW w:w="1641" w:type="dxa"/>
                                  <w:tcBorders>
                                    <w:top w:val="single" w:sz="4" w:space="0" w:color="000000"/>
                                    <w:bottom w:val="single" w:sz="4" w:space="0" w:color="000000"/>
                                  </w:tcBorders>
                                  <w:vAlign w:val="center"/>
                                </w:tcPr>
                                <w:p w14:paraId="06794FE6" w14:textId="77777777"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銀行</w:t>
                                  </w:r>
                                  <w:proofErr w:type="spellEnd"/>
                                </w:p>
                              </w:tc>
                              <w:tc>
                                <w:tcPr>
                                  <w:tcW w:w="1954" w:type="dxa"/>
                                  <w:tcBorders>
                                    <w:top w:val="single" w:sz="4" w:space="0" w:color="000000"/>
                                    <w:bottom w:val="single" w:sz="4" w:space="0" w:color="000000"/>
                                  </w:tcBorders>
                                  <w:vAlign w:val="center"/>
                                </w:tcPr>
                                <w:p w14:paraId="76FAD69C" w14:textId="7FE924A6" w:rsidR="00F16CCC" w:rsidRDefault="00F16CCC" w:rsidP="00D624C9">
                                  <w:pPr>
                                    <w:spacing w:line="260" w:lineRule="exact"/>
                                    <w:jc w:val="both"/>
                                    <w:rPr>
                                      <w:rFonts w:ascii="標楷體" w:eastAsia="標楷體" w:hAnsi="標楷體"/>
                                      <w:spacing w:val="-3"/>
                                      <w:sz w:val="20"/>
                                    </w:rPr>
                                  </w:pPr>
                                  <w:r>
                                    <w:rPr>
                                      <w:rFonts w:ascii="標楷體" w:eastAsia="標楷體" w:hAnsi="標楷體"/>
                                      <w:spacing w:val="-3"/>
                                      <w:sz w:val="20"/>
                                    </w:rPr>
                                    <w:t>金融監督管理</w:t>
                                  </w:r>
                                  <w:r w:rsidR="00C932FE">
                                    <w:rPr>
                                      <w:rFonts w:ascii="標楷體" w:eastAsia="標楷體" w:hAnsi="標楷體"/>
                                      <w:spacing w:val="-3"/>
                                      <w:sz w:val="20"/>
                                    </w:rPr>
                                    <w:t>委員會</w:t>
                                  </w:r>
                                  <w:r>
                                    <w:rPr>
                                      <w:rFonts w:ascii="標楷體" w:eastAsia="標楷體" w:hAnsi="標楷體"/>
                                      <w:spacing w:val="-3"/>
                                      <w:sz w:val="20"/>
                                    </w:rPr>
                                    <w:t>、交通部</w:t>
                                  </w:r>
                                </w:p>
                              </w:tc>
                            </w:tr>
                            <w:tr w:rsidR="00F16CCC" w14:paraId="467BBF1B" w14:textId="77777777" w:rsidTr="00C932FE">
                              <w:trPr>
                                <w:trHeight w:val="5"/>
                              </w:trPr>
                              <w:tc>
                                <w:tcPr>
                                  <w:tcW w:w="1103" w:type="dxa"/>
                                  <w:vMerge/>
                                  <w:vAlign w:val="center"/>
                                </w:tcPr>
                                <w:p w14:paraId="2175D60E" w14:textId="77777777" w:rsidR="00F16CCC" w:rsidRDefault="00F16CCC" w:rsidP="00D624C9">
                                  <w:pPr>
                                    <w:spacing w:line="260" w:lineRule="exact"/>
                                    <w:jc w:val="both"/>
                                    <w:rPr>
                                      <w:rFonts w:ascii="標楷體" w:eastAsia="標楷體" w:hAnsi="標楷體"/>
                                      <w:spacing w:val="-4"/>
                                      <w:sz w:val="20"/>
                                    </w:rPr>
                                  </w:pPr>
                                </w:p>
                              </w:tc>
                              <w:tc>
                                <w:tcPr>
                                  <w:tcW w:w="1237" w:type="dxa"/>
                                  <w:vMerge/>
                                  <w:vAlign w:val="center"/>
                                </w:tcPr>
                                <w:p w14:paraId="40A1AD8E" w14:textId="77777777" w:rsidR="00F16CCC" w:rsidRDefault="00F16CCC" w:rsidP="00D624C9">
                                  <w:pPr>
                                    <w:spacing w:line="260" w:lineRule="exact"/>
                                    <w:jc w:val="both"/>
                                    <w:rPr>
                                      <w:rFonts w:ascii="標楷體" w:eastAsia="標楷體" w:hAnsi="標楷體"/>
                                      <w:spacing w:val="-4"/>
                                      <w:sz w:val="20"/>
                                    </w:rPr>
                                  </w:pPr>
                                </w:p>
                              </w:tc>
                              <w:tc>
                                <w:tcPr>
                                  <w:tcW w:w="1641" w:type="dxa"/>
                                  <w:tcBorders>
                                    <w:top w:val="single" w:sz="4" w:space="0" w:color="000000"/>
                                    <w:bottom w:val="single" w:sz="4" w:space="0" w:color="000000"/>
                                  </w:tcBorders>
                                  <w:vAlign w:val="center"/>
                                </w:tcPr>
                                <w:p w14:paraId="158BEB98"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證券</w:t>
                                  </w:r>
                                </w:p>
                              </w:tc>
                              <w:tc>
                                <w:tcPr>
                                  <w:tcW w:w="1954" w:type="dxa"/>
                                  <w:tcBorders>
                                    <w:top w:val="single" w:sz="4" w:space="0" w:color="000000"/>
                                    <w:bottom w:val="single" w:sz="4" w:space="0" w:color="000000"/>
                                  </w:tcBorders>
                                  <w:vAlign w:val="center"/>
                                </w:tcPr>
                                <w:p w14:paraId="33D9D2E1" w14:textId="79B7C980" w:rsidR="00F16CCC" w:rsidRDefault="00F16CCC" w:rsidP="00D624C9">
                                  <w:pPr>
                                    <w:spacing w:line="260" w:lineRule="exact"/>
                                    <w:jc w:val="both"/>
                                    <w:rPr>
                                      <w:rFonts w:ascii="標楷體" w:eastAsia="標楷體" w:hAnsi="標楷體"/>
                                      <w:spacing w:val="-3"/>
                                      <w:sz w:val="20"/>
                                      <w:lang w:eastAsia="en-US"/>
                                    </w:rPr>
                                  </w:pPr>
                                  <w:proofErr w:type="spellStart"/>
                                  <w:r>
                                    <w:rPr>
                                      <w:rFonts w:ascii="標楷體" w:eastAsia="標楷體" w:hAnsi="標楷體"/>
                                      <w:spacing w:val="-3"/>
                                      <w:sz w:val="20"/>
                                      <w:lang w:eastAsia="en-US"/>
                                    </w:rPr>
                                    <w:t>金融監督管理</w:t>
                                  </w:r>
                                  <w:r w:rsidR="00C932FE">
                                    <w:rPr>
                                      <w:rFonts w:ascii="標楷體" w:eastAsia="標楷體" w:hAnsi="標楷體"/>
                                      <w:spacing w:val="-3"/>
                                      <w:sz w:val="20"/>
                                      <w:lang w:eastAsia="en-US"/>
                                    </w:rPr>
                                    <w:t>委員會</w:t>
                                  </w:r>
                                  <w:proofErr w:type="spellEnd"/>
                                </w:p>
                              </w:tc>
                            </w:tr>
                            <w:tr w:rsidR="00F16CCC" w14:paraId="6E139CA5" w14:textId="77777777" w:rsidTr="00C932FE">
                              <w:trPr>
                                <w:trHeight w:val="5"/>
                              </w:trPr>
                              <w:tc>
                                <w:tcPr>
                                  <w:tcW w:w="1103" w:type="dxa"/>
                                  <w:vMerge/>
                                  <w:tcBorders>
                                    <w:bottom w:val="single" w:sz="4" w:space="0" w:color="000000"/>
                                  </w:tcBorders>
                                  <w:vAlign w:val="center"/>
                                </w:tcPr>
                                <w:p w14:paraId="145F3F96"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tcBorders>
                                    <w:bottom w:val="single" w:sz="4" w:space="0" w:color="000000"/>
                                  </w:tcBorders>
                                  <w:vAlign w:val="center"/>
                                </w:tcPr>
                                <w:p w14:paraId="251709A0"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7FD91870"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金融支付</w:t>
                                  </w:r>
                                </w:p>
                              </w:tc>
                              <w:tc>
                                <w:tcPr>
                                  <w:tcW w:w="1954" w:type="dxa"/>
                                  <w:tcBorders>
                                    <w:top w:val="single" w:sz="4" w:space="0" w:color="000000"/>
                                    <w:bottom w:val="single" w:sz="4" w:space="0" w:color="000000"/>
                                  </w:tcBorders>
                                  <w:vAlign w:val="center"/>
                                </w:tcPr>
                                <w:p w14:paraId="468B6E4F"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3"/>
                                      <w:sz w:val="20"/>
                                      <w:lang w:eastAsia="en-US"/>
                                    </w:rPr>
                                    <w:t>中央銀行</w:t>
                                  </w:r>
                                </w:p>
                              </w:tc>
                            </w:tr>
                            <w:tr w:rsidR="00F16CCC" w14:paraId="233C67BC" w14:textId="77777777" w:rsidTr="00C932FE">
                              <w:trPr>
                                <w:trHeight w:val="5"/>
                              </w:trPr>
                              <w:tc>
                                <w:tcPr>
                                  <w:tcW w:w="1103" w:type="dxa"/>
                                  <w:vMerge w:val="restart"/>
                                  <w:tcBorders>
                                    <w:top w:val="single" w:sz="4" w:space="0" w:color="000000"/>
                                  </w:tcBorders>
                                  <w:vAlign w:val="center"/>
                                </w:tcPr>
                                <w:p w14:paraId="016D5EE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緊急救援與醫院</w:t>
                                  </w:r>
                                </w:p>
                              </w:tc>
                              <w:tc>
                                <w:tcPr>
                                  <w:tcW w:w="1237" w:type="dxa"/>
                                  <w:vMerge w:val="restart"/>
                                  <w:tcBorders>
                                    <w:top w:val="single" w:sz="4" w:space="0" w:color="000000"/>
                                  </w:tcBorders>
                                  <w:vAlign w:val="center"/>
                                </w:tcPr>
                                <w:p w14:paraId="5BDD97CE"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衛生福利部</w:t>
                                  </w:r>
                                </w:p>
                              </w:tc>
                              <w:tc>
                                <w:tcPr>
                                  <w:tcW w:w="1641" w:type="dxa"/>
                                  <w:tcBorders>
                                    <w:top w:val="single" w:sz="4" w:space="0" w:color="000000"/>
                                    <w:bottom w:val="single" w:sz="4" w:space="0" w:color="000000"/>
                                  </w:tcBorders>
                                  <w:vAlign w:val="center"/>
                                </w:tcPr>
                                <w:p w14:paraId="5F15B145"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醫療照護</w:t>
                                  </w:r>
                                </w:p>
                              </w:tc>
                              <w:tc>
                                <w:tcPr>
                                  <w:tcW w:w="1954" w:type="dxa"/>
                                  <w:vMerge w:val="restart"/>
                                  <w:tcBorders>
                                    <w:top w:val="single" w:sz="4" w:space="0" w:color="000000"/>
                                  </w:tcBorders>
                                  <w:vAlign w:val="center"/>
                                </w:tcPr>
                                <w:p w14:paraId="5E3E9DE6"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衛生福利部</w:t>
                                  </w:r>
                                </w:p>
                              </w:tc>
                            </w:tr>
                            <w:tr w:rsidR="00F16CCC" w14:paraId="3B5E55DB" w14:textId="77777777" w:rsidTr="00C932FE">
                              <w:trPr>
                                <w:trHeight w:val="5"/>
                              </w:trPr>
                              <w:tc>
                                <w:tcPr>
                                  <w:tcW w:w="1103" w:type="dxa"/>
                                  <w:vMerge/>
                                  <w:vAlign w:val="center"/>
                                </w:tcPr>
                                <w:p w14:paraId="5F644F57"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vAlign w:val="center"/>
                                </w:tcPr>
                                <w:p w14:paraId="2644B7B7"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3548ABAB"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疾病管制</w:t>
                                  </w:r>
                                </w:p>
                              </w:tc>
                              <w:tc>
                                <w:tcPr>
                                  <w:tcW w:w="1954" w:type="dxa"/>
                                  <w:vMerge/>
                                  <w:tcBorders>
                                    <w:bottom w:val="single" w:sz="4" w:space="0" w:color="000000"/>
                                  </w:tcBorders>
                                  <w:vAlign w:val="center"/>
                                </w:tcPr>
                                <w:p w14:paraId="3FEE7DD6" w14:textId="77777777" w:rsidR="00F16CCC" w:rsidRDefault="00F16CCC" w:rsidP="00D624C9">
                                  <w:pPr>
                                    <w:spacing w:line="260" w:lineRule="exact"/>
                                    <w:jc w:val="both"/>
                                    <w:rPr>
                                      <w:rFonts w:ascii="標楷體" w:eastAsia="標楷體" w:hAnsi="標楷體"/>
                                      <w:sz w:val="20"/>
                                      <w:lang w:eastAsia="en-US"/>
                                    </w:rPr>
                                  </w:pPr>
                                </w:p>
                              </w:tc>
                            </w:tr>
                            <w:tr w:rsidR="00F16CCC" w14:paraId="3AE1003A" w14:textId="77777777" w:rsidTr="00C932FE">
                              <w:trPr>
                                <w:trHeight w:val="5"/>
                              </w:trPr>
                              <w:tc>
                                <w:tcPr>
                                  <w:tcW w:w="1103" w:type="dxa"/>
                                  <w:vMerge/>
                                  <w:tcBorders>
                                    <w:bottom w:val="single" w:sz="4" w:space="0" w:color="000000"/>
                                  </w:tcBorders>
                                  <w:vAlign w:val="center"/>
                                </w:tcPr>
                                <w:p w14:paraId="2D10879B"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tcBorders>
                                    <w:bottom w:val="single" w:sz="4" w:space="0" w:color="000000"/>
                                  </w:tcBorders>
                                  <w:vAlign w:val="center"/>
                                </w:tcPr>
                                <w:p w14:paraId="6E2EFF00"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1BF99DF6"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緊急應變體系</w:t>
                                  </w:r>
                                </w:p>
                              </w:tc>
                              <w:tc>
                                <w:tcPr>
                                  <w:tcW w:w="1954" w:type="dxa"/>
                                  <w:tcBorders>
                                    <w:top w:val="single" w:sz="4" w:space="0" w:color="000000"/>
                                    <w:bottom w:val="single" w:sz="4" w:space="0" w:color="000000"/>
                                  </w:tcBorders>
                                  <w:vAlign w:val="center"/>
                                </w:tcPr>
                                <w:p w14:paraId="522D9CB0"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內政部</w:t>
                                  </w:r>
                                </w:p>
                              </w:tc>
                            </w:tr>
                            <w:tr w:rsidR="00F16CCC" w14:paraId="1195F428" w14:textId="77777777" w:rsidTr="00C932FE">
                              <w:trPr>
                                <w:trHeight w:val="5"/>
                              </w:trPr>
                              <w:tc>
                                <w:tcPr>
                                  <w:tcW w:w="1103" w:type="dxa"/>
                                  <w:vMerge w:val="restart"/>
                                  <w:tcBorders>
                                    <w:top w:val="single" w:sz="4" w:space="0" w:color="000000"/>
                                  </w:tcBorders>
                                  <w:vAlign w:val="center"/>
                                </w:tcPr>
                                <w:p w14:paraId="64D28750"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政府機關</w:t>
                                  </w:r>
                                </w:p>
                              </w:tc>
                              <w:tc>
                                <w:tcPr>
                                  <w:tcW w:w="1237" w:type="dxa"/>
                                  <w:tcBorders>
                                    <w:top w:val="single" w:sz="4" w:space="0" w:color="000000"/>
                                    <w:bottom w:val="single" w:sz="4" w:space="0" w:color="000000"/>
                                  </w:tcBorders>
                                  <w:vAlign w:val="center"/>
                                </w:tcPr>
                                <w:p w14:paraId="341DE78E" w14:textId="77777777" w:rsidR="007C38BE"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國土安全辦</w:t>
                                  </w:r>
                                  <w:proofErr w:type="spellEnd"/>
                                </w:p>
                                <w:p w14:paraId="7B9DE485" w14:textId="6A720B06"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公室</w:t>
                                  </w:r>
                                  <w:proofErr w:type="spellEnd"/>
                                </w:p>
                              </w:tc>
                              <w:tc>
                                <w:tcPr>
                                  <w:tcW w:w="1641" w:type="dxa"/>
                                  <w:tcBorders>
                                    <w:top w:val="single" w:sz="4" w:space="0" w:color="000000"/>
                                    <w:bottom w:val="single" w:sz="4" w:space="0" w:color="000000"/>
                                  </w:tcBorders>
                                  <w:vAlign w:val="center"/>
                                </w:tcPr>
                                <w:p w14:paraId="7354C810"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機關場所與設施</w:t>
                                  </w:r>
                                </w:p>
                              </w:tc>
                              <w:tc>
                                <w:tcPr>
                                  <w:tcW w:w="1954" w:type="dxa"/>
                                  <w:vMerge w:val="restart"/>
                                  <w:tcBorders>
                                    <w:top w:val="single" w:sz="4" w:space="0" w:color="000000"/>
                                  </w:tcBorders>
                                  <w:vAlign w:val="center"/>
                                </w:tcPr>
                                <w:p w14:paraId="168BF07F"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3"/>
                                      <w:sz w:val="20"/>
                                      <w:lang w:eastAsia="en-US"/>
                                    </w:rPr>
                                    <w:t>中央政府機關</w:t>
                                  </w:r>
                                </w:p>
                              </w:tc>
                            </w:tr>
                            <w:tr w:rsidR="00F16CCC" w14:paraId="7D6E2CAF" w14:textId="77777777" w:rsidTr="00C932FE">
                              <w:trPr>
                                <w:trHeight w:val="5"/>
                              </w:trPr>
                              <w:tc>
                                <w:tcPr>
                                  <w:tcW w:w="1103" w:type="dxa"/>
                                  <w:vMerge/>
                                  <w:tcBorders>
                                    <w:bottom w:val="single" w:sz="4" w:space="0" w:color="000000"/>
                                  </w:tcBorders>
                                  <w:vAlign w:val="center"/>
                                </w:tcPr>
                                <w:p w14:paraId="40C468F7"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tcBorders>
                                    <w:top w:val="single" w:sz="4" w:space="0" w:color="000000"/>
                                    <w:bottom w:val="single" w:sz="4" w:space="0" w:color="000000"/>
                                  </w:tcBorders>
                                  <w:vAlign w:val="center"/>
                                </w:tcPr>
                                <w:p w14:paraId="49FB9BAE"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數位發展部</w:t>
                                  </w:r>
                                </w:p>
                              </w:tc>
                              <w:tc>
                                <w:tcPr>
                                  <w:tcW w:w="1641" w:type="dxa"/>
                                  <w:tcBorders>
                                    <w:top w:val="single" w:sz="4" w:space="0" w:color="000000"/>
                                    <w:bottom w:val="single" w:sz="4" w:space="0" w:color="000000"/>
                                  </w:tcBorders>
                                  <w:vAlign w:val="center"/>
                                </w:tcPr>
                                <w:p w14:paraId="549034C8"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資通訊系統</w:t>
                                  </w:r>
                                </w:p>
                              </w:tc>
                              <w:tc>
                                <w:tcPr>
                                  <w:tcW w:w="1954" w:type="dxa"/>
                                  <w:vMerge/>
                                  <w:tcBorders>
                                    <w:bottom w:val="single" w:sz="4" w:space="0" w:color="000000"/>
                                  </w:tcBorders>
                                  <w:vAlign w:val="center"/>
                                </w:tcPr>
                                <w:p w14:paraId="3B45BCF1" w14:textId="77777777" w:rsidR="00F16CCC" w:rsidRDefault="00F16CCC" w:rsidP="00D624C9">
                                  <w:pPr>
                                    <w:spacing w:line="260" w:lineRule="exact"/>
                                    <w:jc w:val="both"/>
                                    <w:rPr>
                                      <w:rFonts w:ascii="標楷體" w:eastAsia="標楷體" w:hAnsi="標楷體"/>
                                      <w:sz w:val="20"/>
                                      <w:lang w:eastAsia="en-US"/>
                                    </w:rPr>
                                  </w:pPr>
                                </w:p>
                              </w:tc>
                            </w:tr>
                            <w:tr w:rsidR="00F16CCC" w14:paraId="7A2EA7DF" w14:textId="77777777" w:rsidTr="00C932FE">
                              <w:trPr>
                                <w:trHeight w:val="5"/>
                              </w:trPr>
                              <w:tc>
                                <w:tcPr>
                                  <w:tcW w:w="1103" w:type="dxa"/>
                                  <w:vMerge w:val="restart"/>
                                  <w:tcBorders>
                                    <w:top w:val="single" w:sz="4" w:space="0" w:color="000000"/>
                                  </w:tcBorders>
                                  <w:vAlign w:val="center"/>
                                </w:tcPr>
                                <w:p w14:paraId="06B52C3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科學園區與工業區</w:t>
                                  </w:r>
                                </w:p>
                              </w:tc>
                              <w:tc>
                                <w:tcPr>
                                  <w:tcW w:w="1237" w:type="dxa"/>
                                  <w:vMerge w:val="restart"/>
                                  <w:tcBorders>
                                    <w:top w:val="single" w:sz="4" w:space="0" w:color="000000"/>
                                  </w:tcBorders>
                                  <w:vAlign w:val="center"/>
                                </w:tcPr>
                                <w:p w14:paraId="6F6CF597" w14:textId="77777777" w:rsidR="00F16CCC" w:rsidRDefault="00F16CCC" w:rsidP="00D624C9">
                                  <w:pPr>
                                    <w:spacing w:line="260" w:lineRule="exact"/>
                                    <w:jc w:val="both"/>
                                    <w:rPr>
                                      <w:rFonts w:ascii="標楷體" w:eastAsia="標楷體" w:hAnsi="標楷體"/>
                                      <w:spacing w:val="-4"/>
                                      <w:sz w:val="20"/>
                                    </w:rPr>
                                  </w:pPr>
                                  <w:r>
                                    <w:rPr>
                                      <w:rFonts w:ascii="標楷體" w:eastAsia="標楷體" w:hAnsi="標楷體"/>
                                      <w:spacing w:val="-4"/>
                                      <w:sz w:val="20"/>
                                    </w:rPr>
                                    <w:t>國家科學及</w:t>
                                  </w:r>
                                  <w:r>
                                    <w:rPr>
                                      <w:rFonts w:ascii="標楷體" w:eastAsia="標楷體" w:hAnsi="標楷體"/>
                                      <w:spacing w:val="-4"/>
                                      <w:sz w:val="20"/>
                                    </w:rPr>
                                    <w:br w:type="textWrapping" w:clear="all"/>
                                    <w:t>技術委員會</w:t>
                                  </w:r>
                                </w:p>
                              </w:tc>
                              <w:tc>
                                <w:tcPr>
                                  <w:tcW w:w="1641" w:type="dxa"/>
                                  <w:tcBorders>
                                    <w:top w:val="single" w:sz="4" w:space="0" w:color="000000"/>
                                    <w:bottom w:val="single" w:sz="4" w:space="0" w:color="000000"/>
                                  </w:tcBorders>
                                  <w:vAlign w:val="center"/>
                                </w:tcPr>
                                <w:p w14:paraId="42169EFC"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科學與生醫園區</w:t>
                                  </w:r>
                                </w:p>
                              </w:tc>
                              <w:tc>
                                <w:tcPr>
                                  <w:tcW w:w="1954" w:type="dxa"/>
                                  <w:tcBorders>
                                    <w:top w:val="single" w:sz="4" w:space="0" w:color="000000"/>
                                    <w:bottom w:val="single" w:sz="4" w:space="0" w:color="000000"/>
                                  </w:tcBorders>
                                  <w:vAlign w:val="center"/>
                                </w:tcPr>
                                <w:p w14:paraId="78DE1092" w14:textId="52DE2997" w:rsidR="00F16CCC" w:rsidRPr="00C932FE" w:rsidRDefault="00F16CCC" w:rsidP="00D624C9">
                                  <w:pPr>
                                    <w:spacing w:line="260" w:lineRule="exact"/>
                                    <w:jc w:val="both"/>
                                    <w:rPr>
                                      <w:rFonts w:ascii="標楷體" w:eastAsia="標楷體" w:hAnsi="標楷體"/>
                                      <w:spacing w:val="-4"/>
                                      <w:sz w:val="20"/>
                                    </w:rPr>
                                  </w:pPr>
                                  <w:r w:rsidRPr="00C932FE">
                                    <w:rPr>
                                      <w:rFonts w:ascii="標楷體" w:eastAsia="標楷體" w:hAnsi="標楷體"/>
                                      <w:spacing w:val="-4"/>
                                      <w:sz w:val="20"/>
                                    </w:rPr>
                                    <w:t>國家科學及</w:t>
                                  </w:r>
                                  <w:r w:rsidR="00C932FE" w:rsidRPr="00C932FE">
                                    <w:rPr>
                                      <w:rFonts w:ascii="標楷體" w:eastAsia="標楷體" w:hAnsi="標楷體"/>
                                      <w:spacing w:val="-4"/>
                                      <w:sz w:val="20"/>
                                    </w:rPr>
                                    <w:t>技術委員會</w:t>
                                  </w:r>
                                </w:p>
                              </w:tc>
                            </w:tr>
                            <w:tr w:rsidR="00F16CCC" w14:paraId="1FC95115" w14:textId="77777777" w:rsidTr="00C932FE">
                              <w:trPr>
                                <w:trHeight w:val="5"/>
                              </w:trPr>
                              <w:tc>
                                <w:tcPr>
                                  <w:tcW w:w="1103" w:type="dxa"/>
                                  <w:vMerge/>
                                  <w:tcBorders>
                                    <w:bottom w:val="single" w:sz="4" w:space="0" w:color="000000"/>
                                  </w:tcBorders>
                                  <w:vAlign w:val="center"/>
                                </w:tcPr>
                                <w:p w14:paraId="6AEB1982" w14:textId="77777777" w:rsidR="00F16CCC" w:rsidRDefault="00F16CCC" w:rsidP="00D624C9">
                                  <w:pPr>
                                    <w:spacing w:line="260" w:lineRule="exact"/>
                                    <w:jc w:val="both"/>
                                    <w:rPr>
                                      <w:rFonts w:ascii="標楷體" w:eastAsia="標楷體" w:hAnsi="標楷體"/>
                                      <w:spacing w:val="-4"/>
                                      <w:sz w:val="20"/>
                                    </w:rPr>
                                  </w:pPr>
                                </w:p>
                              </w:tc>
                              <w:tc>
                                <w:tcPr>
                                  <w:tcW w:w="1237" w:type="dxa"/>
                                  <w:vMerge/>
                                  <w:tcBorders>
                                    <w:bottom w:val="single" w:sz="4" w:space="0" w:color="000000"/>
                                  </w:tcBorders>
                                  <w:vAlign w:val="center"/>
                                </w:tcPr>
                                <w:p w14:paraId="583E8809" w14:textId="77777777" w:rsidR="00F16CCC" w:rsidRDefault="00F16CCC" w:rsidP="00D624C9">
                                  <w:pPr>
                                    <w:spacing w:line="260" w:lineRule="exact"/>
                                    <w:jc w:val="both"/>
                                    <w:rPr>
                                      <w:rFonts w:ascii="標楷體" w:eastAsia="標楷體" w:hAnsi="標楷體"/>
                                      <w:spacing w:val="-4"/>
                                      <w:sz w:val="20"/>
                                    </w:rPr>
                                  </w:pPr>
                                </w:p>
                              </w:tc>
                              <w:tc>
                                <w:tcPr>
                                  <w:tcW w:w="1641" w:type="dxa"/>
                                  <w:tcBorders>
                                    <w:top w:val="single" w:sz="4" w:space="0" w:color="000000"/>
                                    <w:bottom w:val="single" w:sz="4" w:space="0" w:color="000000"/>
                                  </w:tcBorders>
                                  <w:vAlign w:val="center"/>
                                </w:tcPr>
                                <w:p w14:paraId="71F5AC3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軟體園區與工業區</w:t>
                                  </w:r>
                                </w:p>
                              </w:tc>
                              <w:tc>
                                <w:tcPr>
                                  <w:tcW w:w="1954" w:type="dxa"/>
                                  <w:tcBorders>
                                    <w:top w:val="single" w:sz="4" w:space="0" w:color="000000"/>
                                    <w:bottom w:val="single" w:sz="4" w:space="0" w:color="000000"/>
                                  </w:tcBorders>
                                  <w:vAlign w:val="center"/>
                                </w:tcPr>
                                <w:p w14:paraId="78DBB55B"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經濟部</w:t>
                                  </w:r>
                                </w:p>
                              </w:tc>
                            </w:tr>
                            <w:tr w:rsidR="00F16CCC" w14:paraId="7956EA59" w14:textId="77777777" w:rsidTr="00C932FE">
                              <w:trPr>
                                <w:trHeight w:val="5"/>
                              </w:trPr>
                              <w:tc>
                                <w:tcPr>
                                  <w:tcW w:w="1103" w:type="dxa"/>
                                  <w:vMerge w:val="restart"/>
                                  <w:tcBorders>
                                    <w:top w:val="single" w:sz="4" w:space="0" w:color="000000"/>
                                  </w:tcBorders>
                                  <w:vAlign w:val="center"/>
                                </w:tcPr>
                                <w:p w14:paraId="09385133"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糧食</w:t>
                                  </w:r>
                                </w:p>
                              </w:tc>
                              <w:tc>
                                <w:tcPr>
                                  <w:tcW w:w="1237" w:type="dxa"/>
                                  <w:vMerge w:val="restart"/>
                                  <w:tcBorders>
                                    <w:top w:val="single" w:sz="4" w:space="0" w:color="000000"/>
                                  </w:tcBorders>
                                  <w:vAlign w:val="center"/>
                                </w:tcPr>
                                <w:p w14:paraId="508FB857"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農業部</w:t>
                                  </w:r>
                                </w:p>
                              </w:tc>
                              <w:tc>
                                <w:tcPr>
                                  <w:tcW w:w="1641" w:type="dxa"/>
                                  <w:tcBorders>
                                    <w:top w:val="single" w:sz="4" w:space="0" w:color="000000"/>
                                    <w:bottom w:val="single" w:sz="4" w:space="0" w:color="000000"/>
                                  </w:tcBorders>
                                  <w:vAlign w:val="center"/>
                                </w:tcPr>
                                <w:p w14:paraId="349FBEE4"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農糧</w:t>
                                  </w:r>
                                </w:p>
                              </w:tc>
                              <w:tc>
                                <w:tcPr>
                                  <w:tcW w:w="1954" w:type="dxa"/>
                                  <w:tcBorders>
                                    <w:top w:val="single" w:sz="4" w:space="0" w:color="000000"/>
                                    <w:bottom w:val="single" w:sz="4" w:space="0" w:color="000000"/>
                                  </w:tcBorders>
                                  <w:vAlign w:val="center"/>
                                </w:tcPr>
                                <w:p w14:paraId="6F6B1022"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農業部</w:t>
                                  </w:r>
                                </w:p>
                              </w:tc>
                            </w:tr>
                            <w:tr w:rsidR="00F16CCC" w14:paraId="77A0F5CA" w14:textId="77777777" w:rsidTr="00C932FE">
                              <w:trPr>
                                <w:trHeight w:val="5"/>
                              </w:trPr>
                              <w:tc>
                                <w:tcPr>
                                  <w:tcW w:w="1103" w:type="dxa"/>
                                  <w:vMerge/>
                                  <w:tcBorders>
                                    <w:bottom w:val="single" w:sz="4" w:space="0" w:color="000000"/>
                                  </w:tcBorders>
                                  <w:vAlign w:val="center"/>
                                </w:tcPr>
                                <w:p w14:paraId="16695E3B"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tcBorders>
                                    <w:bottom w:val="single" w:sz="4" w:space="0" w:color="000000"/>
                                  </w:tcBorders>
                                  <w:vAlign w:val="center"/>
                                </w:tcPr>
                                <w:p w14:paraId="6350C7B0"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2D09850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食品加工製造</w:t>
                                  </w:r>
                                </w:p>
                              </w:tc>
                              <w:tc>
                                <w:tcPr>
                                  <w:tcW w:w="1954" w:type="dxa"/>
                                  <w:tcBorders>
                                    <w:top w:val="single" w:sz="4" w:space="0" w:color="000000"/>
                                    <w:bottom w:val="single" w:sz="4" w:space="0" w:color="000000"/>
                                  </w:tcBorders>
                                  <w:vAlign w:val="center"/>
                                </w:tcPr>
                                <w:p w14:paraId="61403793"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經濟部</w:t>
                                  </w:r>
                                </w:p>
                              </w:tc>
                            </w:tr>
                          </w:tbl>
                          <w:p w14:paraId="75023C18" w14:textId="77777777" w:rsidR="00F16CCC" w:rsidRPr="005269CB" w:rsidRDefault="00F16CCC" w:rsidP="00F16CCC">
                            <w:pPr>
                              <w:spacing w:line="240" w:lineRule="exact"/>
                              <w:ind w:left="556" w:hanging="556"/>
                              <w:jc w:val="both"/>
                              <w:rPr>
                                <w:rFonts w:ascii="標楷體" w:eastAsia="標楷體" w:hAnsi="標楷體"/>
                                <w:snapToGrid w:val="0"/>
                                <w:sz w:val="18"/>
                                <w:szCs w:val="32"/>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整理自行政院國土安全政策會報網站。</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3C8D39FB" id="文字方塊 5" o:spid="_x0000_s1057" type="#_x0000_t202" style="position:absolute;left:0;text-align:left;margin-left:186.75pt;margin-top:113.3pt;width:309.6pt;height:421.8pt;z-index:251625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" stroked="f">
                <v:textbox>
                  <w:txbxContent>
                    <w:p w14:paraId="131DB86D" w14:textId="491A6FA2" w:rsidR="00F16CCC" w:rsidRDefault="00F16CCC" w:rsidP="00F16CCC">
                      <w:pPr>
                        <w:spacing w:afterLines="20" w:after="72" w:line="280" w:lineRule="exact"/>
                        <w:jc w:val="center"/>
                        <w:rPr>
                          <w:rFonts w:ascii="標楷體" w:eastAsia="標楷體" w:hAnsi="標楷體"/>
                          <w:b/>
                          <w:color w:val="FF0000"/>
                        </w:rPr>
                      </w:pPr>
                      <w:r>
                        <w:rPr>
                          <w:rFonts w:ascii="標楷體" w:eastAsia="標楷體" w:hAnsi="標楷體" w:hint="eastAsia"/>
                          <w:b/>
                          <w:bCs/>
                        </w:rPr>
                        <w:t>表1</w:t>
                      </w:r>
                      <w:r w:rsidR="006B021E">
                        <w:rPr>
                          <w:rFonts w:ascii="標楷體" w:eastAsia="標楷體" w:hAnsi="標楷體"/>
                          <w:b/>
                          <w:bCs/>
                        </w:rPr>
                        <w:t>4</w:t>
                      </w:r>
                      <w:r>
                        <w:rPr>
                          <w:rFonts w:ascii="標楷體" w:eastAsia="標楷體" w:hAnsi="標楷體" w:cs="新細明體" w:hint="eastAsia"/>
                          <w:b/>
                          <w:bCs/>
                          <w:color w:val="000000"/>
                        </w:rPr>
                        <w:t xml:space="preserve">　我國</w:t>
                      </w:r>
                      <w:r>
                        <w:rPr>
                          <w:rFonts w:ascii="標楷體" w:eastAsia="標楷體" w:hAnsi="標楷體" w:hint="eastAsia"/>
                          <w:b/>
                          <w:bCs/>
                          <w:color w:val="000000"/>
                        </w:rPr>
                        <w:t>關鍵基礎設施領域分類（114年2月）</w:t>
                      </w:r>
                    </w:p>
                    <w:tbl>
                      <w:tblPr>
                        <w:tblW w:w="5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3"/>
                        <w:gridCol w:w="1237"/>
                        <w:gridCol w:w="1641"/>
                        <w:gridCol w:w="1954"/>
                      </w:tblGrid>
                      <w:tr w:rsidR="00F16CCC" w14:paraId="263A4751" w14:textId="77777777" w:rsidTr="00612461">
                        <w:trPr>
                          <w:trHeight w:val="112"/>
                          <w:tblHeader/>
                        </w:trPr>
                        <w:tc>
                          <w:tcPr>
                            <w:tcW w:w="2340" w:type="dxa"/>
                            <w:gridSpan w:val="2"/>
                            <w:vAlign w:val="center"/>
                          </w:tcPr>
                          <w:p w14:paraId="7638D947" w14:textId="77777777" w:rsidR="00F16CCC" w:rsidRDefault="00F16CCC" w:rsidP="00D624C9">
                            <w:pPr>
                              <w:pStyle w:val="TableParagraph"/>
                              <w:spacing w:line="260" w:lineRule="exact"/>
                              <w:jc w:val="center"/>
                              <w:rPr>
                                <w:rFonts w:ascii="標楷體" w:eastAsia="標楷體" w:hAnsi="標楷體"/>
                                <w:sz w:val="20"/>
                                <w:szCs w:val="20"/>
                              </w:rPr>
                            </w:pPr>
                            <w:r>
                              <w:rPr>
                                <w:rFonts w:ascii="標楷體" w:eastAsia="標楷體" w:hAnsi="標楷體"/>
                                <w:sz w:val="20"/>
                                <w:szCs w:val="20"/>
                              </w:rPr>
                              <w:t>主領域</w:t>
                            </w:r>
                            <w:r>
                              <w:rPr>
                                <w:rFonts w:ascii="標楷體" w:eastAsia="標楷體" w:hAnsi="標楷體"/>
                                <w:spacing w:val="-5"/>
                                <w:sz w:val="20"/>
                                <w:szCs w:val="20"/>
                              </w:rPr>
                              <w:t>（9）</w:t>
                            </w:r>
                          </w:p>
                        </w:tc>
                        <w:tc>
                          <w:tcPr>
                            <w:tcW w:w="3595" w:type="dxa"/>
                            <w:gridSpan w:val="2"/>
                            <w:vAlign w:val="center"/>
                          </w:tcPr>
                          <w:p w14:paraId="7DF47505" w14:textId="77777777" w:rsidR="00F16CCC" w:rsidRDefault="00F16CCC" w:rsidP="00D624C9">
                            <w:pPr>
                              <w:pStyle w:val="TableParagraph"/>
                              <w:spacing w:line="260" w:lineRule="exact"/>
                              <w:jc w:val="center"/>
                              <w:rPr>
                                <w:rFonts w:ascii="標楷體" w:eastAsia="標楷體" w:hAnsi="標楷體"/>
                                <w:sz w:val="20"/>
                                <w:szCs w:val="20"/>
                              </w:rPr>
                            </w:pPr>
                            <w:r>
                              <w:rPr>
                                <w:rFonts w:ascii="標楷體" w:eastAsia="標楷體" w:hAnsi="標楷體"/>
                                <w:sz w:val="20"/>
                                <w:szCs w:val="20"/>
                              </w:rPr>
                              <w:t>次領域</w:t>
                            </w:r>
                            <w:r>
                              <w:rPr>
                                <w:rFonts w:ascii="標楷體" w:eastAsia="標楷體" w:hAnsi="標楷體"/>
                                <w:spacing w:val="-4"/>
                                <w:sz w:val="20"/>
                                <w:szCs w:val="20"/>
                              </w:rPr>
                              <w:t>（22）</w:t>
                            </w:r>
                          </w:p>
                        </w:tc>
                      </w:tr>
                      <w:tr w:rsidR="00F16CCC" w14:paraId="479E9E25" w14:textId="77777777" w:rsidTr="00C932FE">
                        <w:trPr>
                          <w:trHeight w:val="113"/>
                          <w:tblHeader/>
                        </w:trPr>
                        <w:tc>
                          <w:tcPr>
                            <w:tcW w:w="1103" w:type="dxa"/>
                            <w:vAlign w:val="center"/>
                          </w:tcPr>
                          <w:p w14:paraId="24CEA3B4" w14:textId="77777777" w:rsidR="00F16CCC" w:rsidRDefault="00F16CCC" w:rsidP="00D624C9">
                            <w:pPr>
                              <w:spacing w:line="260" w:lineRule="exact"/>
                              <w:jc w:val="center"/>
                              <w:rPr>
                                <w:rFonts w:ascii="標楷體" w:eastAsia="標楷體" w:hAnsi="標楷體"/>
                                <w:sz w:val="20"/>
                                <w:lang w:eastAsia="en-US"/>
                              </w:rPr>
                            </w:pPr>
                            <w:proofErr w:type="spellStart"/>
                            <w:r>
                              <w:rPr>
                                <w:rFonts w:ascii="標楷體" w:eastAsia="標楷體" w:hAnsi="標楷體"/>
                                <w:sz w:val="20"/>
                                <w:lang w:eastAsia="en-US"/>
                              </w:rPr>
                              <w:t>名稱</w:t>
                            </w:r>
                            <w:proofErr w:type="spellEnd"/>
                          </w:p>
                        </w:tc>
                        <w:tc>
                          <w:tcPr>
                            <w:tcW w:w="1237" w:type="dxa"/>
                            <w:vAlign w:val="center"/>
                          </w:tcPr>
                          <w:p w14:paraId="266AE97D" w14:textId="77777777" w:rsidR="00F16CCC" w:rsidRDefault="00F16CCC" w:rsidP="00D624C9">
                            <w:pPr>
                              <w:spacing w:line="260" w:lineRule="exact"/>
                              <w:jc w:val="center"/>
                              <w:rPr>
                                <w:rFonts w:ascii="標楷體" w:eastAsia="標楷體" w:hAnsi="標楷體"/>
                                <w:sz w:val="20"/>
                                <w:lang w:eastAsia="en-US"/>
                              </w:rPr>
                            </w:pPr>
                            <w:proofErr w:type="spellStart"/>
                            <w:r>
                              <w:rPr>
                                <w:rFonts w:ascii="標楷體" w:eastAsia="標楷體" w:hAnsi="標楷體"/>
                                <w:spacing w:val="-3"/>
                                <w:sz w:val="20"/>
                                <w:lang w:eastAsia="en-US"/>
                              </w:rPr>
                              <w:t>協調機關</w:t>
                            </w:r>
                            <w:proofErr w:type="spellEnd"/>
                          </w:p>
                        </w:tc>
                        <w:tc>
                          <w:tcPr>
                            <w:tcW w:w="1641" w:type="dxa"/>
                            <w:tcBorders>
                              <w:right w:val="single" w:sz="4" w:space="0" w:color="000000"/>
                            </w:tcBorders>
                            <w:vAlign w:val="center"/>
                          </w:tcPr>
                          <w:p w14:paraId="6E8C239E" w14:textId="77777777" w:rsidR="00F16CCC" w:rsidRDefault="00F16CCC" w:rsidP="00D624C9">
                            <w:pPr>
                              <w:spacing w:line="260" w:lineRule="exact"/>
                              <w:jc w:val="center"/>
                              <w:rPr>
                                <w:rFonts w:ascii="標楷體" w:eastAsia="標楷體" w:hAnsi="標楷體"/>
                                <w:sz w:val="20"/>
                                <w:lang w:eastAsia="en-US"/>
                              </w:rPr>
                            </w:pPr>
                            <w:proofErr w:type="spellStart"/>
                            <w:r>
                              <w:rPr>
                                <w:rFonts w:ascii="標楷體" w:eastAsia="標楷體" w:hAnsi="標楷體"/>
                                <w:sz w:val="20"/>
                                <w:lang w:eastAsia="en-US"/>
                              </w:rPr>
                              <w:t>名稱</w:t>
                            </w:r>
                            <w:proofErr w:type="spellEnd"/>
                          </w:p>
                        </w:tc>
                        <w:tc>
                          <w:tcPr>
                            <w:tcW w:w="1954" w:type="dxa"/>
                            <w:tcBorders>
                              <w:left w:val="single" w:sz="4" w:space="0" w:color="000000"/>
                            </w:tcBorders>
                            <w:vAlign w:val="center"/>
                          </w:tcPr>
                          <w:p w14:paraId="113F61FB" w14:textId="77777777" w:rsidR="00F16CCC" w:rsidRDefault="00F16CCC" w:rsidP="00D624C9">
                            <w:pPr>
                              <w:pStyle w:val="TableParagraph"/>
                              <w:spacing w:line="260" w:lineRule="exact"/>
                              <w:jc w:val="center"/>
                              <w:rPr>
                                <w:rFonts w:ascii="標楷體" w:eastAsia="標楷體" w:hAnsi="標楷體"/>
                                <w:sz w:val="20"/>
                                <w:szCs w:val="20"/>
                              </w:rPr>
                            </w:pPr>
                            <w:proofErr w:type="spellStart"/>
                            <w:r>
                              <w:rPr>
                                <w:rFonts w:ascii="標楷體" w:eastAsia="標楷體" w:hAnsi="標楷體"/>
                                <w:spacing w:val="-3"/>
                                <w:sz w:val="20"/>
                                <w:szCs w:val="20"/>
                              </w:rPr>
                              <w:t>主管機關</w:t>
                            </w:r>
                            <w:proofErr w:type="spellEnd"/>
                          </w:p>
                        </w:tc>
                      </w:tr>
                      <w:tr w:rsidR="00F16CCC" w14:paraId="04ECB5E2" w14:textId="77777777" w:rsidTr="00C932FE">
                        <w:trPr>
                          <w:trHeight w:val="253"/>
                        </w:trPr>
                        <w:tc>
                          <w:tcPr>
                            <w:tcW w:w="1103" w:type="dxa"/>
                            <w:vMerge w:val="restart"/>
                            <w:vAlign w:val="center"/>
                          </w:tcPr>
                          <w:p w14:paraId="2B25C19E"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能源</w:t>
                            </w:r>
                            <w:proofErr w:type="spellEnd"/>
                          </w:p>
                        </w:tc>
                        <w:tc>
                          <w:tcPr>
                            <w:tcW w:w="1237" w:type="dxa"/>
                            <w:vMerge w:val="restart"/>
                            <w:vAlign w:val="center"/>
                          </w:tcPr>
                          <w:p w14:paraId="62818B8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c>
                          <w:tcPr>
                            <w:tcW w:w="1641" w:type="dxa"/>
                            <w:vAlign w:val="center"/>
                          </w:tcPr>
                          <w:p w14:paraId="1ED1F483"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電力</w:t>
                            </w:r>
                            <w:proofErr w:type="spellEnd"/>
                          </w:p>
                        </w:tc>
                        <w:tc>
                          <w:tcPr>
                            <w:tcW w:w="1954" w:type="dxa"/>
                          </w:tcPr>
                          <w:p w14:paraId="779E09D9"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65DCFC3D" w14:textId="77777777" w:rsidTr="00C932FE">
                        <w:trPr>
                          <w:trHeight w:val="255"/>
                        </w:trPr>
                        <w:tc>
                          <w:tcPr>
                            <w:tcW w:w="1103" w:type="dxa"/>
                            <w:vMerge/>
                            <w:tcBorders>
                              <w:top w:val="none" w:sz="4" w:space="0" w:color="000000"/>
                            </w:tcBorders>
                            <w:vAlign w:val="center"/>
                          </w:tcPr>
                          <w:p w14:paraId="080A4FE2"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top w:val="none" w:sz="4" w:space="0" w:color="000000"/>
                            </w:tcBorders>
                            <w:vAlign w:val="center"/>
                          </w:tcPr>
                          <w:p w14:paraId="0EA74E19"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436BC303"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石油</w:t>
                            </w:r>
                            <w:proofErr w:type="spellEnd"/>
                          </w:p>
                        </w:tc>
                        <w:tc>
                          <w:tcPr>
                            <w:tcW w:w="1954" w:type="dxa"/>
                            <w:vAlign w:val="center"/>
                          </w:tcPr>
                          <w:p w14:paraId="1825313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20A3C5D4" w14:textId="77777777" w:rsidTr="00C932FE">
                        <w:trPr>
                          <w:trHeight w:val="255"/>
                        </w:trPr>
                        <w:tc>
                          <w:tcPr>
                            <w:tcW w:w="1103" w:type="dxa"/>
                            <w:vMerge/>
                            <w:tcBorders>
                              <w:top w:val="none" w:sz="4" w:space="0" w:color="000000"/>
                            </w:tcBorders>
                            <w:vAlign w:val="center"/>
                          </w:tcPr>
                          <w:p w14:paraId="69C5AF63"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top w:val="none" w:sz="4" w:space="0" w:color="000000"/>
                            </w:tcBorders>
                            <w:vAlign w:val="center"/>
                          </w:tcPr>
                          <w:p w14:paraId="5FE65323"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22104E51"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天然氣</w:t>
                            </w:r>
                            <w:proofErr w:type="spellEnd"/>
                          </w:p>
                        </w:tc>
                        <w:tc>
                          <w:tcPr>
                            <w:tcW w:w="1954" w:type="dxa"/>
                            <w:vAlign w:val="center"/>
                          </w:tcPr>
                          <w:p w14:paraId="669942C7"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70F247E7" w14:textId="77777777" w:rsidTr="00C932FE">
                        <w:trPr>
                          <w:trHeight w:val="255"/>
                        </w:trPr>
                        <w:tc>
                          <w:tcPr>
                            <w:tcW w:w="1103" w:type="dxa"/>
                            <w:vAlign w:val="center"/>
                          </w:tcPr>
                          <w:p w14:paraId="45E9215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水資源</w:t>
                            </w:r>
                            <w:proofErr w:type="spellEnd"/>
                          </w:p>
                        </w:tc>
                        <w:tc>
                          <w:tcPr>
                            <w:tcW w:w="1237" w:type="dxa"/>
                            <w:vAlign w:val="center"/>
                          </w:tcPr>
                          <w:p w14:paraId="1BB00F52"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c>
                          <w:tcPr>
                            <w:tcW w:w="1641" w:type="dxa"/>
                            <w:vAlign w:val="center"/>
                          </w:tcPr>
                          <w:p w14:paraId="4C489009"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供水</w:t>
                            </w:r>
                            <w:proofErr w:type="spellEnd"/>
                          </w:p>
                        </w:tc>
                        <w:tc>
                          <w:tcPr>
                            <w:tcW w:w="1954" w:type="dxa"/>
                            <w:vAlign w:val="center"/>
                          </w:tcPr>
                          <w:p w14:paraId="16CA7B8B"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經濟部</w:t>
                            </w:r>
                            <w:proofErr w:type="spellEnd"/>
                          </w:p>
                        </w:tc>
                      </w:tr>
                      <w:tr w:rsidR="00F16CCC" w14:paraId="4E7CC661" w14:textId="77777777" w:rsidTr="00C932FE">
                        <w:trPr>
                          <w:trHeight w:val="336"/>
                        </w:trPr>
                        <w:tc>
                          <w:tcPr>
                            <w:tcW w:w="1103" w:type="dxa"/>
                            <w:vMerge w:val="restart"/>
                            <w:vAlign w:val="center"/>
                          </w:tcPr>
                          <w:p w14:paraId="19BD62E7"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3"/>
                                <w:sz w:val="20"/>
                                <w:lang w:eastAsia="en-US"/>
                              </w:rPr>
                              <w:t>通訊傳播</w:t>
                            </w:r>
                            <w:proofErr w:type="spellEnd"/>
                          </w:p>
                        </w:tc>
                        <w:tc>
                          <w:tcPr>
                            <w:tcW w:w="1237" w:type="dxa"/>
                            <w:vMerge w:val="restart"/>
                            <w:vAlign w:val="center"/>
                          </w:tcPr>
                          <w:p w14:paraId="118806AC"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數位發展部</w:t>
                            </w:r>
                            <w:proofErr w:type="spellEnd"/>
                          </w:p>
                        </w:tc>
                        <w:tc>
                          <w:tcPr>
                            <w:tcW w:w="1641" w:type="dxa"/>
                            <w:vAlign w:val="center"/>
                          </w:tcPr>
                          <w:p w14:paraId="2A74A44A"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通訊</w:t>
                            </w:r>
                            <w:proofErr w:type="spellEnd"/>
                          </w:p>
                        </w:tc>
                        <w:tc>
                          <w:tcPr>
                            <w:tcW w:w="1954" w:type="dxa"/>
                            <w:vAlign w:val="center"/>
                          </w:tcPr>
                          <w:p w14:paraId="57CF8060"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數位發展部</w:t>
                            </w:r>
                            <w:proofErr w:type="spellEnd"/>
                          </w:p>
                        </w:tc>
                      </w:tr>
                      <w:tr w:rsidR="00F16CCC" w14:paraId="5859A539" w14:textId="77777777" w:rsidTr="00C932FE">
                        <w:trPr>
                          <w:trHeight w:val="255"/>
                        </w:trPr>
                        <w:tc>
                          <w:tcPr>
                            <w:tcW w:w="1103" w:type="dxa"/>
                            <w:vMerge/>
                            <w:tcBorders>
                              <w:top w:val="none" w:sz="4" w:space="0" w:color="000000"/>
                            </w:tcBorders>
                            <w:vAlign w:val="center"/>
                          </w:tcPr>
                          <w:p w14:paraId="23D35979"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top w:val="none" w:sz="4" w:space="0" w:color="000000"/>
                            </w:tcBorders>
                            <w:vAlign w:val="center"/>
                          </w:tcPr>
                          <w:p w14:paraId="7E1C2F73"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1A554D55"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傳播</w:t>
                            </w:r>
                            <w:proofErr w:type="spellEnd"/>
                          </w:p>
                        </w:tc>
                        <w:tc>
                          <w:tcPr>
                            <w:tcW w:w="1954" w:type="dxa"/>
                            <w:vAlign w:val="center"/>
                          </w:tcPr>
                          <w:p w14:paraId="558487C6"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數位發展部</w:t>
                            </w:r>
                            <w:proofErr w:type="spellEnd"/>
                          </w:p>
                        </w:tc>
                      </w:tr>
                      <w:tr w:rsidR="00F16CCC" w14:paraId="11FD7924" w14:textId="77777777" w:rsidTr="00C932FE">
                        <w:trPr>
                          <w:trHeight w:val="419"/>
                        </w:trPr>
                        <w:tc>
                          <w:tcPr>
                            <w:tcW w:w="1103" w:type="dxa"/>
                            <w:vMerge w:val="restart"/>
                            <w:vAlign w:val="center"/>
                          </w:tcPr>
                          <w:p w14:paraId="022463F0"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交通</w:t>
                            </w:r>
                            <w:proofErr w:type="spellEnd"/>
                          </w:p>
                        </w:tc>
                        <w:tc>
                          <w:tcPr>
                            <w:tcW w:w="1237" w:type="dxa"/>
                            <w:vMerge w:val="restart"/>
                            <w:vAlign w:val="center"/>
                          </w:tcPr>
                          <w:p w14:paraId="491A94B3"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c>
                          <w:tcPr>
                            <w:tcW w:w="1641" w:type="dxa"/>
                            <w:vAlign w:val="center"/>
                          </w:tcPr>
                          <w:p w14:paraId="1BC77ECF"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陸運</w:t>
                            </w:r>
                            <w:proofErr w:type="spellEnd"/>
                          </w:p>
                        </w:tc>
                        <w:tc>
                          <w:tcPr>
                            <w:tcW w:w="1954" w:type="dxa"/>
                            <w:vAlign w:val="center"/>
                          </w:tcPr>
                          <w:p w14:paraId="4F588545"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r>
                      <w:tr w:rsidR="00F16CCC" w14:paraId="042D65D6" w14:textId="77777777" w:rsidTr="00C932FE">
                        <w:trPr>
                          <w:trHeight w:val="255"/>
                        </w:trPr>
                        <w:tc>
                          <w:tcPr>
                            <w:tcW w:w="1103" w:type="dxa"/>
                            <w:vMerge/>
                            <w:vAlign w:val="center"/>
                          </w:tcPr>
                          <w:p w14:paraId="441D2216" w14:textId="77777777" w:rsidR="00F16CCC" w:rsidRDefault="00F16CCC" w:rsidP="00D624C9">
                            <w:pPr>
                              <w:spacing w:line="260" w:lineRule="exact"/>
                              <w:jc w:val="both"/>
                              <w:rPr>
                                <w:rFonts w:ascii="標楷體" w:eastAsia="標楷體" w:hAnsi="標楷體"/>
                                <w:sz w:val="20"/>
                                <w:lang w:eastAsia="en-US"/>
                              </w:rPr>
                            </w:pPr>
                          </w:p>
                        </w:tc>
                        <w:tc>
                          <w:tcPr>
                            <w:tcW w:w="1237" w:type="dxa"/>
                            <w:vMerge/>
                            <w:vAlign w:val="center"/>
                          </w:tcPr>
                          <w:p w14:paraId="2CB16ED3" w14:textId="77777777" w:rsidR="00F16CCC" w:rsidRDefault="00F16CCC" w:rsidP="00D624C9">
                            <w:pPr>
                              <w:spacing w:line="260" w:lineRule="exact"/>
                              <w:jc w:val="both"/>
                              <w:rPr>
                                <w:rFonts w:ascii="標楷體" w:eastAsia="標楷體" w:hAnsi="標楷體"/>
                                <w:sz w:val="20"/>
                                <w:lang w:eastAsia="en-US"/>
                              </w:rPr>
                            </w:pPr>
                          </w:p>
                        </w:tc>
                        <w:tc>
                          <w:tcPr>
                            <w:tcW w:w="1641" w:type="dxa"/>
                            <w:vAlign w:val="center"/>
                          </w:tcPr>
                          <w:p w14:paraId="2DF55D69"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海運</w:t>
                            </w:r>
                            <w:proofErr w:type="spellEnd"/>
                          </w:p>
                        </w:tc>
                        <w:tc>
                          <w:tcPr>
                            <w:tcW w:w="1954" w:type="dxa"/>
                            <w:vAlign w:val="center"/>
                          </w:tcPr>
                          <w:p w14:paraId="390D46EF" w14:textId="77777777" w:rsidR="00F16CCC" w:rsidRDefault="00F16CCC" w:rsidP="00D624C9">
                            <w:pPr>
                              <w:spacing w:line="260" w:lineRule="exact"/>
                              <w:jc w:val="both"/>
                              <w:rPr>
                                <w:rFonts w:ascii="標楷體" w:eastAsia="標楷體" w:hAnsi="標楷體"/>
                                <w:spacing w:val="-4"/>
                                <w:sz w:val="20"/>
                              </w:rPr>
                            </w:pPr>
                            <w:r>
                              <w:rPr>
                                <w:rFonts w:ascii="標楷體" w:eastAsia="標楷體" w:hAnsi="標楷體"/>
                                <w:spacing w:val="-4"/>
                                <w:sz w:val="20"/>
                              </w:rPr>
                              <w:t>交通部、經濟部、</w:t>
                            </w:r>
                          </w:p>
                          <w:p w14:paraId="4D6704BB" w14:textId="77777777" w:rsidR="00F16CCC" w:rsidRDefault="00F16CCC" w:rsidP="00D624C9">
                            <w:pPr>
                              <w:spacing w:line="260" w:lineRule="exact"/>
                              <w:jc w:val="both"/>
                              <w:rPr>
                                <w:rFonts w:ascii="標楷體" w:eastAsia="標楷體" w:hAnsi="標楷體"/>
                                <w:sz w:val="20"/>
                              </w:rPr>
                            </w:pPr>
                            <w:r>
                              <w:rPr>
                                <w:rFonts w:ascii="標楷體" w:eastAsia="標楷體" w:hAnsi="標楷體"/>
                                <w:spacing w:val="-4"/>
                                <w:sz w:val="20"/>
                              </w:rPr>
                              <w:t>農業部</w:t>
                            </w:r>
                          </w:p>
                        </w:tc>
                      </w:tr>
                      <w:tr w:rsidR="00F16CCC" w14:paraId="63B0E7C2" w14:textId="77777777" w:rsidTr="00C932FE">
                        <w:trPr>
                          <w:trHeight w:val="255"/>
                        </w:trPr>
                        <w:tc>
                          <w:tcPr>
                            <w:tcW w:w="1103" w:type="dxa"/>
                            <w:vMerge/>
                            <w:vAlign w:val="center"/>
                          </w:tcPr>
                          <w:p w14:paraId="5CA8656F" w14:textId="77777777" w:rsidR="00F16CCC" w:rsidRDefault="00F16CCC" w:rsidP="00D624C9">
                            <w:pPr>
                              <w:spacing w:line="260" w:lineRule="exact"/>
                              <w:jc w:val="both"/>
                              <w:rPr>
                                <w:rFonts w:ascii="標楷體" w:eastAsia="標楷體" w:hAnsi="標楷體"/>
                                <w:sz w:val="20"/>
                              </w:rPr>
                            </w:pPr>
                          </w:p>
                        </w:tc>
                        <w:tc>
                          <w:tcPr>
                            <w:tcW w:w="1237" w:type="dxa"/>
                            <w:vMerge/>
                            <w:vAlign w:val="center"/>
                          </w:tcPr>
                          <w:p w14:paraId="434830FC" w14:textId="77777777" w:rsidR="00F16CCC" w:rsidRDefault="00F16CCC" w:rsidP="00D624C9">
                            <w:pPr>
                              <w:spacing w:line="260" w:lineRule="exact"/>
                              <w:jc w:val="both"/>
                              <w:rPr>
                                <w:rFonts w:ascii="標楷體" w:eastAsia="標楷體" w:hAnsi="標楷體"/>
                                <w:sz w:val="20"/>
                              </w:rPr>
                            </w:pPr>
                          </w:p>
                        </w:tc>
                        <w:tc>
                          <w:tcPr>
                            <w:tcW w:w="1641" w:type="dxa"/>
                            <w:tcBorders>
                              <w:bottom w:val="single" w:sz="4" w:space="0" w:color="000000"/>
                            </w:tcBorders>
                            <w:vAlign w:val="center"/>
                          </w:tcPr>
                          <w:p w14:paraId="438C0F56"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空運</w:t>
                            </w:r>
                            <w:proofErr w:type="spellEnd"/>
                          </w:p>
                        </w:tc>
                        <w:tc>
                          <w:tcPr>
                            <w:tcW w:w="1954" w:type="dxa"/>
                            <w:vAlign w:val="center"/>
                          </w:tcPr>
                          <w:p w14:paraId="6F351D46"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r>
                      <w:tr w:rsidR="00F16CCC" w14:paraId="4F4A1AC4" w14:textId="77777777" w:rsidTr="00C932FE">
                        <w:trPr>
                          <w:trHeight w:val="336"/>
                        </w:trPr>
                        <w:tc>
                          <w:tcPr>
                            <w:tcW w:w="1103" w:type="dxa"/>
                            <w:vMerge/>
                            <w:tcBorders>
                              <w:bottom w:val="single" w:sz="4" w:space="0" w:color="000000"/>
                            </w:tcBorders>
                            <w:vAlign w:val="center"/>
                          </w:tcPr>
                          <w:p w14:paraId="14B7FBE2" w14:textId="77777777" w:rsidR="00F16CCC" w:rsidRDefault="00F16CCC" w:rsidP="00D624C9">
                            <w:pPr>
                              <w:spacing w:line="260" w:lineRule="exact"/>
                              <w:jc w:val="both"/>
                              <w:rPr>
                                <w:rFonts w:ascii="標楷體" w:eastAsia="標楷體" w:hAnsi="標楷體"/>
                                <w:sz w:val="20"/>
                                <w:lang w:eastAsia="en-US"/>
                              </w:rPr>
                            </w:pPr>
                          </w:p>
                        </w:tc>
                        <w:tc>
                          <w:tcPr>
                            <w:tcW w:w="1237" w:type="dxa"/>
                            <w:vMerge/>
                            <w:tcBorders>
                              <w:bottom w:val="single" w:sz="4" w:space="0" w:color="000000"/>
                            </w:tcBorders>
                            <w:vAlign w:val="center"/>
                          </w:tcPr>
                          <w:p w14:paraId="7146D0FC" w14:textId="77777777" w:rsidR="00F16CCC" w:rsidRDefault="00F16CCC" w:rsidP="00D624C9">
                            <w:pPr>
                              <w:spacing w:line="260" w:lineRule="exact"/>
                              <w:jc w:val="both"/>
                              <w:rPr>
                                <w:rFonts w:ascii="標楷體" w:eastAsia="標楷體" w:hAnsi="標楷體"/>
                                <w:sz w:val="20"/>
                                <w:lang w:eastAsia="en-US"/>
                              </w:rPr>
                            </w:pPr>
                          </w:p>
                        </w:tc>
                        <w:tc>
                          <w:tcPr>
                            <w:tcW w:w="1641" w:type="dxa"/>
                            <w:tcBorders>
                              <w:top w:val="single" w:sz="4" w:space="0" w:color="000000"/>
                              <w:bottom w:val="single" w:sz="4" w:space="0" w:color="000000"/>
                            </w:tcBorders>
                            <w:vAlign w:val="center"/>
                          </w:tcPr>
                          <w:p w14:paraId="44CC431D"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z w:val="20"/>
                                <w:lang w:eastAsia="en-US"/>
                              </w:rPr>
                              <w:t>氣象</w:t>
                            </w:r>
                            <w:proofErr w:type="spellEnd"/>
                          </w:p>
                        </w:tc>
                        <w:tc>
                          <w:tcPr>
                            <w:tcW w:w="1954" w:type="dxa"/>
                            <w:tcBorders>
                              <w:bottom w:val="single" w:sz="4" w:space="0" w:color="000000"/>
                            </w:tcBorders>
                            <w:vAlign w:val="center"/>
                          </w:tcPr>
                          <w:p w14:paraId="6B379B34" w14:textId="77777777" w:rsidR="00F16CCC" w:rsidRDefault="00F16CCC" w:rsidP="00D624C9">
                            <w:pPr>
                              <w:spacing w:line="260" w:lineRule="exact"/>
                              <w:jc w:val="both"/>
                              <w:rPr>
                                <w:rFonts w:ascii="標楷體" w:eastAsia="標楷體" w:hAnsi="標楷體"/>
                                <w:sz w:val="20"/>
                                <w:lang w:eastAsia="en-US"/>
                              </w:rPr>
                            </w:pPr>
                            <w:proofErr w:type="spellStart"/>
                            <w:r>
                              <w:rPr>
                                <w:rFonts w:ascii="標楷體" w:eastAsia="標楷體" w:hAnsi="標楷體"/>
                                <w:spacing w:val="-4"/>
                                <w:sz w:val="20"/>
                                <w:lang w:eastAsia="en-US"/>
                              </w:rPr>
                              <w:t>交通部</w:t>
                            </w:r>
                            <w:proofErr w:type="spellEnd"/>
                          </w:p>
                        </w:tc>
                      </w:tr>
                      <w:tr w:rsidR="00F16CCC" w14:paraId="10081762" w14:textId="77777777" w:rsidTr="00C932FE">
                        <w:trPr>
                          <w:trHeight w:val="5"/>
                        </w:trPr>
                        <w:tc>
                          <w:tcPr>
                            <w:tcW w:w="1103" w:type="dxa"/>
                            <w:vMerge w:val="restart"/>
                            <w:tcBorders>
                              <w:top w:val="single" w:sz="4" w:space="0" w:color="000000"/>
                            </w:tcBorders>
                            <w:vAlign w:val="center"/>
                          </w:tcPr>
                          <w:p w14:paraId="68F1BB39" w14:textId="77777777"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金融</w:t>
                            </w:r>
                            <w:proofErr w:type="spellEnd"/>
                          </w:p>
                        </w:tc>
                        <w:tc>
                          <w:tcPr>
                            <w:tcW w:w="1237" w:type="dxa"/>
                            <w:vMerge w:val="restart"/>
                            <w:tcBorders>
                              <w:top w:val="single" w:sz="4" w:space="0" w:color="000000"/>
                            </w:tcBorders>
                            <w:vAlign w:val="center"/>
                          </w:tcPr>
                          <w:p w14:paraId="3D40BAA5" w14:textId="77777777" w:rsidR="007C38BE"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金融監督管</w:t>
                            </w:r>
                            <w:proofErr w:type="spellEnd"/>
                          </w:p>
                          <w:p w14:paraId="1CA87ABC" w14:textId="4E701775"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理委員會</w:t>
                            </w:r>
                            <w:proofErr w:type="spellEnd"/>
                          </w:p>
                        </w:tc>
                        <w:tc>
                          <w:tcPr>
                            <w:tcW w:w="1641" w:type="dxa"/>
                            <w:tcBorders>
                              <w:top w:val="single" w:sz="4" w:space="0" w:color="000000"/>
                              <w:bottom w:val="single" w:sz="4" w:space="0" w:color="000000"/>
                            </w:tcBorders>
                            <w:vAlign w:val="center"/>
                          </w:tcPr>
                          <w:p w14:paraId="06794FE6" w14:textId="77777777"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銀行</w:t>
                            </w:r>
                            <w:proofErr w:type="spellEnd"/>
                          </w:p>
                        </w:tc>
                        <w:tc>
                          <w:tcPr>
                            <w:tcW w:w="1954" w:type="dxa"/>
                            <w:tcBorders>
                              <w:top w:val="single" w:sz="4" w:space="0" w:color="000000"/>
                              <w:bottom w:val="single" w:sz="4" w:space="0" w:color="000000"/>
                            </w:tcBorders>
                            <w:vAlign w:val="center"/>
                          </w:tcPr>
                          <w:p w14:paraId="76FAD69C" w14:textId="7FE924A6" w:rsidR="00F16CCC" w:rsidRDefault="00F16CCC" w:rsidP="00D624C9">
                            <w:pPr>
                              <w:spacing w:line="260" w:lineRule="exact"/>
                              <w:jc w:val="both"/>
                              <w:rPr>
                                <w:rFonts w:ascii="標楷體" w:eastAsia="標楷體" w:hAnsi="標楷體"/>
                                <w:spacing w:val="-3"/>
                                <w:sz w:val="20"/>
                              </w:rPr>
                            </w:pPr>
                            <w:r>
                              <w:rPr>
                                <w:rFonts w:ascii="標楷體" w:eastAsia="標楷體" w:hAnsi="標楷體"/>
                                <w:spacing w:val="-3"/>
                                <w:sz w:val="20"/>
                              </w:rPr>
                              <w:t>金融監督管理</w:t>
                            </w:r>
                            <w:r w:rsidR="00C932FE">
                              <w:rPr>
                                <w:rFonts w:ascii="標楷體" w:eastAsia="標楷體" w:hAnsi="標楷體"/>
                                <w:spacing w:val="-3"/>
                                <w:sz w:val="20"/>
                              </w:rPr>
                              <w:t>委員會</w:t>
                            </w:r>
                            <w:r>
                              <w:rPr>
                                <w:rFonts w:ascii="標楷體" w:eastAsia="標楷體" w:hAnsi="標楷體"/>
                                <w:spacing w:val="-3"/>
                                <w:sz w:val="20"/>
                              </w:rPr>
                              <w:t>、交通部</w:t>
                            </w:r>
                          </w:p>
                        </w:tc>
                      </w:tr>
                      <w:tr w:rsidR="00F16CCC" w14:paraId="467BBF1B" w14:textId="77777777" w:rsidTr="00C932FE">
                        <w:trPr>
                          <w:trHeight w:val="5"/>
                        </w:trPr>
                        <w:tc>
                          <w:tcPr>
                            <w:tcW w:w="1103" w:type="dxa"/>
                            <w:vMerge/>
                            <w:vAlign w:val="center"/>
                          </w:tcPr>
                          <w:p w14:paraId="2175D60E" w14:textId="77777777" w:rsidR="00F16CCC" w:rsidRDefault="00F16CCC" w:rsidP="00D624C9">
                            <w:pPr>
                              <w:spacing w:line="260" w:lineRule="exact"/>
                              <w:jc w:val="both"/>
                              <w:rPr>
                                <w:rFonts w:ascii="標楷體" w:eastAsia="標楷體" w:hAnsi="標楷體"/>
                                <w:spacing w:val="-4"/>
                                <w:sz w:val="20"/>
                              </w:rPr>
                            </w:pPr>
                          </w:p>
                        </w:tc>
                        <w:tc>
                          <w:tcPr>
                            <w:tcW w:w="1237" w:type="dxa"/>
                            <w:vMerge/>
                            <w:vAlign w:val="center"/>
                          </w:tcPr>
                          <w:p w14:paraId="40A1AD8E" w14:textId="77777777" w:rsidR="00F16CCC" w:rsidRDefault="00F16CCC" w:rsidP="00D624C9">
                            <w:pPr>
                              <w:spacing w:line="260" w:lineRule="exact"/>
                              <w:jc w:val="both"/>
                              <w:rPr>
                                <w:rFonts w:ascii="標楷體" w:eastAsia="標楷體" w:hAnsi="標楷體"/>
                                <w:spacing w:val="-4"/>
                                <w:sz w:val="20"/>
                              </w:rPr>
                            </w:pPr>
                          </w:p>
                        </w:tc>
                        <w:tc>
                          <w:tcPr>
                            <w:tcW w:w="1641" w:type="dxa"/>
                            <w:tcBorders>
                              <w:top w:val="single" w:sz="4" w:space="0" w:color="000000"/>
                              <w:bottom w:val="single" w:sz="4" w:space="0" w:color="000000"/>
                            </w:tcBorders>
                            <w:vAlign w:val="center"/>
                          </w:tcPr>
                          <w:p w14:paraId="158BEB98"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證券</w:t>
                            </w:r>
                          </w:p>
                        </w:tc>
                        <w:tc>
                          <w:tcPr>
                            <w:tcW w:w="1954" w:type="dxa"/>
                            <w:tcBorders>
                              <w:top w:val="single" w:sz="4" w:space="0" w:color="000000"/>
                              <w:bottom w:val="single" w:sz="4" w:space="0" w:color="000000"/>
                            </w:tcBorders>
                            <w:vAlign w:val="center"/>
                          </w:tcPr>
                          <w:p w14:paraId="33D9D2E1" w14:textId="79B7C980" w:rsidR="00F16CCC" w:rsidRDefault="00F16CCC" w:rsidP="00D624C9">
                            <w:pPr>
                              <w:spacing w:line="260" w:lineRule="exact"/>
                              <w:jc w:val="both"/>
                              <w:rPr>
                                <w:rFonts w:ascii="標楷體" w:eastAsia="標楷體" w:hAnsi="標楷體"/>
                                <w:spacing w:val="-3"/>
                                <w:sz w:val="20"/>
                                <w:lang w:eastAsia="en-US"/>
                              </w:rPr>
                            </w:pPr>
                            <w:proofErr w:type="spellStart"/>
                            <w:r>
                              <w:rPr>
                                <w:rFonts w:ascii="標楷體" w:eastAsia="標楷體" w:hAnsi="標楷體"/>
                                <w:spacing w:val="-3"/>
                                <w:sz w:val="20"/>
                                <w:lang w:eastAsia="en-US"/>
                              </w:rPr>
                              <w:t>金融監督管理</w:t>
                            </w:r>
                            <w:r w:rsidR="00C932FE">
                              <w:rPr>
                                <w:rFonts w:ascii="標楷體" w:eastAsia="標楷體" w:hAnsi="標楷體"/>
                                <w:spacing w:val="-3"/>
                                <w:sz w:val="20"/>
                                <w:lang w:eastAsia="en-US"/>
                              </w:rPr>
                              <w:t>委員會</w:t>
                            </w:r>
                            <w:proofErr w:type="spellEnd"/>
                          </w:p>
                        </w:tc>
                      </w:tr>
                      <w:tr w:rsidR="00F16CCC" w14:paraId="6E139CA5" w14:textId="77777777" w:rsidTr="00C932FE">
                        <w:trPr>
                          <w:trHeight w:val="5"/>
                        </w:trPr>
                        <w:tc>
                          <w:tcPr>
                            <w:tcW w:w="1103" w:type="dxa"/>
                            <w:vMerge/>
                            <w:tcBorders>
                              <w:bottom w:val="single" w:sz="4" w:space="0" w:color="000000"/>
                            </w:tcBorders>
                            <w:vAlign w:val="center"/>
                          </w:tcPr>
                          <w:p w14:paraId="145F3F96"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tcBorders>
                              <w:bottom w:val="single" w:sz="4" w:space="0" w:color="000000"/>
                            </w:tcBorders>
                            <w:vAlign w:val="center"/>
                          </w:tcPr>
                          <w:p w14:paraId="251709A0"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7FD91870"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金融支付</w:t>
                            </w:r>
                          </w:p>
                        </w:tc>
                        <w:tc>
                          <w:tcPr>
                            <w:tcW w:w="1954" w:type="dxa"/>
                            <w:tcBorders>
                              <w:top w:val="single" w:sz="4" w:space="0" w:color="000000"/>
                              <w:bottom w:val="single" w:sz="4" w:space="0" w:color="000000"/>
                            </w:tcBorders>
                            <w:vAlign w:val="center"/>
                          </w:tcPr>
                          <w:p w14:paraId="468B6E4F"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3"/>
                                <w:sz w:val="20"/>
                                <w:lang w:eastAsia="en-US"/>
                              </w:rPr>
                              <w:t>中央銀行</w:t>
                            </w:r>
                          </w:p>
                        </w:tc>
                      </w:tr>
                      <w:tr w:rsidR="00F16CCC" w14:paraId="233C67BC" w14:textId="77777777" w:rsidTr="00C932FE">
                        <w:trPr>
                          <w:trHeight w:val="5"/>
                        </w:trPr>
                        <w:tc>
                          <w:tcPr>
                            <w:tcW w:w="1103" w:type="dxa"/>
                            <w:vMerge w:val="restart"/>
                            <w:tcBorders>
                              <w:top w:val="single" w:sz="4" w:space="0" w:color="000000"/>
                            </w:tcBorders>
                            <w:vAlign w:val="center"/>
                          </w:tcPr>
                          <w:p w14:paraId="016D5EE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緊急救援與醫院</w:t>
                            </w:r>
                          </w:p>
                        </w:tc>
                        <w:tc>
                          <w:tcPr>
                            <w:tcW w:w="1237" w:type="dxa"/>
                            <w:vMerge w:val="restart"/>
                            <w:tcBorders>
                              <w:top w:val="single" w:sz="4" w:space="0" w:color="000000"/>
                            </w:tcBorders>
                            <w:vAlign w:val="center"/>
                          </w:tcPr>
                          <w:p w14:paraId="5BDD97CE"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衛生福利部</w:t>
                            </w:r>
                          </w:p>
                        </w:tc>
                        <w:tc>
                          <w:tcPr>
                            <w:tcW w:w="1641" w:type="dxa"/>
                            <w:tcBorders>
                              <w:top w:val="single" w:sz="4" w:space="0" w:color="000000"/>
                              <w:bottom w:val="single" w:sz="4" w:space="0" w:color="000000"/>
                            </w:tcBorders>
                            <w:vAlign w:val="center"/>
                          </w:tcPr>
                          <w:p w14:paraId="5F15B145"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醫療照護</w:t>
                            </w:r>
                          </w:p>
                        </w:tc>
                        <w:tc>
                          <w:tcPr>
                            <w:tcW w:w="1954" w:type="dxa"/>
                            <w:vMerge w:val="restart"/>
                            <w:tcBorders>
                              <w:top w:val="single" w:sz="4" w:space="0" w:color="000000"/>
                            </w:tcBorders>
                            <w:vAlign w:val="center"/>
                          </w:tcPr>
                          <w:p w14:paraId="5E3E9DE6"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衛生福利部</w:t>
                            </w:r>
                          </w:p>
                        </w:tc>
                      </w:tr>
                      <w:tr w:rsidR="00F16CCC" w14:paraId="3B5E55DB" w14:textId="77777777" w:rsidTr="00C932FE">
                        <w:trPr>
                          <w:trHeight w:val="5"/>
                        </w:trPr>
                        <w:tc>
                          <w:tcPr>
                            <w:tcW w:w="1103" w:type="dxa"/>
                            <w:vMerge/>
                            <w:vAlign w:val="center"/>
                          </w:tcPr>
                          <w:p w14:paraId="5F644F57"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vAlign w:val="center"/>
                          </w:tcPr>
                          <w:p w14:paraId="2644B7B7"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3548ABAB"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疾病管制</w:t>
                            </w:r>
                          </w:p>
                        </w:tc>
                        <w:tc>
                          <w:tcPr>
                            <w:tcW w:w="1954" w:type="dxa"/>
                            <w:vMerge/>
                            <w:tcBorders>
                              <w:bottom w:val="single" w:sz="4" w:space="0" w:color="000000"/>
                            </w:tcBorders>
                            <w:vAlign w:val="center"/>
                          </w:tcPr>
                          <w:p w14:paraId="3FEE7DD6" w14:textId="77777777" w:rsidR="00F16CCC" w:rsidRDefault="00F16CCC" w:rsidP="00D624C9">
                            <w:pPr>
                              <w:spacing w:line="260" w:lineRule="exact"/>
                              <w:jc w:val="both"/>
                              <w:rPr>
                                <w:rFonts w:ascii="標楷體" w:eastAsia="標楷體" w:hAnsi="標楷體"/>
                                <w:sz w:val="20"/>
                                <w:lang w:eastAsia="en-US"/>
                              </w:rPr>
                            </w:pPr>
                          </w:p>
                        </w:tc>
                      </w:tr>
                      <w:tr w:rsidR="00F16CCC" w14:paraId="3AE1003A" w14:textId="77777777" w:rsidTr="00C932FE">
                        <w:trPr>
                          <w:trHeight w:val="5"/>
                        </w:trPr>
                        <w:tc>
                          <w:tcPr>
                            <w:tcW w:w="1103" w:type="dxa"/>
                            <w:vMerge/>
                            <w:tcBorders>
                              <w:bottom w:val="single" w:sz="4" w:space="0" w:color="000000"/>
                            </w:tcBorders>
                            <w:vAlign w:val="center"/>
                          </w:tcPr>
                          <w:p w14:paraId="2D10879B"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tcBorders>
                              <w:bottom w:val="single" w:sz="4" w:space="0" w:color="000000"/>
                            </w:tcBorders>
                            <w:vAlign w:val="center"/>
                          </w:tcPr>
                          <w:p w14:paraId="6E2EFF00"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1BF99DF6"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緊急應變體系</w:t>
                            </w:r>
                          </w:p>
                        </w:tc>
                        <w:tc>
                          <w:tcPr>
                            <w:tcW w:w="1954" w:type="dxa"/>
                            <w:tcBorders>
                              <w:top w:val="single" w:sz="4" w:space="0" w:color="000000"/>
                              <w:bottom w:val="single" w:sz="4" w:space="0" w:color="000000"/>
                            </w:tcBorders>
                            <w:vAlign w:val="center"/>
                          </w:tcPr>
                          <w:p w14:paraId="522D9CB0"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內政部</w:t>
                            </w:r>
                          </w:p>
                        </w:tc>
                      </w:tr>
                      <w:tr w:rsidR="00F16CCC" w14:paraId="1195F428" w14:textId="77777777" w:rsidTr="00C932FE">
                        <w:trPr>
                          <w:trHeight w:val="5"/>
                        </w:trPr>
                        <w:tc>
                          <w:tcPr>
                            <w:tcW w:w="1103" w:type="dxa"/>
                            <w:vMerge w:val="restart"/>
                            <w:tcBorders>
                              <w:top w:val="single" w:sz="4" w:space="0" w:color="000000"/>
                            </w:tcBorders>
                            <w:vAlign w:val="center"/>
                          </w:tcPr>
                          <w:p w14:paraId="64D28750"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政府機關</w:t>
                            </w:r>
                          </w:p>
                        </w:tc>
                        <w:tc>
                          <w:tcPr>
                            <w:tcW w:w="1237" w:type="dxa"/>
                            <w:tcBorders>
                              <w:top w:val="single" w:sz="4" w:space="0" w:color="000000"/>
                              <w:bottom w:val="single" w:sz="4" w:space="0" w:color="000000"/>
                            </w:tcBorders>
                            <w:vAlign w:val="center"/>
                          </w:tcPr>
                          <w:p w14:paraId="341DE78E" w14:textId="77777777" w:rsidR="007C38BE"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國土安全辦</w:t>
                            </w:r>
                            <w:proofErr w:type="spellEnd"/>
                          </w:p>
                          <w:p w14:paraId="7B9DE485" w14:textId="6A720B06" w:rsidR="00F16CCC" w:rsidRDefault="00F16CCC" w:rsidP="00D624C9">
                            <w:pPr>
                              <w:spacing w:line="260" w:lineRule="exact"/>
                              <w:jc w:val="both"/>
                              <w:rPr>
                                <w:rFonts w:ascii="標楷體" w:eastAsia="標楷體" w:hAnsi="標楷體"/>
                                <w:spacing w:val="-4"/>
                                <w:sz w:val="20"/>
                                <w:lang w:eastAsia="en-US"/>
                              </w:rPr>
                            </w:pPr>
                            <w:proofErr w:type="spellStart"/>
                            <w:r>
                              <w:rPr>
                                <w:rFonts w:ascii="標楷體" w:eastAsia="標楷體" w:hAnsi="標楷體"/>
                                <w:spacing w:val="-4"/>
                                <w:sz w:val="20"/>
                                <w:lang w:eastAsia="en-US"/>
                              </w:rPr>
                              <w:t>公室</w:t>
                            </w:r>
                            <w:proofErr w:type="spellEnd"/>
                          </w:p>
                        </w:tc>
                        <w:tc>
                          <w:tcPr>
                            <w:tcW w:w="1641" w:type="dxa"/>
                            <w:tcBorders>
                              <w:top w:val="single" w:sz="4" w:space="0" w:color="000000"/>
                              <w:bottom w:val="single" w:sz="4" w:space="0" w:color="000000"/>
                            </w:tcBorders>
                            <w:vAlign w:val="center"/>
                          </w:tcPr>
                          <w:p w14:paraId="7354C810"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機關場所與設施</w:t>
                            </w:r>
                          </w:p>
                        </w:tc>
                        <w:tc>
                          <w:tcPr>
                            <w:tcW w:w="1954" w:type="dxa"/>
                            <w:vMerge w:val="restart"/>
                            <w:tcBorders>
                              <w:top w:val="single" w:sz="4" w:space="0" w:color="000000"/>
                            </w:tcBorders>
                            <w:vAlign w:val="center"/>
                          </w:tcPr>
                          <w:p w14:paraId="168BF07F"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3"/>
                                <w:sz w:val="20"/>
                                <w:lang w:eastAsia="en-US"/>
                              </w:rPr>
                              <w:t>中央政府機關</w:t>
                            </w:r>
                          </w:p>
                        </w:tc>
                      </w:tr>
                      <w:tr w:rsidR="00F16CCC" w14:paraId="7D6E2CAF" w14:textId="77777777" w:rsidTr="00C932FE">
                        <w:trPr>
                          <w:trHeight w:val="5"/>
                        </w:trPr>
                        <w:tc>
                          <w:tcPr>
                            <w:tcW w:w="1103" w:type="dxa"/>
                            <w:vMerge/>
                            <w:tcBorders>
                              <w:bottom w:val="single" w:sz="4" w:space="0" w:color="000000"/>
                            </w:tcBorders>
                            <w:vAlign w:val="center"/>
                          </w:tcPr>
                          <w:p w14:paraId="40C468F7"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tcBorders>
                              <w:top w:val="single" w:sz="4" w:space="0" w:color="000000"/>
                              <w:bottom w:val="single" w:sz="4" w:space="0" w:color="000000"/>
                            </w:tcBorders>
                            <w:vAlign w:val="center"/>
                          </w:tcPr>
                          <w:p w14:paraId="49FB9BAE"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數位發展部</w:t>
                            </w:r>
                          </w:p>
                        </w:tc>
                        <w:tc>
                          <w:tcPr>
                            <w:tcW w:w="1641" w:type="dxa"/>
                            <w:tcBorders>
                              <w:top w:val="single" w:sz="4" w:space="0" w:color="000000"/>
                              <w:bottom w:val="single" w:sz="4" w:space="0" w:color="000000"/>
                            </w:tcBorders>
                            <w:vAlign w:val="center"/>
                          </w:tcPr>
                          <w:p w14:paraId="549034C8"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資通訊系統</w:t>
                            </w:r>
                          </w:p>
                        </w:tc>
                        <w:tc>
                          <w:tcPr>
                            <w:tcW w:w="1954" w:type="dxa"/>
                            <w:vMerge/>
                            <w:tcBorders>
                              <w:bottom w:val="single" w:sz="4" w:space="0" w:color="000000"/>
                            </w:tcBorders>
                            <w:vAlign w:val="center"/>
                          </w:tcPr>
                          <w:p w14:paraId="3B45BCF1" w14:textId="77777777" w:rsidR="00F16CCC" w:rsidRDefault="00F16CCC" w:rsidP="00D624C9">
                            <w:pPr>
                              <w:spacing w:line="260" w:lineRule="exact"/>
                              <w:jc w:val="both"/>
                              <w:rPr>
                                <w:rFonts w:ascii="標楷體" w:eastAsia="標楷體" w:hAnsi="標楷體"/>
                                <w:sz w:val="20"/>
                                <w:lang w:eastAsia="en-US"/>
                              </w:rPr>
                            </w:pPr>
                          </w:p>
                        </w:tc>
                      </w:tr>
                      <w:tr w:rsidR="00F16CCC" w14:paraId="7A2EA7DF" w14:textId="77777777" w:rsidTr="00C932FE">
                        <w:trPr>
                          <w:trHeight w:val="5"/>
                        </w:trPr>
                        <w:tc>
                          <w:tcPr>
                            <w:tcW w:w="1103" w:type="dxa"/>
                            <w:vMerge w:val="restart"/>
                            <w:tcBorders>
                              <w:top w:val="single" w:sz="4" w:space="0" w:color="000000"/>
                            </w:tcBorders>
                            <w:vAlign w:val="center"/>
                          </w:tcPr>
                          <w:p w14:paraId="06B52C3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科學園區與工業區</w:t>
                            </w:r>
                          </w:p>
                        </w:tc>
                        <w:tc>
                          <w:tcPr>
                            <w:tcW w:w="1237" w:type="dxa"/>
                            <w:vMerge w:val="restart"/>
                            <w:tcBorders>
                              <w:top w:val="single" w:sz="4" w:space="0" w:color="000000"/>
                            </w:tcBorders>
                            <w:vAlign w:val="center"/>
                          </w:tcPr>
                          <w:p w14:paraId="6F6CF597" w14:textId="77777777" w:rsidR="00F16CCC" w:rsidRDefault="00F16CCC" w:rsidP="00D624C9">
                            <w:pPr>
                              <w:spacing w:line="260" w:lineRule="exact"/>
                              <w:jc w:val="both"/>
                              <w:rPr>
                                <w:rFonts w:ascii="標楷體" w:eastAsia="標楷體" w:hAnsi="標楷體"/>
                                <w:spacing w:val="-4"/>
                                <w:sz w:val="20"/>
                              </w:rPr>
                            </w:pPr>
                            <w:r>
                              <w:rPr>
                                <w:rFonts w:ascii="標楷體" w:eastAsia="標楷體" w:hAnsi="標楷體"/>
                                <w:spacing w:val="-4"/>
                                <w:sz w:val="20"/>
                              </w:rPr>
                              <w:t>國家科學及</w:t>
                            </w:r>
                            <w:r>
                              <w:rPr>
                                <w:rFonts w:ascii="標楷體" w:eastAsia="標楷體" w:hAnsi="標楷體"/>
                                <w:spacing w:val="-4"/>
                                <w:sz w:val="20"/>
                              </w:rPr>
                              <w:br w:type="textWrapping" w:clear="all"/>
                              <w:t>技術委員會</w:t>
                            </w:r>
                          </w:p>
                        </w:tc>
                        <w:tc>
                          <w:tcPr>
                            <w:tcW w:w="1641" w:type="dxa"/>
                            <w:tcBorders>
                              <w:top w:val="single" w:sz="4" w:space="0" w:color="000000"/>
                              <w:bottom w:val="single" w:sz="4" w:space="0" w:color="000000"/>
                            </w:tcBorders>
                            <w:vAlign w:val="center"/>
                          </w:tcPr>
                          <w:p w14:paraId="42169EFC"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科學與生醫園區</w:t>
                            </w:r>
                          </w:p>
                        </w:tc>
                        <w:tc>
                          <w:tcPr>
                            <w:tcW w:w="1954" w:type="dxa"/>
                            <w:tcBorders>
                              <w:top w:val="single" w:sz="4" w:space="0" w:color="000000"/>
                              <w:bottom w:val="single" w:sz="4" w:space="0" w:color="000000"/>
                            </w:tcBorders>
                            <w:vAlign w:val="center"/>
                          </w:tcPr>
                          <w:p w14:paraId="78DE1092" w14:textId="52DE2997" w:rsidR="00F16CCC" w:rsidRPr="00C932FE" w:rsidRDefault="00F16CCC" w:rsidP="00D624C9">
                            <w:pPr>
                              <w:spacing w:line="260" w:lineRule="exact"/>
                              <w:jc w:val="both"/>
                              <w:rPr>
                                <w:rFonts w:ascii="標楷體" w:eastAsia="標楷體" w:hAnsi="標楷體"/>
                                <w:spacing w:val="-4"/>
                                <w:sz w:val="20"/>
                              </w:rPr>
                            </w:pPr>
                            <w:r w:rsidRPr="00C932FE">
                              <w:rPr>
                                <w:rFonts w:ascii="標楷體" w:eastAsia="標楷體" w:hAnsi="標楷體"/>
                                <w:spacing w:val="-4"/>
                                <w:sz w:val="20"/>
                              </w:rPr>
                              <w:t>國家科學及</w:t>
                            </w:r>
                            <w:r w:rsidR="00C932FE" w:rsidRPr="00C932FE">
                              <w:rPr>
                                <w:rFonts w:ascii="標楷體" w:eastAsia="標楷體" w:hAnsi="標楷體"/>
                                <w:spacing w:val="-4"/>
                                <w:sz w:val="20"/>
                              </w:rPr>
                              <w:t>技術委員會</w:t>
                            </w:r>
                          </w:p>
                        </w:tc>
                      </w:tr>
                      <w:tr w:rsidR="00F16CCC" w14:paraId="1FC95115" w14:textId="77777777" w:rsidTr="00C932FE">
                        <w:trPr>
                          <w:trHeight w:val="5"/>
                        </w:trPr>
                        <w:tc>
                          <w:tcPr>
                            <w:tcW w:w="1103" w:type="dxa"/>
                            <w:vMerge/>
                            <w:tcBorders>
                              <w:bottom w:val="single" w:sz="4" w:space="0" w:color="000000"/>
                            </w:tcBorders>
                            <w:vAlign w:val="center"/>
                          </w:tcPr>
                          <w:p w14:paraId="6AEB1982" w14:textId="77777777" w:rsidR="00F16CCC" w:rsidRDefault="00F16CCC" w:rsidP="00D624C9">
                            <w:pPr>
                              <w:spacing w:line="260" w:lineRule="exact"/>
                              <w:jc w:val="both"/>
                              <w:rPr>
                                <w:rFonts w:ascii="標楷體" w:eastAsia="標楷體" w:hAnsi="標楷體"/>
                                <w:spacing w:val="-4"/>
                                <w:sz w:val="20"/>
                              </w:rPr>
                            </w:pPr>
                          </w:p>
                        </w:tc>
                        <w:tc>
                          <w:tcPr>
                            <w:tcW w:w="1237" w:type="dxa"/>
                            <w:vMerge/>
                            <w:tcBorders>
                              <w:bottom w:val="single" w:sz="4" w:space="0" w:color="000000"/>
                            </w:tcBorders>
                            <w:vAlign w:val="center"/>
                          </w:tcPr>
                          <w:p w14:paraId="583E8809" w14:textId="77777777" w:rsidR="00F16CCC" w:rsidRDefault="00F16CCC" w:rsidP="00D624C9">
                            <w:pPr>
                              <w:spacing w:line="260" w:lineRule="exact"/>
                              <w:jc w:val="both"/>
                              <w:rPr>
                                <w:rFonts w:ascii="標楷體" w:eastAsia="標楷體" w:hAnsi="標楷體"/>
                                <w:spacing w:val="-4"/>
                                <w:sz w:val="20"/>
                              </w:rPr>
                            </w:pPr>
                          </w:p>
                        </w:tc>
                        <w:tc>
                          <w:tcPr>
                            <w:tcW w:w="1641" w:type="dxa"/>
                            <w:tcBorders>
                              <w:top w:val="single" w:sz="4" w:space="0" w:color="000000"/>
                              <w:bottom w:val="single" w:sz="4" w:space="0" w:color="000000"/>
                            </w:tcBorders>
                            <w:vAlign w:val="center"/>
                          </w:tcPr>
                          <w:p w14:paraId="71F5AC3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軟體園區與工業區</w:t>
                            </w:r>
                          </w:p>
                        </w:tc>
                        <w:tc>
                          <w:tcPr>
                            <w:tcW w:w="1954" w:type="dxa"/>
                            <w:tcBorders>
                              <w:top w:val="single" w:sz="4" w:space="0" w:color="000000"/>
                              <w:bottom w:val="single" w:sz="4" w:space="0" w:color="000000"/>
                            </w:tcBorders>
                            <w:vAlign w:val="center"/>
                          </w:tcPr>
                          <w:p w14:paraId="78DBB55B"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經濟部</w:t>
                            </w:r>
                          </w:p>
                        </w:tc>
                      </w:tr>
                      <w:tr w:rsidR="00F16CCC" w14:paraId="7956EA59" w14:textId="77777777" w:rsidTr="00C932FE">
                        <w:trPr>
                          <w:trHeight w:val="5"/>
                        </w:trPr>
                        <w:tc>
                          <w:tcPr>
                            <w:tcW w:w="1103" w:type="dxa"/>
                            <w:vMerge w:val="restart"/>
                            <w:tcBorders>
                              <w:top w:val="single" w:sz="4" w:space="0" w:color="000000"/>
                            </w:tcBorders>
                            <w:vAlign w:val="center"/>
                          </w:tcPr>
                          <w:p w14:paraId="09385133"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糧食</w:t>
                            </w:r>
                          </w:p>
                        </w:tc>
                        <w:tc>
                          <w:tcPr>
                            <w:tcW w:w="1237" w:type="dxa"/>
                            <w:vMerge w:val="restart"/>
                            <w:tcBorders>
                              <w:top w:val="single" w:sz="4" w:space="0" w:color="000000"/>
                            </w:tcBorders>
                            <w:vAlign w:val="center"/>
                          </w:tcPr>
                          <w:p w14:paraId="508FB857"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農業部</w:t>
                            </w:r>
                          </w:p>
                        </w:tc>
                        <w:tc>
                          <w:tcPr>
                            <w:tcW w:w="1641" w:type="dxa"/>
                            <w:tcBorders>
                              <w:top w:val="single" w:sz="4" w:space="0" w:color="000000"/>
                              <w:bottom w:val="single" w:sz="4" w:space="0" w:color="000000"/>
                            </w:tcBorders>
                            <w:vAlign w:val="center"/>
                          </w:tcPr>
                          <w:p w14:paraId="349FBEE4"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農糧</w:t>
                            </w:r>
                          </w:p>
                        </w:tc>
                        <w:tc>
                          <w:tcPr>
                            <w:tcW w:w="1954" w:type="dxa"/>
                            <w:tcBorders>
                              <w:top w:val="single" w:sz="4" w:space="0" w:color="000000"/>
                              <w:bottom w:val="single" w:sz="4" w:space="0" w:color="000000"/>
                            </w:tcBorders>
                            <w:vAlign w:val="center"/>
                          </w:tcPr>
                          <w:p w14:paraId="6F6B1022"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農業部</w:t>
                            </w:r>
                          </w:p>
                        </w:tc>
                      </w:tr>
                      <w:tr w:rsidR="00F16CCC" w14:paraId="77A0F5CA" w14:textId="77777777" w:rsidTr="00C932FE">
                        <w:trPr>
                          <w:trHeight w:val="5"/>
                        </w:trPr>
                        <w:tc>
                          <w:tcPr>
                            <w:tcW w:w="1103" w:type="dxa"/>
                            <w:vMerge/>
                            <w:tcBorders>
                              <w:bottom w:val="single" w:sz="4" w:space="0" w:color="000000"/>
                            </w:tcBorders>
                            <w:vAlign w:val="center"/>
                          </w:tcPr>
                          <w:p w14:paraId="16695E3B" w14:textId="77777777" w:rsidR="00F16CCC" w:rsidRDefault="00F16CCC" w:rsidP="00D624C9">
                            <w:pPr>
                              <w:spacing w:line="260" w:lineRule="exact"/>
                              <w:jc w:val="both"/>
                              <w:rPr>
                                <w:rFonts w:ascii="標楷體" w:eastAsia="標楷體" w:hAnsi="標楷體"/>
                                <w:spacing w:val="-4"/>
                                <w:sz w:val="20"/>
                                <w:lang w:eastAsia="en-US"/>
                              </w:rPr>
                            </w:pPr>
                          </w:p>
                        </w:tc>
                        <w:tc>
                          <w:tcPr>
                            <w:tcW w:w="1237" w:type="dxa"/>
                            <w:vMerge/>
                            <w:tcBorders>
                              <w:bottom w:val="single" w:sz="4" w:space="0" w:color="000000"/>
                            </w:tcBorders>
                            <w:vAlign w:val="center"/>
                          </w:tcPr>
                          <w:p w14:paraId="6350C7B0" w14:textId="77777777" w:rsidR="00F16CCC" w:rsidRDefault="00F16CCC" w:rsidP="00D624C9">
                            <w:pPr>
                              <w:spacing w:line="260" w:lineRule="exact"/>
                              <w:jc w:val="both"/>
                              <w:rPr>
                                <w:rFonts w:ascii="標楷體" w:eastAsia="標楷體" w:hAnsi="標楷體"/>
                                <w:spacing w:val="-4"/>
                                <w:sz w:val="20"/>
                                <w:lang w:eastAsia="en-US"/>
                              </w:rPr>
                            </w:pPr>
                          </w:p>
                        </w:tc>
                        <w:tc>
                          <w:tcPr>
                            <w:tcW w:w="1641" w:type="dxa"/>
                            <w:tcBorders>
                              <w:top w:val="single" w:sz="4" w:space="0" w:color="000000"/>
                              <w:bottom w:val="single" w:sz="4" w:space="0" w:color="000000"/>
                            </w:tcBorders>
                            <w:vAlign w:val="center"/>
                          </w:tcPr>
                          <w:p w14:paraId="2D098501" w14:textId="77777777" w:rsidR="00F16CCC" w:rsidRDefault="00F16CCC" w:rsidP="00D624C9">
                            <w:pPr>
                              <w:spacing w:line="260" w:lineRule="exact"/>
                              <w:jc w:val="both"/>
                              <w:rPr>
                                <w:rFonts w:ascii="標楷體" w:eastAsia="標楷體" w:hAnsi="標楷體"/>
                                <w:spacing w:val="-4"/>
                                <w:sz w:val="20"/>
                                <w:lang w:eastAsia="en-US"/>
                              </w:rPr>
                            </w:pPr>
                            <w:r>
                              <w:rPr>
                                <w:rFonts w:ascii="標楷體" w:eastAsia="標楷體" w:hAnsi="標楷體"/>
                                <w:spacing w:val="-4"/>
                                <w:sz w:val="20"/>
                                <w:lang w:eastAsia="en-US"/>
                              </w:rPr>
                              <w:t>食品加工製造</w:t>
                            </w:r>
                          </w:p>
                        </w:tc>
                        <w:tc>
                          <w:tcPr>
                            <w:tcW w:w="1954" w:type="dxa"/>
                            <w:tcBorders>
                              <w:top w:val="single" w:sz="4" w:space="0" w:color="000000"/>
                              <w:bottom w:val="single" w:sz="4" w:space="0" w:color="000000"/>
                            </w:tcBorders>
                            <w:vAlign w:val="center"/>
                          </w:tcPr>
                          <w:p w14:paraId="61403793" w14:textId="77777777" w:rsidR="00F16CCC" w:rsidRDefault="00F16CCC" w:rsidP="00D624C9">
                            <w:pPr>
                              <w:spacing w:line="260" w:lineRule="exact"/>
                              <w:jc w:val="both"/>
                              <w:rPr>
                                <w:rFonts w:ascii="標楷體" w:eastAsia="標楷體" w:hAnsi="標楷體"/>
                                <w:sz w:val="20"/>
                                <w:lang w:eastAsia="en-US"/>
                              </w:rPr>
                            </w:pPr>
                            <w:r>
                              <w:rPr>
                                <w:rFonts w:ascii="標楷體" w:eastAsia="標楷體" w:hAnsi="標楷體"/>
                                <w:spacing w:val="-4"/>
                                <w:sz w:val="20"/>
                                <w:lang w:eastAsia="en-US"/>
                              </w:rPr>
                              <w:t>經濟部</w:t>
                            </w:r>
                          </w:p>
                        </w:tc>
                      </w:tr>
                    </w:tbl>
                    <w:p w14:paraId="75023C18" w14:textId="77777777" w:rsidR="00F16CCC" w:rsidRPr="005269CB" w:rsidRDefault="00F16CCC" w:rsidP="00F16CCC">
                      <w:pPr>
                        <w:spacing w:line="240" w:lineRule="exact"/>
                        <w:ind w:left="556" w:hanging="556"/>
                        <w:jc w:val="both"/>
                        <w:rPr>
                          <w:rFonts w:ascii="標楷體" w:eastAsia="標楷體" w:hAnsi="標楷體"/>
                          <w:snapToGrid w:val="0"/>
                          <w:sz w:val="18"/>
                          <w:szCs w:val="32"/>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整理自行政院國土安全政策會報網站。</w:t>
                      </w:r>
                    </w:p>
                  </w:txbxContent>
                </v:textbox>
                <w10:wrap type="square"/>
              </v:shape>
            </w:pict>
          </mc:Fallback>
        </mc:AlternateContent>
      </w:r>
      <w:r w:rsidR="0014253D" w:rsidRPr="0014253D">
        <w:rPr>
          <w:rFonts w:hint="eastAsia"/>
          <w:color w:val="000000" w:themeColor="text1"/>
        </w:rPr>
        <w:t>行政院</w:t>
      </w:r>
      <w:proofErr w:type="gramStart"/>
      <w:r w:rsidR="0014253D" w:rsidRPr="0014253D">
        <w:rPr>
          <w:rFonts w:hint="eastAsia"/>
          <w:color w:val="000000" w:themeColor="text1"/>
        </w:rPr>
        <w:t>鑑</w:t>
      </w:r>
      <w:proofErr w:type="gramEnd"/>
      <w:r w:rsidR="0014253D" w:rsidRPr="0014253D">
        <w:rPr>
          <w:rFonts w:hint="eastAsia"/>
          <w:color w:val="000000" w:themeColor="text1"/>
        </w:rPr>
        <w:t>於國家關鍵基礎設施正常運作</w:t>
      </w:r>
      <w:proofErr w:type="gramStart"/>
      <w:r w:rsidR="0014253D" w:rsidRPr="0014253D">
        <w:rPr>
          <w:rFonts w:hint="eastAsia"/>
          <w:color w:val="000000" w:themeColor="text1"/>
        </w:rPr>
        <w:t>攸</w:t>
      </w:r>
      <w:proofErr w:type="gramEnd"/>
      <w:r w:rsidR="0014253D" w:rsidRPr="0014253D">
        <w:rPr>
          <w:rFonts w:hint="eastAsia"/>
          <w:color w:val="000000" w:themeColor="text1"/>
        </w:rPr>
        <w:t>關國家安全、人民生活及經濟發展，為確保關鍵基礎設施安全，強化風險管理，逐步完備我國關鍵基礎設施防護能量，自</w:t>
      </w:r>
      <w:proofErr w:type="gramStart"/>
      <w:r w:rsidR="0014253D" w:rsidRPr="0014253D">
        <w:rPr>
          <w:rFonts w:hint="eastAsia"/>
          <w:color w:val="000000" w:themeColor="text1"/>
        </w:rPr>
        <w:t>101年度起責由</w:t>
      </w:r>
      <w:proofErr w:type="gramEnd"/>
      <w:r w:rsidR="0014253D" w:rsidRPr="0014253D">
        <w:rPr>
          <w:rFonts w:hint="eastAsia"/>
          <w:color w:val="000000" w:themeColor="text1"/>
        </w:rPr>
        <w:t>國土安全辦公室（下稱國土辦）負責關鍵基礎設施防護之策進與指導工作，並於</w:t>
      </w:r>
      <w:proofErr w:type="gramStart"/>
      <w:r w:rsidR="0014253D" w:rsidRPr="0014253D">
        <w:rPr>
          <w:rFonts w:hint="eastAsia"/>
          <w:color w:val="000000" w:themeColor="text1"/>
        </w:rPr>
        <w:t>101年3月19日函頒國家</w:t>
      </w:r>
      <w:proofErr w:type="gramEnd"/>
      <w:r w:rsidR="0014253D" w:rsidRPr="0014253D">
        <w:rPr>
          <w:rFonts w:hint="eastAsia"/>
          <w:color w:val="000000" w:themeColor="text1"/>
        </w:rPr>
        <w:t>關鍵基礎設施安全防護計畫指導綱要；復依102年11月6日行政院國土安全政策會報決議，為落實推動關鍵基礎設施防護，於103年12月29日</w:t>
      </w:r>
      <w:proofErr w:type="gramStart"/>
      <w:r w:rsidR="0014253D" w:rsidRPr="0014253D">
        <w:rPr>
          <w:rFonts w:hint="eastAsia"/>
          <w:color w:val="000000" w:themeColor="text1"/>
        </w:rPr>
        <w:t>函頒並</w:t>
      </w:r>
      <w:proofErr w:type="gramEnd"/>
      <w:r w:rsidR="0014253D" w:rsidRPr="0014253D">
        <w:rPr>
          <w:rFonts w:hint="eastAsia"/>
          <w:color w:val="000000" w:themeColor="text1"/>
        </w:rPr>
        <w:t>修訂名稱為國家關鍵基礎設施安全防護指導綱要（下稱關鍵基礎設施指導綱要），</w:t>
      </w:r>
      <w:proofErr w:type="gramStart"/>
      <w:r w:rsidR="0014253D" w:rsidRPr="0014253D">
        <w:rPr>
          <w:rFonts w:hint="eastAsia"/>
          <w:color w:val="000000" w:themeColor="text1"/>
        </w:rPr>
        <w:t>嗣</w:t>
      </w:r>
      <w:proofErr w:type="gramEnd"/>
      <w:r w:rsidR="0014253D" w:rsidRPr="0014253D">
        <w:rPr>
          <w:rFonts w:hint="eastAsia"/>
          <w:color w:val="000000" w:themeColor="text1"/>
        </w:rPr>
        <w:t>於107年5月18日</w:t>
      </w:r>
      <w:r w:rsidR="00F52AC3">
        <w:rPr>
          <w:rFonts w:hint="eastAsia"/>
          <w:color w:val="000000" w:themeColor="text1"/>
        </w:rPr>
        <w:t>修</w:t>
      </w:r>
      <w:r w:rsidR="0014253D" w:rsidRPr="0014253D">
        <w:rPr>
          <w:rFonts w:hint="eastAsia"/>
          <w:color w:val="000000" w:themeColor="text1"/>
        </w:rPr>
        <w:t>正，以持續強化關鍵基礎設施安全防護功能。我國國家關鍵基礎設施</w:t>
      </w:r>
      <w:proofErr w:type="gramStart"/>
      <w:r w:rsidR="0014253D" w:rsidRPr="0014253D">
        <w:rPr>
          <w:rFonts w:hint="eastAsia"/>
          <w:color w:val="000000" w:themeColor="text1"/>
        </w:rPr>
        <w:t>採</w:t>
      </w:r>
      <w:proofErr w:type="gramEnd"/>
      <w:r w:rsidR="0014253D" w:rsidRPr="0014253D">
        <w:rPr>
          <w:rFonts w:hint="eastAsia"/>
          <w:color w:val="000000" w:themeColor="text1"/>
        </w:rPr>
        <w:t>三層架構分類，第一層為主領域，第二層為次領域，第三層為次領域下之重要功能設施與系統，其中主領域分為能源、交通等9類，分由經濟部、交通部等7部會與國土辦為協調機關；</w:t>
      </w:r>
      <w:proofErr w:type="gramStart"/>
      <w:r w:rsidR="0014253D" w:rsidRPr="0014253D">
        <w:rPr>
          <w:rFonts w:hint="eastAsia"/>
          <w:color w:val="000000" w:themeColor="text1"/>
        </w:rPr>
        <w:t>各主領域</w:t>
      </w:r>
      <w:proofErr w:type="gramEnd"/>
      <w:r w:rsidR="0014253D" w:rsidRPr="0014253D">
        <w:rPr>
          <w:rFonts w:hint="eastAsia"/>
          <w:color w:val="000000" w:themeColor="text1"/>
        </w:rPr>
        <w:t>之下依功能業務區分次領域（如能源領域下區分為電力、石油、天然氣等3項次領域），9類主領域下計22項次領域，分由經濟部、交通部等8部會、部分中央政府機關及中央銀行為主管機關（表</w:t>
      </w:r>
      <w:r w:rsidR="000E4425">
        <w:rPr>
          <w:rFonts w:hint="eastAsia"/>
          <w:color w:val="000000" w:themeColor="text1"/>
        </w:rPr>
        <w:t>14</w:t>
      </w:r>
      <w:r w:rsidR="0014253D" w:rsidRPr="0014253D">
        <w:rPr>
          <w:rFonts w:hint="eastAsia"/>
          <w:color w:val="000000" w:themeColor="text1"/>
        </w:rPr>
        <w:t>）。近期政府推動全社會防衛韌性，關鍵基礎設施</w:t>
      </w:r>
      <w:proofErr w:type="gramStart"/>
      <w:r w:rsidR="0014253D" w:rsidRPr="0014253D">
        <w:rPr>
          <w:rFonts w:hint="eastAsia"/>
          <w:color w:val="000000" w:themeColor="text1"/>
        </w:rPr>
        <w:t>維運亦屬</w:t>
      </w:r>
      <w:proofErr w:type="gramEnd"/>
      <w:r w:rsidR="0014253D" w:rsidRPr="0014253D">
        <w:rPr>
          <w:rFonts w:hint="eastAsia"/>
          <w:color w:val="000000" w:themeColor="text1"/>
        </w:rPr>
        <w:t>其五大主軸之</w:t>
      </w:r>
      <w:proofErr w:type="gramStart"/>
      <w:r w:rsidR="0014253D" w:rsidRPr="0014253D">
        <w:rPr>
          <w:rFonts w:hint="eastAsia"/>
          <w:color w:val="000000" w:themeColor="text1"/>
        </w:rPr>
        <w:t>一</w:t>
      </w:r>
      <w:proofErr w:type="gramEnd"/>
      <w:r w:rsidR="0014253D" w:rsidRPr="0014253D">
        <w:rPr>
          <w:rFonts w:hint="eastAsia"/>
          <w:color w:val="000000" w:themeColor="text1"/>
        </w:rPr>
        <w:t>。經查政府推動國家關鍵基礎設施安全防護執行情形，核有下列事項：</w:t>
      </w:r>
    </w:p>
    <w:p w14:paraId="21DAAC8E" w14:textId="6210B0C2" w:rsidR="0014253D" w:rsidRPr="0014253D" w:rsidRDefault="0014253D" w:rsidP="0014253D">
      <w:pPr>
        <w:pStyle w:val="2-2"/>
        <w:ind w:firstLine="1081"/>
        <w:jc w:val="both"/>
        <w:rPr>
          <w:color w:val="000000" w:themeColor="text1"/>
        </w:rPr>
      </w:pPr>
      <w:r w:rsidRPr="0014253D">
        <w:rPr>
          <w:rFonts w:hint="eastAsia"/>
          <w:b/>
          <w:color w:val="000000" w:themeColor="text1"/>
        </w:rPr>
        <w:t xml:space="preserve">1.　</w:t>
      </w:r>
      <w:proofErr w:type="gramStart"/>
      <w:r w:rsidRPr="0014253D">
        <w:rPr>
          <w:rFonts w:hint="eastAsia"/>
          <w:b/>
          <w:color w:val="000000" w:themeColor="text1"/>
        </w:rPr>
        <w:t>行政院函頒關鍵</w:t>
      </w:r>
      <w:proofErr w:type="gramEnd"/>
      <w:r w:rsidRPr="0014253D">
        <w:rPr>
          <w:rFonts w:hint="eastAsia"/>
          <w:b/>
          <w:color w:val="000000" w:themeColor="text1"/>
        </w:rPr>
        <w:t>基礎設施指導綱要，作為推動關鍵基礎設施防護之指導方針，惟部分規定未</w:t>
      </w:r>
      <w:proofErr w:type="gramStart"/>
      <w:r w:rsidRPr="0014253D">
        <w:rPr>
          <w:rFonts w:hint="eastAsia"/>
          <w:b/>
          <w:color w:val="000000" w:themeColor="text1"/>
        </w:rPr>
        <w:t>臻</w:t>
      </w:r>
      <w:proofErr w:type="gramEnd"/>
      <w:r w:rsidRPr="0014253D">
        <w:rPr>
          <w:rFonts w:hint="eastAsia"/>
          <w:b/>
          <w:color w:val="000000" w:themeColor="text1"/>
        </w:rPr>
        <w:t>周延或與實務作法不同，不利各層級依循：</w:t>
      </w:r>
      <w:r w:rsidRPr="0014253D">
        <w:rPr>
          <w:rFonts w:hint="eastAsia"/>
          <w:color w:val="000000" w:themeColor="text1"/>
        </w:rPr>
        <w:t>行政院（國土辦）為降低關鍵基礎設</w:t>
      </w:r>
      <w:r w:rsidRPr="0014253D">
        <w:rPr>
          <w:rFonts w:hint="eastAsia"/>
          <w:color w:val="000000" w:themeColor="text1"/>
        </w:rPr>
        <w:lastRenderedPageBreak/>
        <w:t>施因事故中斷運作之影響程度與時間，提升設施運作中斷事故之預防、容受、調適與快速復原能力，前於109年間辦理關鍵基礎設施指導綱要修正意見調查計畫案及成果審查會。</w:t>
      </w:r>
      <w:proofErr w:type="gramStart"/>
      <w:r w:rsidRPr="0014253D">
        <w:rPr>
          <w:rFonts w:hint="eastAsia"/>
          <w:color w:val="000000" w:themeColor="text1"/>
        </w:rPr>
        <w:t>嗣國土辦於112年6至8月</w:t>
      </w:r>
      <w:proofErr w:type="gramEnd"/>
      <w:r w:rsidRPr="0014253D">
        <w:rPr>
          <w:rFonts w:hint="eastAsia"/>
          <w:color w:val="000000" w:themeColor="text1"/>
        </w:rPr>
        <w:t>間，多次邀請國家關鍵基礎設施安全防護專案小組部分委員會商指導綱要修正事宜；國土辦內部又於112年11月及113年3月針對指導綱要之修正，規劃擬議修正重點等。歷時經年，隨著時間推移，潛在威脅與防護觀念等亦有所變遷，惟截至114年4月底止，該指導綱要距前次修正已實施近7年，且國土辦自109年啟動修正作業已歷時5年，仍未完成修訂。又部分規定未</w:t>
      </w:r>
      <w:proofErr w:type="gramStart"/>
      <w:r w:rsidRPr="0014253D">
        <w:rPr>
          <w:rFonts w:hint="eastAsia"/>
          <w:color w:val="000000" w:themeColor="text1"/>
        </w:rPr>
        <w:t>臻</w:t>
      </w:r>
      <w:proofErr w:type="gramEnd"/>
      <w:r w:rsidRPr="0014253D">
        <w:rPr>
          <w:rFonts w:hint="eastAsia"/>
          <w:color w:val="000000" w:themeColor="text1"/>
        </w:rPr>
        <w:t>周延或與實務作法不同，</w:t>
      </w:r>
      <w:proofErr w:type="gramStart"/>
      <w:r w:rsidRPr="0014253D">
        <w:rPr>
          <w:rFonts w:hint="eastAsia"/>
          <w:color w:val="000000" w:themeColor="text1"/>
        </w:rPr>
        <w:t>舉如</w:t>
      </w:r>
      <w:proofErr w:type="gramEnd"/>
      <w:r w:rsidRPr="0014253D">
        <w:rPr>
          <w:rFonts w:hint="eastAsia"/>
          <w:color w:val="000000" w:themeColor="text1"/>
        </w:rPr>
        <w:t>：多數協調機關未撰擬主領域安全防護計畫；</w:t>
      </w:r>
      <w:proofErr w:type="gramStart"/>
      <w:r w:rsidRPr="0014253D">
        <w:rPr>
          <w:rFonts w:hint="eastAsia"/>
          <w:color w:val="000000" w:themeColor="text1"/>
        </w:rPr>
        <w:t>未見主領域</w:t>
      </w:r>
      <w:proofErr w:type="gramEnd"/>
      <w:r w:rsidRPr="0014253D">
        <w:rPr>
          <w:rFonts w:hint="eastAsia"/>
          <w:color w:val="000000" w:themeColor="text1"/>
        </w:rPr>
        <w:t>協調機關於關鍵基礎設施防護演練提出檢討改善建議之功能；建置國家關鍵基礎設施防護之電腦緊急事故處理小組（CERT）、資訊分享與分析中心（ISAC）及資訊安全監控中心（SOC）已非依指導綱要辦理等，不利各層級依循。經函請行政院適時滾動修訂指導綱要或提出配套措施，以因應國際關鍵基礎設施防護趨勢及潛在威脅之變化，強化整體防護策略與目標。據復：已將現行關鍵基礎設施指導綱要之檢討與修正作業列為</w:t>
      </w:r>
      <w:proofErr w:type="gramStart"/>
      <w:r w:rsidRPr="0014253D">
        <w:rPr>
          <w:rFonts w:hint="eastAsia"/>
          <w:color w:val="000000" w:themeColor="text1"/>
        </w:rPr>
        <w:t>114</w:t>
      </w:r>
      <w:proofErr w:type="gramEnd"/>
      <w:r w:rsidRPr="0014253D">
        <w:rPr>
          <w:rFonts w:hint="eastAsia"/>
          <w:color w:val="000000" w:themeColor="text1"/>
        </w:rPr>
        <w:t>年度工作重點，並參考本部建議意見，完備與明確相關安全防護及運作工作團隊所涉之單位（人員）組成與分工，以利落實相關職責。</w:t>
      </w:r>
    </w:p>
    <w:p w14:paraId="5D1A8F30" w14:textId="2E069F1D" w:rsidR="0014253D" w:rsidRPr="0014253D" w:rsidRDefault="00864EB0" w:rsidP="0014253D">
      <w:pPr>
        <w:pStyle w:val="2-2"/>
        <w:ind w:firstLine="1081"/>
        <w:jc w:val="both"/>
        <w:rPr>
          <w:color w:val="000000" w:themeColor="text1"/>
        </w:rPr>
      </w:pPr>
      <w:r w:rsidRPr="00215DE3">
        <w:rPr>
          <w:rFonts w:hint="eastAsia"/>
          <w:b/>
          <w:noProof/>
          <w:color w:val="000000" w:themeColor="text1"/>
        </w:rPr>
        <mc:AlternateContent>
          <mc:Choice Requires="wps">
            <w:drawing>
              <wp:anchor distT="0" distB="0" distL="114300" distR="114300" simplePos="0" relativeHeight="251626496" behindDoc="0" locked="0" layoutInCell="1" allowOverlap="1" wp14:anchorId="1F771153" wp14:editId="24CC0A67">
                <wp:simplePos x="0" y="0"/>
                <wp:positionH relativeFrom="margin">
                  <wp:posOffset>1455420</wp:posOffset>
                </wp:positionH>
                <wp:positionV relativeFrom="paragraph">
                  <wp:posOffset>1071245</wp:posOffset>
                </wp:positionV>
                <wp:extent cx="4848860" cy="3238500"/>
                <wp:effectExtent l="0" t="0" r="0" b="0"/>
                <wp:wrapSquare wrapText="bothSides"/>
                <wp:docPr id="24" name="_x0000_s1031"/>
                <wp:cNvGraphicFramePr/>
                <a:graphic xmlns:a="http://schemas.openxmlformats.org/drawingml/2006/main">
                  <a:graphicData uri="http://schemas.microsoft.com/office/word/2010/wordprocessingShape">
                    <wps:wsp>
                      <wps:cNvSpPr txBox="1"/>
                      <wps:spPr bwMode="auto">
                        <a:xfrm>
                          <a:off x="0" y="0"/>
                          <a:ext cx="4848860" cy="3238500"/>
                        </a:xfrm>
                        <a:prstGeom prst="rect">
                          <a:avLst/>
                        </a:prstGeom>
                        <a:noFill/>
                        <a:ln>
                          <a:noFill/>
                        </a:ln>
                      </wps:spPr>
                      <wps:txbx>
                        <w:txbxContent>
                          <w:p w14:paraId="37ECD0B4" w14:textId="2C045544" w:rsidR="00864EB0" w:rsidRDefault="00864EB0" w:rsidP="00864EB0">
                            <w:pPr>
                              <w:spacing w:line="280" w:lineRule="exact"/>
                              <w:jc w:val="center"/>
                              <w:rPr>
                                <w:rFonts w:ascii="標楷體" w:eastAsia="標楷體" w:hAnsi="標楷體"/>
                                <w:b/>
                                <w:bCs/>
                                <w:color w:val="000000"/>
                              </w:rPr>
                            </w:pPr>
                            <w:r>
                              <w:rPr>
                                <w:rFonts w:ascii="標楷體" w:eastAsia="標楷體" w:hAnsi="標楷體" w:hint="eastAsia"/>
                                <w:b/>
                                <w:bCs/>
                                <w:color w:val="000000"/>
                              </w:rPr>
                              <w:t>圖</w:t>
                            </w:r>
                            <w:r w:rsidR="00A20FFB">
                              <w:rPr>
                                <w:rFonts w:ascii="標楷體" w:eastAsia="標楷體" w:hAnsi="標楷體"/>
                                <w:b/>
                                <w:bCs/>
                                <w:color w:val="000000"/>
                              </w:rPr>
                              <w:t>8</w:t>
                            </w:r>
                            <w:r>
                              <w:rPr>
                                <w:rFonts w:ascii="標楷體" w:eastAsia="標楷體" w:hAnsi="標楷體" w:hint="eastAsia"/>
                                <w:b/>
                                <w:bCs/>
                                <w:color w:val="000000"/>
                              </w:rPr>
                              <w:t xml:space="preserve">　</w:t>
                            </w:r>
                            <w:proofErr w:type="gramStart"/>
                            <w:r>
                              <w:rPr>
                                <w:rFonts w:ascii="標楷體" w:eastAsia="標楷體" w:hAnsi="標楷體" w:hint="eastAsia"/>
                                <w:b/>
                                <w:bCs/>
                                <w:color w:val="000000"/>
                              </w:rPr>
                              <w:t>112</w:t>
                            </w:r>
                            <w:proofErr w:type="gramEnd"/>
                            <w:r>
                              <w:rPr>
                                <w:rFonts w:ascii="標楷體" w:eastAsia="標楷體" w:hAnsi="標楷體" w:hint="eastAsia"/>
                                <w:b/>
                                <w:bCs/>
                                <w:color w:val="000000"/>
                              </w:rPr>
                              <w:t>年度修正電業法等22部法律對破壞關鍵基礎設施加重刑責</w:t>
                            </w:r>
                          </w:p>
                          <w:p w14:paraId="130F622F" w14:textId="77777777" w:rsidR="00864EB0" w:rsidRDefault="00864EB0" w:rsidP="00864EB0">
                            <w:pPr>
                              <w:jc w:val="center"/>
                              <w:rPr>
                                <w:rFonts w:ascii="標楷體" w:eastAsia="標楷體" w:hAnsi="標楷體" w:cs="新細明體"/>
                                <w:b/>
                                <w:sz w:val="28"/>
                                <w:szCs w:val="32"/>
                              </w:rPr>
                            </w:pPr>
                            <w:r>
                              <w:rPr>
                                <w:rFonts w:ascii="標楷體" w:eastAsia="標楷體" w:hAnsi="標楷體" w:cs="新細明體"/>
                                <w:b/>
                                <w:noProof/>
                                <w:sz w:val="28"/>
                                <w:szCs w:val="32"/>
                              </w:rPr>
                              <w:drawing>
                                <wp:inline distT="0" distB="0" distL="0" distR="0" wp14:anchorId="10E547B4" wp14:editId="0335D3D8">
                                  <wp:extent cx="4731322" cy="2669934"/>
                                  <wp:effectExtent l="0" t="0" r="0" b="0"/>
                                  <wp:docPr id="2008327040" name="_x0000_i10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pic:blipFill>
                                        <pic:spPr bwMode="auto">
                                          <a:xfrm>
                                            <a:off x="0" y="0"/>
                                            <a:ext cx="4731322" cy="2669934"/>
                                          </a:xfrm>
                                          <a:prstGeom prst="rect">
                                            <a:avLst/>
                                          </a:prstGeom>
                                          <a:noFill/>
                                          <a:ln>
                                            <a:noFill/>
                                          </a:ln>
                                        </pic:spPr>
                                      </pic:pic>
                                    </a:graphicData>
                                  </a:graphic>
                                </wp:inline>
                              </w:drawing>
                            </w:r>
                          </w:p>
                          <w:p w14:paraId="503661EA" w14:textId="77777777" w:rsidR="00864EB0" w:rsidRDefault="00864EB0" w:rsidP="00864EB0">
                            <w:pPr>
                              <w:spacing w:line="240" w:lineRule="exact"/>
                              <w:ind w:left="556"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擷取自行政院網站資料。</w:t>
                            </w:r>
                          </w:p>
                          <w:p w14:paraId="51573ABA" w14:textId="77777777" w:rsidR="00864EB0" w:rsidRDefault="00864EB0" w:rsidP="00864EB0"/>
                        </w:txbxContent>
                      </wps:txbx>
                      <wps:bodyPr wrap="square" upright="1">
                        <a:noAutofit/>
                      </wps:bodyPr>
                    </wps:wsp>
                  </a:graphicData>
                </a:graphic>
                <wp14:sizeRelV relativeFrom="margin">
                  <wp14:pctHeight>0</wp14:pctHeight>
                </wp14:sizeRelV>
              </wp:anchor>
            </w:drawing>
          </mc:Choice>
          <mc:Fallback>
            <w:pict>
              <v:shape w14:anchorId="1F771153" id="_x0000_s1031" o:spid="_x0000_s1058" type="#_x0000_t202" style="position:absolute;left:0;text-align:left;margin-left:114.6pt;margin-top:84.35pt;width:381.8pt;height:255pt;z-index:25162649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" filled="f" stroked="f">
                <v:textbox>
                  <w:txbxContent>
                    <w:p w14:paraId="37ECD0B4" w14:textId="2C045544" w:rsidR="00864EB0" w:rsidRDefault="00864EB0" w:rsidP="00864EB0">
                      <w:pPr>
                        <w:spacing w:line="280" w:lineRule="exact"/>
                        <w:jc w:val="center"/>
                        <w:rPr>
                          <w:rFonts w:ascii="標楷體" w:eastAsia="標楷體" w:hAnsi="標楷體"/>
                          <w:b/>
                          <w:bCs/>
                          <w:color w:val="000000"/>
                        </w:rPr>
                      </w:pPr>
                      <w:r>
                        <w:rPr>
                          <w:rFonts w:ascii="標楷體" w:eastAsia="標楷體" w:hAnsi="標楷體" w:hint="eastAsia"/>
                          <w:b/>
                          <w:bCs/>
                          <w:color w:val="000000"/>
                        </w:rPr>
                        <w:t>圖</w:t>
                      </w:r>
                      <w:r w:rsidR="00A20FFB">
                        <w:rPr>
                          <w:rFonts w:ascii="標楷體" w:eastAsia="標楷體" w:hAnsi="標楷體"/>
                          <w:b/>
                          <w:bCs/>
                          <w:color w:val="000000"/>
                        </w:rPr>
                        <w:t>8</w:t>
                      </w:r>
                      <w:r>
                        <w:rPr>
                          <w:rFonts w:ascii="標楷體" w:eastAsia="標楷體" w:hAnsi="標楷體" w:hint="eastAsia"/>
                          <w:b/>
                          <w:bCs/>
                          <w:color w:val="000000"/>
                        </w:rPr>
                        <w:t xml:space="preserve">　</w:t>
                      </w:r>
                      <w:proofErr w:type="gramStart"/>
                      <w:r>
                        <w:rPr>
                          <w:rFonts w:ascii="標楷體" w:eastAsia="標楷體" w:hAnsi="標楷體" w:hint="eastAsia"/>
                          <w:b/>
                          <w:bCs/>
                          <w:color w:val="000000"/>
                        </w:rPr>
                        <w:t>112</w:t>
                      </w:r>
                      <w:proofErr w:type="gramEnd"/>
                      <w:r>
                        <w:rPr>
                          <w:rFonts w:ascii="標楷體" w:eastAsia="標楷體" w:hAnsi="標楷體" w:hint="eastAsia"/>
                          <w:b/>
                          <w:bCs/>
                          <w:color w:val="000000"/>
                        </w:rPr>
                        <w:t>年度修正電業法等22部法律對破壞關鍵基礎設施加重刑責</w:t>
                      </w:r>
                    </w:p>
                    <w:p w14:paraId="130F622F" w14:textId="77777777" w:rsidR="00864EB0" w:rsidRDefault="00864EB0" w:rsidP="00864EB0">
                      <w:pPr>
                        <w:jc w:val="center"/>
                        <w:rPr>
                          <w:rFonts w:ascii="標楷體" w:eastAsia="標楷體" w:hAnsi="標楷體" w:cs="新細明體"/>
                          <w:b/>
                          <w:sz w:val="28"/>
                          <w:szCs w:val="32"/>
                        </w:rPr>
                      </w:pPr>
                      <w:r>
                        <w:rPr>
                          <w:rFonts w:ascii="標楷體" w:eastAsia="標楷體" w:hAnsi="標楷體" w:cs="新細明體"/>
                          <w:b/>
                          <w:noProof/>
                          <w:sz w:val="28"/>
                          <w:szCs w:val="32"/>
                        </w:rPr>
                        <w:drawing>
                          <wp:inline distT="0" distB="0" distL="0" distR="0" wp14:anchorId="10E547B4" wp14:editId="0335D3D8">
                            <wp:extent cx="4731322" cy="2669934"/>
                            <wp:effectExtent l="0" t="0" r="0" b="0"/>
                            <wp:docPr id="2008327040" name="_x0000_i10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pic:blipFill>
                                  <pic:spPr bwMode="auto">
                                    <a:xfrm>
                                      <a:off x="0" y="0"/>
                                      <a:ext cx="4731322" cy="2669934"/>
                                    </a:xfrm>
                                    <a:prstGeom prst="rect">
                                      <a:avLst/>
                                    </a:prstGeom>
                                    <a:noFill/>
                                    <a:ln>
                                      <a:noFill/>
                                    </a:ln>
                                  </pic:spPr>
                                </pic:pic>
                              </a:graphicData>
                            </a:graphic>
                          </wp:inline>
                        </w:drawing>
                      </w:r>
                    </w:p>
                    <w:p w14:paraId="503661EA" w14:textId="77777777" w:rsidR="00864EB0" w:rsidRDefault="00864EB0" w:rsidP="00864EB0">
                      <w:pPr>
                        <w:spacing w:line="240" w:lineRule="exact"/>
                        <w:ind w:left="556"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擷取自行政院網站資料。</w:t>
                      </w:r>
                    </w:p>
                    <w:p w14:paraId="51573ABA" w14:textId="77777777" w:rsidR="00864EB0" w:rsidRDefault="00864EB0" w:rsidP="00864EB0"/>
                  </w:txbxContent>
                </v:textbox>
                <w10:wrap type="square" anchorx="margin"/>
              </v:shape>
            </w:pict>
          </mc:Fallback>
        </mc:AlternateContent>
      </w:r>
      <w:r w:rsidR="0014253D" w:rsidRPr="0014253D">
        <w:rPr>
          <w:rFonts w:hint="eastAsia"/>
          <w:b/>
          <w:color w:val="000000" w:themeColor="text1"/>
        </w:rPr>
        <w:t>2.　行政院責由相關部會增修保護關鍵基礎設施之罰則法令，以嚇阻惡意破壞國家關鍵基礎設施，惟欠缺對關鍵基礎設施實體防護疏漏之究責與裁罰機制，對相關人員</w:t>
      </w:r>
      <w:proofErr w:type="gramStart"/>
      <w:r w:rsidR="0014253D" w:rsidRPr="0014253D">
        <w:rPr>
          <w:rFonts w:hint="eastAsia"/>
          <w:b/>
          <w:color w:val="000000" w:themeColor="text1"/>
        </w:rPr>
        <w:t>適</w:t>
      </w:r>
      <w:proofErr w:type="gramEnd"/>
      <w:r w:rsidR="0014253D" w:rsidRPr="0014253D">
        <w:rPr>
          <w:rFonts w:hint="eastAsia"/>
          <w:b/>
          <w:color w:val="000000" w:themeColor="text1"/>
        </w:rPr>
        <w:t>任性之查核亦待強化：</w:t>
      </w:r>
      <w:r w:rsidR="0014253D" w:rsidRPr="0014253D">
        <w:rPr>
          <w:rFonts w:hint="eastAsia"/>
          <w:color w:val="000000" w:themeColor="text1"/>
        </w:rPr>
        <w:t>行政院於111至112年度間邀集經濟部、交通部、衛生</w:t>
      </w:r>
      <w:proofErr w:type="gramStart"/>
      <w:r w:rsidR="0014253D" w:rsidRPr="0014253D">
        <w:rPr>
          <w:rFonts w:hint="eastAsia"/>
          <w:color w:val="000000" w:themeColor="text1"/>
        </w:rPr>
        <w:t>福利部等部會</w:t>
      </w:r>
      <w:proofErr w:type="gramEnd"/>
      <w:r w:rsidR="0014253D" w:rsidRPr="0014253D">
        <w:rPr>
          <w:rFonts w:hint="eastAsia"/>
          <w:color w:val="000000" w:themeColor="text1"/>
        </w:rPr>
        <w:t>，盤點討論如何增修保護關鍵基礎設施之罰責法令，經決議</w:t>
      </w:r>
      <w:proofErr w:type="gramStart"/>
      <w:r w:rsidR="0014253D" w:rsidRPr="0014253D">
        <w:rPr>
          <w:rFonts w:hint="eastAsia"/>
          <w:color w:val="000000" w:themeColor="text1"/>
        </w:rPr>
        <w:t>採</w:t>
      </w:r>
      <w:proofErr w:type="gramEnd"/>
      <w:r w:rsidR="0014253D" w:rsidRPr="0014253D">
        <w:rPr>
          <w:rFonts w:hint="eastAsia"/>
          <w:color w:val="000000" w:themeColor="text1"/>
        </w:rPr>
        <w:t>一致立法原則與模式，由相關主管機關在各自主管之作用法中，以專條方式對國家關鍵基礎設施之實體破壞及虛擬侵害等行為加重刑責，共計修正電業法、鐵路法等22部法令（圖</w:t>
      </w:r>
      <w:r w:rsidR="00A20FFB">
        <w:rPr>
          <w:rFonts w:hint="eastAsia"/>
          <w:color w:val="000000" w:themeColor="text1"/>
        </w:rPr>
        <w:t>8</w:t>
      </w:r>
      <w:r w:rsidR="0014253D" w:rsidRPr="0014253D">
        <w:rPr>
          <w:rFonts w:hint="eastAsia"/>
          <w:color w:val="000000" w:themeColor="text1"/>
        </w:rPr>
        <w:t>），並於112年6月28日公布施行。</w:t>
      </w:r>
      <w:proofErr w:type="gramStart"/>
      <w:r w:rsidR="0014253D" w:rsidRPr="0014253D">
        <w:rPr>
          <w:rFonts w:hint="eastAsia"/>
          <w:color w:val="000000" w:themeColor="text1"/>
        </w:rPr>
        <w:t>惟</w:t>
      </w:r>
      <w:proofErr w:type="gramEnd"/>
      <w:r w:rsidR="0014253D" w:rsidRPr="0014253D">
        <w:rPr>
          <w:rFonts w:hint="eastAsia"/>
          <w:color w:val="000000" w:themeColor="text1"/>
        </w:rPr>
        <w:t>對於各機關主責關鍵基礎設施安全防護作業之疏漏，僅於資通安全管理法就洩漏秘密、關鍵基礎設施提供者未訂定及實施資通安全維護計畫等，訂有罰則（處罰未依法訂定修正實施資通安全維護計畫、未提出改善報告等機關單位），其餘法令尚欠缺對關鍵基礎設施實體防護作業疏漏之究責與裁罰機制。另依涉及國家安全或重大利益公務人員特殊查核辦法，行政院督促各部會盤點檢討，業於</w:t>
      </w:r>
      <w:proofErr w:type="gramStart"/>
      <w:r w:rsidR="0014253D" w:rsidRPr="0014253D">
        <w:rPr>
          <w:rFonts w:hint="eastAsia"/>
          <w:color w:val="000000" w:themeColor="text1"/>
        </w:rPr>
        <w:t>113</w:t>
      </w:r>
      <w:proofErr w:type="gramEnd"/>
      <w:r w:rsidR="0014253D" w:rsidRPr="0014253D">
        <w:rPr>
          <w:rFonts w:hint="eastAsia"/>
          <w:color w:val="000000" w:themeColor="text1"/>
        </w:rPr>
        <w:t>年度將關鍵基礎設施重要維運人員（核心維運</w:t>
      </w:r>
      <w:r w:rsidR="0014253D" w:rsidRPr="0014253D">
        <w:rPr>
          <w:rFonts w:hint="eastAsia"/>
          <w:color w:val="000000" w:themeColor="text1"/>
        </w:rPr>
        <w:lastRenderedPageBreak/>
        <w:t>業務重要職位）納入公務人員特殊查核對象。</w:t>
      </w:r>
      <w:proofErr w:type="gramStart"/>
      <w:r w:rsidR="0014253D" w:rsidRPr="0014253D">
        <w:rPr>
          <w:rFonts w:hint="eastAsia"/>
          <w:color w:val="000000" w:themeColor="text1"/>
        </w:rPr>
        <w:t>揆</w:t>
      </w:r>
      <w:proofErr w:type="gramEnd"/>
      <w:r w:rsidR="0014253D" w:rsidRPr="0014253D">
        <w:rPr>
          <w:rFonts w:hint="eastAsia"/>
          <w:color w:val="000000" w:themeColor="text1"/>
        </w:rPr>
        <w:t>諸前揭盤點結果，</w:t>
      </w:r>
      <w:proofErr w:type="gramStart"/>
      <w:r w:rsidR="0014253D" w:rsidRPr="0014253D">
        <w:rPr>
          <w:rFonts w:hint="eastAsia"/>
          <w:color w:val="000000" w:themeColor="text1"/>
        </w:rPr>
        <w:t>113</w:t>
      </w:r>
      <w:proofErr w:type="gramEnd"/>
      <w:r w:rsidR="0014253D" w:rsidRPr="0014253D">
        <w:rPr>
          <w:rFonts w:hint="eastAsia"/>
          <w:color w:val="000000" w:themeColor="text1"/>
        </w:rPr>
        <w:t>年度新增之關鍵基礎設施重要維運人員多屬單位主管或重要職位，惟實務上，關鍵基礎設施安全防護作業資料多屬機密文件，相較於單位主管，第一線承辦人員更</w:t>
      </w:r>
      <w:proofErr w:type="gramStart"/>
      <w:r w:rsidR="0014253D" w:rsidRPr="0014253D">
        <w:rPr>
          <w:rFonts w:hint="eastAsia"/>
          <w:color w:val="000000" w:themeColor="text1"/>
        </w:rPr>
        <w:t>容易因彙整</w:t>
      </w:r>
      <w:proofErr w:type="gramEnd"/>
      <w:r w:rsidR="0014253D" w:rsidRPr="0014253D">
        <w:rPr>
          <w:rFonts w:hint="eastAsia"/>
          <w:color w:val="000000" w:themeColor="text1"/>
        </w:rPr>
        <w:t>或編輯而持有該等機敏資料，有待評估將該等人員納入特殊查核或適性查核。經函請行政院</w:t>
      </w:r>
      <w:proofErr w:type="gramStart"/>
      <w:r w:rsidR="0014253D" w:rsidRPr="0014253D">
        <w:rPr>
          <w:rFonts w:hint="eastAsia"/>
          <w:color w:val="000000" w:themeColor="text1"/>
        </w:rPr>
        <w:t>研</w:t>
      </w:r>
      <w:proofErr w:type="gramEnd"/>
      <w:r w:rsidR="0014253D" w:rsidRPr="0014253D">
        <w:rPr>
          <w:rFonts w:hint="eastAsia"/>
          <w:color w:val="000000" w:themeColor="text1"/>
        </w:rPr>
        <w:t>議訂定相關規範或必要措施，以督促及強化公私領域落實關鍵基礎設施實體與人員之安全防護工作。據復：將視風險情勢變化與關鍵基礎設施安全防護實務作業需要，會同相關作用法主管機關檢討並修正增訂處罰過失</w:t>
      </w:r>
      <w:r w:rsidR="006036CE">
        <w:rPr>
          <w:rFonts w:hint="eastAsia"/>
          <w:color w:val="000000" w:themeColor="text1"/>
        </w:rPr>
        <w:t>人員</w:t>
      </w:r>
      <w:r w:rsidR="0014253D" w:rsidRPr="0014253D">
        <w:rPr>
          <w:rFonts w:hint="eastAsia"/>
          <w:color w:val="000000" w:themeColor="text1"/>
        </w:rPr>
        <w:t>之必要性，並將會同考試院及相關關鍵基礎設施主管機關，以人員接觸機敏資料之程度，檢討提列納入特殊查核範圍。</w:t>
      </w:r>
    </w:p>
    <w:p w14:paraId="5EF408D7" w14:textId="77777777" w:rsidR="0014253D" w:rsidRPr="0014253D" w:rsidRDefault="0014253D" w:rsidP="0014253D">
      <w:pPr>
        <w:pStyle w:val="2-2"/>
        <w:ind w:firstLine="1081"/>
        <w:jc w:val="both"/>
        <w:rPr>
          <w:color w:val="000000" w:themeColor="text1"/>
        </w:rPr>
      </w:pPr>
      <w:r w:rsidRPr="0014253D">
        <w:rPr>
          <w:rFonts w:hint="eastAsia"/>
          <w:b/>
          <w:color w:val="000000" w:themeColor="text1"/>
        </w:rPr>
        <w:t>3.　關鍵基礎設施相關重要資訊屬國家機密或公務機密，</w:t>
      </w:r>
      <w:proofErr w:type="gramStart"/>
      <w:r w:rsidRPr="0014253D">
        <w:rPr>
          <w:rFonts w:hint="eastAsia"/>
          <w:b/>
          <w:color w:val="000000" w:themeColor="text1"/>
        </w:rPr>
        <w:t>攸</w:t>
      </w:r>
      <w:proofErr w:type="gramEnd"/>
      <w:r w:rsidRPr="0014253D">
        <w:rPr>
          <w:rFonts w:hint="eastAsia"/>
          <w:b/>
          <w:color w:val="000000" w:themeColor="text1"/>
        </w:rPr>
        <w:t>關國家安全及利益，惟保密範疇及安全管理辦法未</w:t>
      </w:r>
      <w:proofErr w:type="gramStart"/>
      <w:r w:rsidRPr="0014253D">
        <w:rPr>
          <w:rFonts w:hint="eastAsia"/>
          <w:b/>
          <w:color w:val="000000" w:themeColor="text1"/>
        </w:rPr>
        <w:t>臻</w:t>
      </w:r>
      <w:proofErr w:type="gramEnd"/>
      <w:r w:rsidRPr="0014253D">
        <w:rPr>
          <w:rFonts w:hint="eastAsia"/>
          <w:b/>
          <w:color w:val="000000" w:themeColor="text1"/>
        </w:rPr>
        <w:t>明確，致影響設施防護作業效率與品質：</w:t>
      </w:r>
      <w:r w:rsidRPr="0014253D">
        <w:rPr>
          <w:rFonts w:hint="eastAsia"/>
          <w:color w:val="000000" w:themeColor="text1"/>
        </w:rPr>
        <w:t>國土辦</w:t>
      </w:r>
      <w:proofErr w:type="gramStart"/>
      <w:r w:rsidRPr="0014253D">
        <w:rPr>
          <w:rFonts w:hint="eastAsia"/>
          <w:color w:val="000000" w:themeColor="text1"/>
        </w:rPr>
        <w:t>鑑</w:t>
      </w:r>
      <w:proofErr w:type="gramEnd"/>
      <w:r w:rsidRPr="0014253D">
        <w:rPr>
          <w:rFonts w:hint="eastAsia"/>
          <w:color w:val="000000" w:themeColor="text1"/>
        </w:rPr>
        <w:t>於關鍵基礎設施提供者辦理各項委外作業時，委外廠商可獲得關鍵基礎設施</w:t>
      </w:r>
      <w:proofErr w:type="gramStart"/>
      <w:r w:rsidRPr="0014253D">
        <w:rPr>
          <w:rFonts w:hint="eastAsia"/>
          <w:color w:val="000000" w:themeColor="text1"/>
        </w:rPr>
        <w:t>機敏圖資</w:t>
      </w:r>
      <w:proofErr w:type="gramEnd"/>
      <w:r w:rsidRPr="0014253D">
        <w:rPr>
          <w:rFonts w:hint="eastAsia"/>
          <w:color w:val="000000" w:themeColor="text1"/>
        </w:rPr>
        <w:t>，恐有洩密風險之虞，為有效防止重要機密資料外</w:t>
      </w:r>
      <w:proofErr w:type="gramStart"/>
      <w:r w:rsidRPr="0014253D">
        <w:rPr>
          <w:rFonts w:hint="eastAsia"/>
          <w:color w:val="000000" w:themeColor="text1"/>
        </w:rPr>
        <w:t>洩</w:t>
      </w:r>
      <w:proofErr w:type="gramEnd"/>
      <w:r w:rsidRPr="0014253D">
        <w:rPr>
          <w:rFonts w:hint="eastAsia"/>
          <w:color w:val="000000" w:themeColor="text1"/>
        </w:rPr>
        <w:t>，經彙整現行法令之保密規定及工作實務，於113年6月17日函送關鍵基礎設施委外辦理時機敏性圖說及資料保密措施參考指引予相關部會據以執行。</w:t>
      </w:r>
      <w:proofErr w:type="gramStart"/>
      <w:r w:rsidRPr="0014253D">
        <w:rPr>
          <w:rFonts w:hint="eastAsia"/>
          <w:color w:val="000000" w:themeColor="text1"/>
        </w:rPr>
        <w:t>惟除前</w:t>
      </w:r>
      <w:proofErr w:type="gramEnd"/>
      <w:r w:rsidRPr="0014253D">
        <w:rPr>
          <w:rFonts w:hint="eastAsia"/>
          <w:color w:val="000000" w:themeColor="text1"/>
        </w:rPr>
        <w:t>揭關鍵基礎設施提供者辦理各項委外作業有洩密風險外，因現行之關鍵基礎設施須保密範疇並未</w:t>
      </w:r>
      <w:proofErr w:type="gramStart"/>
      <w:r w:rsidRPr="0014253D">
        <w:rPr>
          <w:rFonts w:hint="eastAsia"/>
          <w:color w:val="000000" w:themeColor="text1"/>
        </w:rPr>
        <w:t>明確律</w:t>
      </w:r>
      <w:proofErr w:type="gramEnd"/>
      <w:r w:rsidRPr="0014253D">
        <w:rPr>
          <w:rFonts w:hint="eastAsia"/>
          <w:color w:val="000000" w:themeColor="text1"/>
        </w:rPr>
        <w:t>定，如設施名稱、名單、數量、備援方案、設備配置、巡邏時間表及路線等重要資訊，衍生各自認定標準不同而未落實保密等情事；且因人員異動及未有效管理機密文件資訊，致無法掌握關鍵基礎設施完整機密文書，影響設施防護執行效率與品質等。經函請行政院</w:t>
      </w:r>
      <w:proofErr w:type="gramStart"/>
      <w:r w:rsidRPr="0014253D">
        <w:rPr>
          <w:rFonts w:hint="eastAsia"/>
          <w:color w:val="000000" w:themeColor="text1"/>
        </w:rPr>
        <w:t>明確律</w:t>
      </w:r>
      <w:proofErr w:type="gramEnd"/>
      <w:r w:rsidRPr="0014253D">
        <w:rPr>
          <w:rFonts w:hint="eastAsia"/>
          <w:color w:val="000000" w:themeColor="text1"/>
        </w:rPr>
        <w:t>定保密範疇或訂定安全管理辦法，避免資訊外</w:t>
      </w:r>
      <w:proofErr w:type="gramStart"/>
      <w:r w:rsidRPr="0014253D">
        <w:rPr>
          <w:rFonts w:hint="eastAsia"/>
          <w:color w:val="000000" w:themeColor="text1"/>
        </w:rPr>
        <w:t>洩</w:t>
      </w:r>
      <w:proofErr w:type="gramEnd"/>
      <w:r w:rsidRPr="0014253D">
        <w:rPr>
          <w:rFonts w:hint="eastAsia"/>
          <w:color w:val="000000" w:themeColor="text1"/>
        </w:rPr>
        <w:t>或管理不當，以健全關鍵基礎設施資訊安全管理。據復：將參考本部建議意見、國際指引、國家安全法及國家機密保護法等規定，針對關鍵基礎設施安全防護業務特性，就不宜對外公開或特定時點不宜公開之機敏資訊管理，</w:t>
      </w:r>
      <w:proofErr w:type="gramStart"/>
      <w:r w:rsidRPr="0014253D">
        <w:rPr>
          <w:rFonts w:hint="eastAsia"/>
          <w:color w:val="000000" w:themeColor="text1"/>
        </w:rPr>
        <w:t>研</w:t>
      </w:r>
      <w:proofErr w:type="gramEnd"/>
      <w:r w:rsidRPr="0014253D">
        <w:rPr>
          <w:rFonts w:hint="eastAsia"/>
          <w:color w:val="000000" w:themeColor="text1"/>
        </w:rPr>
        <w:t>議修正納入關鍵基礎設施指導綱要或配套補充注意事項，並督促各機關落實機敏資訊維護及業務移交作業，以兼顧設施安全防護及業務持續性。</w:t>
      </w:r>
    </w:p>
    <w:p w14:paraId="5304093B" w14:textId="3BCB02E1" w:rsidR="0014253D" w:rsidRPr="0014253D" w:rsidRDefault="0014253D" w:rsidP="0014253D">
      <w:pPr>
        <w:pStyle w:val="2-2"/>
        <w:ind w:firstLine="1081"/>
        <w:jc w:val="both"/>
        <w:rPr>
          <w:color w:val="000000" w:themeColor="text1"/>
        </w:rPr>
      </w:pPr>
      <w:r w:rsidRPr="0014253D">
        <w:rPr>
          <w:rFonts w:hint="eastAsia"/>
          <w:b/>
          <w:color w:val="000000" w:themeColor="text1"/>
        </w:rPr>
        <w:t>4.　關鍵基礎設施指導綱要明定主領域協調機關負責協調、共享資源及訂定風險管理標準等任務，惟實務上加強國土辦與主管機關角色，而缺少主領域協調機關之參與，致未能發揮協調效益：</w:t>
      </w:r>
      <w:r w:rsidRPr="0014253D">
        <w:rPr>
          <w:rFonts w:hint="eastAsia"/>
          <w:color w:val="000000" w:themeColor="text1"/>
        </w:rPr>
        <w:t>按103年12月版關鍵基礎設施指導綱要，係規範由國土辦作為國土安全防護有關任務之協調機構，負責跨部門關鍵基礎設施防護之溝通與協調。</w:t>
      </w:r>
      <w:proofErr w:type="gramStart"/>
      <w:r w:rsidRPr="0014253D">
        <w:rPr>
          <w:rFonts w:hint="eastAsia"/>
          <w:color w:val="000000" w:themeColor="text1"/>
        </w:rPr>
        <w:t>嗣</w:t>
      </w:r>
      <w:proofErr w:type="gramEnd"/>
      <w:r w:rsidRPr="0014253D">
        <w:rPr>
          <w:rFonts w:hint="eastAsia"/>
          <w:color w:val="000000" w:themeColor="text1"/>
        </w:rPr>
        <w:t>107年5月修訂關鍵基礎設施指導綱要後，</w:t>
      </w:r>
      <w:proofErr w:type="gramStart"/>
      <w:r w:rsidRPr="0014253D">
        <w:rPr>
          <w:rFonts w:hint="eastAsia"/>
          <w:color w:val="000000" w:themeColor="text1"/>
        </w:rPr>
        <w:t>增設主領域</w:t>
      </w:r>
      <w:proofErr w:type="gramEnd"/>
      <w:r w:rsidRPr="0014253D">
        <w:rPr>
          <w:rFonts w:hint="eastAsia"/>
          <w:color w:val="000000" w:themeColor="text1"/>
        </w:rPr>
        <w:t>協調機關，負責協調該領域內所屬次領域主管機關，工作階層調整為國土辦、協調機關、主管機關及關鍵基礎設施提供者等4層。</w:t>
      </w:r>
      <w:proofErr w:type="gramStart"/>
      <w:r w:rsidRPr="0014253D">
        <w:rPr>
          <w:rFonts w:hint="eastAsia"/>
          <w:color w:val="000000" w:themeColor="text1"/>
        </w:rPr>
        <w:t>惟</w:t>
      </w:r>
      <w:proofErr w:type="gramEnd"/>
      <w:r w:rsidRPr="0014253D">
        <w:rPr>
          <w:rFonts w:hint="eastAsia"/>
          <w:color w:val="000000" w:themeColor="text1"/>
        </w:rPr>
        <w:t>行政院於112年底為簡化行政作業層級，加強國土辦與主管機關角色，並降低主領域協調機關之參與，不僅未符指導綱要規定，亦未能達成協調機關共享資源與資訊及訂定共同風險管理標準等任務與發揮協調效益。另根據國土辦說明</w:t>
      </w:r>
      <w:r w:rsidR="000821D6">
        <w:rPr>
          <w:rFonts w:hint="eastAsia"/>
          <w:color w:val="000000" w:themeColor="text1"/>
        </w:rPr>
        <w:t>，</w:t>
      </w:r>
      <w:r w:rsidRPr="0014253D">
        <w:rPr>
          <w:rFonts w:hint="eastAsia"/>
          <w:color w:val="000000" w:themeColor="text1"/>
        </w:rPr>
        <w:t>簡化關鍵基礎設施安全防護行政作業層級之調整原因，包含「符合國際作法：美國係由主管機關制定領域級防護計畫並推動所屬關鍵基礎設施安全防護工作，國土</w:t>
      </w:r>
      <w:proofErr w:type="gramStart"/>
      <w:r w:rsidRPr="0014253D">
        <w:rPr>
          <w:rFonts w:hint="eastAsia"/>
          <w:color w:val="000000" w:themeColor="text1"/>
        </w:rPr>
        <w:t>安全部主責</w:t>
      </w:r>
      <w:proofErr w:type="gramEnd"/>
      <w:r w:rsidRPr="0014253D">
        <w:rPr>
          <w:rFonts w:hint="eastAsia"/>
          <w:color w:val="000000" w:themeColor="text1"/>
        </w:rPr>
        <w:t>整體政策與協調。」惟美國國土安全部（Department of Homeland Security, DHS）員工逾24萬人，在關鍵基礎設施防護部分，特別成立網路安全暨基礎設施安全局（Cybersecurity and Infrastructure Security Agency, CISA），員工逾3,000人，主管關鍵基礎設施防護（包</w:t>
      </w:r>
      <w:r w:rsidRPr="0014253D">
        <w:rPr>
          <w:rFonts w:hint="eastAsia"/>
          <w:color w:val="000000" w:themeColor="text1"/>
        </w:rPr>
        <w:lastRenderedPageBreak/>
        <w:t>含關鍵基礎設施資訊安全），其相關組織與法律位階遠高於我國現行制度。而我國現行能源等9大主領域，具有高度獨特性（除關鍵基礎設施資安防護具有共通性外）與專業性，又</w:t>
      </w:r>
      <w:proofErr w:type="gramStart"/>
      <w:r w:rsidRPr="0014253D">
        <w:rPr>
          <w:rFonts w:hint="eastAsia"/>
          <w:color w:val="000000" w:themeColor="text1"/>
        </w:rPr>
        <w:t>國土辦受限於</w:t>
      </w:r>
      <w:proofErr w:type="gramEnd"/>
      <w:r w:rsidRPr="0014253D">
        <w:rPr>
          <w:rFonts w:hint="eastAsia"/>
          <w:color w:val="000000" w:themeColor="text1"/>
        </w:rPr>
        <w:t>組織及編制，能否如美國國土</w:t>
      </w:r>
      <w:proofErr w:type="gramStart"/>
      <w:r w:rsidRPr="0014253D">
        <w:rPr>
          <w:rFonts w:hint="eastAsia"/>
          <w:color w:val="000000" w:themeColor="text1"/>
        </w:rPr>
        <w:t>安全部或網路</w:t>
      </w:r>
      <w:proofErr w:type="gramEnd"/>
      <w:r w:rsidRPr="0014253D">
        <w:rPr>
          <w:rFonts w:hint="eastAsia"/>
          <w:color w:val="000000" w:themeColor="text1"/>
        </w:rPr>
        <w:t>安全暨基礎設施安全局負責主領域層級之協調任務，不無疑義。經函請行政院通盤檢討現行作法之周延性，據以</w:t>
      </w:r>
      <w:proofErr w:type="gramStart"/>
      <w:r w:rsidRPr="0014253D">
        <w:rPr>
          <w:rFonts w:hint="eastAsia"/>
          <w:color w:val="000000" w:themeColor="text1"/>
        </w:rPr>
        <w:t>研</w:t>
      </w:r>
      <w:proofErr w:type="gramEnd"/>
      <w:r w:rsidRPr="0014253D">
        <w:rPr>
          <w:rFonts w:hint="eastAsia"/>
          <w:color w:val="000000" w:themeColor="text1"/>
        </w:rPr>
        <w:t>擬可行配套措施，強化原定主領域之協調機制與功能，以健全防護體系。據復：</w:t>
      </w:r>
      <w:r w:rsidR="00C54FD0">
        <w:rPr>
          <w:rFonts w:hint="eastAsia"/>
          <w:color w:val="000000" w:themeColor="text1"/>
        </w:rPr>
        <w:t>將</w:t>
      </w:r>
      <w:r w:rsidRPr="0014253D">
        <w:rPr>
          <w:rFonts w:hint="eastAsia"/>
          <w:color w:val="000000" w:themeColor="text1"/>
        </w:rPr>
        <w:t>邀集協調機關、主管機關及學者專家等共同</w:t>
      </w:r>
      <w:proofErr w:type="gramStart"/>
      <w:r w:rsidRPr="0014253D">
        <w:rPr>
          <w:rFonts w:hint="eastAsia"/>
          <w:color w:val="000000" w:themeColor="text1"/>
        </w:rPr>
        <w:t>研</w:t>
      </w:r>
      <w:proofErr w:type="gramEnd"/>
      <w:r w:rsidRPr="0014253D">
        <w:rPr>
          <w:rFonts w:hint="eastAsia"/>
          <w:color w:val="000000" w:themeColor="text1"/>
        </w:rPr>
        <w:t>商精進協調效益作法，據以修正關鍵基礎設施指導綱要。</w:t>
      </w:r>
    </w:p>
    <w:p w14:paraId="634CBBD4" w14:textId="77777777" w:rsidR="00AB79AD" w:rsidRDefault="00590172" w:rsidP="00AB79AD">
      <w:pPr>
        <w:pStyle w:val="2-2"/>
        <w:jc w:val="distribute"/>
        <w:rPr>
          <w:color w:val="000000" w:themeColor="text1"/>
        </w:rPr>
      </w:pPr>
      <w:r w:rsidRPr="00215DE3">
        <w:rPr>
          <w:noProof/>
          <w:color w:val="000000" w:themeColor="text1"/>
        </w:rPr>
        <mc:AlternateContent>
          <mc:Choice Requires="wps">
            <w:drawing>
              <wp:anchor distT="0" distB="0" distL="114300" distR="114300" simplePos="0" relativeHeight="251627520" behindDoc="0" locked="0" layoutInCell="1" allowOverlap="1" wp14:anchorId="5AC9EE1C" wp14:editId="42B7DE38">
                <wp:simplePos x="0" y="0"/>
                <wp:positionH relativeFrom="column">
                  <wp:posOffset>2545715</wp:posOffset>
                </wp:positionH>
                <wp:positionV relativeFrom="paragraph">
                  <wp:posOffset>1106170</wp:posOffset>
                </wp:positionV>
                <wp:extent cx="3749040" cy="3663950"/>
                <wp:effectExtent l="0" t="0" r="3810" b="0"/>
                <wp:wrapSquare wrapText="bothSides"/>
                <wp:docPr id="2008327041" name="_x0000_s1029"/>
                <wp:cNvGraphicFramePr/>
                <a:graphic xmlns:a="http://schemas.openxmlformats.org/drawingml/2006/main">
                  <a:graphicData uri="http://schemas.microsoft.com/office/word/2010/wordprocessingShape">
                    <wps:wsp>
                      <wps:cNvSpPr txBox="1"/>
                      <wps:spPr bwMode="auto">
                        <a:xfrm>
                          <a:off x="0" y="0"/>
                          <a:ext cx="3749040" cy="3663950"/>
                        </a:xfrm>
                        <a:prstGeom prst="rect">
                          <a:avLst/>
                        </a:prstGeom>
                        <a:solidFill>
                          <a:srgbClr val="FFFFFF"/>
                        </a:solidFill>
                        <a:ln w="6350">
                          <a:noFill/>
                        </a:ln>
                      </wps:spPr>
                      <wps:txbx>
                        <w:txbxContent>
                          <w:p w14:paraId="0048825D" w14:textId="3E729450" w:rsidR="00590172" w:rsidRDefault="00590172" w:rsidP="00D538A8">
                            <w:pPr>
                              <w:pStyle w:val="afffa"/>
                              <w:spacing w:afterLines="20" w:after="72" w:line="260" w:lineRule="exact"/>
                              <w:ind w:leftChars="-59" w:left="519" w:hangingChars="275" w:hanging="661"/>
                              <w:rPr>
                                <w:rFonts w:ascii="標楷體" w:eastAsia="標楷體" w:hAnsi="標楷體"/>
                                <w:b/>
                                <w:szCs w:val="28"/>
                              </w:rPr>
                            </w:pPr>
                            <w:r>
                              <w:rPr>
                                <w:rFonts w:ascii="標楷體" w:eastAsia="標楷體" w:hAnsi="標楷體" w:hint="eastAsia"/>
                                <w:b/>
                              </w:rPr>
                              <w:t>圖</w:t>
                            </w:r>
                            <w:r w:rsidR="00A20FFB">
                              <w:rPr>
                                <w:rFonts w:ascii="標楷體" w:eastAsia="標楷體" w:hAnsi="標楷體"/>
                                <w:b/>
                              </w:rPr>
                              <w:t>9</w:t>
                            </w:r>
                            <w:r w:rsidR="00C77F23">
                              <w:rPr>
                                <w:rFonts w:ascii="標楷體" w:eastAsia="標楷體" w:hAnsi="標楷體" w:hint="eastAsia"/>
                                <w:b/>
                                <w:szCs w:val="28"/>
                              </w:rPr>
                              <w:t xml:space="preserve">　</w:t>
                            </w:r>
                            <w:r>
                              <w:rPr>
                                <w:rFonts w:ascii="標楷體" w:eastAsia="標楷體" w:hAnsi="標楷體" w:hint="eastAsia"/>
                                <w:b/>
                                <w:szCs w:val="28"/>
                              </w:rPr>
                              <w:t>107年版</w:t>
                            </w:r>
                            <w:r w:rsidR="00C77F23">
                              <w:rPr>
                                <w:rFonts w:ascii="標楷體" w:eastAsia="標楷體" w:hAnsi="標楷體" w:hint="eastAsia"/>
                                <w:b/>
                                <w:szCs w:val="28"/>
                              </w:rPr>
                              <w:t>國家關鍵基礎設施安全防護</w:t>
                            </w:r>
                            <w:r>
                              <w:rPr>
                                <w:rFonts w:ascii="標楷體" w:eastAsia="標楷體" w:hAnsi="標楷體" w:hint="eastAsia"/>
                                <w:b/>
                                <w:szCs w:val="28"/>
                              </w:rPr>
                              <w:t>指導綱要之安全防護管理要領</w:t>
                            </w:r>
                          </w:p>
                          <w:p w14:paraId="78BDD89D" w14:textId="77777777" w:rsidR="00590172" w:rsidRDefault="00590172" w:rsidP="00590172">
                            <w:pPr>
                              <w:pStyle w:val="afffa"/>
                              <w:ind w:leftChars="0" w:left="0"/>
                              <w:jc w:val="center"/>
                              <w:rPr>
                                <w:rFonts w:ascii="標楷體" w:eastAsia="標楷體" w:hAnsi="標楷體"/>
                              </w:rPr>
                            </w:pPr>
                            <w:r>
                              <w:rPr>
                                <w:rFonts w:ascii="標楷體" w:eastAsia="標楷體" w:hAnsi="標楷體"/>
                                <w:noProof/>
                              </w:rPr>
                              <w:drawing>
                                <wp:inline distT="0" distB="0" distL="0" distR="0" wp14:anchorId="431729AD" wp14:editId="5C048D2E">
                                  <wp:extent cx="2922321" cy="2924073"/>
                                  <wp:effectExtent l="0" t="0" r="0" b="0"/>
                                  <wp:docPr id="2008327042" name="_x0000_i10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saturation sat="0"/>
                                                    </a14:imgEffect>
                                                  </a14:imgLayer>
                                                </a14:imgProps>
                                              </a:ext>
                                            </a:extLst>
                                          </a:blip>
                                          <a:stretch/>
                                        </pic:blipFill>
                                        <pic:spPr bwMode="auto">
                                          <a:xfrm>
                                            <a:off x="0" y="0"/>
                                            <a:ext cx="2922321" cy="2924073"/>
                                          </a:xfrm>
                                          <a:prstGeom prst="rect">
                                            <a:avLst/>
                                          </a:prstGeom>
                                          <a:noFill/>
                                          <a:ln>
                                            <a:noFill/>
                                          </a:ln>
                                        </pic:spPr>
                                      </pic:pic>
                                    </a:graphicData>
                                  </a:graphic>
                                </wp:inline>
                              </w:drawing>
                            </w:r>
                          </w:p>
                          <w:p w14:paraId="262BED09" w14:textId="28084C0C" w:rsidR="00590172" w:rsidRDefault="00590172" w:rsidP="00D538A8">
                            <w:pPr>
                              <w:spacing w:before="120" w:line="240" w:lineRule="exact"/>
                              <w:ind w:left="284"/>
                              <w:rPr>
                                <w:rFonts w:ascii="標楷體" w:eastAsia="標楷體" w:hAnsi="標楷體"/>
                                <w:b/>
                              </w:rPr>
                            </w:pPr>
                            <w:r>
                              <w:rPr>
                                <w:rFonts w:ascii="標楷體" w:eastAsia="標楷體" w:hAnsi="標楷體" w:hint="eastAsia"/>
                                <w:sz w:val="20"/>
                              </w:rPr>
                              <w:t>資料來源：擷取自</w:t>
                            </w:r>
                            <w:r w:rsidR="0003494B">
                              <w:rPr>
                                <w:rFonts w:ascii="標楷體" w:eastAsia="標楷體" w:hAnsi="標楷體" w:hint="eastAsia"/>
                                <w:sz w:val="20"/>
                              </w:rPr>
                              <w:t>國家</w:t>
                            </w:r>
                            <w:r>
                              <w:rPr>
                                <w:rFonts w:ascii="標楷體" w:eastAsia="標楷體" w:hAnsi="標楷體" w:hint="eastAsia"/>
                                <w:sz w:val="20"/>
                              </w:rPr>
                              <w:t>關鍵基礎設施</w:t>
                            </w:r>
                            <w:r w:rsidR="0003494B">
                              <w:rPr>
                                <w:rFonts w:ascii="標楷體" w:eastAsia="標楷體" w:hAnsi="標楷體" w:hint="eastAsia"/>
                                <w:sz w:val="20"/>
                              </w:rPr>
                              <w:t>安全防護</w:t>
                            </w:r>
                            <w:r>
                              <w:rPr>
                                <w:rFonts w:ascii="標楷體" w:eastAsia="標楷體" w:hAnsi="標楷體" w:hint="eastAsia"/>
                                <w:sz w:val="20"/>
                              </w:rPr>
                              <w:t>指導綱要。</w:t>
                            </w:r>
                          </w:p>
                          <w:p w14:paraId="7E3126A4" w14:textId="77777777" w:rsidR="00590172" w:rsidRDefault="00590172" w:rsidP="00590172"/>
                        </w:txbxContent>
                      </wps:txbx>
                      <wps:bodyPr wrap="square" upright="1">
                        <a:noAutofit/>
                      </wps:bodyPr>
                    </wps:wsp>
                  </a:graphicData>
                </a:graphic>
                <wp14:sizeRelH relativeFrom="margin">
                  <wp14:pctWidth>0</wp14:pctWidth>
                </wp14:sizeRelH>
                <wp14:sizeRelV relativeFrom="margin">
                  <wp14:pctHeight>0</wp14:pctHeight>
                </wp14:sizeRelV>
              </wp:anchor>
            </w:drawing>
          </mc:Choice>
          <mc:Fallback>
            <w:pict>
              <v:shape w14:anchorId="5AC9EE1C" id="_x0000_s1029" o:spid="_x0000_s1059" type="#_x0000_t202" style="position:absolute;left:0;text-align:left;margin-left:200.45pt;margin-top:87.1pt;width:295.2pt;height:288.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" stroked="f" strokeweight=".5pt">
                <v:textbox>
                  <w:txbxContent>
                    <w:p w14:paraId="0048825D" w14:textId="3E729450" w:rsidR="00590172" w:rsidRDefault="00590172" w:rsidP="00D538A8">
                      <w:pPr>
                        <w:pStyle w:val="afffa"/>
                        <w:spacing w:afterLines="20" w:after="72" w:line="260" w:lineRule="exact"/>
                        <w:ind w:leftChars="-59" w:left="519" w:hangingChars="275" w:hanging="661"/>
                        <w:rPr>
                          <w:rFonts w:ascii="標楷體" w:eastAsia="標楷體" w:hAnsi="標楷體"/>
                          <w:b/>
                          <w:szCs w:val="28"/>
                        </w:rPr>
                      </w:pPr>
                      <w:r>
                        <w:rPr>
                          <w:rFonts w:ascii="標楷體" w:eastAsia="標楷體" w:hAnsi="標楷體" w:hint="eastAsia"/>
                          <w:b/>
                        </w:rPr>
                        <w:t>圖</w:t>
                      </w:r>
                      <w:r w:rsidR="00A20FFB">
                        <w:rPr>
                          <w:rFonts w:ascii="標楷體" w:eastAsia="標楷體" w:hAnsi="標楷體"/>
                          <w:b/>
                        </w:rPr>
                        <w:t>9</w:t>
                      </w:r>
                      <w:r w:rsidR="00C77F23">
                        <w:rPr>
                          <w:rFonts w:ascii="標楷體" w:eastAsia="標楷體" w:hAnsi="標楷體" w:hint="eastAsia"/>
                          <w:b/>
                          <w:szCs w:val="28"/>
                        </w:rPr>
                        <w:t xml:space="preserve">　</w:t>
                      </w:r>
                      <w:r>
                        <w:rPr>
                          <w:rFonts w:ascii="標楷體" w:eastAsia="標楷體" w:hAnsi="標楷體" w:hint="eastAsia"/>
                          <w:b/>
                          <w:szCs w:val="28"/>
                        </w:rPr>
                        <w:t>107年版</w:t>
                      </w:r>
                      <w:r w:rsidR="00C77F23">
                        <w:rPr>
                          <w:rFonts w:ascii="標楷體" w:eastAsia="標楷體" w:hAnsi="標楷體" w:hint="eastAsia"/>
                          <w:b/>
                          <w:szCs w:val="28"/>
                        </w:rPr>
                        <w:t>國家關鍵基礎設施安全防護</w:t>
                      </w:r>
                      <w:r>
                        <w:rPr>
                          <w:rFonts w:ascii="標楷體" w:eastAsia="標楷體" w:hAnsi="標楷體" w:hint="eastAsia"/>
                          <w:b/>
                          <w:szCs w:val="28"/>
                        </w:rPr>
                        <w:t>指導綱要之安全防護管理要領</w:t>
                      </w:r>
                    </w:p>
                    <w:p w14:paraId="78BDD89D" w14:textId="77777777" w:rsidR="00590172" w:rsidRDefault="00590172" w:rsidP="00590172">
                      <w:pPr>
                        <w:pStyle w:val="afffa"/>
                        <w:ind w:leftChars="0" w:left="0"/>
                        <w:jc w:val="center"/>
                        <w:rPr>
                          <w:rFonts w:ascii="標楷體" w:eastAsia="標楷體" w:hAnsi="標楷體"/>
                        </w:rPr>
                      </w:pPr>
                      <w:r>
                        <w:rPr>
                          <w:rFonts w:ascii="標楷體" w:eastAsia="標楷體" w:hAnsi="標楷體"/>
                          <w:noProof/>
                        </w:rPr>
                        <w:drawing>
                          <wp:inline distT="0" distB="0" distL="0" distR="0" wp14:anchorId="431729AD" wp14:editId="5C048D2E">
                            <wp:extent cx="2922321" cy="2924073"/>
                            <wp:effectExtent l="0" t="0" r="0" b="0"/>
                            <wp:docPr id="2008327042" name="_x0000_i10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saturation sat="0"/>
                                              </a14:imgEffect>
                                            </a14:imgLayer>
                                          </a14:imgProps>
                                        </a:ext>
                                      </a:extLst>
                                    </a:blip>
                                    <a:stretch/>
                                  </pic:blipFill>
                                  <pic:spPr bwMode="auto">
                                    <a:xfrm>
                                      <a:off x="0" y="0"/>
                                      <a:ext cx="2922321" cy="2924073"/>
                                    </a:xfrm>
                                    <a:prstGeom prst="rect">
                                      <a:avLst/>
                                    </a:prstGeom>
                                    <a:noFill/>
                                    <a:ln>
                                      <a:noFill/>
                                    </a:ln>
                                  </pic:spPr>
                                </pic:pic>
                              </a:graphicData>
                            </a:graphic>
                          </wp:inline>
                        </w:drawing>
                      </w:r>
                    </w:p>
                    <w:p w14:paraId="262BED09" w14:textId="28084C0C" w:rsidR="00590172" w:rsidRDefault="00590172" w:rsidP="00D538A8">
                      <w:pPr>
                        <w:spacing w:before="120" w:line="240" w:lineRule="exact"/>
                        <w:ind w:left="284"/>
                        <w:rPr>
                          <w:rFonts w:ascii="標楷體" w:eastAsia="標楷體" w:hAnsi="標楷體"/>
                          <w:b/>
                        </w:rPr>
                      </w:pPr>
                      <w:r>
                        <w:rPr>
                          <w:rFonts w:ascii="標楷體" w:eastAsia="標楷體" w:hAnsi="標楷體" w:hint="eastAsia"/>
                          <w:sz w:val="20"/>
                        </w:rPr>
                        <w:t>資料來源：擷取自</w:t>
                      </w:r>
                      <w:r w:rsidR="0003494B">
                        <w:rPr>
                          <w:rFonts w:ascii="標楷體" w:eastAsia="標楷體" w:hAnsi="標楷體" w:hint="eastAsia"/>
                          <w:sz w:val="20"/>
                        </w:rPr>
                        <w:t>國家</w:t>
                      </w:r>
                      <w:r>
                        <w:rPr>
                          <w:rFonts w:ascii="標楷體" w:eastAsia="標楷體" w:hAnsi="標楷體" w:hint="eastAsia"/>
                          <w:sz w:val="20"/>
                        </w:rPr>
                        <w:t>關鍵基礎設施</w:t>
                      </w:r>
                      <w:r w:rsidR="0003494B">
                        <w:rPr>
                          <w:rFonts w:ascii="標楷體" w:eastAsia="標楷體" w:hAnsi="標楷體" w:hint="eastAsia"/>
                          <w:sz w:val="20"/>
                        </w:rPr>
                        <w:t>安全防護</w:t>
                      </w:r>
                      <w:r>
                        <w:rPr>
                          <w:rFonts w:ascii="標楷體" w:eastAsia="標楷體" w:hAnsi="標楷體" w:hint="eastAsia"/>
                          <w:sz w:val="20"/>
                        </w:rPr>
                        <w:t>指導綱要。</w:t>
                      </w:r>
                    </w:p>
                    <w:p w14:paraId="7E3126A4" w14:textId="77777777" w:rsidR="00590172" w:rsidRDefault="00590172" w:rsidP="00590172"/>
                  </w:txbxContent>
                </v:textbox>
                <w10:wrap type="square"/>
              </v:shape>
            </w:pict>
          </mc:Fallback>
        </mc:AlternateContent>
      </w:r>
      <w:r w:rsidR="0014253D" w:rsidRPr="0014253D">
        <w:rPr>
          <w:rFonts w:hint="eastAsia"/>
          <w:b/>
          <w:color w:val="000000" w:themeColor="text1"/>
        </w:rPr>
        <w:t>5.　關鍵基礎設施各層級安全防護計畫相互關聯，形成安全防護體系，以應對各種潛在威脅與災害，惟部分協調機關與主管機關未妥</w:t>
      </w:r>
      <w:proofErr w:type="gramStart"/>
      <w:r w:rsidR="0014253D" w:rsidRPr="0014253D">
        <w:rPr>
          <w:rFonts w:hint="eastAsia"/>
          <w:b/>
          <w:color w:val="000000" w:themeColor="text1"/>
        </w:rPr>
        <w:t>適</w:t>
      </w:r>
      <w:proofErr w:type="gramEnd"/>
      <w:r w:rsidR="0014253D" w:rsidRPr="0014253D">
        <w:rPr>
          <w:rFonts w:hint="eastAsia"/>
          <w:b/>
          <w:color w:val="000000" w:themeColor="text1"/>
        </w:rPr>
        <w:t>擬定主領域或次領域層級之安全防護計畫，不利相關次領域主管機關與設施提供者依循：</w:t>
      </w:r>
      <w:r w:rsidR="0014253D" w:rsidRPr="0014253D">
        <w:rPr>
          <w:rFonts w:hint="eastAsia"/>
          <w:color w:val="000000" w:themeColor="text1"/>
        </w:rPr>
        <w:t>我國現行關鍵基礎設施指導綱要之安全防護管理要領分為設定安全目標、辨識關鍵資產、風險評估、決定防護優先次序、擬定安全防護計畫及衡量實施成效等6項步驟（圖</w:t>
      </w:r>
      <w:r w:rsidR="00A20FFB">
        <w:rPr>
          <w:rFonts w:hint="eastAsia"/>
          <w:color w:val="000000" w:themeColor="text1"/>
        </w:rPr>
        <w:t>9</w:t>
      </w:r>
      <w:r w:rsidR="0014253D" w:rsidRPr="0014253D">
        <w:rPr>
          <w:rFonts w:hint="eastAsia"/>
          <w:color w:val="000000" w:themeColor="text1"/>
        </w:rPr>
        <w:t>），係參考美國國土</w:t>
      </w:r>
      <w:proofErr w:type="gramStart"/>
      <w:r w:rsidR="0014253D" w:rsidRPr="0014253D">
        <w:rPr>
          <w:rFonts w:hint="eastAsia"/>
          <w:color w:val="000000" w:themeColor="text1"/>
        </w:rPr>
        <w:t>安全部以</w:t>
      </w:r>
      <w:proofErr w:type="gramEnd"/>
      <w:r w:rsidR="0014253D" w:rsidRPr="0014253D">
        <w:rPr>
          <w:rFonts w:hint="eastAsia"/>
          <w:color w:val="000000" w:themeColor="text1"/>
        </w:rPr>
        <w:t>「安全」（Security）與「韌性」（Resilience）為推動目標之國家基礎建設防護</w:t>
      </w:r>
    </w:p>
    <w:p w14:paraId="43F633E6" w14:textId="662BD76B" w:rsidR="00AB79AD" w:rsidRDefault="0014253D" w:rsidP="00AB79AD">
      <w:pPr>
        <w:pStyle w:val="2-2"/>
        <w:ind w:firstLineChars="0" w:firstLine="0"/>
        <w:jc w:val="distribute"/>
        <w:rPr>
          <w:color w:val="000000" w:themeColor="text1"/>
        </w:rPr>
      </w:pPr>
      <w:r w:rsidRPr="0014253D">
        <w:rPr>
          <w:rFonts w:hint="eastAsia"/>
          <w:color w:val="000000" w:themeColor="text1"/>
        </w:rPr>
        <w:t>計畫（National Infrastru</w:t>
      </w:r>
      <w:r w:rsidRPr="0014253D">
        <w:rPr>
          <w:color w:val="000000" w:themeColor="text1"/>
        </w:rPr>
        <w:t>cture Protection Plan, NIPP</w:t>
      </w:r>
      <w:r w:rsidRPr="0014253D">
        <w:rPr>
          <w:rFonts w:hint="eastAsia"/>
          <w:color w:val="000000" w:themeColor="text1"/>
        </w:rPr>
        <w:t>）風</w:t>
      </w:r>
      <w:r w:rsidR="001C20D0" w:rsidRPr="0014253D">
        <w:rPr>
          <w:rFonts w:hint="eastAsia"/>
          <w:color w:val="000000" w:themeColor="text1"/>
        </w:rPr>
        <w:t>險</w:t>
      </w:r>
    </w:p>
    <w:p w14:paraId="5CE2F034" w14:textId="3C92C8BD" w:rsidR="0014253D" w:rsidRPr="0014253D" w:rsidRDefault="00EC7157" w:rsidP="00AB79AD">
      <w:pPr>
        <w:pStyle w:val="2-2"/>
        <w:ind w:firstLineChars="0" w:firstLine="0"/>
        <w:jc w:val="both"/>
        <w:rPr>
          <w:color w:val="000000" w:themeColor="text1"/>
        </w:rPr>
      </w:pPr>
      <w:r w:rsidRPr="0014253D">
        <w:rPr>
          <w:rFonts w:hint="eastAsia"/>
          <w:color w:val="000000" w:themeColor="text1"/>
        </w:rPr>
        <w:t>管</w:t>
      </w:r>
      <w:r w:rsidR="0014253D" w:rsidRPr="0014253D">
        <w:rPr>
          <w:rFonts w:hint="eastAsia"/>
          <w:color w:val="000000" w:themeColor="text1"/>
        </w:rPr>
        <w:t>理架構（</w:t>
      </w:r>
      <w:r w:rsidR="0014253D" w:rsidRPr="0014253D">
        <w:rPr>
          <w:color w:val="000000" w:themeColor="text1"/>
        </w:rPr>
        <w:t>Risk Management Framework</w:t>
      </w:r>
      <w:r w:rsidR="0014253D" w:rsidRPr="0014253D">
        <w:rPr>
          <w:rFonts w:hint="eastAsia"/>
          <w:color w:val="000000" w:themeColor="text1"/>
        </w:rPr>
        <w:t>），用以管理及降低來自於實體、資通訊及人員</w:t>
      </w:r>
      <w:r w:rsidR="0014253D" w:rsidRPr="0014253D">
        <w:rPr>
          <w:color w:val="000000" w:themeColor="text1"/>
        </w:rPr>
        <w:t>3</w:t>
      </w:r>
      <w:r w:rsidR="0014253D" w:rsidRPr="0014253D">
        <w:rPr>
          <w:rFonts w:hint="eastAsia"/>
          <w:color w:val="000000" w:themeColor="text1"/>
        </w:rPr>
        <w:t>方面之攻擊威脅風險。政府為有效執行國家關鍵基礎設施安全防護管理工作，允應全面性、系統性進行設施盤點工作，</w:t>
      </w:r>
      <w:proofErr w:type="gramStart"/>
      <w:r w:rsidR="0014253D" w:rsidRPr="0014253D">
        <w:rPr>
          <w:rFonts w:hint="eastAsia"/>
          <w:color w:val="000000" w:themeColor="text1"/>
        </w:rPr>
        <w:t>俾</w:t>
      </w:r>
      <w:proofErr w:type="gramEnd"/>
      <w:r w:rsidR="0014253D" w:rsidRPr="0014253D">
        <w:rPr>
          <w:rFonts w:hint="eastAsia"/>
          <w:color w:val="000000" w:themeColor="text1"/>
        </w:rPr>
        <w:t>依照設施重要性進行分級管理，</w:t>
      </w:r>
      <w:proofErr w:type="gramStart"/>
      <w:r w:rsidR="0014253D" w:rsidRPr="0014253D">
        <w:rPr>
          <w:rFonts w:hint="eastAsia"/>
          <w:color w:val="000000" w:themeColor="text1"/>
        </w:rPr>
        <w:t>研</w:t>
      </w:r>
      <w:proofErr w:type="gramEnd"/>
      <w:r w:rsidR="0014253D" w:rsidRPr="0014253D">
        <w:rPr>
          <w:rFonts w:hint="eastAsia"/>
          <w:color w:val="000000" w:themeColor="text1"/>
        </w:rPr>
        <w:t>擬各層級具體可執行之安全防護計畫。</w:t>
      </w:r>
      <w:proofErr w:type="gramStart"/>
      <w:r w:rsidR="0014253D" w:rsidRPr="0014253D">
        <w:rPr>
          <w:rFonts w:hint="eastAsia"/>
          <w:color w:val="000000" w:themeColor="text1"/>
        </w:rPr>
        <w:t>惟</w:t>
      </w:r>
      <w:proofErr w:type="gramEnd"/>
      <w:r w:rsidR="0014253D" w:rsidRPr="0014253D">
        <w:rPr>
          <w:rFonts w:hint="eastAsia"/>
          <w:color w:val="000000" w:themeColor="text1"/>
        </w:rPr>
        <w:t>部分主管機關未妥</w:t>
      </w:r>
      <w:proofErr w:type="gramStart"/>
      <w:r w:rsidR="0014253D" w:rsidRPr="0014253D">
        <w:rPr>
          <w:rFonts w:hint="eastAsia"/>
          <w:color w:val="000000" w:themeColor="text1"/>
        </w:rPr>
        <w:t>適</w:t>
      </w:r>
      <w:proofErr w:type="gramEnd"/>
      <w:r w:rsidR="0014253D" w:rsidRPr="0014253D">
        <w:rPr>
          <w:rFonts w:hint="eastAsia"/>
          <w:color w:val="000000" w:themeColor="text1"/>
        </w:rPr>
        <w:t>擬定次領域韌性防護計畫，</w:t>
      </w:r>
      <w:proofErr w:type="gramStart"/>
      <w:r w:rsidR="0014253D" w:rsidRPr="0014253D">
        <w:rPr>
          <w:rFonts w:hint="eastAsia"/>
          <w:color w:val="000000" w:themeColor="text1"/>
        </w:rPr>
        <w:t>間有欠缺</w:t>
      </w:r>
      <w:proofErr w:type="gramEnd"/>
      <w:r w:rsidR="0014253D" w:rsidRPr="0014253D">
        <w:rPr>
          <w:rFonts w:hint="eastAsia"/>
          <w:color w:val="000000" w:themeColor="text1"/>
        </w:rPr>
        <w:t>相依性風險評估、具體防護優先順序等情事，</w:t>
      </w:r>
      <w:proofErr w:type="gramStart"/>
      <w:r w:rsidR="0014253D" w:rsidRPr="0014253D">
        <w:rPr>
          <w:rFonts w:hint="eastAsia"/>
          <w:color w:val="000000" w:themeColor="text1"/>
        </w:rPr>
        <w:t>且各主領域</w:t>
      </w:r>
      <w:proofErr w:type="gramEnd"/>
      <w:r w:rsidR="0014253D" w:rsidRPr="0014253D">
        <w:rPr>
          <w:rFonts w:hint="eastAsia"/>
          <w:color w:val="000000" w:themeColor="text1"/>
        </w:rPr>
        <w:t>協調機關未以整體主領域觀點擬定主領域層級之安全防護計畫，及訂定安全目標與優先推動工作，亦不利次領域主管機關與設施提供者</w:t>
      </w:r>
      <w:proofErr w:type="gramStart"/>
      <w:r w:rsidR="0014253D" w:rsidRPr="0014253D">
        <w:rPr>
          <w:rFonts w:hint="eastAsia"/>
          <w:color w:val="000000" w:themeColor="text1"/>
        </w:rPr>
        <w:t>依循等</w:t>
      </w:r>
      <w:proofErr w:type="gramEnd"/>
      <w:r w:rsidR="0014253D" w:rsidRPr="0014253D">
        <w:rPr>
          <w:rFonts w:hint="eastAsia"/>
          <w:color w:val="000000" w:themeColor="text1"/>
        </w:rPr>
        <w:t>。經函請行政院適時檢討現況問題，督促所屬落實關鍵基礎設施安全防護管理要領，妥適擬定各層級安全防護計畫，以提升整體安全防護效能。據復：將妥善檢討與規劃安全防護計畫應包含事項，據以修正關鍵基礎設施指導綱要，並督導相關機關檢視各該安全防護計畫之適足性，為必要之補充與修正。</w:t>
      </w:r>
    </w:p>
    <w:p w14:paraId="0925D795" w14:textId="57145578" w:rsidR="0014253D" w:rsidRPr="006A4F3E" w:rsidRDefault="0014253D" w:rsidP="0014253D">
      <w:pPr>
        <w:pStyle w:val="2-2"/>
        <w:ind w:firstLine="1063"/>
        <w:jc w:val="both"/>
        <w:rPr>
          <w:b/>
          <w:color w:val="000000" w:themeColor="text1"/>
          <w:spacing w:val="-2"/>
        </w:rPr>
      </w:pPr>
      <w:r w:rsidRPr="006A4F3E">
        <w:rPr>
          <w:rFonts w:hint="eastAsia"/>
          <w:b/>
          <w:color w:val="000000" w:themeColor="text1"/>
          <w:spacing w:val="-2"/>
        </w:rPr>
        <w:t>6.　政府已明定9大領域關鍵基礎設施，惟部分機關未依篩選原則納列關鍵基礎設施，或同領域項下之不同次領域納列設施作法不一，</w:t>
      </w:r>
      <w:proofErr w:type="gramStart"/>
      <w:r w:rsidRPr="006A4F3E">
        <w:rPr>
          <w:rFonts w:hint="eastAsia"/>
          <w:b/>
          <w:color w:val="000000" w:themeColor="text1"/>
          <w:spacing w:val="-2"/>
        </w:rPr>
        <w:t>恐致未能</w:t>
      </w:r>
      <w:proofErr w:type="gramEnd"/>
      <w:r w:rsidRPr="006A4F3E">
        <w:rPr>
          <w:rFonts w:hint="eastAsia"/>
          <w:b/>
          <w:color w:val="000000" w:themeColor="text1"/>
          <w:spacing w:val="-2"/>
        </w:rPr>
        <w:t>完整掌握維繫國家機能運作之關鍵節點與相依性，而潛藏防護漏洞：</w:t>
      </w:r>
      <w:r w:rsidRPr="006A4F3E">
        <w:rPr>
          <w:rFonts w:hint="eastAsia"/>
          <w:color w:val="000000" w:themeColor="text1"/>
          <w:spacing w:val="-2"/>
        </w:rPr>
        <w:t>依關鍵基礎設施盤點作業須知之基本篩選原則列載，基礎設施遭</w:t>
      </w:r>
      <w:proofErr w:type="gramStart"/>
      <w:r w:rsidRPr="006A4F3E">
        <w:rPr>
          <w:rFonts w:hint="eastAsia"/>
          <w:color w:val="000000" w:themeColor="text1"/>
          <w:spacing w:val="-2"/>
        </w:rPr>
        <w:t>攻擊或災損</w:t>
      </w:r>
      <w:proofErr w:type="gramEnd"/>
      <w:r w:rsidRPr="006A4F3E">
        <w:rPr>
          <w:rFonts w:hint="eastAsia"/>
          <w:color w:val="000000" w:themeColor="text1"/>
          <w:spacing w:val="-2"/>
        </w:rPr>
        <w:t>時，有造成如下影響者，應列為關鍵基礎設施：（1）足以直接或間接造成大規模人口傷</w:t>
      </w:r>
      <w:r w:rsidRPr="006A4F3E">
        <w:rPr>
          <w:rFonts w:hint="eastAsia"/>
          <w:color w:val="000000" w:themeColor="text1"/>
          <w:spacing w:val="-2"/>
        </w:rPr>
        <w:lastRenderedPageBreak/>
        <w:t>亡或避難遷徙者；（2）足以直接或間接造成重大經濟損失者；（3）足以直接或間接影響其他關鍵基礎設施營運之能力者；（4）足以影響政府功能持續運作、民心士氣、社會安定者。國土辦配合國家政策方向，於114年2月修正</w:t>
      </w:r>
      <w:proofErr w:type="gramStart"/>
      <w:r w:rsidRPr="006A4F3E">
        <w:rPr>
          <w:rFonts w:hint="eastAsia"/>
          <w:color w:val="000000" w:themeColor="text1"/>
          <w:spacing w:val="-2"/>
        </w:rPr>
        <w:t>最</w:t>
      </w:r>
      <w:proofErr w:type="gramEnd"/>
      <w:r w:rsidRPr="006A4F3E">
        <w:rPr>
          <w:rFonts w:hint="eastAsia"/>
          <w:color w:val="000000" w:themeColor="text1"/>
          <w:spacing w:val="-2"/>
        </w:rPr>
        <w:t>新版關鍵基礎設施領域分類表，新增</w:t>
      </w:r>
      <w:proofErr w:type="gramStart"/>
      <w:r w:rsidRPr="006A4F3E">
        <w:rPr>
          <w:rFonts w:hint="eastAsia"/>
          <w:color w:val="000000" w:themeColor="text1"/>
          <w:spacing w:val="-2"/>
        </w:rPr>
        <w:t>攸</w:t>
      </w:r>
      <w:proofErr w:type="gramEnd"/>
      <w:r w:rsidRPr="006A4F3E">
        <w:rPr>
          <w:rFonts w:hint="eastAsia"/>
          <w:color w:val="000000" w:themeColor="text1"/>
          <w:spacing w:val="-2"/>
        </w:rPr>
        <w:t>關社會民生韌性之「糧食」為第9大主領域，</w:t>
      </w:r>
      <w:proofErr w:type="gramStart"/>
      <w:r w:rsidRPr="006A4F3E">
        <w:rPr>
          <w:rFonts w:hint="eastAsia"/>
          <w:color w:val="000000" w:themeColor="text1"/>
          <w:spacing w:val="-2"/>
        </w:rPr>
        <w:t>及其項下</w:t>
      </w:r>
      <w:proofErr w:type="gramEnd"/>
      <w:r w:rsidRPr="006A4F3E">
        <w:rPr>
          <w:rFonts w:hint="eastAsia"/>
          <w:color w:val="000000" w:themeColor="text1"/>
          <w:spacing w:val="-2"/>
        </w:rPr>
        <w:t>「農糧」及「食品加工製造」2項次領域。</w:t>
      </w:r>
      <w:proofErr w:type="gramStart"/>
      <w:r w:rsidRPr="006A4F3E">
        <w:rPr>
          <w:rFonts w:hint="eastAsia"/>
          <w:color w:val="000000" w:themeColor="text1"/>
          <w:spacing w:val="-2"/>
        </w:rPr>
        <w:t>惟</w:t>
      </w:r>
      <w:proofErr w:type="gramEnd"/>
      <w:r w:rsidRPr="006A4F3E">
        <w:rPr>
          <w:rFonts w:hint="eastAsia"/>
          <w:color w:val="000000" w:themeColor="text1"/>
          <w:spacing w:val="-2"/>
        </w:rPr>
        <w:t>部分機關未依篩選原則納列關鍵基礎設施，或同領域間欠缺相同納列標準，</w:t>
      </w:r>
      <w:proofErr w:type="gramStart"/>
      <w:r w:rsidRPr="006A4F3E">
        <w:rPr>
          <w:rFonts w:hint="eastAsia"/>
          <w:color w:val="000000" w:themeColor="text1"/>
          <w:spacing w:val="-2"/>
        </w:rPr>
        <w:t>舉如科學</w:t>
      </w:r>
      <w:proofErr w:type="gramEnd"/>
      <w:r w:rsidRPr="006A4F3E">
        <w:rPr>
          <w:rFonts w:hint="eastAsia"/>
          <w:color w:val="000000" w:themeColor="text1"/>
          <w:spacing w:val="-2"/>
        </w:rPr>
        <w:t>園區與工業區主領域項下納列由經濟部主管之軟體園區與工業區次領域，惟全</w:t>
      </w:r>
      <w:proofErr w:type="gramStart"/>
      <w:r w:rsidRPr="006A4F3E">
        <w:rPr>
          <w:rFonts w:hint="eastAsia"/>
          <w:color w:val="000000" w:themeColor="text1"/>
          <w:spacing w:val="-2"/>
        </w:rPr>
        <w:t>臺</w:t>
      </w:r>
      <w:proofErr w:type="gramEnd"/>
      <w:r w:rsidRPr="006A4F3E">
        <w:rPr>
          <w:rFonts w:hint="eastAsia"/>
          <w:color w:val="000000" w:themeColor="text1"/>
          <w:spacing w:val="-2"/>
        </w:rPr>
        <w:t>3處軟體園區及約70處產業園區（含原加工出口區，已於112年9月更名為科技產業園區）均未經納列為關鍵基礎設施；而國家科學及技術委員會（下稱國科會）為科學與生</w:t>
      </w:r>
      <w:proofErr w:type="gramStart"/>
      <w:r w:rsidRPr="006A4F3E">
        <w:rPr>
          <w:rFonts w:hint="eastAsia"/>
          <w:color w:val="000000" w:themeColor="text1"/>
          <w:spacing w:val="-2"/>
        </w:rPr>
        <w:t>醫</w:t>
      </w:r>
      <w:proofErr w:type="gramEnd"/>
      <w:r w:rsidRPr="006A4F3E">
        <w:rPr>
          <w:rFonts w:hint="eastAsia"/>
          <w:color w:val="000000" w:themeColor="text1"/>
          <w:spacing w:val="-2"/>
        </w:rPr>
        <w:t>園區次領域主管機關，已將全</w:t>
      </w:r>
      <w:proofErr w:type="gramStart"/>
      <w:r w:rsidRPr="006A4F3E">
        <w:rPr>
          <w:rFonts w:hint="eastAsia"/>
          <w:color w:val="000000" w:themeColor="text1"/>
          <w:spacing w:val="-2"/>
        </w:rPr>
        <w:t>臺</w:t>
      </w:r>
      <w:proofErr w:type="gramEnd"/>
      <w:r w:rsidRPr="006A4F3E">
        <w:rPr>
          <w:rFonts w:hint="eastAsia"/>
          <w:color w:val="000000" w:themeColor="text1"/>
          <w:spacing w:val="-2"/>
        </w:rPr>
        <w:t>17處科學園區逾半數納列為關鍵基礎設施。由於主領域協調機關</w:t>
      </w:r>
      <w:r w:rsidR="00086955">
        <w:rPr>
          <w:rFonts w:hint="eastAsia"/>
          <w:color w:val="000000" w:themeColor="text1"/>
          <w:spacing w:val="-2"/>
        </w:rPr>
        <w:t>（</w:t>
      </w:r>
      <w:r w:rsidRPr="006A4F3E">
        <w:rPr>
          <w:rFonts w:hint="eastAsia"/>
          <w:color w:val="000000" w:themeColor="text1"/>
          <w:spacing w:val="-2"/>
        </w:rPr>
        <w:t>國科會</w:t>
      </w:r>
      <w:r w:rsidR="00086955">
        <w:rPr>
          <w:rFonts w:hint="eastAsia"/>
          <w:color w:val="000000" w:themeColor="text1"/>
          <w:spacing w:val="-2"/>
        </w:rPr>
        <w:t>）</w:t>
      </w:r>
      <w:r w:rsidRPr="006A4F3E">
        <w:rPr>
          <w:rFonts w:hint="eastAsia"/>
          <w:color w:val="000000" w:themeColor="text1"/>
          <w:spacing w:val="-2"/>
        </w:rPr>
        <w:t>未依關鍵基礎設施指導綱要規定</w:t>
      </w:r>
      <w:r w:rsidR="00086955">
        <w:rPr>
          <w:rFonts w:hint="eastAsia"/>
          <w:color w:val="000000" w:themeColor="text1"/>
          <w:spacing w:val="-2"/>
        </w:rPr>
        <w:t>，</w:t>
      </w:r>
      <w:r w:rsidRPr="006A4F3E">
        <w:rPr>
          <w:rFonts w:hint="eastAsia"/>
          <w:color w:val="000000" w:themeColor="text1"/>
          <w:spacing w:val="-2"/>
        </w:rPr>
        <w:t>訂定共同風險管理標準，致該會與經濟部等2個次領域主管機關認列關鍵基礎設施之標準存有不一，潛藏防護漏洞風險。經函請行政院</w:t>
      </w:r>
      <w:proofErr w:type="gramStart"/>
      <w:r w:rsidRPr="006A4F3E">
        <w:rPr>
          <w:rFonts w:hint="eastAsia"/>
          <w:color w:val="000000" w:themeColor="text1"/>
          <w:spacing w:val="-2"/>
        </w:rPr>
        <w:t>督促各主領域</w:t>
      </w:r>
      <w:proofErr w:type="gramEnd"/>
      <w:r w:rsidRPr="006A4F3E">
        <w:rPr>
          <w:rFonts w:hint="eastAsia"/>
          <w:color w:val="000000" w:themeColor="text1"/>
          <w:spacing w:val="-2"/>
        </w:rPr>
        <w:t>協調機關</w:t>
      </w:r>
      <w:proofErr w:type="gramStart"/>
      <w:r w:rsidRPr="006A4F3E">
        <w:rPr>
          <w:rFonts w:hint="eastAsia"/>
          <w:color w:val="000000" w:themeColor="text1"/>
          <w:spacing w:val="-2"/>
        </w:rPr>
        <w:t>及其次</w:t>
      </w:r>
      <w:proofErr w:type="gramEnd"/>
      <w:r w:rsidRPr="006A4F3E">
        <w:rPr>
          <w:rFonts w:hint="eastAsia"/>
          <w:color w:val="000000" w:themeColor="text1"/>
          <w:spacing w:val="-2"/>
        </w:rPr>
        <w:t>領域主管機關建立共通性納列標準與落實基本篩選原則，</w:t>
      </w:r>
      <w:proofErr w:type="gramStart"/>
      <w:r w:rsidRPr="006A4F3E">
        <w:rPr>
          <w:rFonts w:hint="eastAsia"/>
          <w:color w:val="000000" w:themeColor="text1"/>
          <w:spacing w:val="-2"/>
        </w:rPr>
        <w:t>另衡酌</w:t>
      </w:r>
      <w:proofErr w:type="gramEnd"/>
      <w:r w:rsidRPr="006A4F3E">
        <w:rPr>
          <w:rFonts w:hint="eastAsia"/>
          <w:color w:val="000000" w:themeColor="text1"/>
          <w:spacing w:val="-2"/>
        </w:rPr>
        <w:t>我國現況與參考國際趨勢，全面檢視並盤點有無遺漏設施，及適時滾動檢討關鍵基礎設施類型，以確保關鍵基礎設施防護之完整性。據復：將審視整體國土安全情勢變化、參考國際作法、結合國家政策方向與防護資源配置實務考量，督促各主管機關落實關鍵基礎設施盤點與分級相關程序，評估關鍵基礎設施之項目及範圍，確保關鍵基</w:t>
      </w:r>
      <w:r w:rsidR="000E718D">
        <w:rPr>
          <w:rFonts w:hint="eastAsia"/>
          <w:color w:val="000000" w:themeColor="text1"/>
          <w:spacing w:val="-2"/>
        </w:rPr>
        <w:t>礎</w:t>
      </w:r>
      <w:r w:rsidRPr="006A4F3E">
        <w:rPr>
          <w:rFonts w:hint="eastAsia"/>
          <w:color w:val="000000" w:themeColor="text1"/>
          <w:spacing w:val="-2"/>
        </w:rPr>
        <w:t>設施防護完整性。</w:t>
      </w:r>
    </w:p>
    <w:p w14:paraId="1ED73066" w14:textId="1DF5163E" w:rsidR="002C60C1" w:rsidRPr="0069007A" w:rsidRDefault="0014253D" w:rsidP="006A4F3E">
      <w:pPr>
        <w:overflowPunct w:val="0"/>
        <w:spacing w:line="400" w:lineRule="exact"/>
        <w:ind w:firstLineChars="450" w:firstLine="1081"/>
        <w:jc w:val="both"/>
        <w:rPr>
          <w:rFonts w:ascii="標楷體" w:eastAsia="標楷體" w:hAnsi="標楷體"/>
          <w:color w:val="000000" w:themeColor="text1"/>
        </w:rPr>
      </w:pPr>
      <w:r w:rsidRPr="0069007A">
        <w:rPr>
          <w:rFonts w:ascii="標楷體" w:eastAsia="標楷體" w:hAnsi="標楷體" w:hint="eastAsia"/>
          <w:b/>
          <w:color w:val="000000" w:themeColor="text1"/>
        </w:rPr>
        <w:t>7.　政府為衡量關鍵基礎設施安全防護之實施成效，建立三級檢視與演習機制，惟部分部會所提出檢視與演習成果報告過於簡要，且欠缺對各領域層級主管機關任務執行結果之評核機制：</w:t>
      </w:r>
      <w:r w:rsidRPr="0069007A">
        <w:rPr>
          <w:rFonts w:ascii="標楷體" w:eastAsia="標楷體" w:hAnsi="標楷體" w:hint="eastAsia"/>
          <w:color w:val="000000" w:themeColor="text1"/>
        </w:rPr>
        <w:t>行政院建立院級、部會級、關鍵基礎設施提供者三級巡檢及演習機制，以驗證關鍵基礎設施安全管理與保安防護各項作為有效性，並自111年4月啟動關鍵基礎設施安全防護檢視作業，針對安全管理與保安防護2大面向進行現地檢視，以確認關鍵基礎設施安全防護計畫落實情形；另於同年5月訂定</w:t>
      </w:r>
      <w:proofErr w:type="gramStart"/>
      <w:r w:rsidRPr="0069007A">
        <w:rPr>
          <w:rFonts w:ascii="標楷體" w:eastAsia="標楷體" w:hAnsi="標楷體" w:hint="eastAsia"/>
          <w:color w:val="000000" w:themeColor="text1"/>
        </w:rPr>
        <w:t>111</w:t>
      </w:r>
      <w:proofErr w:type="gramEnd"/>
      <w:r w:rsidRPr="0069007A">
        <w:rPr>
          <w:rFonts w:ascii="標楷體" w:eastAsia="標楷體" w:hAnsi="標楷體" w:hint="eastAsia"/>
          <w:color w:val="000000" w:themeColor="text1"/>
        </w:rPr>
        <w:t>年度關鍵基礎設施防護演習綱要計畫，</w:t>
      </w:r>
      <w:proofErr w:type="gramStart"/>
      <w:r w:rsidRPr="0069007A">
        <w:rPr>
          <w:rFonts w:ascii="標楷體" w:eastAsia="標楷體" w:hAnsi="標楷體" w:hint="eastAsia"/>
          <w:color w:val="000000" w:themeColor="text1"/>
        </w:rPr>
        <w:t>導入變時情境</w:t>
      </w:r>
      <w:proofErr w:type="gramEnd"/>
      <w:r w:rsidRPr="0069007A">
        <w:rPr>
          <w:rFonts w:ascii="標楷體" w:eastAsia="標楷體" w:hAnsi="標楷體" w:hint="eastAsia"/>
          <w:color w:val="000000" w:themeColor="text1"/>
        </w:rPr>
        <w:t>，驗證關鍵基礎設施防護灰色地帶衝突、平戰轉換、自衛自救與設施相依性等作為。</w:t>
      </w:r>
      <w:proofErr w:type="gramStart"/>
      <w:r w:rsidRPr="0069007A">
        <w:rPr>
          <w:rFonts w:ascii="標楷體" w:eastAsia="標楷體" w:hAnsi="標楷體" w:hint="eastAsia"/>
          <w:color w:val="000000" w:themeColor="text1"/>
        </w:rPr>
        <w:t>嗣</w:t>
      </w:r>
      <w:proofErr w:type="gramEnd"/>
      <w:r w:rsidRPr="0069007A">
        <w:rPr>
          <w:rFonts w:ascii="標楷體" w:eastAsia="標楷體" w:hAnsi="標楷體" w:hint="eastAsia"/>
          <w:color w:val="000000" w:themeColor="text1"/>
        </w:rPr>
        <w:t>行政院於</w:t>
      </w:r>
      <w:proofErr w:type="gramStart"/>
      <w:r w:rsidRPr="0069007A">
        <w:rPr>
          <w:rFonts w:ascii="標楷體" w:eastAsia="標楷體" w:hAnsi="標楷體" w:hint="eastAsia"/>
          <w:color w:val="000000" w:themeColor="text1"/>
        </w:rPr>
        <w:t>113</w:t>
      </w:r>
      <w:proofErr w:type="gramEnd"/>
      <w:r w:rsidRPr="0069007A">
        <w:rPr>
          <w:rFonts w:ascii="標楷體" w:eastAsia="標楷體" w:hAnsi="標楷體" w:hint="eastAsia"/>
          <w:color w:val="000000" w:themeColor="text1"/>
        </w:rPr>
        <w:t>年度持續精進相關作業，將檢視與演習合併辦理，訂定113年關鍵基礎設施安全防護檢視及演習綱要計畫。依前揭113年檢視及演習綱要計畫規定，相關部會應依參考格式提出關鍵基礎設施安全防護檢視及演習執行成果報告，惟部分部會所提執行成果報告未確實依參考格式撰寫，欠缺各層級檢視及演習成果之檢討情形說明，亦缺少就所管關鍵基礎設施依「關鍵基礎設施自主檢核項目」自主檢視結果，彙整共通性缺失及檢討改善情形，尚</w:t>
      </w:r>
      <w:proofErr w:type="gramStart"/>
      <w:r w:rsidRPr="0069007A">
        <w:rPr>
          <w:rFonts w:ascii="標楷體" w:eastAsia="標楷體" w:hAnsi="標楷體" w:hint="eastAsia"/>
          <w:color w:val="000000" w:themeColor="text1"/>
        </w:rPr>
        <w:t>難供所</w:t>
      </w:r>
      <w:proofErr w:type="gramEnd"/>
      <w:r w:rsidRPr="0069007A">
        <w:rPr>
          <w:rFonts w:ascii="標楷體" w:eastAsia="標楷體" w:hAnsi="標楷體" w:hint="eastAsia"/>
          <w:color w:val="000000" w:themeColor="text1"/>
        </w:rPr>
        <w:t>管其他設施提供者參考精進。</w:t>
      </w:r>
      <w:proofErr w:type="gramStart"/>
      <w:r w:rsidRPr="0069007A">
        <w:rPr>
          <w:rFonts w:ascii="標楷體" w:eastAsia="標楷體" w:hAnsi="標楷體" w:hint="eastAsia"/>
          <w:color w:val="000000" w:themeColor="text1"/>
        </w:rPr>
        <w:t>此外，</w:t>
      </w:r>
      <w:proofErr w:type="gramEnd"/>
      <w:r w:rsidRPr="0069007A">
        <w:rPr>
          <w:rFonts w:ascii="標楷體" w:eastAsia="標楷體" w:hAnsi="標楷體" w:hint="eastAsia"/>
          <w:color w:val="000000" w:themeColor="text1"/>
        </w:rPr>
        <w:t>行政院對於主領域協調機關或次領域主管機關相關任務之執行情形（如訂定共同風險管理標準、擬定主領域或次領域層級安全防護計畫、監督管考設施提供者等），尚無具體評核機制，不利促使相關部會確實依關鍵基礎設施指導綱要等規定落實辦理關鍵基礎設施安全防護任務等。經函請行政院督促相關部會完備檢視及演習之執行成果報告，並</w:t>
      </w:r>
      <w:proofErr w:type="gramStart"/>
      <w:r w:rsidRPr="0069007A">
        <w:rPr>
          <w:rFonts w:ascii="標楷體" w:eastAsia="標楷體" w:hAnsi="標楷體" w:hint="eastAsia"/>
          <w:color w:val="000000" w:themeColor="text1"/>
        </w:rPr>
        <w:t>研</w:t>
      </w:r>
      <w:proofErr w:type="gramEnd"/>
      <w:r w:rsidRPr="0069007A">
        <w:rPr>
          <w:rFonts w:ascii="標楷體" w:eastAsia="標楷體" w:hAnsi="標楷體" w:hint="eastAsia"/>
          <w:color w:val="000000" w:themeColor="text1"/>
        </w:rPr>
        <w:t>議強化評核機制，或擇選執行成果報告之優良範本供其他部會參考，經由優良實務作法與成果之擴散與推廣，提</w:t>
      </w:r>
      <w:r w:rsidR="00FD5ED6" w:rsidRPr="0069007A">
        <w:rPr>
          <w:rFonts w:ascii="標楷體" w:eastAsia="標楷體" w:hAnsi="標楷體" w:hint="eastAsia"/>
          <w:color w:val="000000" w:themeColor="text1"/>
        </w:rPr>
        <w:t>升關鍵基礎設施防護之整體成效。據復：已於114年演習訓令增加演習成果</w:t>
      </w:r>
      <w:proofErr w:type="gramStart"/>
      <w:r w:rsidR="00FD5ED6" w:rsidRPr="0069007A">
        <w:rPr>
          <w:rFonts w:ascii="標楷體" w:eastAsia="標楷體" w:hAnsi="標楷體" w:hint="eastAsia"/>
          <w:color w:val="000000" w:themeColor="text1"/>
        </w:rPr>
        <w:t>彙整表</w:t>
      </w:r>
      <w:proofErr w:type="gramEnd"/>
      <w:r w:rsidR="00FD5ED6" w:rsidRPr="0069007A">
        <w:rPr>
          <w:rFonts w:ascii="標楷體" w:eastAsia="標楷體" w:hAnsi="標楷體" w:hint="eastAsia"/>
          <w:color w:val="000000" w:themeColor="text1"/>
        </w:rPr>
        <w:t>，請各主管機關統計所管關鍵基礎設施演習內容概要，以提升演習管考效能，另將通函或召開會議要求各</w:t>
      </w:r>
      <w:r w:rsidR="006A4F3E" w:rsidRPr="0069007A">
        <w:rPr>
          <w:rFonts w:ascii="標楷體" w:eastAsia="標楷體" w:hAnsi="標楷體" w:hint="eastAsia"/>
          <w:color w:val="000000" w:themeColor="text1"/>
        </w:rPr>
        <w:t>機關持續完備相關檢視與演習之成果，</w:t>
      </w:r>
      <w:r w:rsidRPr="0069007A">
        <w:rPr>
          <w:rFonts w:ascii="標楷體" w:eastAsia="標楷體" w:hAnsi="標楷體" w:hint="eastAsia"/>
          <w:color w:val="000000" w:themeColor="text1"/>
        </w:rPr>
        <w:t>以提升所轄關鍵基礎設施整體策進作為。</w:t>
      </w:r>
    </w:p>
    <w:bookmarkEnd w:id="7"/>
    <w:bookmarkEnd w:id="8"/>
    <w:bookmarkEnd w:id="9"/>
    <w:bookmarkEnd w:id="10"/>
    <w:bookmarkEnd w:id="11"/>
    <w:bookmarkEnd w:id="12"/>
    <w:p w14:paraId="3A74DA80" w14:textId="4AFCE9C6" w:rsidR="00EB17B4" w:rsidRPr="00EB17B4" w:rsidRDefault="00EB17B4" w:rsidP="000C162A">
      <w:pPr>
        <w:overflowPunct w:val="0"/>
        <w:spacing w:beforeLines="20" w:before="72" w:afterLines="20" w:after="72" w:line="430" w:lineRule="exact"/>
        <w:ind w:firstLineChars="200" w:firstLine="561"/>
        <w:jc w:val="both"/>
        <w:outlineLvl w:val="1"/>
        <w:rPr>
          <w:rFonts w:ascii="標楷體" w:eastAsia="標楷體" w:hAnsi="標楷體" w:cstheme="minorBidi"/>
          <w:b/>
          <w:sz w:val="28"/>
          <w:szCs w:val="22"/>
        </w:rPr>
      </w:pPr>
      <w:r w:rsidRPr="00EB17B4">
        <w:rPr>
          <w:rFonts w:ascii="標楷體" w:eastAsia="標楷體" w:hAnsi="標楷體" w:cstheme="minorBidi" w:hint="eastAsia"/>
          <w:b/>
          <w:sz w:val="28"/>
          <w:szCs w:val="22"/>
        </w:rPr>
        <w:lastRenderedPageBreak/>
        <w:t>（</w:t>
      </w:r>
      <w:r>
        <w:rPr>
          <w:rFonts w:ascii="標楷體" w:eastAsia="標楷體" w:hAnsi="標楷體" w:cstheme="minorBidi" w:hint="eastAsia"/>
          <w:b/>
          <w:sz w:val="28"/>
          <w:szCs w:val="22"/>
        </w:rPr>
        <w:t>十一</w:t>
      </w:r>
      <w:r w:rsidRPr="00EB17B4">
        <w:rPr>
          <w:rFonts w:ascii="標楷體" w:eastAsia="標楷體" w:hAnsi="標楷體" w:cstheme="minorBidi" w:hint="eastAsia"/>
          <w:b/>
          <w:sz w:val="28"/>
          <w:szCs w:val="22"/>
        </w:rPr>
        <w:t xml:space="preserve">）　</w:t>
      </w:r>
      <w:r w:rsidR="0066005A" w:rsidRPr="0066005A">
        <w:rPr>
          <w:rFonts w:ascii="標楷體" w:eastAsia="標楷體" w:hAnsi="標楷體" w:cstheme="minorBidi" w:hint="eastAsia"/>
          <w:b/>
          <w:sz w:val="28"/>
          <w:szCs w:val="22"/>
        </w:rPr>
        <w:t>政府為落實國防自主，於推動五加二產業創新之基礎</w:t>
      </w:r>
      <w:proofErr w:type="gramStart"/>
      <w:r w:rsidR="0066005A" w:rsidRPr="0066005A">
        <w:rPr>
          <w:rFonts w:ascii="標楷體" w:eastAsia="標楷體" w:hAnsi="標楷體" w:cstheme="minorBidi" w:hint="eastAsia"/>
          <w:b/>
          <w:sz w:val="28"/>
          <w:szCs w:val="22"/>
        </w:rPr>
        <w:t>賡</w:t>
      </w:r>
      <w:proofErr w:type="gramEnd"/>
      <w:r w:rsidR="0066005A" w:rsidRPr="0066005A">
        <w:rPr>
          <w:rFonts w:ascii="標楷體" w:eastAsia="標楷體" w:hAnsi="標楷體" w:cstheme="minorBidi" w:hint="eastAsia"/>
          <w:b/>
          <w:sz w:val="28"/>
          <w:szCs w:val="22"/>
        </w:rPr>
        <w:t>續規劃國防及戰略產業推動方案，惟執行</w:t>
      </w:r>
      <w:proofErr w:type="gramStart"/>
      <w:r w:rsidR="0066005A" w:rsidRPr="0066005A">
        <w:rPr>
          <w:rFonts w:ascii="標楷體" w:eastAsia="標楷體" w:hAnsi="標楷體" w:cstheme="minorBidi" w:hint="eastAsia"/>
          <w:b/>
          <w:sz w:val="28"/>
          <w:szCs w:val="22"/>
        </w:rPr>
        <w:t>情形間有未</w:t>
      </w:r>
      <w:proofErr w:type="gramEnd"/>
      <w:r w:rsidR="0066005A" w:rsidRPr="0066005A">
        <w:rPr>
          <w:rFonts w:ascii="標楷體" w:eastAsia="標楷體" w:hAnsi="標楷體" w:cstheme="minorBidi" w:hint="eastAsia"/>
          <w:b/>
          <w:sz w:val="28"/>
          <w:szCs w:val="22"/>
        </w:rPr>
        <w:t>契合航空及船艦產業缺口或原規劃開發項目、補助作業未</w:t>
      </w:r>
      <w:proofErr w:type="gramStart"/>
      <w:r w:rsidR="0066005A" w:rsidRPr="0066005A">
        <w:rPr>
          <w:rFonts w:ascii="標楷體" w:eastAsia="標楷體" w:hAnsi="標楷體" w:cstheme="minorBidi" w:hint="eastAsia"/>
          <w:b/>
          <w:sz w:val="28"/>
          <w:szCs w:val="22"/>
        </w:rPr>
        <w:t>臻</w:t>
      </w:r>
      <w:proofErr w:type="gramEnd"/>
      <w:r w:rsidR="0066005A" w:rsidRPr="0066005A">
        <w:rPr>
          <w:rFonts w:ascii="標楷體" w:eastAsia="標楷體" w:hAnsi="標楷體" w:cstheme="minorBidi" w:hint="eastAsia"/>
          <w:b/>
          <w:sz w:val="28"/>
          <w:szCs w:val="22"/>
        </w:rPr>
        <w:t>周妥或效益待提升；無人機產業園區開發進度略有落後，測試</w:t>
      </w:r>
      <w:proofErr w:type="gramStart"/>
      <w:r w:rsidR="0066005A" w:rsidRPr="0066005A">
        <w:rPr>
          <w:rFonts w:ascii="標楷體" w:eastAsia="標楷體" w:hAnsi="標楷體" w:cstheme="minorBidi" w:hint="eastAsia"/>
          <w:b/>
          <w:sz w:val="28"/>
          <w:szCs w:val="22"/>
        </w:rPr>
        <w:t>場址迄未定</w:t>
      </w:r>
      <w:proofErr w:type="gramEnd"/>
      <w:r w:rsidR="0066005A" w:rsidRPr="0066005A">
        <w:rPr>
          <w:rFonts w:ascii="標楷體" w:eastAsia="標楷體" w:hAnsi="標楷體" w:cstheme="minorBidi" w:hint="eastAsia"/>
          <w:b/>
          <w:sz w:val="28"/>
          <w:szCs w:val="22"/>
        </w:rPr>
        <w:t>案，暨管考作業容有待改善之處，允宜</w:t>
      </w:r>
      <w:proofErr w:type="gramStart"/>
      <w:r w:rsidR="0066005A" w:rsidRPr="0066005A">
        <w:rPr>
          <w:rFonts w:ascii="標楷體" w:eastAsia="標楷體" w:hAnsi="標楷體" w:cstheme="minorBidi" w:hint="eastAsia"/>
          <w:b/>
          <w:sz w:val="28"/>
          <w:szCs w:val="22"/>
        </w:rPr>
        <w:t>研</w:t>
      </w:r>
      <w:proofErr w:type="gramEnd"/>
      <w:r w:rsidR="0066005A" w:rsidRPr="0066005A">
        <w:rPr>
          <w:rFonts w:ascii="標楷體" w:eastAsia="標楷體" w:hAnsi="標楷體" w:cstheme="minorBidi" w:hint="eastAsia"/>
          <w:b/>
          <w:sz w:val="28"/>
          <w:szCs w:val="22"/>
        </w:rPr>
        <w:t>謀改善。</w:t>
      </w:r>
    </w:p>
    <w:p w14:paraId="438314A3" w14:textId="0EEF388A" w:rsidR="00C7210C" w:rsidRPr="00C918AF" w:rsidRDefault="00B879AD" w:rsidP="000C162A">
      <w:pPr>
        <w:overflowPunct w:val="0"/>
        <w:spacing w:line="420" w:lineRule="exact"/>
        <w:ind w:firstLineChars="200" w:firstLine="480"/>
        <w:jc w:val="both"/>
        <w:textAlignment w:val="baseline"/>
        <w:rPr>
          <w:rFonts w:ascii="標楷體" w:eastAsia="標楷體" w:hAnsi="標楷體"/>
          <w:snapToGrid w:val="0"/>
          <w:kern w:val="0"/>
          <w:szCs w:val="24"/>
        </w:rPr>
      </w:pPr>
      <w:r w:rsidRPr="00B879AD">
        <w:rPr>
          <w:rFonts w:ascii="標楷體" w:eastAsia="標楷體" w:hAnsi="標楷體" w:hint="eastAsia"/>
          <w:snapToGrid w:val="0"/>
          <w:kern w:val="0"/>
          <w:szCs w:val="24"/>
        </w:rPr>
        <w:t>政府為有效結合民間力量，發展國防產業，落實國防自主之基本方針，在五加二產業創新、AI與5G既有堅實基礎下，規劃「六大核心戰略產業推動方案」（下稱產業推動方案），其中在國防產業發展方面，持續於110至113年度推動航空及船艦產業發展，並以強化軍民合作及打造無人機團隊等目標，擬具各項推動策略，由經濟部、國家科學及技術委員會（下稱國科會）及國防部按其權責規劃具體措施及辦理事項，暨擬訂施政計畫及</w:t>
      </w:r>
      <w:proofErr w:type="gramStart"/>
      <w:r w:rsidRPr="00B879AD">
        <w:rPr>
          <w:rFonts w:ascii="標楷體" w:eastAsia="標楷體" w:hAnsi="標楷體" w:hint="eastAsia"/>
          <w:snapToGrid w:val="0"/>
          <w:kern w:val="0"/>
          <w:szCs w:val="24"/>
        </w:rPr>
        <w:t>籌編所需</w:t>
      </w:r>
      <w:proofErr w:type="gramEnd"/>
      <w:r w:rsidRPr="00B879AD">
        <w:rPr>
          <w:rFonts w:ascii="標楷體" w:eastAsia="標楷體" w:hAnsi="標楷體" w:hint="eastAsia"/>
          <w:snapToGrid w:val="0"/>
          <w:kern w:val="0"/>
          <w:szCs w:val="24"/>
        </w:rPr>
        <w:t>預算，於同期間編列預算數64億8,355萬餘元，截至113年底止，累計支用數64億3,195萬餘元，支用率99.20％。經查政府辦理國防產業推動情形，核有下列事項：</w:t>
      </w:r>
    </w:p>
    <w:p w14:paraId="4B601000" w14:textId="7DB4EFD7" w:rsidR="00E37E4A" w:rsidRPr="00B879AD" w:rsidRDefault="00C7210C" w:rsidP="00FB41F3">
      <w:pPr>
        <w:overflowPunct w:val="0"/>
        <w:spacing w:line="420" w:lineRule="exact"/>
        <w:ind w:firstLineChars="400" w:firstLine="961"/>
        <w:jc w:val="distribute"/>
        <w:rPr>
          <w:rFonts w:ascii="標楷體" w:eastAsia="標楷體" w:hAnsi="標楷體"/>
          <w:bCs/>
          <w:snapToGrid w:val="0"/>
          <w:kern w:val="0"/>
          <w:szCs w:val="24"/>
        </w:rPr>
      </w:pPr>
      <w:r w:rsidRPr="0031215D">
        <w:rPr>
          <w:rFonts w:ascii="標楷體" w:eastAsia="標楷體" w:hAnsi="標楷體" w:hint="eastAsia"/>
          <w:b/>
          <w:snapToGrid w:val="0"/>
          <w:kern w:val="0"/>
          <w:szCs w:val="24"/>
        </w:rPr>
        <w:t xml:space="preserve"> 1.　</w:t>
      </w:r>
      <w:r w:rsidR="00B879AD" w:rsidRPr="00B879AD">
        <w:rPr>
          <w:rFonts w:ascii="標楷體" w:eastAsia="標楷體" w:hAnsi="標楷體" w:hint="eastAsia"/>
          <w:b/>
          <w:snapToGrid w:val="0"/>
          <w:kern w:val="0"/>
          <w:szCs w:val="24"/>
        </w:rPr>
        <w:t>政府透過補助計畫及技術移轉方式，輔導業者彌補國防產業技術缺口及開發關鍵核心技術，惟部分計畫補助開發範圍未契合產業缺口或原規劃開發項目，軍民通用技術移轉未結合國防產業發展所需，且</w:t>
      </w:r>
      <w:proofErr w:type="gramStart"/>
      <w:r w:rsidR="00B879AD" w:rsidRPr="00B879AD">
        <w:rPr>
          <w:rFonts w:ascii="標楷體" w:eastAsia="標楷體" w:hAnsi="標楷體" w:hint="eastAsia"/>
          <w:b/>
          <w:snapToGrid w:val="0"/>
          <w:kern w:val="0"/>
          <w:szCs w:val="24"/>
        </w:rPr>
        <w:t>擘</w:t>
      </w:r>
      <w:proofErr w:type="gramEnd"/>
      <w:r w:rsidR="00B879AD" w:rsidRPr="00B879AD">
        <w:rPr>
          <w:rFonts w:ascii="標楷體" w:eastAsia="標楷體" w:hAnsi="標楷體" w:hint="eastAsia"/>
          <w:b/>
          <w:snapToGrid w:val="0"/>
          <w:kern w:val="0"/>
          <w:szCs w:val="24"/>
        </w:rPr>
        <w:t>劃之國防科技發展技術藍圖未能契合國防需求：</w:t>
      </w:r>
      <w:r w:rsidR="00B879AD" w:rsidRPr="00B879AD">
        <w:rPr>
          <w:rFonts w:ascii="標楷體" w:eastAsia="標楷體" w:hAnsi="標楷體" w:hint="eastAsia"/>
          <w:bCs/>
          <w:snapToGrid w:val="0"/>
          <w:kern w:val="0"/>
          <w:szCs w:val="24"/>
        </w:rPr>
        <w:t>政府推動國防及戰略產業，針對「航空與船艦」及「無人機」等產業，規劃運用「F-16自主維修」、「完備航空與船艦產業供應鏈」及「以</w:t>
      </w:r>
      <w:proofErr w:type="gramStart"/>
      <w:r w:rsidR="00B879AD" w:rsidRPr="00B879AD">
        <w:rPr>
          <w:rFonts w:ascii="標楷體" w:eastAsia="標楷體" w:hAnsi="標楷體" w:hint="eastAsia"/>
          <w:bCs/>
          <w:snapToGrid w:val="0"/>
          <w:kern w:val="0"/>
          <w:szCs w:val="24"/>
        </w:rPr>
        <w:t>軍帶民籌建</w:t>
      </w:r>
      <w:proofErr w:type="gramEnd"/>
      <w:r w:rsidR="00B879AD" w:rsidRPr="00B879AD">
        <w:rPr>
          <w:rFonts w:ascii="標楷體" w:eastAsia="標楷體" w:hAnsi="標楷體" w:hint="eastAsia"/>
          <w:bCs/>
          <w:snapToGrid w:val="0"/>
          <w:kern w:val="0"/>
          <w:szCs w:val="24"/>
        </w:rPr>
        <w:t>軟硬體技術能量」等7項推動策略，期能落實國防自主及振興國防產業，暨實現亞太無人機製造中心願景。經查國防產業各項策略推動情形，核有：（1）經濟部產業發展署（下稱產發署）為推動航空及船艦產業之「完備航空及船艦供應鏈體系」策略，於</w:t>
      </w:r>
      <w:proofErr w:type="gramStart"/>
      <w:r w:rsidR="00B879AD" w:rsidRPr="00B879AD">
        <w:rPr>
          <w:rFonts w:ascii="標楷體" w:eastAsia="標楷體" w:hAnsi="標楷體" w:hint="eastAsia"/>
          <w:bCs/>
          <w:snapToGrid w:val="0"/>
          <w:kern w:val="0"/>
          <w:szCs w:val="24"/>
        </w:rPr>
        <w:t>112</w:t>
      </w:r>
      <w:proofErr w:type="gramEnd"/>
      <w:r w:rsidR="00B879AD" w:rsidRPr="00B879AD">
        <w:rPr>
          <w:rFonts w:ascii="標楷體" w:eastAsia="標楷體" w:hAnsi="標楷體" w:hint="eastAsia"/>
          <w:bCs/>
          <w:snapToGrid w:val="0"/>
          <w:kern w:val="0"/>
          <w:szCs w:val="24"/>
        </w:rPr>
        <w:t>年度辦理船艦產業缺口盤點結果，在設計等</w:t>
      </w:r>
      <w:proofErr w:type="gramStart"/>
      <w:r w:rsidR="00B879AD" w:rsidRPr="00B879AD">
        <w:rPr>
          <w:rFonts w:ascii="標楷體" w:eastAsia="標楷體" w:hAnsi="標楷體" w:hint="eastAsia"/>
          <w:bCs/>
          <w:snapToGrid w:val="0"/>
          <w:kern w:val="0"/>
          <w:szCs w:val="24"/>
        </w:rPr>
        <w:t>4個構</w:t>
      </w:r>
      <w:proofErr w:type="gramEnd"/>
      <w:r w:rsidR="00B879AD" w:rsidRPr="00B879AD">
        <w:rPr>
          <w:rFonts w:ascii="標楷體" w:eastAsia="標楷體" w:hAnsi="標楷體" w:hint="eastAsia"/>
          <w:bCs/>
          <w:snapToGrid w:val="0"/>
          <w:kern w:val="0"/>
          <w:szCs w:val="24"/>
        </w:rPr>
        <w:t>面之40項中，具備部分能量或無相關業者投入之項目計有主機（輪機系統）、發電機等26項（表</w:t>
      </w:r>
      <w:r w:rsidR="00B879AD">
        <w:rPr>
          <w:rFonts w:ascii="標楷體" w:eastAsia="標楷體" w:hAnsi="標楷體" w:hint="eastAsia"/>
          <w:bCs/>
          <w:snapToGrid w:val="0"/>
          <w:kern w:val="0"/>
          <w:szCs w:val="24"/>
        </w:rPr>
        <w:t>1</w:t>
      </w:r>
      <w:r w:rsidR="00B879AD">
        <w:rPr>
          <w:rFonts w:ascii="標楷體" w:eastAsia="標楷體" w:hAnsi="標楷體"/>
          <w:bCs/>
          <w:snapToGrid w:val="0"/>
          <w:kern w:val="0"/>
          <w:szCs w:val="24"/>
        </w:rPr>
        <w:t>5</w:t>
      </w:r>
      <w:r w:rsidR="00B879AD" w:rsidRPr="00B879AD">
        <w:rPr>
          <w:rFonts w:ascii="標楷體" w:eastAsia="標楷體" w:hAnsi="標楷體" w:hint="eastAsia"/>
          <w:bCs/>
          <w:snapToGrid w:val="0"/>
          <w:kern w:val="0"/>
          <w:szCs w:val="24"/>
        </w:rPr>
        <w:t>），</w:t>
      </w:r>
      <w:proofErr w:type="gramStart"/>
      <w:r w:rsidR="00B879AD" w:rsidRPr="00B879AD">
        <w:rPr>
          <w:rFonts w:ascii="標楷體" w:eastAsia="標楷體" w:hAnsi="標楷體" w:hint="eastAsia"/>
          <w:bCs/>
          <w:snapToGrid w:val="0"/>
          <w:kern w:val="0"/>
          <w:szCs w:val="24"/>
        </w:rPr>
        <w:t>惟產發署</w:t>
      </w:r>
      <w:proofErr w:type="gramEnd"/>
      <w:r w:rsidR="00B879AD" w:rsidRPr="00B879AD">
        <w:rPr>
          <w:rFonts w:ascii="標楷體" w:eastAsia="標楷體" w:hAnsi="標楷體" w:hint="eastAsia"/>
          <w:bCs/>
          <w:snapToGrid w:val="0"/>
          <w:kern w:val="0"/>
          <w:szCs w:val="24"/>
        </w:rPr>
        <w:t>後</w:t>
      </w:r>
      <w:r w:rsidR="00FB41F3">
        <w:rPr>
          <w:rFonts w:ascii="標楷體" w:eastAsia="標楷體" w:hAnsi="標楷體" w:hint="eastAsia"/>
          <w:bCs/>
          <w:snapToGrid w:val="0"/>
          <w:kern w:val="0"/>
          <w:szCs w:val="24"/>
        </w:rPr>
        <w:t>續公告</w:t>
      </w:r>
    </w:p>
    <w:tbl>
      <w:tblPr>
        <w:tblStyle w:val="afff"/>
        <w:tblpPr w:leftFromText="180" w:rightFromText="180" w:vertAnchor="text" w:horzAnchor="margin" w:tblpXSpec="right" w:tblpY="192"/>
        <w:tblW w:w="0" w:type="auto"/>
        <w:tblLook w:val="04A0" w:firstRow="1" w:lastRow="0" w:firstColumn="1" w:lastColumn="0" w:noHBand="0" w:noVBand="1"/>
      </w:tblPr>
      <w:tblGrid>
        <w:gridCol w:w="1701"/>
        <w:gridCol w:w="851"/>
        <w:gridCol w:w="1181"/>
        <w:gridCol w:w="1181"/>
        <w:gridCol w:w="1181"/>
      </w:tblGrid>
      <w:tr w:rsidR="00E37E4A" w:rsidRPr="00841B08" w14:paraId="42626050" w14:textId="77777777" w:rsidTr="00E37E4A">
        <w:trPr>
          <w:trHeight w:val="340"/>
        </w:trPr>
        <w:tc>
          <w:tcPr>
            <w:tcW w:w="6095" w:type="dxa"/>
            <w:gridSpan w:val="5"/>
            <w:tcBorders>
              <w:top w:val="nil"/>
              <w:left w:val="nil"/>
              <w:bottom w:val="nil"/>
              <w:right w:val="nil"/>
              <w:tl2br w:val="nil"/>
            </w:tcBorders>
          </w:tcPr>
          <w:p w14:paraId="0B407202" w14:textId="193F8CED" w:rsidR="00E37E4A" w:rsidRPr="00841B08" w:rsidRDefault="00E37E4A" w:rsidP="00224EBA">
            <w:pPr>
              <w:tabs>
                <w:tab w:val="left" w:pos="1894"/>
              </w:tabs>
              <w:overflowPunct w:val="0"/>
              <w:spacing w:line="440" w:lineRule="exact"/>
              <w:ind w:leftChars="-59" w:left="-142" w:rightChars="-30" w:right="-72"/>
              <w:jc w:val="center"/>
              <w:rPr>
                <w:rFonts w:ascii="標楷體" w:eastAsia="標楷體" w:hAnsi="標楷體"/>
                <w:b/>
                <w:bCs/>
                <w:szCs w:val="24"/>
              </w:rPr>
            </w:pPr>
            <w:r w:rsidRPr="00841B08">
              <w:rPr>
                <w:rFonts w:ascii="標楷體" w:eastAsia="標楷體" w:hAnsi="標楷體" w:hint="eastAsia"/>
                <w:b/>
                <w:bCs/>
                <w:szCs w:val="24"/>
              </w:rPr>
              <w:t>表</w:t>
            </w:r>
            <w:r>
              <w:rPr>
                <w:rFonts w:ascii="標楷體" w:eastAsia="標楷體" w:hAnsi="標楷體" w:hint="eastAsia"/>
                <w:b/>
                <w:bCs/>
                <w:szCs w:val="24"/>
              </w:rPr>
              <w:t>1</w:t>
            </w:r>
            <w:r>
              <w:rPr>
                <w:rFonts w:ascii="標楷體" w:eastAsia="標楷體" w:hAnsi="標楷體"/>
                <w:b/>
                <w:bCs/>
                <w:szCs w:val="24"/>
              </w:rPr>
              <w:t>5</w:t>
            </w:r>
            <w:r w:rsidRPr="00841B08">
              <w:rPr>
                <w:rFonts w:ascii="標楷體" w:eastAsia="標楷體" w:hAnsi="標楷體" w:hint="eastAsia"/>
                <w:b/>
                <w:snapToGrid w:val="0"/>
                <w:kern w:val="0"/>
                <w:szCs w:val="24"/>
              </w:rPr>
              <w:t xml:space="preserve">　</w:t>
            </w:r>
            <w:proofErr w:type="gramStart"/>
            <w:r>
              <w:rPr>
                <w:rFonts w:ascii="標楷體" w:eastAsia="標楷體" w:hAnsi="標楷體" w:hint="eastAsia"/>
                <w:b/>
                <w:snapToGrid w:val="0"/>
                <w:kern w:val="0"/>
                <w:szCs w:val="24"/>
              </w:rPr>
              <w:t>112</w:t>
            </w:r>
            <w:proofErr w:type="gramEnd"/>
            <w:r>
              <w:rPr>
                <w:rFonts w:ascii="標楷體" w:eastAsia="標楷體" w:hAnsi="標楷體" w:hint="eastAsia"/>
                <w:b/>
                <w:snapToGrid w:val="0"/>
                <w:kern w:val="0"/>
                <w:szCs w:val="24"/>
              </w:rPr>
              <w:t>年度</w:t>
            </w:r>
            <w:r w:rsidR="00607617">
              <w:rPr>
                <w:rFonts w:ascii="標楷體" w:eastAsia="標楷體" w:hAnsi="標楷體" w:hint="eastAsia"/>
                <w:b/>
                <w:snapToGrid w:val="0"/>
                <w:kern w:val="0"/>
                <w:szCs w:val="24"/>
              </w:rPr>
              <w:t>經濟部</w:t>
            </w:r>
            <w:r w:rsidR="00607617" w:rsidRPr="00841B08">
              <w:rPr>
                <w:rFonts w:ascii="標楷體" w:eastAsia="標楷體" w:hAnsi="標楷體" w:hint="eastAsia"/>
                <w:b/>
                <w:snapToGrid w:val="0"/>
                <w:kern w:val="0"/>
                <w:szCs w:val="24"/>
              </w:rPr>
              <w:t>產</w:t>
            </w:r>
            <w:r w:rsidR="00607617">
              <w:rPr>
                <w:rFonts w:ascii="標楷體" w:eastAsia="標楷體" w:hAnsi="標楷體" w:hint="eastAsia"/>
                <w:b/>
                <w:snapToGrid w:val="0"/>
                <w:kern w:val="0"/>
                <w:szCs w:val="24"/>
              </w:rPr>
              <w:t>業</w:t>
            </w:r>
            <w:r w:rsidR="00607617" w:rsidRPr="00841B08">
              <w:rPr>
                <w:rFonts w:ascii="標楷體" w:eastAsia="標楷體" w:hAnsi="標楷體" w:hint="eastAsia"/>
                <w:b/>
                <w:snapToGrid w:val="0"/>
                <w:kern w:val="0"/>
                <w:szCs w:val="24"/>
              </w:rPr>
              <w:t>發</w:t>
            </w:r>
            <w:r w:rsidR="00607617">
              <w:rPr>
                <w:rFonts w:ascii="標楷體" w:eastAsia="標楷體" w:hAnsi="標楷體" w:hint="eastAsia"/>
                <w:b/>
                <w:snapToGrid w:val="0"/>
                <w:kern w:val="0"/>
                <w:szCs w:val="24"/>
              </w:rPr>
              <w:t>展</w:t>
            </w:r>
            <w:r w:rsidR="00607617" w:rsidRPr="00841B08">
              <w:rPr>
                <w:rFonts w:ascii="標楷體" w:eastAsia="標楷體" w:hAnsi="標楷體" w:hint="eastAsia"/>
                <w:b/>
                <w:snapToGrid w:val="0"/>
                <w:kern w:val="0"/>
                <w:szCs w:val="24"/>
              </w:rPr>
              <w:t>署</w:t>
            </w:r>
            <w:r>
              <w:rPr>
                <w:rFonts w:ascii="標楷體" w:eastAsia="標楷體" w:hAnsi="標楷體" w:hint="eastAsia"/>
                <w:b/>
                <w:snapToGrid w:val="0"/>
                <w:kern w:val="0"/>
                <w:szCs w:val="24"/>
              </w:rPr>
              <w:t>盤點</w:t>
            </w:r>
            <w:r w:rsidRPr="00841B08">
              <w:rPr>
                <w:rFonts w:ascii="標楷體" w:eastAsia="標楷體" w:hAnsi="標楷體" w:hint="eastAsia"/>
                <w:b/>
                <w:snapToGrid w:val="0"/>
                <w:kern w:val="0"/>
                <w:szCs w:val="24"/>
              </w:rPr>
              <w:t>船艦產業缺口</w:t>
            </w:r>
            <w:r w:rsidR="00224EBA">
              <w:rPr>
                <w:rFonts w:ascii="標楷體" w:eastAsia="標楷體" w:hAnsi="標楷體" w:hint="eastAsia"/>
                <w:b/>
                <w:snapToGrid w:val="0"/>
                <w:kern w:val="0"/>
                <w:szCs w:val="24"/>
              </w:rPr>
              <w:t>結果</w:t>
            </w:r>
          </w:p>
        </w:tc>
      </w:tr>
      <w:tr w:rsidR="00E37E4A" w:rsidRPr="00841B08" w14:paraId="01FFBA23" w14:textId="77777777" w:rsidTr="00E37E4A">
        <w:trPr>
          <w:trHeight w:val="227"/>
        </w:trPr>
        <w:tc>
          <w:tcPr>
            <w:tcW w:w="6095" w:type="dxa"/>
            <w:gridSpan w:val="5"/>
            <w:tcBorders>
              <w:top w:val="nil"/>
              <w:left w:val="nil"/>
              <w:bottom w:val="single" w:sz="4" w:space="0" w:color="auto"/>
              <w:right w:val="nil"/>
              <w:tl2br w:val="nil"/>
            </w:tcBorders>
          </w:tcPr>
          <w:p w14:paraId="5315AFA2" w14:textId="77777777" w:rsidR="00E37E4A" w:rsidRPr="00841B08" w:rsidRDefault="00E37E4A" w:rsidP="00E37E4A">
            <w:pPr>
              <w:tabs>
                <w:tab w:val="left" w:pos="1894"/>
              </w:tabs>
              <w:overflowPunct w:val="0"/>
              <w:spacing w:line="240" w:lineRule="exact"/>
              <w:jc w:val="right"/>
              <w:rPr>
                <w:rFonts w:ascii="標楷體" w:eastAsia="標楷體" w:hAnsi="標楷體"/>
                <w:sz w:val="20"/>
              </w:rPr>
            </w:pPr>
            <w:r w:rsidRPr="00841B08">
              <w:rPr>
                <w:rFonts w:ascii="標楷體" w:eastAsia="標楷體" w:hAnsi="標楷體" w:hint="eastAsia"/>
                <w:sz w:val="20"/>
              </w:rPr>
              <w:t>單位：項</w:t>
            </w:r>
          </w:p>
        </w:tc>
      </w:tr>
      <w:tr w:rsidR="00E37E4A" w14:paraId="58D88DA1" w14:textId="77777777" w:rsidTr="00E37E4A">
        <w:trPr>
          <w:trHeight w:hRule="exact" w:val="794"/>
        </w:trPr>
        <w:tc>
          <w:tcPr>
            <w:tcW w:w="1701" w:type="dxa"/>
            <w:tcBorders>
              <w:top w:val="single" w:sz="4" w:space="0" w:color="auto"/>
              <w:tl2br w:val="single" w:sz="4" w:space="0" w:color="auto"/>
            </w:tcBorders>
          </w:tcPr>
          <w:p w14:paraId="4A9493DA" w14:textId="77777777" w:rsidR="00E37E4A" w:rsidRPr="00880835" w:rsidRDefault="00E37E4A" w:rsidP="00E37E4A">
            <w:pPr>
              <w:overflowPunct w:val="0"/>
              <w:spacing w:line="440" w:lineRule="exact"/>
              <w:jc w:val="both"/>
              <w:rPr>
                <w:rFonts w:ascii="標楷體" w:eastAsia="標楷體" w:hAnsi="標楷體"/>
                <w:bCs/>
                <w:snapToGrid w:val="0"/>
                <w:spacing w:val="4"/>
                <w:kern w:val="0"/>
                <w:sz w:val="20"/>
              </w:rPr>
            </w:pPr>
            <w:r w:rsidRPr="00880835">
              <w:rPr>
                <w:rFonts w:ascii="標楷體" w:eastAsia="標楷體" w:hAnsi="標楷體"/>
                <w:bCs/>
                <w:noProof/>
                <w:snapToGrid w:val="0"/>
                <w:spacing w:val="4"/>
                <w:kern w:val="0"/>
                <w:sz w:val="20"/>
              </w:rPr>
              <mc:AlternateContent>
                <mc:Choice Requires="wps">
                  <w:drawing>
                    <wp:anchor distT="45720" distB="45720" distL="114300" distR="114300" simplePos="0" relativeHeight="251672576" behindDoc="1" locked="0" layoutInCell="1" allowOverlap="1" wp14:anchorId="096C87A2" wp14:editId="22D4EB27">
                      <wp:simplePos x="0" y="0"/>
                      <wp:positionH relativeFrom="column">
                        <wp:posOffset>367030</wp:posOffset>
                      </wp:positionH>
                      <wp:positionV relativeFrom="paragraph">
                        <wp:posOffset>-2540</wp:posOffset>
                      </wp:positionV>
                      <wp:extent cx="826770" cy="1404620"/>
                      <wp:effectExtent l="0" t="0" r="0" b="0"/>
                      <wp:wrapNone/>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770" cy="1404620"/>
                              </a:xfrm>
                              <a:prstGeom prst="rect">
                                <a:avLst/>
                              </a:prstGeom>
                              <a:noFill/>
                              <a:ln w="9525">
                                <a:noFill/>
                                <a:miter lim="800000"/>
                                <a:headEnd/>
                                <a:tailEnd/>
                              </a:ln>
                            </wps:spPr>
                            <wps:txbx>
                              <w:txbxContent>
                                <w:p w14:paraId="1DE23CBA" w14:textId="77777777" w:rsidR="00E37E4A" w:rsidRPr="00880835" w:rsidRDefault="00E37E4A" w:rsidP="00E37E4A">
                                  <w:pPr>
                                    <w:rPr>
                                      <w:rFonts w:ascii="標楷體" w:eastAsia="標楷體" w:hAnsi="標楷體"/>
                                      <w:sz w:val="20"/>
                                      <w:szCs w:val="16"/>
                                    </w:rPr>
                                  </w:pPr>
                                  <w:r w:rsidRPr="00880835">
                                    <w:rPr>
                                      <w:rFonts w:ascii="標楷體" w:eastAsia="標楷體" w:hAnsi="標楷體" w:hint="eastAsia"/>
                                      <w:sz w:val="20"/>
                                      <w:szCs w:val="16"/>
                                    </w:rPr>
                                    <w:t>研發能量</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6C87A2" id="_x0000_s1060" type="#_x0000_t202" style="position:absolute;left:0;text-align:left;margin-left:28.9pt;margin-top:-.2pt;width:65.1pt;height:110.6pt;z-index:-251643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" filled="f" stroked="f">
                      <v:textbox style="mso-fit-shape-to-text:t">
                        <w:txbxContent>
                          <w:p w14:paraId="1DE23CBA" w14:textId="77777777" w:rsidR="00E37E4A" w:rsidRPr="00880835" w:rsidRDefault="00E37E4A" w:rsidP="00E37E4A">
                            <w:pPr>
                              <w:rPr>
                                <w:rFonts w:ascii="標楷體" w:eastAsia="標楷體" w:hAnsi="標楷體"/>
                                <w:sz w:val="20"/>
                                <w:szCs w:val="16"/>
                              </w:rPr>
                            </w:pPr>
                            <w:r w:rsidRPr="00880835">
                              <w:rPr>
                                <w:rFonts w:ascii="標楷體" w:eastAsia="標楷體" w:hAnsi="標楷體" w:hint="eastAsia"/>
                                <w:sz w:val="20"/>
                                <w:szCs w:val="16"/>
                              </w:rPr>
                              <w:t>研發能量</w:t>
                            </w:r>
                          </w:p>
                        </w:txbxContent>
                      </v:textbox>
                    </v:shape>
                  </w:pict>
                </mc:Fallback>
              </mc:AlternateContent>
            </w:r>
          </w:p>
          <w:p w14:paraId="40F8E272" w14:textId="77777777" w:rsidR="00E37E4A" w:rsidRPr="00880835" w:rsidRDefault="00E37E4A" w:rsidP="00E37E4A">
            <w:pPr>
              <w:overflowPunct w:val="0"/>
              <w:spacing w:line="300" w:lineRule="exact"/>
              <w:jc w:val="both"/>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構面</w:t>
            </w:r>
          </w:p>
        </w:tc>
        <w:tc>
          <w:tcPr>
            <w:tcW w:w="851" w:type="dxa"/>
            <w:tcBorders>
              <w:top w:val="single" w:sz="4" w:space="0" w:color="auto"/>
            </w:tcBorders>
            <w:vAlign w:val="center"/>
          </w:tcPr>
          <w:p w14:paraId="27140E80" w14:textId="77777777" w:rsidR="00E37E4A" w:rsidRPr="00E13D42" w:rsidRDefault="00E37E4A" w:rsidP="00E37E4A">
            <w:pPr>
              <w:overflowPunct w:val="0"/>
              <w:spacing w:line="440" w:lineRule="exact"/>
              <w:jc w:val="center"/>
              <w:rPr>
                <w:rFonts w:ascii="標楷體" w:eastAsia="標楷體" w:hAnsi="標楷體"/>
                <w:sz w:val="20"/>
              </w:rPr>
            </w:pPr>
            <w:r w:rsidRPr="00E13D42">
              <w:rPr>
                <w:rFonts w:ascii="標楷體" w:eastAsia="標楷體" w:hAnsi="標楷體" w:hint="eastAsia"/>
                <w:sz w:val="20"/>
              </w:rPr>
              <w:t>合計</w:t>
            </w:r>
          </w:p>
        </w:tc>
        <w:tc>
          <w:tcPr>
            <w:tcW w:w="1181" w:type="dxa"/>
            <w:tcBorders>
              <w:top w:val="single" w:sz="4" w:space="0" w:color="auto"/>
            </w:tcBorders>
            <w:vAlign w:val="center"/>
          </w:tcPr>
          <w:p w14:paraId="477D0B3B" w14:textId="77777777" w:rsidR="00E37E4A" w:rsidRPr="00880835" w:rsidRDefault="00E37E4A" w:rsidP="00E37E4A">
            <w:pPr>
              <w:overflowPunct w:val="0"/>
              <w:spacing w:line="300" w:lineRule="exact"/>
              <w:jc w:val="center"/>
              <w:rPr>
                <w:rFonts w:ascii="標楷體" w:eastAsia="標楷體" w:hAnsi="標楷體"/>
                <w:b/>
                <w:snapToGrid w:val="0"/>
                <w:spacing w:val="4"/>
                <w:kern w:val="0"/>
                <w:sz w:val="20"/>
              </w:rPr>
            </w:pPr>
            <w:r w:rsidRPr="00880835">
              <w:rPr>
                <w:rFonts w:ascii="標楷體" w:eastAsia="標楷體" w:hAnsi="標楷體" w:hint="eastAsia"/>
                <w:sz w:val="20"/>
              </w:rPr>
              <w:t>具備完整能量</w:t>
            </w:r>
          </w:p>
        </w:tc>
        <w:tc>
          <w:tcPr>
            <w:tcW w:w="1181" w:type="dxa"/>
            <w:tcBorders>
              <w:top w:val="single" w:sz="4" w:space="0" w:color="auto"/>
            </w:tcBorders>
            <w:vAlign w:val="center"/>
          </w:tcPr>
          <w:p w14:paraId="2324C242" w14:textId="77777777" w:rsidR="00E37E4A" w:rsidRPr="00880835" w:rsidRDefault="00E37E4A" w:rsidP="00E37E4A">
            <w:pPr>
              <w:overflowPunct w:val="0"/>
              <w:spacing w:line="300" w:lineRule="exact"/>
              <w:jc w:val="center"/>
              <w:rPr>
                <w:rFonts w:ascii="標楷體" w:eastAsia="標楷體" w:hAnsi="標楷體"/>
                <w:b/>
                <w:snapToGrid w:val="0"/>
                <w:spacing w:val="4"/>
                <w:kern w:val="0"/>
                <w:sz w:val="20"/>
              </w:rPr>
            </w:pPr>
            <w:r w:rsidRPr="00880835">
              <w:rPr>
                <w:rFonts w:ascii="標楷體" w:eastAsia="標楷體" w:hAnsi="標楷體" w:hint="eastAsia"/>
                <w:sz w:val="20"/>
              </w:rPr>
              <w:t>具備部分能量</w:t>
            </w:r>
          </w:p>
        </w:tc>
        <w:tc>
          <w:tcPr>
            <w:tcW w:w="1181" w:type="dxa"/>
            <w:tcBorders>
              <w:top w:val="single" w:sz="4" w:space="0" w:color="auto"/>
            </w:tcBorders>
            <w:vAlign w:val="center"/>
          </w:tcPr>
          <w:p w14:paraId="543D2010" w14:textId="77777777" w:rsidR="00E37E4A" w:rsidRDefault="00E37E4A" w:rsidP="00E37E4A">
            <w:pPr>
              <w:overflowPunct w:val="0"/>
              <w:spacing w:line="300" w:lineRule="exact"/>
              <w:jc w:val="center"/>
              <w:rPr>
                <w:rFonts w:ascii="標楷體" w:eastAsia="標楷體" w:hAnsi="標楷體"/>
                <w:sz w:val="20"/>
              </w:rPr>
            </w:pPr>
            <w:r w:rsidRPr="00880835">
              <w:rPr>
                <w:rFonts w:ascii="標楷體" w:eastAsia="標楷體" w:hAnsi="標楷體" w:hint="eastAsia"/>
                <w:sz w:val="20"/>
              </w:rPr>
              <w:t>尚無業者</w:t>
            </w:r>
          </w:p>
          <w:p w14:paraId="4803E798" w14:textId="77777777" w:rsidR="00E37E4A" w:rsidRPr="00880835" w:rsidRDefault="00E37E4A" w:rsidP="00E37E4A">
            <w:pPr>
              <w:overflowPunct w:val="0"/>
              <w:spacing w:line="300" w:lineRule="exact"/>
              <w:jc w:val="center"/>
              <w:rPr>
                <w:rFonts w:ascii="標楷體" w:eastAsia="標楷體" w:hAnsi="標楷體"/>
                <w:b/>
                <w:snapToGrid w:val="0"/>
                <w:spacing w:val="4"/>
                <w:kern w:val="0"/>
                <w:sz w:val="20"/>
              </w:rPr>
            </w:pPr>
            <w:r w:rsidRPr="00880835">
              <w:rPr>
                <w:rFonts w:ascii="標楷體" w:eastAsia="標楷體" w:hAnsi="標楷體" w:hint="eastAsia"/>
                <w:sz w:val="20"/>
              </w:rPr>
              <w:t>投入能量</w:t>
            </w:r>
          </w:p>
        </w:tc>
      </w:tr>
      <w:tr w:rsidR="00E37E4A" w14:paraId="1B43A8F5" w14:textId="77777777" w:rsidTr="00E37E4A">
        <w:trPr>
          <w:trHeight w:val="397"/>
        </w:trPr>
        <w:tc>
          <w:tcPr>
            <w:tcW w:w="1701" w:type="dxa"/>
            <w:vAlign w:val="center"/>
          </w:tcPr>
          <w:p w14:paraId="06BE4A69" w14:textId="77777777" w:rsidR="00E37E4A" w:rsidRPr="00880835" w:rsidRDefault="00E37E4A" w:rsidP="00E37E4A">
            <w:pPr>
              <w:overflowPunct w:val="0"/>
              <w:spacing w:line="360" w:lineRule="exact"/>
              <w:jc w:val="center"/>
              <w:rPr>
                <w:rFonts w:ascii="標楷體" w:eastAsia="標楷體" w:hAnsi="標楷體"/>
                <w:bCs/>
                <w:snapToGrid w:val="0"/>
                <w:spacing w:val="4"/>
                <w:kern w:val="0"/>
                <w:sz w:val="20"/>
              </w:rPr>
            </w:pPr>
            <w:r>
              <w:rPr>
                <w:rFonts w:ascii="標楷體" w:eastAsia="標楷體" w:hAnsi="標楷體" w:hint="eastAsia"/>
                <w:b/>
                <w:snapToGrid w:val="0"/>
                <w:spacing w:val="4"/>
                <w:kern w:val="0"/>
                <w:sz w:val="20"/>
              </w:rPr>
              <w:t>合計</w:t>
            </w:r>
          </w:p>
        </w:tc>
        <w:tc>
          <w:tcPr>
            <w:tcW w:w="851" w:type="dxa"/>
            <w:vAlign w:val="center"/>
          </w:tcPr>
          <w:p w14:paraId="4D39475B" w14:textId="77777777" w:rsidR="00E37E4A" w:rsidRPr="00880835" w:rsidRDefault="00E37E4A" w:rsidP="00E37E4A">
            <w:pPr>
              <w:overflowPunct w:val="0"/>
              <w:spacing w:line="360" w:lineRule="exact"/>
              <w:jc w:val="right"/>
              <w:rPr>
                <w:rFonts w:ascii="標楷體" w:eastAsia="標楷體" w:hAnsi="標楷體"/>
                <w:b/>
                <w:snapToGrid w:val="0"/>
                <w:spacing w:val="4"/>
                <w:kern w:val="0"/>
                <w:sz w:val="20"/>
              </w:rPr>
            </w:pPr>
            <w:r w:rsidRPr="00880835">
              <w:rPr>
                <w:rFonts w:ascii="標楷體" w:eastAsia="標楷體" w:hAnsi="標楷體" w:hint="eastAsia"/>
                <w:b/>
                <w:snapToGrid w:val="0"/>
                <w:spacing w:val="4"/>
                <w:kern w:val="0"/>
                <w:sz w:val="20"/>
              </w:rPr>
              <w:t>40</w:t>
            </w:r>
          </w:p>
        </w:tc>
        <w:tc>
          <w:tcPr>
            <w:tcW w:w="1181" w:type="dxa"/>
            <w:vAlign w:val="center"/>
          </w:tcPr>
          <w:p w14:paraId="29734427"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14</w:t>
            </w:r>
          </w:p>
        </w:tc>
        <w:tc>
          <w:tcPr>
            <w:tcW w:w="1181" w:type="dxa"/>
            <w:vAlign w:val="center"/>
          </w:tcPr>
          <w:p w14:paraId="460A5AB1"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24</w:t>
            </w:r>
          </w:p>
        </w:tc>
        <w:tc>
          <w:tcPr>
            <w:tcW w:w="1181" w:type="dxa"/>
            <w:vAlign w:val="center"/>
          </w:tcPr>
          <w:p w14:paraId="16461FEE"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2</w:t>
            </w:r>
          </w:p>
        </w:tc>
      </w:tr>
      <w:tr w:rsidR="00E37E4A" w14:paraId="1692D007" w14:textId="77777777" w:rsidTr="00E37E4A">
        <w:trPr>
          <w:trHeight w:val="397"/>
        </w:trPr>
        <w:tc>
          <w:tcPr>
            <w:tcW w:w="1701" w:type="dxa"/>
            <w:vAlign w:val="center"/>
          </w:tcPr>
          <w:p w14:paraId="0DB57B06" w14:textId="77777777" w:rsidR="00E37E4A" w:rsidRPr="00880835" w:rsidRDefault="00E37E4A" w:rsidP="00E37E4A">
            <w:pPr>
              <w:overflowPunct w:val="0"/>
              <w:spacing w:line="360" w:lineRule="exact"/>
              <w:jc w:val="center"/>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設計</w:t>
            </w:r>
          </w:p>
        </w:tc>
        <w:tc>
          <w:tcPr>
            <w:tcW w:w="851" w:type="dxa"/>
            <w:vAlign w:val="center"/>
          </w:tcPr>
          <w:p w14:paraId="063D5B9E"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4</w:t>
            </w:r>
          </w:p>
        </w:tc>
        <w:tc>
          <w:tcPr>
            <w:tcW w:w="1181" w:type="dxa"/>
            <w:vAlign w:val="center"/>
          </w:tcPr>
          <w:p w14:paraId="7AF065FB"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4</w:t>
            </w:r>
          </w:p>
        </w:tc>
        <w:tc>
          <w:tcPr>
            <w:tcW w:w="1181" w:type="dxa"/>
            <w:vAlign w:val="center"/>
          </w:tcPr>
          <w:p w14:paraId="7385471D"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Pr>
                <w:rFonts w:ascii="標楷體" w:eastAsia="標楷體" w:hAnsi="標楷體" w:hint="eastAsia"/>
                <w:bCs/>
                <w:snapToGrid w:val="0"/>
                <w:spacing w:val="4"/>
                <w:kern w:val="0"/>
                <w:sz w:val="20"/>
              </w:rPr>
              <w:t>－</w:t>
            </w:r>
          </w:p>
        </w:tc>
        <w:tc>
          <w:tcPr>
            <w:tcW w:w="1181" w:type="dxa"/>
            <w:vAlign w:val="center"/>
          </w:tcPr>
          <w:p w14:paraId="5B062A54"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Pr>
                <w:rFonts w:ascii="標楷體" w:eastAsia="標楷體" w:hAnsi="標楷體" w:hint="eastAsia"/>
                <w:bCs/>
                <w:snapToGrid w:val="0"/>
                <w:spacing w:val="4"/>
                <w:kern w:val="0"/>
                <w:sz w:val="20"/>
              </w:rPr>
              <w:t>－</w:t>
            </w:r>
          </w:p>
        </w:tc>
      </w:tr>
      <w:tr w:rsidR="00E37E4A" w14:paraId="2270A04D" w14:textId="77777777" w:rsidTr="00E37E4A">
        <w:trPr>
          <w:trHeight w:val="397"/>
        </w:trPr>
        <w:tc>
          <w:tcPr>
            <w:tcW w:w="1701" w:type="dxa"/>
            <w:vAlign w:val="center"/>
          </w:tcPr>
          <w:p w14:paraId="19436B85" w14:textId="77777777" w:rsidR="00E37E4A" w:rsidRPr="00880835" w:rsidRDefault="00E37E4A" w:rsidP="00E37E4A">
            <w:pPr>
              <w:overflowPunct w:val="0"/>
              <w:spacing w:line="360" w:lineRule="exact"/>
              <w:jc w:val="center"/>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裝備與系統</w:t>
            </w:r>
          </w:p>
        </w:tc>
        <w:tc>
          <w:tcPr>
            <w:tcW w:w="851" w:type="dxa"/>
            <w:vAlign w:val="center"/>
          </w:tcPr>
          <w:p w14:paraId="4A809206"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21</w:t>
            </w:r>
          </w:p>
        </w:tc>
        <w:tc>
          <w:tcPr>
            <w:tcW w:w="1181" w:type="dxa"/>
            <w:vAlign w:val="center"/>
          </w:tcPr>
          <w:p w14:paraId="416EDFAC"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3</w:t>
            </w:r>
          </w:p>
        </w:tc>
        <w:tc>
          <w:tcPr>
            <w:tcW w:w="1181" w:type="dxa"/>
            <w:vAlign w:val="center"/>
          </w:tcPr>
          <w:p w14:paraId="5587AE1D"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16</w:t>
            </w:r>
          </w:p>
        </w:tc>
        <w:tc>
          <w:tcPr>
            <w:tcW w:w="1181" w:type="dxa"/>
            <w:vAlign w:val="center"/>
          </w:tcPr>
          <w:p w14:paraId="512F6633"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2</w:t>
            </w:r>
          </w:p>
        </w:tc>
      </w:tr>
      <w:tr w:rsidR="00E37E4A" w14:paraId="3345A675" w14:textId="77777777" w:rsidTr="00E37E4A">
        <w:trPr>
          <w:trHeight w:val="397"/>
        </w:trPr>
        <w:tc>
          <w:tcPr>
            <w:tcW w:w="1701" w:type="dxa"/>
            <w:vAlign w:val="center"/>
          </w:tcPr>
          <w:p w14:paraId="55C2616B" w14:textId="77777777" w:rsidR="00E37E4A" w:rsidRPr="00880835" w:rsidRDefault="00E37E4A" w:rsidP="00E37E4A">
            <w:pPr>
              <w:overflowPunct w:val="0"/>
              <w:spacing w:line="360" w:lineRule="exact"/>
              <w:jc w:val="center"/>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組裝與建造</w:t>
            </w:r>
          </w:p>
        </w:tc>
        <w:tc>
          <w:tcPr>
            <w:tcW w:w="851" w:type="dxa"/>
            <w:vAlign w:val="center"/>
          </w:tcPr>
          <w:p w14:paraId="1D202F99"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6</w:t>
            </w:r>
          </w:p>
        </w:tc>
        <w:tc>
          <w:tcPr>
            <w:tcW w:w="1181" w:type="dxa"/>
            <w:vAlign w:val="center"/>
          </w:tcPr>
          <w:p w14:paraId="76CEBF5E"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3</w:t>
            </w:r>
          </w:p>
        </w:tc>
        <w:tc>
          <w:tcPr>
            <w:tcW w:w="1181" w:type="dxa"/>
            <w:vAlign w:val="center"/>
          </w:tcPr>
          <w:p w14:paraId="74908197"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3</w:t>
            </w:r>
          </w:p>
        </w:tc>
        <w:tc>
          <w:tcPr>
            <w:tcW w:w="1181" w:type="dxa"/>
            <w:vAlign w:val="center"/>
          </w:tcPr>
          <w:p w14:paraId="66C87537"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Pr>
                <w:rFonts w:ascii="標楷體" w:eastAsia="標楷體" w:hAnsi="標楷體" w:hint="eastAsia"/>
                <w:bCs/>
                <w:snapToGrid w:val="0"/>
                <w:spacing w:val="4"/>
                <w:kern w:val="0"/>
                <w:sz w:val="20"/>
              </w:rPr>
              <w:t>－</w:t>
            </w:r>
          </w:p>
        </w:tc>
      </w:tr>
      <w:tr w:rsidR="00E37E4A" w14:paraId="543104A5" w14:textId="77777777" w:rsidTr="00E37E4A">
        <w:trPr>
          <w:trHeight w:val="397"/>
        </w:trPr>
        <w:tc>
          <w:tcPr>
            <w:tcW w:w="1701" w:type="dxa"/>
            <w:vAlign w:val="center"/>
          </w:tcPr>
          <w:p w14:paraId="120FAA6D" w14:textId="77777777" w:rsidR="00E37E4A" w:rsidRPr="00880835" w:rsidRDefault="00E37E4A" w:rsidP="00E37E4A">
            <w:pPr>
              <w:overflowPunct w:val="0"/>
              <w:spacing w:line="360" w:lineRule="exact"/>
              <w:jc w:val="center"/>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驗證</w:t>
            </w:r>
          </w:p>
        </w:tc>
        <w:tc>
          <w:tcPr>
            <w:tcW w:w="851" w:type="dxa"/>
            <w:vAlign w:val="center"/>
          </w:tcPr>
          <w:p w14:paraId="7E09DBDB"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
                <w:snapToGrid w:val="0"/>
                <w:spacing w:val="4"/>
                <w:kern w:val="0"/>
                <w:sz w:val="20"/>
              </w:rPr>
              <w:t>9</w:t>
            </w:r>
          </w:p>
        </w:tc>
        <w:tc>
          <w:tcPr>
            <w:tcW w:w="1181" w:type="dxa"/>
            <w:vAlign w:val="center"/>
          </w:tcPr>
          <w:p w14:paraId="5B444C9B"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4</w:t>
            </w:r>
          </w:p>
        </w:tc>
        <w:tc>
          <w:tcPr>
            <w:tcW w:w="1181" w:type="dxa"/>
            <w:vAlign w:val="center"/>
          </w:tcPr>
          <w:p w14:paraId="663BAD73"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sidRPr="00880835">
              <w:rPr>
                <w:rFonts w:ascii="標楷體" w:eastAsia="標楷體" w:hAnsi="標楷體" w:hint="eastAsia"/>
                <w:bCs/>
                <w:snapToGrid w:val="0"/>
                <w:spacing w:val="4"/>
                <w:kern w:val="0"/>
                <w:sz w:val="20"/>
              </w:rPr>
              <w:t>5</w:t>
            </w:r>
          </w:p>
        </w:tc>
        <w:tc>
          <w:tcPr>
            <w:tcW w:w="1181" w:type="dxa"/>
            <w:vAlign w:val="center"/>
          </w:tcPr>
          <w:p w14:paraId="1A79F823" w14:textId="77777777" w:rsidR="00E37E4A" w:rsidRPr="00880835" w:rsidRDefault="00E37E4A" w:rsidP="00E37E4A">
            <w:pPr>
              <w:overflowPunct w:val="0"/>
              <w:spacing w:line="360" w:lineRule="exact"/>
              <w:jc w:val="right"/>
              <w:rPr>
                <w:rFonts w:ascii="標楷體" w:eastAsia="標楷體" w:hAnsi="標楷體"/>
                <w:bCs/>
                <w:snapToGrid w:val="0"/>
                <w:spacing w:val="4"/>
                <w:kern w:val="0"/>
                <w:sz w:val="20"/>
              </w:rPr>
            </w:pPr>
            <w:r>
              <w:rPr>
                <w:rFonts w:ascii="標楷體" w:eastAsia="標楷體" w:hAnsi="標楷體" w:hint="eastAsia"/>
                <w:bCs/>
                <w:snapToGrid w:val="0"/>
                <w:spacing w:val="4"/>
                <w:kern w:val="0"/>
                <w:sz w:val="20"/>
              </w:rPr>
              <w:t>－</w:t>
            </w:r>
          </w:p>
        </w:tc>
      </w:tr>
      <w:tr w:rsidR="00E37E4A" w:rsidRPr="00841B08" w14:paraId="54101E70" w14:textId="77777777" w:rsidTr="00E37E4A">
        <w:trPr>
          <w:trHeight w:hRule="exact" w:val="397"/>
        </w:trPr>
        <w:tc>
          <w:tcPr>
            <w:tcW w:w="6095" w:type="dxa"/>
            <w:gridSpan w:val="5"/>
            <w:tcBorders>
              <w:top w:val="single" w:sz="4" w:space="0" w:color="auto"/>
              <w:left w:val="nil"/>
              <w:bottom w:val="nil"/>
              <w:right w:val="nil"/>
            </w:tcBorders>
          </w:tcPr>
          <w:p w14:paraId="778C150A" w14:textId="5DAF8E81" w:rsidR="00E37E4A" w:rsidRPr="00841B08" w:rsidRDefault="00E37E4A" w:rsidP="00E37E4A">
            <w:pPr>
              <w:overflowPunct w:val="0"/>
              <w:spacing w:line="340" w:lineRule="exact"/>
              <w:rPr>
                <w:rFonts w:ascii="標楷體" w:eastAsia="標楷體" w:hAnsi="標楷體"/>
                <w:bCs/>
                <w:snapToGrid w:val="0"/>
                <w:spacing w:val="4"/>
                <w:kern w:val="0"/>
                <w:sz w:val="18"/>
                <w:szCs w:val="18"/>
              </w:rPr>
            </w:pPr>
            <w:r w:rsidRPr="00841B08">
              <w:rPr>
                <w:rFonts w:ascii="標楷體" w:eastAsia="標楷體" w:hAnsi="標楷體" w:hint="eastAsia"/>
                <w:bCs/>
                <w:snapToGrid w:val="0"/>
                <w:spacing w:val="4"/>
                <w:kern w:val="0"/>
                <w:sz w:val="18"/>
                <w:szCs w:val="18"/>
              </w:rPr>
              <w:t>資料來源：整理自</w:t>
            </w:r>
            <w:r w:rsidR="0072412D">
              <w:rPr>
                <w:rFonts w:ascii="標楷體" w:eastAsia="標楷體" w:hAnsi="標楷體" w:hint="eastAsia"/>
                <w:bCs/>
                <w:snapToGrid w:val="0"/>
                <w:spacing w:val="4"/>
                <w:kern w:val="0"/>
                <w:sz w:val="18"/>
                <w:szCs w:val="18"/>
              </w:rPr>
              <w:t>經濟部</w:t>
            </w:r>
            <w:r w:rsidRPr="00841B08">
              <w:rPr>
                <w:rFonts w:ascii="標楷體" w:eastAsia="標楷體" w:hAnsi="標楷體" w:hint="eastAsia"/>
                <w:bCs/>
                <w:snapToGrid w:val="0"/>
                <w:spacing w:val="4"/>
                <w:kern w:val="0"/>
                <w:sz w:val="18"/>
                <w:szCs w:val="18"/>
              </w:rPr>
              <w:t>產</w:t>
            </w:r>
            <w:r w:rsidR="0072412D">
              <w:rPr>
                <w:rFonts w:ascii="標楷體" w:eastAsia="標楷體" w:hAnsi="標楷體" w:hint="eastAsia"/>
                <w:bCs/>
                <w:snapToGrid w:val="0"/>
                <w:spacing w:val="4"/>
                <w:kern w:val="0"/>
                <w:sz w:val="18"/>
                <w:szCs w:val="18"/>
              </w:rPr>
              <w:t>業</w:t>
            </w:r>
            <w:r w:rsidRPr="00841B08">
              <w:rPr>
                <w:rFonts w:ascii="標楷體" w:eastAsia="標楷體" w:hAnsi="標楷體" w:hint="eastAsia"/>
                <w:bCs/>
                <w:snapToGrid w:val="0"/>
                <w:spacing w:val="4"/>
                <w:kern w:val="0"/>
                <w:sz w:val="18"/>
                <w:szCs w:val="18"/>
              </w:rPr>
              <w:t>發</w:t>
            </w:r>
            <w:r w:rsidR="0072412D">
              <w:rPr>
                <w:rFonts w:ascii="標楷體" w:eastAsia="標楷體" w:hAnsi="標楷體" w:hint="eastAsia"/>
                <w:bCs/>
                <w:snapToGrid w:val="0"/>
                <w:spacing w:val="4"/>
                <w:kern w:val="0"/>
                <w:sz w:val="18"/>
                <w:szCs w:val="18"/>
              </w:rPr>
              <w:t>展</w:t>
            </w:r>
            <w:r w:rsidRPr="00841B08">
              <w:rPr>
                <w:rFonts w:ascii="標楷體" w:eastAsia="標楷體" w:hAnsi="標楷體" w:hint="eastAsia"/>
                <w:bCs/>
                <w:snapToGrid w:val="0"/>
                <w:spacing w:val="4"/>
                <w:kern w:val="0"/>
                <w:sz w:val="18"/>
                <w:szCs w:val="18"/>
              </w:rPr>
              <w:t>署提供資料。</w:t>
            </w:r>
          </w:p>
        </w:tc>
      </w:tr>
    </w:tbl>
    <w:p w14:paraId="76A7C419" w14:textId="59273063" w:rsidR="00902833" w:rsidRPr="00292BC2" w:rsidRDefault="00B879AD" w:rsidP="00292BC2">
      <w:pPr>
        <w:overflowPunct w:val="0"/>
        <w:spacing w:line="420" w:lineRule="exact"/>
        <w:jc w:val="both"/>
        <w:rPr>
          <w:rFonts w:ascii="標楷體" w:eastAsia="標楷體" w:hAnsi="標楷體"/>
          <w:bCs/>
          <w:szCs w:val="24"/>
        </w:rPr>
      </w:pPr>
      <w:r w:rsidRPr="00B879AD">
        <w:rPr>
          <w:rFonts w:ascii="標楷體" w:eastAsia="標楷體" w:hAnsi="標楷體" w:hint="eastAsia"/>
          <w:bCs/>
          <w:snapToGrid w:val="0"/>
          <w:kern w:val="0"/>
          <w:szCs w:val="24"/>
        </w:rPr>
        <w:t>辦理「國防軍艦產業推動計畫」及「國防船艦產業推動系統整合計畫」等2項補助計畫，補助範圍並未包含前述有關主機（輪機系統）、發電機及空氣</w:t>
      </w:r>
      <w:proofErr w:type="gramStart"/>
      <w:r w:rsidRPr="00B879AD">
        <w:rPr>
          <w:rFonts w:ascii="標楷體" w:eastAsia="標楷體" w:hAnsi="標楷體" w:hint="eastAsia"/>
          <w:bCs/>
          <w:snapToGrid w:val="0"/>
          <w:kern w:val="0"/>
          <w:szCs w:val="24"/>
        </w:rPr>
        <w:t>壓縮機等僅具備</w:t>
      </w:r>
      <w:proofErr w:type="gramEnd"/>
      <w:r w:rsidRPr="00B879AD">
        <w:rPr>
          <w:rFonts w:ascii="標楷體" w:eastAsia="標楷體" w:hAnsi="標楷體" w:hint="eastAsia"/>
          <w:bCs/>
          <w:snapToGrid w:val="0"/>
          <w:kern w:val="0"/>
          <w:szCs w:val="24"/>
        </w:rPr>
        <w:t>部分能量或缺乏能量之項目；</w:t>
      </w:r>
      <w:proofErr w:type="gramStart"/>
      <w:r w:rsidRPr="00B879AD">
        <w:rPr>
          <w:rFonts w:ascii="標楷體" w:eastAsia="標楷體" w:hAnsi="標楷體" w:hint="eastAsia"/>
          <w:bCs/>
          <w:snapToGrid w:val="0"/>
          <w:kern w:val="0"/>
          <w:szCs w:val="24"/>
        </w:rPr>
        <w:t>另產發署</w:t>
      </w:r>
      <w:proofErr w:type="gramEnd"/>
      <w:r w:rsidRPr="00B879AD">
        <w:rPr>
          <w:rFonts w:ascii="標楷體" w:eastAsia="標楷體" w:hAnsi="標楷體" w:hint="eastAsia"/>
          <w:bCs/>
          <w:snapToGrid w:val="0"/>
          <w:kern w:val="0"/>
          <w:szCs w:val="24"/>
        </w:rPr>
        <w:t>輔導7家廠商開發14項航空產業關鍵技術及產品，與產業推動方案所規劃開發之戰機中、大型發動機、航電、次系統所需關鍵技術或產品有間；（2）有關航空與船艦產業推動策略之</w:t>
      </w:r>
      <w:proofErr w:type="gramStart"/>
      <w:r w:rsidRPr="00B879AD">
        <w:rPr>
          <w:rFonts w:ascii="標楷體" w:eastAsia="標楷體" w:hAnsi="標楷體" w:hint="eastAsia"/>
          <w:bCs/>
          <w:snapToGrid w:val="0"/>
          <w:kern w:val="0"/>
          <w:szCs w:val="24"/>
        </w:rPr>
        <w:t>一</w:t>
      </w:r>
      <w:proofErr w:type="gramEnd"/>
      <w:r w:rsidRPr="00B879AD">
        <w:rPr>
          <w:rFonts w:ascii="標楷體" w:eastAsia="標楷體" w:hAnsi="標楷體" w:hint="eastAsia"/>
          <w:bCs/>
          <w:snapToGrid w:val="0"/>
          <w:kern w:val="0"/>
          <w:szCs w:val="24"/>
        </w:rPr>
        <w:t>「軍民合作」，主要係以國家中山科學研究院（下稱中科院）已具備之設計或整合測試等能量，透過軍民通用技術移轉方式，輔導國內廠商合作開發軍民通用商品。110至113年度中科院執行經濟部法人科技專案「軍民通用產業加值關鍵技術開發計畫」，</w:t>
      </w:r>
      <w:r w:rsidRPr="00B879AD">
        <w:rPr>
          <w:rFonts w:ascii="標楷體" w:eastAsia="標楷體" w:hAnsi="標楷體" w:hint="eastAsia"/>
          <w:bCs/>
          <w:snapToGrid w:val="0"/>
          <w:kern w:val="0"/>
          <w:szCs w:val="24"/>
        </w:rPr>
        <w:lastRenderedPageBreak/>
        <w:t>完成「高硬度</w:t>
      </w:r>
      <w:proofErr w:type="gramStart"/>
      <w:r w:rsidRPr="00B879AD">
        <w:rPr>
          <w:rFonts w:ascii="標楷體" w:eastAsia="標楷體" w:hAnsi="標楷體" w:hint="eastAsia"/>
          <w:bCs/>
          <w:snapToGrid w:val="0"/>
          <w:kern w:val="0"/>
          <w:szCs w:val="24"/>
        </w:rPr>
        <w:t>抗彈厚鋼板</w:t>
      </w:r>
      <w:proofErr w:type="gramEnd"/>
      <w:r w:rsidRPr="00B879AD">
        <w:rPr>
          <w:rFonts w:ascii="標楷體" w:eastAsia="標楷體" w:hAnsi="標楷體" w:hint="eastAsia"/>
          <w:bCs/>
          <w:snapToGrid w:val="0"/>
          <w:kern w:val="0"/>
          <w:szCs w:val="24"/>
        </w:rPr>
        <w:t>研製」、「高防護性陶瓷</w:t>
      </w:r>
      <w:proofErr w:type="gramStart"/>
      <w:r w:rsidRPr="00B879AD">
        <w:rPr>
          <w:rFonts w:ascii="標楷體" w:eastAsia="標楷體" w:hAnsi="標楷體" w:hint="eastAsia"/>
          <w:bCs/>
          <w:snapToGrid w:val="0"/>
          <w:kern w:val="0"/>
          <w:szCs w:val="24"/>
        </w:rPr>
        <w:t>複</w:t>
      </w:r>
      <w:proofErr w:type="gramEnd"/>
      <w:r w:rsidRPr="00B879AD">
        <w:rPr>
          <w:rFonts w:ascii="標楷體" w:eastAsia="標楷體" w:hAnsi="標楷體" w:hint="eastAsia"/>
          <w:bCs/>
          <w:snapToGrid w:val="0"/>
          <w:kern w:val="0"/>
          <w:szCs w:val="24"/>
        </w:rPr>
        <w:t>材模組開發」、「高階非</w:t>
      </w:r>
      <w:proofErr w:type="gramStart"/>
      <w:r w:rsidRPr="00B879AD">
        <w:rPr>
          <w:rFonts w:ascii="標楷體" w:eastAsia="標楷體" w:hAnsi="標楷體" w:hint="eastAsia"/>
          <w:bCs/>
          <w:snapToGrid w:val="0"/>
          <w:kern w:val="0"/>
          <w:szCs w:val="24"/>
        </w:rPr>
        <w:t>致冷型熱像</w:t>
      </w:r>
      <w:proofErr w:type="gramEnd"/>
      <w:r w:rsidRPr="00B879AD">
        <w:rPr>
          <w:rFonts w:ascii="標楷體" w:eastAsia="標楷體" w:hAnsi="標楷體" w:hint="eastAsia"/>
          <w:bCs/>
          <w:snapToGrid w:val="0"/>
          <w:kern w:val="0"/>
          <w:szCs w:val="24"/>
        </w:rPr>
        <w:t>晶片技術」等3項技術移轉國內3家廠商，執行總金額1億7,754萬餘元，惟相關技術係運用</w:t>
      </w:r>
      <w:proofErr w:type="gramStart"/>
      <w:r w:rsidRPr="00B879AD">
        <w:rPr>
          <w:rFonts w:ascii="標楷體" w:eastAsia="標楷體" w:hAnsi="標楷體" w:hint="eastAsia"/>
          <w:bCs/>
          <w:snapToGrid w:val="0"/>
          <w:kern w:val="0"/>
          <w:szCs w:val="24"/>
        </w:rPr>
        <w:t>於輪型甲</w:t>
      </w:r>
      <w:proofErr w:type="gramEnd"/>
      <w:r w:rsidRPr="00B879AD">
        <w:rPr>
          <w:rFonts w:ascii="標楷體" w:eastAsia="標楷體" w:hAnsi="標楷體" w:hint="eastAsia"/>
          <w:bCs/>
          <w:snapToGrid w:val="0"/>
          <w:kern w:val="0"/>
          <w:szCs w:val="24"/>
        </w:rPr>
        <w:t>車、嚴重特殊傳染性肺炎（COVID</w:t>
      </w:r>
      <w:r w:rsidR="00BD0555">
        <w:rPr>
          <w:rFonts w:ascii="標楷體" w:eastAsia="標楷體" w:hAnsi="標楷體" w:hint="eastAsia"/>
          <w:bCs/>
          <w:snapToGrid w:val="0"/>
          <w:kern w:val="0"/>
          <w:szCs w:val="24"/>
        </w:rPr>
        <w:t>-</w:t>
      </w:r>
      <w:r w:rsidRPr="00B879AD">
        <w:rPr>
          <w:rFonts w:ascii="標楷體" w:eastAsia="標楷體" w:hAnsi="標楷體" w:hint="eastAsia"/>
          <w:bCs/>
          <w:snapToGrid w:val="0"/>
          <w:kern w:val="0"/>
          <w:szCs w:val="24"/>
        </w:rPr>
        <w:t>19）</w:t>
      </w:r>
      <w:proofErr w:type="gramStart"/>
      <w:r w:rsidRPr="00B879AD">
        <w:rPr>
          <w:rFonts w:ascii="標楷體" w:eastAsia="標楷體" w:hAnsi="標楷體" w:hint="eastAsia"/>
          <w:bCs/>
          <w:snapToGrid w:val="0"/>
          <w:kern w:val="0"/>
          <w:szCs w:val="24"/>
        </w:rPr>
        <w:t>疫</w:t>
      </w:r>
      <w:proofErr w:type="gramEnd"/>
      <w:r w:rsidRPr="00B879AD">
        <w:rPr>
          <w:rFonts w:ascii="標楷體" w:eastAsia="標楷體" w:hAnsi="標楷體" w:hint="eastAsia"/>
          <w:bCs/>
          <w:snapToGrid w:val="0"/>
          <w:kern w:val="0"/>
          <w:szCs w:val="24"/>
        </w:rPr>
        <w:t>情期間人臉辨識</w:t>
      </w:r>
      <w:proofErr w:type="gramStart"/>
      <w:r w:rsidRPr="00B879AD">
        <w:rPr>
          <w:rFonts w:ascii="標楷體" w:eastAsia="標楷體" w:hAnsi="標楷體" w:hint="eastAsia"/>
          <w:bCs/>
          <w:snapToGrid w:val="0"/>
          <w:kern w:val="0"/>
          <w:szCs w:val="24"/>
        </w:rPr>
        <w:t>熱像測</w:t>
      </w:r>
      <w:proofErr w:type="gramEnd"/>
      <w:r w:rsidRPr="00B879AD">
        <w:rPr>
          <w:rFonts w:ascii="標楷體" w:eastAsia="標楷體" w:hAnsi="標楷體" w:hint="eastAsia"/>
          <w:bCs/>
          <w:snapToGrid w:val="0"/>
          <w:kern w:val="0"/>
          <w:szCs w:val="24"/>
        </w:rPr>
        <w:t>溫系統等相關產品，與航空及船艦產業之關鍵技術連結度低，對促成我國成為全球航空船艦產業重要供應鏈之目標助益有限；（3）</w:t>
      </w:r>
      <w:proofErr w:type="gramStart"/>
      <w:r w:rsidRPr="00B879AD">
        <w:rPr>
          <w:rFonts w:ascii="標楷體" w:eastAsia="標楷體" w:hAnsi="標楷體" w:hint="eastAsia"/>
          <w:bCs/>
          <w:snapToGrid w:val="0"/>
          <w:kern w:val="0"/>
          <w:szCs w:val="24"/>
        </w:rPr>
        <w:t>產發署</w:t>
      </w:r>
      <w:proofErr w:type="gramEnd"/>
      <w:r w:rsidRPr="00B879AD">
        <w:rPr>
          <w:rFonts w:ascii="標楷體" w:eastAsia="標楷體" w:hAnsi="標楷體" w:hint="eastAsia"/>
          <w:bCs/>
          <w:snapToGrid w:val="0"/>
          <w:kern w:val="0"/>
          <w:szCs w:val="24"/>
        </w:rPr>
        <w:t>透過「軍民通用無人機能量籌建」主題式研發計畫，於113年間補助業者辦理「軍民通用無人機追蹤基座及天線開發」，惟業者受領補助開發標的及其規格，與其112年9月承製中科院採購標的及其規格相同，且核定補助金額較中科院採購價格高出4倍多，</w:t>
      </w:r>
      <w:proofErr w:type="gramStart"/>
      <w:r w:rsidRPr="00B879AD">
        <w:rPr>
          <w:rFonts w:ascii="標楷體" w:eastAsia="標楷體" w:hAnsi="標楷體" w:hint="eastAsia"/>
          <w:bCs/>
          <w:snapToGrid w:val="0"/>
          <w:kern w:val="0"/>
          <w:szCs w:val="24"/>
        </w:rPr>
        <w:t>又產發署</w:t>
      </w:r>
      <w:proofErr w:type="gramEnd"/>
      <w:r w:rsidRPr="00B879AD">
        <w:rPr>
          <w:rFonts w:ascii="標楷體" w:eastAsia="標楷體" w:hAnsi="標楷體" w:hint="eastAsia"/>
          <w:bCs/>
          <w:snapToGrid w:val="0"/>
          <w:kern w:val="0"/>
          <w:szCs w:val="24"/>
        </w:rPr>
        <w:t>知悉業者已取得中科院訂單，對於業者製作天線及追蹤基座已具備成熟技術，</w:t>
      </w:r>
      <w:proofErr w:type="gramStart"/>
      <w:r w:rsidRPr="00B879AD">
        <w:rPr>
          <w:rFonts w:ascii="標楷體" w:eastAsia="標楷體" w:hAnsi="標楷體" w:hint="eastAsia"/>
          <w:bCs/>
          <w:snapToGrid w:val="0"/>
          <w:kern w:val="0"/>
          <w:szCs w:val="24"/>
        </w:rPr>
        <w:t>仍核予</w:t>
      </w:r>
      <w:proofErr w:type="gramEnd"/>
      <w:r w:rsidRPr="00B879AD">
        <w:rPr>
          <w:rFonts w:ascii="標楷體" w:eastAsia="標楷體" w:hAnsi="標楷體" w:hint="eastAsia"/>
          <w:bCs/>
          <w:snapToGrid w:val="0"/>
          <w:kern w:val="0"/>
          <w:szCs w:val="24"/>
        </w:rPr>
        <w:t>補助，致政府補助資源未能發揮彌補產業技術缺口之效益；（4）國科會為促進國防科技學術研究，於109年間推動學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中心計畫，補助7所大學</w:t>
      </w:r>
      <w:proofErr w:type="gramStart"/>
      <w:r w:rsidRPr="00B879AD">
        <w:rPr>
          <w:rFonts w:ascii="標楷體" w:eastAsia="標楷體" w:hAnsi="標楷體" w:hint="eastAsia"/>
          <w:bCs/>
          <w:snapToGrid w:val="0"/>
          <w:kern w:val="0"/>
          <w:szCs w:val="24"/>
        </w:rPr>
        <w:t>成立資電通訊</w:t>
      </w:r>
      <w:proofErr w:type="gramEnd"/>
      <w:r w:rsidRPr="00B879AD">
        <w:rPr>
          <w:rFonts w:ascii="標楷體" w:eastAsia="標楷體" w:hAnsi="標楷體" w:hint="eastAsia"/>
          <w:bCs/>
          <w:snapToGrid w:val="0"/>
          <w:kern w:val="0"/>
          <w:szCs w:val="24"/>
        </w:rPr>
        <w:t>與智慧化科技等7大主題領域科</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智庫，及於110年成立學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總辦公室，負責協調整合及加值學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中心國防科技計畫，進行國防科技發展藍圖規劃，並將技術構想對接國防需求，協助建立重點發展項目，國科會110至113年度核定補助學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中心及學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總辦公室經費，分別為8億4,219萬餘元及1億6,943萬餘元。113年5月學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總辦公室完成自主國防科技發展芻議，規劃「艦隊聯合作戰系統</w:t>
      </w:r>
      <w:r w:rsidR="00E74A52">
        <w:rPr>
          <w:rFonts w:ascii="標楷體" w:eastAsia="標楷體" w:hAnsi="標楷體" w:hint="eastAsia"/>
          <w:bCs/>
          <w:snapToGrid w:val="0"/>
          <w:kern w:val="0"/>
          <w:szCs w:val="24"/>
        </w:rPr>
        <w:t>－</w:t>
      </w:r>
      <w:r w:rsidRPr="00B879AD">
        <w:rPr>
          <w:rFonts w:ascii="標楷體" w:eastAsia="標楷體" w:hAnsi="標楷體" w:hint="eastAsia"/>
          <w:bCs/>
          <w:snapToGrid w:val="0"/>
          <w:kern w:val="0"/>
          <w:szCs w:val="24"/>
        </w:rPr>
        <w:t>無人載</w:t>
      </w:r>
      <w:proofErr w:type="gramStart"/>
      <w:r w:rsidRPr="00B879AD">
        <w:rPr>
          <w:rFonts w:ascii="標楷體" w:eastAsia="標楷體" w:hAnsi="標楷體" w:hint="eastAsia"/>
          <w:bCs/>
          <w:snapToGrid w:val="0"/>
          <w:kern w:val="0"/>
          <w:szCs w:val="24"/>
        </w:rPr>
        <w:t>具群指</w:t>
      </w:r>
      <w:proofErr w:type="gramEnd"/>
      <w:r w:rsidRPr="00B879AD">
        <w:rPr>
          <w:rFonts w:ascii="標楷體" w:eastAsia="標楷體" w:hAnsi="標楷體" w:hint="eastAsia"/>
          <w:bCs/>
          <w:snapToGrid w:val="0"/>
          <w:kern w:val="0"/>
          <w:szCs w:val="24"/>
        </w:rPr>
        <w:t>管系統」等18項自主發展關鍵技術之應用裝備系統，提供國防部軍備局參考及提出可由學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中心投入發展項目建議，惟國防部僅選定6案（占33.33％），納入114至116年度執行階段性研發工作，學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中心規劃發展項目與國防科技未來發展需求契合度偏低；（5）國科會自</w:t>
      </w:r>
      <w:proofErr w:type="gramStart"/>
      <w:r w:rsidRPr="00B879AD">
        <w:rPr>
          <w:rFonts w:ascii="標楷體" w:eastAsia="標楷體" w:hAnsi="標楷體" w:hint="eastAsia"/>
          <w:bCs/>
          <w:snapToGrid w:val="0"/>
          <w:kern w:val="0"/>
          <w:szCs w:val="24"/>
        </w:rPr>
        <w:t>111</w:t>
      </w:r>
      <w:proofErr w:type="gramEnd"/>
      <w:r w:rsidRPr="00B879AD">
        <w:rPr>
          <w:rFonts w:ascii="標楷體" w:eastAsia="標楷體" w:hAnsi="標楷體" w:hint="eastAsia"/>
          <w:bCs/>
          <w:snapToGrid w:val="0"/>
          <w:kern w:val="0"/>
          <w:szCs w:val="24"/>
        </w:rPr>
        <w:t>年度起規劃辦理「國防科技探索計畫」，補助學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機構提出未來10至30年有機會獲得具體實現之尖端技術，以深化國防科技關鍵技術。截至113年底止，國科會核定補助學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單位所提「</w:t>
      </w:r>
      <w:proofErr w:type="gramStart"/>
      <w:r w:rsidRPr="00B879AD">
        <w:rPr>
          <w:rFonts w:ascii="標楷體" w:eastAsia="標楷體" w:hAnsi="標楷體" w:hint="eastAsia"/>
          <w:bCs/>
          <w:snapToGrid w:val="0"/>
          <w:kern w:val="0"/>
          <w:szCs w:val="24"/>
        </w:rPr>
        <w:t>仿生穿戴式護</w:t>
      </w:r>
      <w:proofErr w:type="gramEnd"/>
      <w:r w:rsidRPr="00B879AD">
        <w:rPr>
          <w:rFonts w:ascii="標楷體" w:eastAsia="標楷體" w:hAnsi="標楷體" w:hint="eastAsia"/>
          <w:bCs/>
          <w:snapToGrid w:val="0"/>
          <w:kern w:val="0"/>
          <w:szCs w:val="24"/>
        </w:rPr>
        <w:t>具之開發研究」等研發案計16案，其中7案因審核結果不具前瞻價值等</w:t>
      </w:r>
      <w:proofErr w:type="gramStart"/>
      <w:r w:rsidRPr="00B879AD">
        <w:rPr>
          <w:rFonts w:ascii="標楷體" w:eastAsia="標楷體" w:hAnsi="標楷體" w:hint="eastAsia"/>
          <w:bCs/>
          <w:snapToGrid w:val="0"/>
          <w:kern w:val="0"/>
          <w:szCs w:val="24"/>
        </w:rPr>
        <w:t>採</w:t>
      </w:r>
      <w:proofErr w:type="gramEnd"/>
      <w:r w:rsidRPr="00B879AD">
        <w:rPr>
          <w:rFonts w:ascii="標楷體" w:eastAsia="標楷體" w:hAnsi="標楷體" w:hint="eastAsia"/>
          <w:bCs/>
          <w:snapToGrid w:val="0"/>
          <w:kern w:val="0"/>
          <w:szCs w:val="24"/>
        </w:rPr>
        <w:t>現況結案，餘9案</w:t>
      </w:r>
      <w:proofErr w:type="gramStart"/>
      <w:r w:rsidRPr="00B879AD">
        <w:rPr>
          <w:rFonts w:ascii="標楷體" w:eastAsia="標楷體" w:hAnsi="標楷體" w:hint="eastAsia"/>
          <w:bCs/>
          <w:snapToGrid w:val="0"/>
          <w:kern w:val="0"/>
          <w:szCs w:val="24"/>
        </w:rPr>
        <w:t>賡</w:t>
      </w:r>
      <w:proofErr w:type="gramEnd"/>
      <w:r w:rsidRPr="00B879AD">
        <w:rPr>
          <w:rFonts w:ascii="標楷體" w:eastAsia="標楷體" w:hAnsi="標楷體" w:hint="eastAsia"/>
          <w:bCs/>
          <w:snapToGrid w:val="0"/>
          <w:kern w:val="0"/>
          <w:szCs w:val="24"/>
        </w:rPr>
        <w:t>續於114及</w:t>
      </w:r>
      <w:proofErr w:type="gramStart"/>
      <w:r w:rsidRPr="00B879AD">
        <w:rPr>
          <w:rFonts w:ascii="標楷體" w:eastAsia="標楷體" w:hAnsi="標楷體" w:hint="eastAsia"/>
          <w:bCs/>
          <w:snapToGrid w:val="0"/>
          <w:kern w:val="0"/>
          <w:szCs w:val="24"/>
        </w:rPr>
        <w:t>115</w:t>
      </w:r>
      <w:proofErr w:type="gramEnd"/>
      <w:r w:rsidRPr="00B879AD">
        <w:rPr>
          <w:rFonts w:ascii="標楷體" w:eastAsia="標楷體" w:hAnsi="標楷體" w:hint="eastAsia"/>
          <w:bCs/>
          <w:snapToGrid w:val="0"/>
          <w:kern w:val="0"/>
          <w:szCs w:val="24"/>
        </w:rPr>
        <w:t>年度執行研發作業，又「開發協作型移動載具系統」等4項研發案，與經濟部部分補助計畫及學</w:t>
      </w:r>
      <w:proofErr w:type="gramStart"/>
      <w:r w:rsidRPr="00B879AD">
        <w:rPr>
          <w:rFonts w:ascii="標楷體" w:eastAsia="標楷體" w:hAnsi="標楷體" w:hint="eastAsia"/>
          <w:bCs/>
          <w:snapToGrid w:val="0"/>
          <w:kern w:val="0"/>
          <w:szCs w:val="24"/>
        </w:rPr>
        <w:t>研</w:t>
      </w:r>
      <w:proofErr w:type="gramEnd"/>
      <w:r w:rsidRPr="00B879AD">
        <w:rPr>
          <w:rFonts w:ascii="標楷體" w:eastAsia="標楷體" w:hAnsi="標楷體" w:hint="eastAsia"/>
          <w:bCs/>
          <w:snapToGrid w:val="0"/>
          <w:kern w:val="0"/>
          <w:szCs w:val="24"/>
        </w:rPr>
        <w:t>中心部分自主發展關鍵技術之應用裝備系統研究案涉有重複</w:t>
      </w:r>
      <w:r w:rsidR="00D524D5">
        <w:rPr>
          <w:rFonts w:ascii="標楷體" w:eastAsia="標楷體" w:hAnsi="標楷體" w:hint="eastAsia"/>
          <w:bCs/>
          <w:snapToGrid w:val="0"/>
          <w:kern w:val="0"/>
          <w:szCs w:val="24"/>
        </w:rPr>
        <w:t>等情事，</w:t>
      </w:r>
      <w:r w:rsidRPr="00B879AD">
        <w:rPr>
          <w:rFonts w:ascii="標楷體" w:eastAsia="標楷體" w:hAnsi="標楷體" w:hint="eastAsia"/>
          <w:bCs/>
          <w:snapToGrid w:val="0"/>
          <w:kern w:val="0"/>
          <w:szCs w:val="24"/>
        </w:rPr>
        <w:t>經函請行政院督促權責部會</w:t>
      </w:r>
      <w:proofErr w:type="gramStart"/>
      <w:r w:rsidRPr="00B879AD">
        <w:rPr>
          <w:rFonts w:ascii="標楷體" w:eastAsia="標楷體" w:hAnsi="標楷體" w:hint="eastAsia"/>
          <w:bCs/>
          <w:snapToGrid w:val="0"/>
          <w:kern w:val="0"/>
          <w:szCs w:val="24"/>
        </w:rPr>
        <w:t>研謀精</w:t>
      </w:r>
      <w:proofErr w:type="gramEnd"/>
      <w:r w:rsidRPr="00B879AD">
        <w:rPr>
          <w:rFonts w:ascii="標楷體" w:eastAsia="標楷體" w:hAnsi="標楷體" w:hint="eastAsia"/>
          <w:bCs/>
          <w:snapToGrid w:val="0"/>
          <w:kern w:val="0"/>
          <w:szCs w:val="24"/>
        </w:rPr>
        <w:t>進措施。據復：已函請相關權責部會</w:t>
      </w:r>
      <w:proofErr w:type="gramStart"/>
      <w:r w:rsidRPr="00B879AD">
        <w:rPr>
          <w:rFonts w:ascii="標楷體" w:eastAsia="標楷體" w:hAnsi="標楷體" w:hint="eastAsia"/>
          <w:bCs/>
          <w:snapToGrid w:val="0"/>
          <w:kern w:val="0"/>
          <w:szCs w:val="24"/>
        </w:rPr>
        <w:t>研議精</w:t>
      </w:r>
      <w:proofErr w:type="gramEnd"/>
      <w:r w:rsidRPr="00B879AD">
        <w:rPr>
          <w:rFonts w:ascii="標楷體" w:eastAsia="標楷體" w:hAnsi="標楷體" w:hint="eastAsia"/>
          <w:bCs/>
          <w:snapToGrid w:val="0"/>
          <w:kern w:val="0"/>
          <w:szCs w:val="24"/>
        </w:rPr>
        <w:t>進措施。</w:t>
      </w:r>
    </w:p>
    <w:p w14:paraId="6C883E60" w14:textId="77777777" w:rsidR="00D0449C" w:rsidRDefault="00C7210C" w:rsidP="00D0449C">
      <w:pPr>
        <w:overflowPunct w:val="0"/>
        <w:spacing w:line="434" w:lineRule="exact"/>
        <w:ind w:firstLineChars="450" w:firstLine="1081"/>
        <w:jc w:val="distribute"/>
        <w:rPr>
          <w:rFonts w:ascii="標楷體" w:eastAsia="標楷體" w:hAnsi="標楷體"/>
          <w:snapToGrid w:val="0"/>
          <w:kern w:val="0"/>
          <w:szCs w:val="32"/>
        </w:rPr>
      </w:pPr>
      <w:r w:rsidRPr="006946EA">
        <w:rPr>
          <w:rFonts w:ascii="標楷體" w:eastAsia="標楷體" w:hAnsi="標楷體" w:hint="eastAsia"/>
          <w:b/>
          <w:snapToGrid w:val="0"/>
          <w:kern w:val="0"/>
          <w:szCs w:val="32"/>
        </w:rPr>
        <w:t>2.　無人機運用已成為現代</w:t>
      </w:r>
      <w:r>
        <w:rPr>
          <w:rFonts w:ascii="標楷體" w:eastAsia="標楷體" w:hAnsi="標楷體" w:hint="eastAsia"/>
          <w:b/>
          <w:snapToGrid w:val="0"/>
          <w:kern w:val="0"/>
          <w:szCs w:val="32"/>
        </w:rPr>
        <w:t>不</w:t>
      </w:r>
      <w:r w:rsidRPr="006946EA">
        <w:rPr>
          <w:rFonts w:ascii="標楷體" w:eastAsia="標楷體" w:hAnsi="標楷體" w:hint="eastAsia"/>
          <w:b/>
          <w:snapToGrid w:val="0"/>
          <w:kern w:val="0"/>
          <w:szCs w:val="32"/>
        </w:rPr>
        <w:t>對稱</w:t>
      </w:r>
      <w:r>
        <w:rPr>
          <w:rFonts w:ascii="標楷體" w:eastAsia="標楷體" w:hAnsi="標楷體" w:hint="eastAsia"/>
          <w:b/>
          <w:snapToGrid w:val="0"/>
          <w:kern w:val="0"/>
          <w:szCs w:val="32"/>
        </w:rPr>
        <w:t>作</w:t>
      </w:r>
      <w:r w:rsidRPr="006946EA">
        <w:rPr>
          <w:rFonts w:ascii="標楷體" w:eastAsia="標楷體" w:hAnsi="標楷體" w:hint="eastAsia"/>
          <w:b/>
          <w:snapToGrid w:val="0"/>
          <w:kern w:val="0"/>
          <w:szCs w:val="32"/>
        </w:rPr>
        <w:t>戰</w:t>
      </w:r>
      <w:r>
        <w:rPr>
          <w:rFonts w:ascii="標楷體" w:eastAsia="標楷體" w:hAnsi="標楷體" w:hint="eastAsia"/>
          <w:b/>
          <w:snapToGrid w:val="0"/>
          <w:kern w:val="0"/>
          <w:szCs w:val="32"/>
        </w:rPr>
        <w:t>主流</w:t>
      </w:r>
      <w:r w:rsidRPr="006946EA">
        <w:rPr>
          <w:rFonts w:ascii="標楷體" w:eastAsia="標楷體" w:hAnsi="標楷體" w:hint="eastAsia"/>
          <w:b/>
          <w:snapToGrid w:val="0"/>
          <w:kern w:val="0"/>
          <w:szCs w:val="32"/>
        </w:rPr>
        <w:t>，政府積極充實</w:t>
      </w:r>
      <w:r>
        <w:rPr>
          <w:rFonts w:ascii="標楷體" w:eastAsia="標楷體" w:hAnsi="標楷體" w:hint="eastAsia"/>
          <w:b/>
          <w:snapToGrid w:val="0"/>
          <w:kern w:val="0"/>
          <w:szCs w:val="32"/>
        </w:rPr>
        <w:t>無人機</w:t>
      </w:r>
      <w:r w:rsidRPr="006946EA">
        <w:rPr>
          <w:rFonts w:ascii="標楷體" w:eastAsia="標楷體" w:hAnsi="標楷體" w:hint="eastAsia"/>
          <w:b/>
          <w:snapToGrid w:val="0"/>
          <w:kern w:val="0"/>
          <w:szCs w:val="32"/>
        </w:rPr>
        <w:t>產業發展量能，惟產業園區開發進度略有落後，且園區營運管理配套措施仍待籌謀擬訂及測試</w:t>
      </w:r>
      <w:proofErr w:type="gramStart"/>
      <w:r w:rsidRPr="006946EA">
        <w:rPr>
          <w:rFonts w:ascii="標楷體" w:eastAsia="標楷體" w:hAnsi="標楷體" w:hint="eastAsia"/>
          <w:b/>
          <w:snapToGrid w:val="0"/>
          <w:kern w:val="0"/>
          <w:szCs w:val="32"/>
        </w:rPr>
        <w:t>場址迄未定</w:t>
      </w:r>
      <w:proofErr w:type="gramEnd"/>
      <w:r w:rsidRPr="006946EA">
        <w:rPr>
          <w:rFonts w:ascii="標楷體" w:eastAsia="標楷體" w:hAnsi="標楷體" w:hint="eastAsia"/>
          <w:b/>
          <w:snapToGrid w:val="0"/>
          <w:kern w:val="0"/>
          <w:szCs w:val="32"/>
        </w:rPr>
        <w:t>案：</w:t>
      </w:r>
      <w:proofErr w:type="gramStart"/>
      <w:r w:rsidRPr="007B31DA">
        <w:rPr>
          <w:rFonts w:ascii="標楷體" w:eastAsia="標楷體" w:hAnsi="標楷體" w:hint="eastAsia"/>
          <w:bCs/>
          <w:snapToGrid w:val="0"/>
          <w:kern w:val="0"/>
          <w:szCs w:val="32"/>
        </w:rPr>
        <w:t>鑑於俄</w:t>
      </w:r>
      <w:proofErr w:type="gramEnd"/>
      <w:r w:rsidRPr="007B31DA">
        <w:rPr>
          <w:rFonts w:ascii="標楷體" w:eastAsia="標楷體" w:hAnsi="標楷體" w:hint="eastAsia"/>
          <w:bCs/>
          <w:snapToGrid w:val="0"/>
          <w:kern w:val="0"/>
          <w:szCs w:val="32"/>
        </w:rPr>
        <w:t>烏戰爭，戰場上廣泛運用</w:t>
      </w:r>
      <w:r>
        <w:rPr>
          <w:rFonts w:ascii="標楷體" w:eastAsia="標楷體" w:hAnsi="標楷體" w:hint="eastAsia"/>
          <w:bCs/>
          <w:snapToGrid w:val="0"/>
          <w:kern w:val="0"/>
          <w:szCs w:val="32"/>
        </w:rPr>
        <w:t>機動力強、</w:t>
      </w:r>
      <w:r w:rsidRPr="007B31DA">
        <w:rPr>
          <w:rFonts w:ascii="標楷體" w:eastAsia="標楷體" w:hAnsi="標楷體" w:hint="eastAsia"/>
          <w:bCs/>
          <w:snapToGrid w:val="0"/>
          <w:kern w:val="0"/>
          <w:szCs w:val="32"/>
        </w:rPr>
        <w:t>體積小</w:t>
      </w:r>
      <w:r>
        <w:rPr>
          <w:rFonts w:ascii="標楷體" w:eastAsia="標楷體" w:hAnsi="標楷體" w:hint="eastAsia"/>
          <w:bCs/>
          <w:snapToGrid w:val="0"/>
          <w:kern w:val="0"/>
          <w:szCs w:val="32"/>
        </w:rPr>
        <w:t>及低</w:t>
      </w:r>
      <w:r w:rsidRPr="007B31DA">
        <w:rPr>
          <w:rFonts w:ascii="標楷體" w:eastAsia="標楷體" w:hAnsi="標楷體" w:hint="eastAsia"/>
          <w:bCs/>
          <w:snapToGrid w:val="0"/>
          <w:kern w:val="0"/>
          <w:szCs w:val="32"/>
        </w:rPr>
        <w:t>成本之無人機作為不對稱戰力之應用，</w:t>
      </w:r>
      <w:r>
        <w:rPr>
          <w:rFonts w:ascii="標楷體" w:eastAsia="標楷體" w:hAnsi="標楷體" w:hint="eastAsia"/>
          <w:snapToGrid w:val="0"/>
          <w:kern w:val="0"/>
          <w:szCs w:val="32"/>
        </w:rPr>
        <w:t>成為政府重點關注領域，</w:t>
      </w:r>
      <w:proofErr w:type="gramStart"/>
      <w:r>
        <w:rPr>
          <w:rFonts w:ascii="標楷體" w:eastAsia="標楷體" w:hAnsi="標楷體" w:hint="eastAsia"/>
          <w:snapToGrid w:val="0"/>
          <w:kern w:val="0"/>
          <w:szCs w:val="32"/>
        </w:rPr>
        <w:t>爰</w:t>
      </w:r>
      <w:proofErr w:type="gramEnd"/>
      <w:r w:rsidRPr="006946EA">
        <w:rPr>
          <w:rFonts w:ascii="標楷體" w:eastAsia="標楷體" w:hAnsi="標楷體" w:hint="eastAsia"/>
          <w:snapToGrid w:val="0"/>
          <w:kern w:val="0"/>
          <w:szCs w:val="32"/>
        </w:rPr>
        <w:t>將無人機產業納入產業推動方案</w:t>
      </w:r>
      <w:r>
        <w:rPr>
          <w:rFonts w:ascii="標楷體" w:eastAsia="標楷體" w:hAnsi="標楷體" w:hint="eastAsia"/>
          <w:snapToGrid w:val="0"/>
          <w:kern w:val="0"/>
          <w:szCs w:val="32"/>
        </w:rPr>
        <w:t>，</w:t>
      </w:r>
      <w:r w:rsidRPr="006946EA">
        <w:rPr>
          <w:rFonts w:ascii="標楷體" w:eastAsia="標楷體" w:hAnsi="標楷體" w:hint="eastAsia"/>
          <w:snapToGrid w:val="0"/>
          <w:kern w:val="0"/>
          <w:szCs w:val="32"/>
        </w:rPr>
        <w:t>規劃透過「以</w:t>
      </w:r>
      <w:proofErr w:type="gramStart"/>
      <w:r w:rsidRPr="006946EA">
        <w:rPr>
          <w:rFonts w:ascii="標楷體" w:eastAsia="標楷體" w:hAnsi="標楷體" w:hint="eastAsia"/>
          <w:snapToGrid w:val="0"/>
          <w:kern w:val="0"/>
          <w:szCs w:val="32"/>
        </w:rPr>
        <w:t>軍帶民籌建</w:t>
      </w:r>
      <w:proofErr w:type="gramEnd"/>
      <w:r w:rsidRPr="006946EA">
        <w:rPr>
          <w:rFonts w:ascii="標楷體" w:eastAsia="標楷體" w:hAnsi="標楷體" w:hint="eastAsia"/>
          <w:snapToGrid w:val="0"/>
          <w:kern w:val="0"/>
          <w:szCs w:val="32"/>
        </w:rPr>
        <w:t>軟硬體技術能量」、「公務需求籌建應用服務能量」、「打造無人機產業聚落」及「擴大國際合作爭取市場商機」等4項</w:t>
      </w:r>
      <w:r>
        <w:rPr>
          <w:rFonts w:ascii="標楷體" w:eastAsia="標楷體" w:hAnsi="標楷體" w:hint="eastAsia"/>
          <w:snapToGrid w:val="0"/>
          <w:kern w:val="0"/>
          <w:szCs w:val="32"/>
        </w:rPr>
        <w:t>推動</w:t>
      </w:r>
      <w:r w:rsidRPr="006946EA">
        <w:rPr>
          <w:rFonts w:ascii="標楷體" w:eastAsia="標楷體" w:hAnsi="標楷體" w:hint="eastAsia"/>
          <w:snapToGrid w:val="0"/>
          <w:kern w:val="0"/>
          <w:szCs w:val="32"/>
        </w:rPr>
        <w:t>策略，整合跨部會資源及國內業者能量，以完備無人機產業供應鏈</w:t>
      </w:r>
      <w:r>
        <w:rPr>
          <w:rFonts w:ascii="標楷體" w:eastAsia="標楷體" w:hAnsi="標楷體" w:hint="eastAsia"/>
          <w:snapToGrid w:val="0"/>
          <w:kern w:val="0"/>
          <w:szCs w:val="32"/>
        </w:rPr>
        <w:t>，</w:t>
      </w:r>
      <w:r w:rsidRPr="006946EA">
        <w:rPr>
          <w:rFonts w:ascii="標楷體" w:eastAsia="標楷體" w:hAnsi="標楷體" w:hint="eastAsia"/>
          <w:snapToGrid w:val="0"/>
          <w:kern w:val="0"/>
          <w:szCs w:val="32"/>
        </w:rPr>
        <w:t>推動無人機產業發展。經查無人機產業推動情形，核有：</w:t>
      </w:r>
      <w:r>
        <w:rPr>
          <w:rFonts w:ascii="標楷體" w:eastAsia="標楷體" w:hAnsi="標楷體" w:hint="eastAsia"/>
          <w:snapToGrid w:val="0"/>
          <w:kern w:val="0"/>
          <w:szCs w:val="32"/>
        </w:rPr>
        <w:t>（</w:t>
      </w:r>
      <w:r w:rsidRPr="006946EA">
        <w:rPr>
          <w:rFonts w:ascii="標楷體" w:eastAsia="標楷體" w:hAnsi="標楷體" w:hint="eastAsia"/>
          <w:snapToGrid w:val="0"/>
          <w:kern w:val="0"/>
          <w:szCs w:val="32"/>
        </w:rPr>
        <w:t>1</w:t>
      </w:r>
      <w:r>
        <w:rPr>
          <w:rFonts w:ascii="標楷體" w:eastAsia="標楷體" w:hAnsi="標楷體" w:hint="eastAsia"/>
          <w:snapToGrid w:val="0"/>
          <w:kern w:val="0"/>
          <w:szCs w:val="32"/>
        </w:rPr>
        <w:t>）</w:t>
      </w:r>
      <w:r w:rsidRPr="006946EA">
        <w:rPr>
          <w:rFonts w:ascii="標楷體" w:eastAsia="標楷體" w:hAnsi="標楷體" w:hint="eastAsia"/>
          <w:snapToGrid w:val="0"/>
          <w:kern w:val="0"/>
          <w:szCs w:val="32"/>
        </w:rPr>
        <w:t>政府規劃透過鏈結嘉義無人機新創培育、生產製造、</w:t>
      </w:r>
      <w:proofErr w:type="gramStart"/>
      <w:r w:rsidRPr="006946EA">
        <w:rPr>
          <w:rFonts w:ascii="標楷體" w:eastAsia="標楷體" w:hAnsi="標楷體" w:hint="eastAsia"/>
          <w:snapToGrid w:val="0"/>
          <w:kern w:val="0"/>
          <w:szCs w:val="32"/>
        </w:rPr>
        <w:t>飛測場域</w:t>
      </w:r>
      <w:proofErr w:type="gramEnd"/>
      <w:r w:rsidRPr="006946EA">
        <w:rPr>
          <w:rFonts w:ascii="標楷體" w:eastAsia="標楷體" w:hAnsi="標楷體" w:hint="eastAsia"/>
          <w:snapToGrid w:val="0"/>
          <w:kern w:val="0"/>
          <w:szCs w:val="32"/>
        </w:rPr>
        <w:t>等三大基地，形成臺灣無人機製造產業聚落</w:t>
      </w:r>
      <w:r>
        <w:rPr>
          <w:rFonts w:ascii="標楷體" w:eastAsia="標楷體" w:hAnsi="標楷體" w:hint="eastAsia"/>
          <w:snapToGrid w:val="0"/>
          <w:kern w:val="0"/>
          <w:szCs w:val="32"/>
        </w:rPr>
        <w:t>（圖</w:t>
      </w:r>
      <w:r w:rsidR="008866D2">
        <w:rPr>
          <w:rFonts w:ascii="標楷體" w:eastAsia="標楷體" w:hAnsi="標楷體" w:hint="eastAsia"/>
          <w:snapToGrid w:val="0"/>
          <w:spacing w:val="4"/>
          <w:kern w:val="0"/>
          <w:szCs w:val="32"/>
        </w:rPr>
        <w:t>1</w:t>
      </w:r>
      <w:r w:rsidR="00FC640D">
        <w:rPr>
          <w:rFonts w:ascii="標楷體" w:eastAsia="標楷體" w:hAnsi="標楷體" w:hint="eastAsia"/>
          <w:snapToGrid w:val="0"/>
          <w:spacing w:val="4"/>
          <w:kern w:val="0"/>
          <w:szCs w:val="32"/>
        </w:rPr>
        <w:t>0</w:t>
      </w:r>
      <w:r>
        <w:rPr>
          <w:rFonts w:ascii="標楷體" w:eastAsia="標楷體" w:hAnsi="標楷體" w:hint="eastAsia"/>
          <w:snapToGrid w:val="0"/>
          <w:kern w:val="0"/>
          <w:szCs w:val="32"/>
        </w:rPr>
        <w:t>）</w:t>
      </w:r>
      <w:r w:rsidRPr="006946EA">
        <w:rPr>
          <w:rFonts w:ascii="標楷體" w:eastAsia="標楷體" w:hAnsi="標楷體" w:hint="eastAsia"/>
          <w:snapToGrid w:val="0"/>
          <w:kern w:val="0"/>
          <w:szCs w:val="32"/>
        </w:rPr>
        <w:t>，其中有關建置無人機生產製造基地</w:t>
      </w:r>
      <w:r w:rsidRPr="00AF3BA0">
        <w:rPr>
          <w:rFonts w:ascii="標楷體" w:eastAsia="標楷體" w:hAnsi="標楷體" w:hint="eastAsia"/>
          <w:snapToGrid w:val="0"/>
          <w:kern w:val="0"/>
          <w:szCs w:val="32"/>
        </w:rPr>
        <w:t>，</w:t>
      </w:r>
      <w:r w:rsidRPr="00B12596">
        <w:rPr>
          <w:rFonts w:ascii="標楷體" w:eastAsia="標楷體" w:hAnsi="標楷體" w:hint="eastAsia"/>
          <w:snapToGrid w:val="0"/>
          <w:kern w:val="0"/>
          <w:szCs w:val="32"/>
        </w:rPr>
        <w:t>開發經費計68.59億元</w:t>
      </w:r>
      <w:r>
        <w:rPr>
          <w:rFonts w:ascii="標楷體" w:eastAsia="標楷體" w:hAnsi="標楷體" w:hint="eastAsia"/>
          <w:snapToGrid w:val="0"/>
          <w:kern w:val="0"/>
          <w:szCs w:val="32"/>
        </w:rPr>
        <w:t>。</w:t>
      </w:r>
      <w:r w:rsidRPr="00AF3BA0">
        <w:rPr>
          <w:rFonts w:ascii="標楷體" w:eastAsia="標楷體" w:hAnsi="標楷體" w:hint="eastAsia"/>
          <w:snapToGrid w:val="0"/>
          <w:kern w:val="0"/>
          <w:szCs w:val="32"/>
        </w:rPr>
        <w:t>行政院責成中科院於114至116年度開發民雄航太暨無人機產業園區</w:t>
      </w:r>
      <w:r w:rsidRPr="00020160">
        <w:rPr>
          <w:rFonts w:ascii="標楷體" w:eastAsia="標楷體" w:hAnsi="標楷體" w:hint="eastAsia"/>
          <w:snapToGrid w:val="0"/>
          <w:kern w:val="0"/>
          <w:szCs w:val="32"/>
        </w:rPr>
        <w:t>，</w:t>
      </w:r>
      <w:r w:rsidRPr="00AF3BA0">
        <w:rPr>
          <w:rFonts w:ascii="標楷體" w:eastAsia="標楷體" w:hAnsi="標楷體" w:hint="eastAsia"/>
          <w:snapToGrid w:val="0"/>
          <w:kern w:val="0"/>
          <w:szCs w:val="32"/>
        </w:rPr>
        <w:t>開放合作廠商及其他無人機廠商進駐產業園區，建立無人機產業供</w:t>
      </w:r>
    </w:p>
    <w:p w14:paraId="6D7D4D94" w14:textId="43C6DCF6" w:rsidR="00C7210C" w:rsidRDefault="0012704A" w:rsidP="00D0449C">
      <w:pPr>
        <w:overflowPunct w:val="0"/>
        <w:spacing w:line="436" w:lineRule="exact"/>
        <w:jc w:val="both"/>
        <w:rPr>
          <w:rFonts w:ascii="標楷體" w:eastAsia="標楷體" w:hAnsi="標楷體"/>
          <w:szCs w:val="24"/>
        </w:rPr>
      </w:pPr>
      <w:r>
        <w:rPr>
          <w:rFonts w:ascii="標楷體" w:eastAsia="標楷體" w:hAnsi="標楷體" w:hint="eastAsia"/>
          <w:noProof/>
          <w:kern w:val="0"/>
          <w:szCs w:val="32"/>
          <w:lang w:val="zh-TW"/>
        </w:rPr>
        <w:lastRenderedPageBreak/>
        <mc:AlternateContent>
          <mc:Choice Requires="wpg">
            <w:drawing>
              <wp:anchor distT="0" distB="0" distL="114300" distR="114300" simplePos="0" relativeHeight="251678720" behindDoc="0" locked="0" layoutInCell="1" allowOverlap="1" wp14:anchorId="41444C1B" wp14:editId="5D4E04B8">
                <wp:simplePos x="0" y="0"/>
                <wp:positionH relativeFrom="column">
                  <wp:posOffset>2618740</wp:posOffset>
                </wp:positionH>
                <wp:positionV relativeFrom="paragraph">
                  <wp:posOffset>117475</wp:posOffset>
                </wp:positionV>
                <wp:extent cx="3632200" cy="2635250"/>
                <wp:effectExtent l="0" t="0" r="0" b="0"/>
                <wp:wrapSquare wrapText="bothSides"/>
                <wp:docPr id="2008327044" name="群組 2008327044"/>
                <wp:cNvGraphicFramePr/>
                <a:graphic xmlns:a="http://schemas.openxmlformats.org/drawingml/2006/main">
                  <a:graphicData uri="http://schemas.microsoft.com/office/word/2010/wordprocessingGroup">
                    <wpg:wgp>
                      <wpg:cNvGrpSpPr/>
                      <wpg:grpSpPr>
                        <a:xfrm>
                          <a:off x="0" y="0"/>
                          <a:ext cx="3632200" cy="2635250"/>
                          <a:chOff x="0" y="0"/>
                          <a:chExt cx="3632200" cy="2635250"/>
                        </a:xfrm>
                      </wpg:grpSpPr>
                      <wpg:grpSp>
                        <wpg:cNvPr id="2008327045" name="群組 2008327045"/>
                        <wpg:cNvGrpSpPr/>
                        <wpg:grpSpPr>
                          <a:xfrm>
                            <a:off x="69850" y="0"/>
                            <a:ext cx="3397885" cy="2635250"/>
                            <a:chOff x="-78929" y="-114322"/>
                            <a:chExt cx="3398164" cy="2567791"/>
                          </a:xfrm>
                        </wpg:grpSpPr>
                        <wps:wsp>
                          <wps:cNvPr id="2008327046" name="文字方塊 2008327046"/>
                          <wps:cNvSpPr txBox="1">
                            <a:spLocks noChangeArrowheads="1"/>
                          </wps:cNvSpPr>
                          <wps:spPr bwMode="auto">
                            <a:xfrm>
                              <a:off x="-78929" y="2162639"/>
                              <a:ext cx="3194050" cy="290830"/>
                            </a:xfrm>
                            <a:prstGeom prst="rect">
                              <a:avLst/>
                            </a:prstGeom>
                            <a:noFill/>
                            <a:ln w="9525">
                              <a:noFill/>
                              <a:miter lim="800000"/>
                              <a:headEnd/>
                              <a:tailEnd/>
                            </a:ln>
                          </wps:spPr>
                          <wps:txbx>
                            <w:txbxContent>
                              <w:p w14:paraId="2DC267EB" w14:textId="77777777" w:rsidR="0012704A" w:rsidRPr="005305FE" w:rsidRDefault="0012704A" w:rsidP="0012704A">
                                <w:pPr>
                                  <w:rPr>
                                    <w:b/>
                                    <w:bCs/>
                                  </w:rPr>
                                </w:pPr>
                                <w:r w:rsidRPr="00841B08">
                                  <w:rPr>
                                    <w:rFonts w:ascii="標楷體" w:eastAsia="標楷體" w:hAnsi="標楷體" w:hint="eastAsia"/>
                                    <w:bCs/>
                                    <w:snapToGrid w:val="0"/>
                                    <w:spacing w:val="4"/>
                                    <w:kern w:val="0"/>
                                    <w:sz w:val="18"/>
                                    <w:szCs w:val="18"/>
                                  </w:rPr>
                                  <w:t>資料來源：</w:t>
                                </w:r>
                                <w:r w:rsidRPr="0062050E">
                                  <w:rPr>
                                    <w:rFonts w:ascii="標楷體" w:eastAsia="標楷體" w:hAnsi="標楷體" w:hint="eastAsia"/>
                                    <w:bCs/>
                                    <w:snapToGrid w:val="0"/>
                                    <w:spacing w:val="4"/>
                                    <w:kern w:val="0"/>
                                    <w:sz w:val="18"/>
                                    <w:szCs w:val="18"/>
                                  </w:rPr>
                                  <w:t>整理自六大核心戰略產業推動方案。</w:t>
                                </w:r>
                              </w:p>
                            </w:txbxContent>
                          </wps:txbx>
                          <wps:bodyPr rot="0" vert="horz" wrap="square" lIns="91440" tIns="45720" rIns="91440" bIns="45720" anchor="t" anchorCtr="0">
                            <a:noAutofit/>
                          </wps:bodyPr>
                        </wps:wsp>
                        <wps:wsp>
                          <wps:cNvPr id="2008327047" name="文字方塊 2008327047"/>
                          <wps:cNvSpPr txBox="1">
                            <a:spLocks noChangeArrowheads="1"/>
                          </wps:cNvSpPr>
                          <wps:spPr bwMode="auto">
                            <a:xfrm>
                              <a:off x="42635" y="-114322"/>
                              <a:ext cx="3276600" cy="290830"/>
                            </a:xfrm>
                            <a:prstGeom prst="rect">
                              <a:avLst/>
                            </a:prstGeom>
                            <a:solidFill>
                              <a:srgbClr val="FFFFFF"/>
                            </a:solidFill>
                            <a:ln w="9525">
                              <a:noFill/>
                              <a:miter lim="800000"/>
                              <a:headEnd/>
                              <a:tailEnd/>
                            </a:ln>
                          </wps:spPr>
                          <wps:txbx>
                            <w:txbxContent>
                              <w:p w14:paraId="16196715" w14:textId="77777777" w:rsidR="0012704A" w:rsidRPr="005305FE" w:rsidRDefault="0012704A" w:rsidP="0012704A">
                                <w:pPr>
                                  <w:jc w:val="center"/>
                                  <w:rPr>
                                    <w:b/>
                                    <w:bCs/>
                                  </w:rPr>
                                </w:pPr>
                                <w:r w:rsidRPr="005305FE">
                                  <w:rPr>
                                    <w:rFonts w:ascii="標楷體" w:eastAsia="標楷體" w:hAnsi="標楷體" w:hint="eastAsia"/>
                                    <w:b/>
                                    <w:bCs/>
                                    <w:snapToGrid w:val="0"/>
                                    <w:kern w:val="0"/>
                                    <w:szCs w:val="32"/>
                                  </w:rPr>
                                  <w:t>圖</w:t>
                                </w:r>
                                <w:r>
                                  <w:rPr>
                                    <w:rFonts w:ascii="標楷體" w:eastAsia="標楷體" w:hAnsi="標楷體" w:hint="eastAsia"/>
                                    <w:b/>
                                    <w:bCs/>
                                    <w:szCs w:val="24"/>
                                  </w:rPr>
                                  <w:t>1</w:t>
                                </w:r>
                                <w:r>
                                  <w:rPr>
                                    <w:rFonts w:ascii="標楷體" w:eastAsia="標楷體" w:hAnsi="標楷體"/>
                                    <w:b/>
                                    <w:bCs/>
                                    <w:szCs w:val="24"/>
                                  </w:rPr>
                                  <w:t>0</w:t>
                                </w:r>
                                <w:r w:rsidRPr="005305FE">
                                  <w:rPr>
                                    <w:rFonts w:ascii="標楷體" w:eastAsia="標楷體" w:hAnsi="標楷體" w:hint="eastAsia"/>
                                    <w:b/>
                                    <w:bCs/>
                                    <w:snapToGrid w:val="0"/>
                                    <w:kern w:val="0"/>
                                    <w:szCs w:val="32"/>
                                  </w:rPr>
                                  <w:t xml:space="preserve">　</w:t>
                                </w:r>
                                <w:r w:rsidRPr="00A83FC3">
                                  <w:rPr>
                                    <w:rFonts w:ascii="標楷體" w:eastAsia="標楷體" w:hAnsi="標楷體" w:hint="eastAsia"/>
                                    <w:b/>
                                    <w:bCs/>
                                    <w:snapToGrid w:val="0"/>
                                    <w:spacing w:val="-4"/>
                                    <w:kern w:val="0"/>
                                    <w:szCs w:val="32"/>
                                  </w:rPr>
                                  <w:t>臺灣無人機產業聚落</w:t>
                                </w:r>
                              </w:p>
                            </w:txbxContent>
                          </wps:txbx>
                          <wps:bodyPr rot="0" vert="horz" wrap="square" lIns="91440" tIns="45720" rIns="91440" bIns="45720" anchor="t" anchorCtr="0">
                            <a:noAutofit/>
                          </wps:bodyPr>
                        </wps:wsp>
                      </wpg:grpSp>
                      <pic:pic xmlns:pic="http://schemas.openxmlformats.org/drawingml/2006/picture">
                        <pic:nvPicPr>
                          <pic:cNvPr id="2008327048" name="圖片 2008327048"/>
                          <pic:cNvPicPr>
                            <a:picLocks noChangeAspect="1"/>
                          </pic:cNvPicPr>
                        </pic:nvPicPr>
                        <pic:blipFill rotWithShape="1">
                          <a:blip r:embed="rId25" cstate="print">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rcRect r="4619"/>
                          <a:stretch/>
                        </pic:blipFill>
                        <pic:spPr bwMode="auto">
                          <a:xfrm>
                            <a:off x="0" y="381000"/>
                            <a:ext cx="3632200" cy="196405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41444C1B" id="群組 2008327044" o:spid="_x0000_s1061" style="position:absolute;left:0;text-align:left;margin-left:206.2pt;margin-top:9.25pt;width:286pt;height:207.5pt;z-index:251678720;mso-height-relative:margin" coordsize="36322,26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">
                <v:group id="群組 2008327045" o:spid="_x0000_s1062" style="position:absolute;left:698;width:33979;height:26352" coordorigin="-789,-1143" coordsize="33981,25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">
                  <v:shape id="文字方塊 2008327046" o:spid="_x0000_s1063" type="#_x0000_t202" style="position:absolute;left:-789;top:21626;width:31940;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" filled="f" stroked="f">
                    <v:textbox>
                      <w:txbxContent>
                        <w:p w14:paraId="2DC267EB" w14:textId="77777777" w:rsidR="0012704A" w:rsidRPr="005305FE" w:rsidRDefault="0012704A" w:rsidP="0012704A">
                          <w:pPr>
                            <w:rPr>
                              <w:b/>
                              <w:bCs/>
                            </w:rPr>
                          </w:pPr>
                          <w:r w:rsidRPr="00841B08">
                            <w:rPr>
                              <w:rFonts w:ascii="標楷體" w:eastAsia="標楷體" w:hAnsi="標楷體" w:hint="eastAsia"/>
                              <w:bCs/>
                              <w:snapToGrid w:val="0"/>
                              <w:spacing w:val="4"/>
                              <w:kern w:val="0"/>
                              <w:sz w:val="18"/>
                              <w:szCs w:val="18"/>
                            </w:rPr>
                            <w:t>資料來源：</w:t>
                          </w:r>
                          <w:r w:rsidRPr="0062050E">
                            <w:rPr>
                              <w:rFonts w:ascii="標楷體" w:eastAsia="標楷體" w:hAnsi="標楷體" w:hint="eastAsia"/>
                              <w:bCs/>
                              <w:snapToGrid w:val="0"/>
                              <w:spacing w:val="4"/>
                              <w:kern w:val="0"/>
                              <w:sz w:val="18"/>
                              <w:szCs w:val="18"/>
                            </w:rPr>
                            <w:t>整理自六大核心戰略產業推動方案。</w:t>
                          </w:r>
                        </w:p>
                      </w:txbxContent>
                    </v:textbox>
                  </v:shape>
                  <v:shape id="文字方塊 2008327047" o:spid="_x0000_s1064" type="#_x0000_t202" style="position:absolute;left:426;top:-1143;width:3276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" stroked="f">
                    <v:textbox>
                      <w:txbxContent>
                        <w:p w14:paraId="16196715" w14:textId="77777777" w:rsidR="0012704A" w:rsidRPr="005305FE" w:rsidRDefault="0012704A" w:rsidP="0012704A">
                          <w:pPr>
                            <w:jc w:val="center"/>
                            <w:rPr>
                              <w:b/>
                              <w:bCs/>
                            </w:rPr>
                          </w:pPr>
                          <w:r w:rsidRPr="005305FE">
                            <w:rPr>
                              <w:rFonts w:ascii="標楷體" w:eastAsia="標楷體" w:hAnsi="標楷體" w:hint="eastAsia"/>
                              <w:b/>
                              <w:bCs/>
                              <w:snapToGrid w:val="0"/>
                              <w:kern w:val="0"/>
                              <w:szCs w:val="32"/>
                            </w:rPr>
                            <w:t>圖</w:t>
                          </w:r>
                          <w:r>
                            <w:rPr>
                              <w:rFonts w:ascii="標楷體" w:eastAsia="標楷體" w:hAnsi="標楷體" w:hint="eastAsia"/>
                              <w:b/>
                              <w:bCs/>
                              <w:szCs w:val="24"/>
                            </w:rPr>
                            <w:t>1</w:t>
                          </w:r>
                          <w:r>
                            <w:rPr>
                              <w:rFonts w:ascii="標楷體" w:eastAsia="標楷體" w:hAnsi="標楷體"/>
                              <w:b/>
                              <w:bCs/>
                              <w:szCs w:val="24"/>
                            </w:rPr>
                            <w:t>0</w:t>
                          </w:r>
                          <w:r w:rsidRPr="005305FE">
                            <w:rPr>
                              <w:rFonts w:ascii="標楷體" w:eastAsia="標楷體" w:hAnsi="標楷體" w:hint="eastAsia"/>
                              <w:b/>
                              <w:bCs/>
                              <w:snapToGrid w:val="0"/>
                              <w:kern w:val="0"/>
                              <w:szCs w:val="32"/>
                            </w:rPr>
                            <w:t xml:space="preserve">　</w:t>
                          </w:r>
                          <w:r w:rsidRPr="00A83FC3">
                            <w:rPr>
                              <w:rFonts w:ascii="標楷體" w:eastAsia="標楷體" w:hAnsi="標楷體" w:hint="eastAsia"/>
                              <w:b/>
                              <w:bCs/>
                              <w:snapToGrid w:val="0"/>
                              <w:spacing w:val="-4"/>
                              <w:kern w:val="0"/>
                              <w:szCs w:val="32"/>
                            </w:rPr>
                            <w:t>臺灣無人機產業聚落</w:t>
                          </w:r>
                        </w:p>
                      </w:txbxContent>
                    </v:textbox>
                  </v:shape>
                </v:group>
                <v:shape id="圖片 2008327048" o:spid="_x0000_s1065" type="#_x0000_t75" style="position:absolute;top:3810;width:36322;height:19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">
                  <v:imagedata r:id="rId27" o:title="" cropright="3027f"/>
                </v:shape>
                <w10:wrap type="square"/>
              </v:group>
            </w:pict>
          </mc:Fallback>
        </mc:AlternateContent>
      </w:r>
      <w:proofErr w:type="gramStart"/>
      <w:r w:rsidR="00C7210C" w:rsidRPr="00AF3BA0">
        <w:rPr>
          <w:rFonts w:ascii="標楷體" w:eastAsia="標楷體" w:hAnsi="標楷體" w:hint="eastAsia"/>
          <w:snapToGrid w:val="0"/>
          <w:kern w:val="0"/>
          <w:szCs w:val="32"/>
        </w:rPr>
        <w:t>應鏈</w:t>
      </w:r>
      <w:proofErr w:type="gramEnd"/>
      <w:r w:rsidR="00C7210C" w:rsidRPr="00AF3BA0">
        <w:rPr>
          <w:rFonts w:ascii="標楷體" w:eastAsia="標楷體" w:hAnsi="標楷體" w:hint="eastAsia"/>
          <w:snapToGrid w:val="0"/>
          <w:kern w:val="0"/>
          <w:szCs w:val="32"/>
        </w:rPr>
        <w:t>，惟行政院113年8月23日核定之「民雄航太暨無人機產業園區開發建設計畫」</w:t>
      </w:r>
      <w:r w:rsidR="00C7210C">
        <w:rPr>
          <w:rFonts w:ascii="標楷體" w:eastAsia="標楷體" w:hAnsi="標楷體" w:hint="eastAsia"/>
          <w:snapToGrid w:val="0"/>
          <w:kern w:val="0"/>
          <w:szCs w:val="32"/>
        </w:rPr>
        <w:t>，</w:t>
      </w:r>
      <w:r w:rsidR="00C7210C" w:rsidRPr="00AF3BA0">
        <w:rPr>
          <w:rFonts w:ascii="標楷體" w:eastAsia="標楷體" w:hAnsi="標楷體" w:hint="eastAsia"/>
          <w:snapToGrid w:val="0"/>
          <w:kern w:val="0"/>
          <w:szCs w:val="32"/>
        </w:rPr>
        <w:t>未配合產業推動方案妥適規劃產業園區開發期程，</w:t>
      </w:r>
      <w:r w:rsidR="00C7210C">
        <w:rPr>
          <w:rFonts w:ascii="標楷體" w:eastAsia="標楷體" w:hAnsi="標楷體" w:hint="eastAsia"/>
          <w:snapToGrid w:val="0"/>
          <w:kern w:val="0"/>
          <w:szCs w:val="32"/>
        </w:rPr>
        <w:t>致預計完工期程</w:t>
      </w:r>
      <w:r w:rsidR="00C7210C" w:rsidRPr="00AF3BA0">
        <w:rPr>
          <w:rFonts w:ascii="標楷體" w:eastAsia="標楷體" w:hAnsi="標楷體" w:hint="eastAsia"/>
          <w:snapToGrid w:val="0"/>
          <w:kern w:val="0"/>
          <w:szCs w:val="32"/>
        </w:rPr>
        <w:t>較產業推動方案</w:t>
      </w:r>
      <w:r w:rsidR="00C7210C">
        <w:rPr>
          <w:rFonts w:ascii="標楷體" w:eastAsia="標楷體" w:hAnsi="標楷體" w:hint="eastAsia"/>
          <w:snapToGrid w:val="0"/>
          <w:kern w:val="0"/>
          <w:szCs w:val="32"/>
        </w:rPr>
        <w:t>延</w:t>
      </w:r>
      <w:r w:rsidR="00C7210C" w:rsidRPr="00AF3BA0">
        <w:rPr>
          <w:rFonts w:ascii="標楷體" w:eastAsia="標楷體" w:hAnsi="標楷體" w:hint="eastAsia"/>
          <w:snapToGrid w:val="0"/>
          <w:kern w:val="0"/>
          <w:szCs w:val="32"/>
        </w:rPr>
        <w:t>後1年</w:t>
      </w:r>
      <w:r w:rsidR="00C7210C">
        <w:rPr>
          <w:rFonts w:ascii="標楷體" w:eastAsia="標楷體" w:hAnsi="標楷體" w:hint="eastAsia"/>
          <w:snapToGrid w:val="0"/>
          <w:kern w:val="0"/>
          <w:szCs w:val="32"/>
        </w:rPr>
        <w:t>，</w:t>
      </w:r>
      <w:r w:rsidR="00C7210C" w:rsidRPr="00AF3BA0">
        <w:rPr>
          <w:rFonts w:ascii="標楷體" w:eastAsia="標楷體" w:hAnsi="標楷體" w:hint="eastAsia"/>
          <w:snapToGrid w:val="0"/>
          <w:kern w:val="0"/>
          <w:szCs w:val="32"/>
        </w:rPr>
        <w:t>國防部軍備局</w:t>
      </w:r>
      <w:proofErr w:type="gramStart"/>
      <w:r w:rsidR="00C7210C" w:rsidRPr="00AF3BA0">
        <w:rPr>
          <w:rFonts w:ascii="標楷體" w:eastAsia="標楷體" w:hAnsi="標楷體" w:hint="eastAsia"/>
          <w:snapToGrid w:val="0"/>
          <w:kern w:val="0"/>
          <w:szCs w:val="32"/>
        </w:rPr>
        <w:t>114</w:t>
      </w:r>
      <w:proofErr w:type="gramEnd"/>
      <w:r w:rsidR="00C7210C" w:rsidRPr="00AF3BA0">
        <w:rPr>
          <w:rFonts w:ascii="標楷體" w:eastAsia="標楷體" w:hAnsi="標楷體" w:hint="eastAsia"/>
          <w:snapToGrid w:val="0"/>
          <w:kern w:val="0"/>
          <w:szCs w:val="32"/>
        </w:rPr>
        <w:t>年度編列預算7,625萬元，</w:t>
      </w:r>
      <w:r w:rsidR="00C7210C">
        <w:rPr>
          <w:rFonts w:ascii="標楷體" w:eastAsia="標楷體" w:hAnsi="標楷體" w:hint="eastAsia"/>
          <w:snapToGrid w:val="0"/>
          <w:kern w:val="0"/>
          <w:szCs w:val="32"/>
        </w:rPr>
        <w:t>捐</w:t>
      </w:r>
      <w:r w:rsidR="00C7210C" w:rsidRPr="00AF3BA0">
        <w:rPr>
          <w:rFonts w:ascii="標楷體" w:eastAsia="標楷體" w:hAnsi="標楷體" w:hint="eastAsia"/>
          <w:snapToGrid w:val="0"/>
          <w:kern w:val="0"/>
          <w:szCs w:val="32"/>
        </w:rPr>
        <w:t>助中科院辦理園區開發建設計畫，惟專案工程管理</w:t>
      </w:r>
      <w:r w:rsidR="00C7210C" w:rsidRPr="006946EA">
        <w:rPr>
          <w:rFonts w:ascii="標楷體" w:eastAsia="標楷體" w:hAnsi="標楷體" w:hint="eastAsia"/>
          <w:snapToGrid w:val="0"/>
          <w:kern w:val="0"/>
          <w:szCs w:val="32"/>
        </w:rPr>
        <w:t>技術服務案</w:t>
      </w:r>
      <w:r w:rsidR="00C7210C">
        <w:rPr>
          <w:rFonts w:ascii="標楷體" w:eastAsia="標楷體" w:hAnsi="標楷體" w:hint="eastAsia"/>
          <w:snapToGrid w:val="0"/>
          <w:kern w:val="0"/>
          <w:szCs w:val="32"/>
        </w:rPr>
        <w:t>配合</w:t>
      </w:r>
      <w:r w:rsidR="00C7210C" w:rsidRPr="006946EA">
        <w:rPr>
          <w:rFonts w:ascii="標楷體" w:eastAsia="標楷體" w:hAnsi="標楷體" w:hint="eastAsia"/>
          <w:snapToGrid w:val="0"/>
          <w:kern w:val="0"/>
          <w:szCs w:val="32"/>
        </w:rPr>
        <w:t>於</w:t>
      </w:r>
      <w:proofErr w:type="gramStart"/>
      <w:r w:rsidR="00C7210C" w:rsidRPr="006946EA">
        <w:rPr>
          <w:rFonts w:ascii="標楷體" w:eastAsia="標楷體" w:hAnsi="標楷體" w:hint="eastAsia"/>
          <w:snapToGrid w:val="0"/>
          <w:kern w:val="0"/>
          <w:szCs w:val="32"/>
        </w:rPr>
        <w:t>114</w:t>
      </w:r>
      <w:proofErr w:type="gramEnd"/>
      <w:r w:rsidR="00C7210C" w:rsidRPr="006946EA">
        <w:rPr>
          <w:rFonts w:ascii="標楷體" w:eastAsia="標楷體" w:hAnsi="標楷體" w:hint="eastAsia"/>
          <w:snapToGrid w:val="0"/>
          <w:kern w:val="0"/>
          <w:szCs w:val="32"/>
        </w:rPr>
        <w:t>年</w:t>
      </w:r>
      <w:r w:rsidR="00C7210C">
        <w:rPr>
          <w:rFonts w:ascii="標楷體" w:eastAsia="標楷體" w:hAnsi="標楷體" w:hint="eastAsia"/>
          <w:snapToGrid w:val="0"/>
          <w:kern w:val="0"/>
          <w:szCs w:val="32"/>
        </w:rPr>
        <w:t>度</w:t>
      </w:r>
      <w:r w:rsidR="00C7210C" w:rsidRPr="006946EA">
        <w:rPr>
          <w:rFonts w:ascii="標楷體" w:eastAsia="標楷體" w:hAnsi="標楷體" w:hint="eastAsia"/>
          <w:snapToGrid w:val="0"/>
          <w:kern w:val="0"/>
          <w:szCs w:val="32"/>
        </w:rPr>
        <w:t>總預算案公布後始辦理決標，執行進度已略有落後；</w:t>
      </w:r>
      <w:r w:rsidR="00C7210C">
        <w:rPr>
          <w:rFonts w:ascii="標楷體" w:eastAsia="標楷體" w:hAnsi="標楷體" w:hint="eastAsia"/>
          <w:snapToGrid w:val="0"/>
          <w:kern w:val="0"/>
          <w:szCs w:val="32"/>
        </w:rPr>
        <w:t>（</w:t>
      </w:r>
      <w:r w:rsidR="00C7210C" w:rsidRPr="006946EA">
        <w:rPr>
          <w:rFonts w:ascii="標楷體" w:eastAsia="標楷體" w:hAnsi="標楷體" w:hint="eastAsia"/>
          <w:snapToGrid w:val="0"/>
          <w:kern w:val="0"/>
          <w:szCs w:val="32"/>
        </w:rPr>
        <w:t>2</w:t>
      </w:r>
      <w:r w:rsidR="00C7210C">
        <w:rPr>
          <w:rFonts w:ascii="標楷體" w:eastAsia="標楷體" w:hAnsi="標楷體" w:hint="eastAsia"/>
          <w:snapToGrid w:val="0"/>
          <w:kern w:val="0"/>
          <w:szCs w:val="32"/>
        </w:rPr>
        <w:t>）</w:t>
      </w:r>
      <w:r w:rsidR="00C7210C" w:rsidRPr="006946EA">
        <w:rPr>
          <w:rFonts w:ascii="標楷體" w:eastAsia="標楷體" w:hAnsi="標楷體" w:hint="eastAsia"/>
          <w:snapToGrid w:val="0"/>
          <w:kern w:val="0"/>
          <w:szCs w:val="32"/>
        </w:rPr>
        <w:t>中科院規劃114年底完成園區各項管理規定及執行要點草案，</w:t>
      </w:r>
      <w:r w:rsidR="00C7210C">
        <w:rPr>
          <w:rFonts w:ascii="標楷體" w:eastAsia="標楷體" w:hAnsi="標楷體" w:hint="eastAsia"/>
          <w:snapToGrid w:val="0"/>
          <w:kern w:val="0"/>
          <w:szCs w:val="32"/>
        </w:rPr>
        <w:t>及</w:t>
      </w:r>
      <w:r w:rsidR="00C7210C" w:rsidRPr="006946EA">
        <w:rPr>
          <w:rFonts w:ascii="標楷體" w:eastAsia="標楷體" w:hAnsi="標楷體" w:hint="eastAsia"/>
          <w:snapToGrid w:val="0"/>
          <w:kern w:val="0"/>
          <w:szCs w:val="32"/>
        </w:rPr>
        <w:t>於</w:t>
      </w:r>
      <w:proofErr w:type="gramStart"/>
      <w:r w:rsidR="00C7210C" w:rsidRPr="006946EA">
        <w:rPr>
          <w:rFonts w:ascii="標楷體" w:eastAsia="標楷體" w:hAnsi="標楷體" w:hint="eastAsia"/>
          <w:snapToGrid w:val="0"/>
          <w:kern w:val="0"/>
          <w:szCs w:val="32"/>
        </w:rPr>
        <w:t>115</w:t>
      </w:r>
      <w:proofErr w:type="gramEnd"/>
      <w:r w:rsidR="00C7210C" w:rsidRPr="006946EA">
        <w:rPr>
          <w:rFonts w:ascii="標楷體" w:eastAsia="標楷體" w:hAnsi="標楷體" w:hint="eastAsia"/>
          <w:snapToGrid w:val="0"/>
          <w:kern w:val="0"/>
          <w:szCs w:val="32"/>
        </w:rPr>
        <w:t>年度進行各項法規審查及訂頒作業</w:t>
      </w:r>
      <w:r w:rsidR="00C7210C">
        <w:rPr>
          <w:rFonts w:ascii="標楷體" w:eastAsia="標楷體" w:hAnsi="標楷體" w:hint="eastAsia"/>
          <w:snapToGrid w:val="0"/>
          <w:kern w:val="0"/>
          <w:szCs w:val="32"/>
        </w:rPr>
        <w:t>，以</w:t>
      </w:r>
      <w:r w:rsidR="00C7210C" w:rsidRPr="006946EA">
        <w:rPr>
          <w:rFonts w:ascii="標楷體" w:eastAsia="標楷體" w:hAnsi="標楷體" w:hint="eastAsia"/>
          <w:snapToGrid w:val="0"/>
          <w:kern w:val="0"/>
          <w:szCs w:val="32"/>
        </w:rPr>
        <w:t>維護產業園區秩序及確保進駐單位後續營運順利</w:t>
      </w:r>
      <w:r w:rsidR="00C7210C">
        <w:rPr>
          <w:rFonts w:ascii="標楷體" w:eastAsia="標楷體" w:hAnsi="標楷體" w:hint="eastAsia"/>
          <w:snapToGrid w:val="0"/>
          <w:kern w:val="0"/>
          <w:szCs w:val="32"/>
        </w:rPr>
        <w:t>，惟</w:t>
      </w:r>
      <w:r w:rsidR="00C7210C" w:rsidRPr="00997A78">
        <w:rPr>
          <w:rFonts w:ascii="標楷體" w:eastAsia="標楷體" w:hAnsi="標楷體" w:hint="eastAsia"/>
          <w:snapToGrid w:val="0"/>
          <w:kern w:val="0"/>
          <w:szCs w:val="32"/>
        </w:rPr>
        <w:t>截至本部查核日</w:t>
      </w:r>
      <w:r w:rsidR="00C7210C">
        <w:rPr>
          <w:rFonts w:ascii="標楷體" w:eastAsia="標楷體" w:hAnsi="標楷體" w:hint="eastAsia"/>
          <w:snapToGrid w:val="0"/>
          <w:kern w:val="0"/>
          <w:szCs w:val="32"/>
        </w:rPr>
        <w:t>（</w:t>
      </w:r>
      <w:r w:rsidR="00C7210C" w:rsidRPr="006946EA">
        <w:rPr>
          <w:rFonts w:ascii="標楷體" w:eastAsia="標楷體" w:hAnsi="標楷體" w:hint="eastAsia"/>
          <w:snapToGrid w:val="0"/>
          <w:kern w:val="0"/>
          <w:szCs w:val="32"/>
        </w:rPr>
        <w:t>114年4月8日</w:t>
      </w:r>
      <w:r w:rsidR="00C7210C">
        <w:rPr>
          <w:rFonts w:ascii="標楷體" w:eastAsia="標楷體" w:hAnsi="標楷體" w:hint="eastAsia"/>
          <w:snapToGrid w:val="0"/>
          <w:kern w:val="0"/>
          <w:szCs w:val="32"/>
        </w:rPr>
        <w:t>，下同）</w:t>
      </w:r>
      <w:r w:rsidR="00C7210C" w:rsidRPr="006946EA">
        <w:rPr>
          <w:rFonts w:ascii="標楷體" w:eastAsia="標楷體" w:hAnsi="標楷體" w:hint="eastAsia"/>
          <w:snapToGrid w:val="0"/>
          <w:kern w:val="0"/>
          <w:szCs w:val="32"/>
        </w:rPr>
        <w:t>止，中科院</w:t>
      </w:r>
      <w:r w:rsidR="00C7210C">
        <w:rPr>
          <w:rFonts w:ascii="標楷體" w:eastAsia="標楷體" w:hAnsi="標楷體" w:hint="eastAsia"/>
          <w:snapToGrid w:val="0"/>
          <w:kern w:val="0"/>
          <w:szCs w:val="32"/>
        </w:rPr>
        <w:t>僅</w:t>
      </w:r>
      <w:proofErr w:type="gramStart"/>
      <w:r w:rsidR="00C7210C" w:rsidRPr="006946EA">
        <w:rPr>
          <w:rFonts w:ascii="標楷體" w:eastAsia="標楷體" w:hAnsi="標楷體" w:hint="eastAsia"/>
          <w:snapToGrid w:val="0"/>
          <w:kern w:val="0"/>
          <w:szCs w:val="32"/>
        </w:rPr>
        <w:t>蒐</w:t>
      </w:r>
      <w:proofErr w:type="gramEnd"/>
      <w:r w:rsidR="00C7210C" w:rsidRPr="006946EA">
        <w:rPr>
          <w:rFonts w:ascii="標楷體" w:eastAsia="標楷體" w:hAnsi="標楷體" w:hint="eastAsia"/>
          <w:snapToGrid w:val="0"/>
          <w:kern w:val="0"/>
          <w:szCs w:val="32"/>
        </w:rPr>
        <w:t>整國科會所屬各科學園區法規資料，並將法規依園區管理分項</w:t>
      </w:r>
      <w:proofErr w:type="gramStart"/>
      <w:r w:rsidR="00C7210C" w:rsidRPr="006946EA">
        <w:rPr>
          <w:rFonts w:ascii="標楷體" w:eastAsia="標楷體" w:hAnsi="標楷體" w:hint="eastAsia"/>
          <w:snapToGrid w:val="0"/>
          <w:kern w:val="0"/>
          <w:szCs w:val="32"/>
        </w:rPr>
        <w:t>類別綜整歸納</w:t>
      </w:r>
      <w:proofErr w:type="gramEnd"/>
      <w:r w:rsidR="00C7210C" w:rsidRPr="006946EA">
        <w:rPr>
          <w:rFonts w:ascii="標楷體" w:eastAsia="標楷體" w:hAnsi="標楷體" w:hint="eastAsia"/>
          <w:snapToGrid w:val="0"/>
          <w:kern w:val="0"/>
          <w:szCs w:val="32"/>
        </w:rPr>
        <w:t>，按業務性質責由各業管單位編纂草稿，</w:t>
      </w:r>
      <w:r w:rsidR="00C7210C">
        <w:rPr>
          <w:rFonts w:ascii="標楷體" w:eastAsia="標楷體" w:hAnsi="標楷體" w:hint="eastAsia"/>
          <w:snapToGrid w:val="0"/>
          <w:kern w:val="0"/>
          <w:szCs w:val="32"/>
        </w:rPr>
        <w:t>考量</w:t>
      </w:r>
      <w:r w:rsidR="00C7210C" w:rsidRPr="006946EA">
        <w:rPr>
          <w:rFonts w:ascii="標楷體" w:eastAsia="標楷體" w:hAnsi="標楷體" w:hint="eastAsia"/>
          <w:snapToGrid w:val="0"/>
          <w:kern w:val="0"/>
          <w:szCs w:val="32"/>
        </w:rPr>
        <w:t>園區管理相關規範，除作為中科院維護園區營運秩序外，更</w:t>
      </w:r>
      <w:proofErr w:type="gramStart"/>
      <w:r w:rsidR="00C7210C" w:rsidRPr="006946EA">
        <w:rPr>
          <w:rFonts w:ascii="標楷體" w:eastAsia="標楷體" w:hAnsi="標楷體" w:hint="eastAsia"/>
          <w:snapToGrid w:val="0"/>
          <w:kern w:val="0"/>
          <w:szCs w:val="32"/>
        </w:rPr>
        <w:t>攸</w:t>
      </w:r>
      <w:proofErr w:type="gramEnd"/>
      <w:r w:rsidR="00C7210C" w:rsidRPr="006946EA">
        <w:rPr>
          <w:rFonts w:ascii="標楷體" w:eastAsia="標楷體" w:hAnsi="標楷體" w:hint="eastAsia"/>
          <w:snapToGrid w:val="0"/>
          <w:kern w:val="0"/>
          <w:szCs w:val="32"/>
        </w:rPr>
        <w:t>關廠商進駐意願</w:t>
      </w:r>
      <w:r w:rsidR="00C7210C">
        <w:rPr>
          <w:rFonts w:ascii="標楷體" w:eastAsia="標楷體" w:hAnsi="標楷體" w:hint="eastAsia"/>
          <w:snapToGrid w:val="0"/>
          <w:kern w:val="0"/>
          <w:szCs w:val="32"/>
        </w:rPr>
        <w:t>及</w:t>
      </w:r>
      <w:r w:rsidR="00C7210C" w:rsidRPr="006946EA">
        <w:rPr>
          <w:rFonts w:ascii="標楷體" w:eastAsia="標楷體" w:hAnsi="標楷體" w:hint="eastAsia"/>
          <w:snapToGrid w:val="0"/>
          <w:kern w:val="0"/>
          <w:szCs w:val="32"/>
        </w:rPr>
        <w:t>決策</w:t>
      </w:r>
      <w:r w:rsidR="00C7210C" w:rsidRPr="000B4DC5">
        <w:rPr>
          <w:rFonts w:ascii="標楷體" w:eastAsia="標楷體" w:hAnsi="標楷體" w:hint="eastAsia"/>
          <w:snapToGrid w:val="0"/>
          <w:kern w:val="0"/>
          <w:szCs w:val="32"/>
        </w:rPr>
        <w:t>考量，如園區各項費用收費基準、租地費用或租稅優惠方案，以及自建廠房建築設計準則相關規範、租期、期滿或解約相關處置原則等規定，</w:t>
      </w:r>
      <w:r w:rsidR="00C7210C">
        <w:rPr>
          <w:rFonts w:ascii="標楷體" w:eastAsia="標楷體" w:hAnsi="標楷體" w:hint="eastAsia"/>
          <w:snapToGrid w:val="0"/>
          <w:kern w:val="0"/>
          <w:szCs w:val="32"/>
        </w:rPr>
        <w:t>有待</w:t>
      </w:r>
      <w:r w:rsidR="00C7210C" w:rsidRPr="000B4DC5">
        <w:rPr>
          <w:rFonts w:ascii="標楷體" w:eastAsia="標楷體" w:hAnsi="標楷體" w:hint="eastAsia"/>
          <w:snapToGrid w:val="0"/>
          <w:kern w:val="0"/>
          <w:szCs w:val="32"/>
        </w:rPr>
        <w:t>加速</w:t>
      </w:r>
      <w:r w:rsidR="00C7210C">
        <w:rPr>
          <w:rFonts w:ascii="標楷體" w:eastAsia="標楷體" w:hAnsi="標楷體" w:hint="eastAsia"/>
          <w:snapToGrid w:val="0"/>
          <w:kern w:val="0"/>
          <w:szCs w:val="32"/>
        </w:rPr>
        <w:t>辦理</w:t>
      </w:r>
      <w:r w:rsidR="00C7210C" w:rsidRPr="000B4DC5">
        <w:rPr>
          <w:rFonts w:ascii="標楷體" w:eastAsia="標楷體" w:hAnsi="標楷體" w:hint="eastAsia"/>
          <w:snapToGrid w:val="0"/>
          <w:kern w:val="0"/>
          <w:szCs w:val="32"/>
        </w:rPr>
        <w:t>園區相關管理規範</w:t>
      </w:r>
      <w:r w:rsidR="00C7210C" w:rsidRPr="006946EA">
        <w:rPr>
          <w:rFonts w:ascii="標楷體" w:eastAsia="標楷體" w:hAnsi="標楷體" w:hint="eastAsia"/>
          <w:snapToGrid w:val="0"/>
          <w:kern w:val="0"/>
          <w:szCs w:val="32"/>
        </w:rPr>
        <w:t>編纂</w:t>
      </w:r>
      <w:r w:rsidR="00C7210C">
        <w:rPr>
          <w:rFonts w:ascii="標楷體" w:eastAsia="標楷體" w:hAnsi="標楷體" w:hint="eastAsia"/>
          <w:snapToGrid w:val="0"/>
          <w:kern w:val="0"/>
          <w:szCs w:val="32"/>
        </w:rPr>
        <w:t>作業</w:t>
      </w:r>
      <w:r w:rsidR="00C7210C" w:rsidRPr="000B4DC5">
        <w:rPr>
          <w:rFonts w:ascii="標楷體" w:eastAsia="標楷體" w:hAnsi="標楷體" w:hint="eastAsia"/>
          <w:snapToGrid w:val="0"/>
          <w:kern w:val="0"/>
          <w:szCs w:val="32"/>
        </w:rPr>
        <w:t>；</w:t>
      </w:r>
      <w:r w:rsidR="00C7210C">
        <w:rPr>
          <w:rFonts w:ascii="標楷體" w:eastAsia="標楷體" w:hAnsi="標楷體" w:hint="eastAsia"/>
          <w:snapToGrid w:val="0"/>
          <w:kern w:val="0"/>
          <w:szCs w:val="32"/>
        </w:rPr>
        <w:t>（</w:t>
      </w:r>
      <w:r w:rsidR="00C7210C" w:rsidRPr="006F4EEE">
        <w:rPr>
          <w:rFonts w:ascii="標楷體" w:eastAsia="標楷體" w:hAnsi="標楷體" w:hint="eastAsia"/>
          <w:snapToGrid w:val="0"/>
          <w:kern w:val="0"/>
          <w:szCs w:val="32"/>
        </w:rPr>
        <w:t>3</w:t>
      </w:r>
      <w:r w:rsidR="00C7210C">
        <w:rPr>
          <w:rFonts w:ascii="標楷體" w:eastAsia="標楷體" w:hAnsi="標楷體" w:hint="eastAsia"/>
          <w:snapToGrid w:val="0"/>
          <w:kern w:val="0"/>
          <w:szCs w:val="32"/>
        </w:rPr>
        <w:t>）</w:t>
      </w:r>
      <w:r w:rsidR="00C7210C" w:rsidRPr="006F4EEE">
        <w:rPr>
          <w:rFonts w:ascii="標楷體" w:eastAsia="標楷體" w:hAnsi="標楷體" w:hint="eastAsia"/>
          <w:snapToGrid w:val="0"/>
          <w:kern w:val="0"/>
          <w:szCs w:val="32"/>
        </w:rPr>
        <w:t>政府</w:t>
      </w:r>
      <w:r w:rsidR="00C7210C">
        <w:rPr>
          <w:rFonts w:ascii="標楷體" w:eastAsia="標楷體" w:hAnsi="標楷體" w:hint="eastAsia"/>
          <w:snapToGrid w:val="0"/>
          <w:kern w:val="0"/>
          <w:szCs w:val="32"/>
        </w:rPr>
        <w:t>規劃</w:t>
      </w:r>
      <w:r w:rsidR="00C7210C" w:rsidRPr="006F4EEE">
        <w:rPr>
          <w:rFonts w:ascii="標楷體" w:eastAsia="標楷體" w:hAnsi="標楷體" w:hint="eastAsia"/>
          <w:snapToGrid w:val="0"/>
          <w:kern w:val="0"/>
          <w:szCs w:val="32"/>
        </w:rPr>
        <w:t>透過設立亞洲無人機AI創新應用研發中心、民雄航太暨無人機產業園區</w:t>
      </w:r>
      <w:r w:rsidR="00C7210C">
        <w:rPr>
          <w:rFonts w:ascii="標楷體" w:eastAsia="標楷體" w:hAnsi="標楷體" w:hint="eastAsia"/>
          <w:snapToGrid w:val="0"/>
          <w:kern w:val="0"/>
          <w:szCs w:val="32"/>
        </w:rPr>
        <w:t>，及</w:t>
      </w:r>
      <w:r w:rsidR="00C7210C" w:rsidRPr="006F4EEE">
        <w:rPr>
          <w:rFonts w:ascii="標楷體" w:eastAsia="標楷體" w:hAnsi="標楷體" w:hint="eastAsia"/>
          <w:snapToGrid w:val="0"/>
          <w:kern w:val="0"/>
          <w:szCs w:val="32"/>
        </w:rPr>
        <w:t>嘉義</w:t>
      </w:r>
      <w:proofErr w:type="gramStart"/>
      <w:r w:rsidR="00C7210C" w:rsidRPr="006F4EEE">
        <w:rPr>
          <w:rFonts w:ascii="標楷體" w:eastAsia="標楷體" w:hAnsi="標楷體" w:hint="eastAsia"/>
          <w:snapToGrid w:val="0"/>
          <w:kern w:val="0"/>
          <w:szCs w:val="32"/>
        </w:rPr>
        <w:t>義</w:t>
      </w:r>
      <w:proofErr w:type="gramEnd"/>
      <w:r w:rsidR="00C7210C" w:rsidRPr="006F4EEE">
        <w:rPr>
          <w:rFonts w:ascii="標楷體" w:eastAsia="標楷體" w:hAnsi="標楷體" w:hint="eastAsia"/>
          <w:snapToGrid w:val="0"/>
          <w:kern w:val="0"/>
          <w:szCs w:val="32"/>
        </w:rPr>
        <w:t>竹無人機測試基地，達成各式無人機研發、生產、測試三位一體之配合機制，惟其中嘉義縣義竹鄉建置無人載具測試跑道，因空域管制及周邊基地空間限制等問題，行政院責由嘉義縣政府辦理後續評估及規劃適當</w:t>
      </w:r>
      <w:proofErr w:type="gramStart"/>
      <w:r w:rsidR="00C7210C" w:rsidRPr="006F4EEE">
        <w:rPr>
          <w:rFonts w:ascii="標楷體" w:eastAsia="標楷體" w:hAnsi="標楷體" w:hint="eastAsia"/>
          <w:snapToGrid w:val="0"/>
          <w:kern w:val="0"/>
          <w:szCs w:val="32"/>
        </w:rPr>
        <w:t>飛測場域</w:t>
      </w:r>
      <w:proofErr w:type="gramEnd"/>
      <w:r w:rsidR="00C7210C" w:rsidRPr="006F4EEE">
        <w:rPr>
          <w:rFonts w:ascii="標楷體" w:eastAsia="標楷體" w:hAnsi="標楷體" w:hint="eastAsia"/>
          <w:snapToGrid w:val="0"/>
          <w:kern w:val="0"/>
          <w:szCs w:val="32"/>
        </w:rPr>
        <w:t>等作業，</w:t>
      </w:r>
      <w:proofErr w:type="gramStart"/>
      <w:r w:rsidR="00C7210C" w:rsidRPr="006F4EEE">
        <w:rPr>
          <w:rFonts w:ascii="標楷體" w:eastAsia="標楷體" w:hAnsi="標楷體" w:hint="eastAsia"/>
          <w:snapToGrid w:val="0"/>
          <w:kern w:val="0"/>
          <w:szCs w:val="32"/>
        </w:rPr>
        <w:t>嗣</w:t>
      </w:r>
      <w:proofErr w:type="gramEnd"/>
      <w:r w:rsidR="00C7210C" w:rsidRPr="006F4EEE">
        <w:rPr>
          <w:rFonts w:ascii="標楷體" w:eastAsia="標楷體" w:hAnsi="標楷體" w:hint="eastAsia"/>
          <w:snapToGrid w:val="0"/>
          <w:kern w:val="0"/>
          <w:szCs w:val="32"/>
        </w:rPr>
        <w:t>嘉義縣政府擇定嘉義縣義竹鄉東光村</w:t>
      </w:r>
      <w:r w:rsidR="00C7210C">
        <w:rPr>
          <w:rFonts w:ascii="標楷體" w:eastAsia="標楷體" w:hAnsi="標楷體" w:hint="eastAsia"/>
          <w:snapToGrid w:val="0"/>
          <w:kern w:val="0"/>
          <w:szCs w:val="32"/>
        </w:rPr>
        <w:t>（</w:t>
      </w:r>
      <w:r w:rsidR="00C7210C" w:rsidRPr="006F4EEE">
        <w:rPr>
          <w:rFonts w:ascii="標楷體" w:eastAsia="標楷體" w:hAnsi="標楷體" w:hint="eastAsia"/>
          <w:snapToGrid w:val="0"/>
          <w:kern w:val="0"/>
          <w:szCs w:val="32"/>
        </w:rPr>
        <w:t>滯洪池南側</w:t>
      </w:r>
      <w:r w:rsidR="00C7210C">
        <w:rPr>
          <w:rFonts w:ascii="標楷體" w:eastAsia="標楷體" w:hAnsi="標楷體" w:hint="eastAsia"/>
          <w:snapToGrid w:val="0"/>
          <w:kern w:val="0"/>
          <w:szCs w:val="32"/>
        </w:rPr>
        <w:t>）</w:t>
      </w:r>
      <w:r w:rsidR="00C7210C" w:rsidRPr="006F4EEE">
        <w:rPr>
          <w:rFonts w:ascii="標楷體" w:eastAsia="標楷體" w:hAnsi="標楷體" w:hint="eastAsia"/>
          <w:snapToGrid w:val="0"/>
          <w:kern w:val="0"/>
          <w:szCs w:val="32"/>
        </w:rPr>
        <w:t>基地及東過、新富村基地</w:t>
      </w:r>
      <w:r w:rsidR="00C7210C">
        <w:rPr>
          <w:rFonts w:ascii="標楷體" w:eastAsia="標楷體" w:hAnsi="標楷體" w:hint="eastAsia"/>
          <w:snapToGrid w:val="0"/>
          <w:kern w:val="0"/>
          <w:szCs w:val="32"/>
        </w:rPr>
        <w:t>（</w:t>
      </w:r>
      <w:r w:rsidR="00C7210C" w:rsidRPr="006F4EEE">
        <w:rPr>
          <w:rFonts w:ascii="標楷體" w:eastAsia="標楷體" w:hAnsi="標楷體" w:hint="eastAsia"/>
          <w:snapToGrid w:val="0"/>
          <w:kern w:val="0"/>
          <w:szCs w:val="32"/>
        </w:rPr>
        <w:t>備選基地</w:t>
      </w:r>
      <w:r w:rsidR="00C7210C">
        <w:rPr>
          <w:rFonts w:ascii="標楷體" w:eastAsia="標楷體" w:hAnsi="標楷體" w:hint="eastAsia"/>
          <w:snapToGrid w:val="0"/>
          <w:kern w:val="0"/>
          <w:szCs w:val="32"/>
        </w:rPr>
        <w:t>）</w:t>
      </w:r>
      <w:r w:rsidR="00C7210C" w:rsidRPr="006F4EEE">
        <w:rPr>
          <w:rFonts w:ascii="標楷體" w:eastAsia="標楷體" w:hAnsi="標楷體" w:hint="eastAsia"/>
          <w:snapToGrid w:val="0"/>
          <w:kern w:val="0"/>
          <w:szCs w:val="32"/>
        </w:rPr>
        <w:t>等二處作為無人機測試基地，規劃自113年6月至118年辦理各項開發作業，並於113年12月26日函送「義竹無人機測試基地先期</w:t>
      </w:r>
      <w:r w:rsidR="00C7210C" w:rsidRPr="000B4DC5">
        <w:rPr>
          <w:rFonts w:ascii="標楷體" w:eastAsia="標楷體" w:hAnsi="標楷體" w:hint="eastAsia"/>
          <w:snapToGrid w:val="0"/>
          <w:kern w:val="0"/>
          <w:szCs w:val="32"/>
        </w:rPr>
        <w:t>規劃評估報告可行性綜合分析」</w:t>
      </w:r>
      <w:r w:rsidR="00C7210C">
        <w:rPr>
          <w:rFonts w:ascii="標楷體" w:eastAsia="標楷體" w:hAnsi="標楷體" w:hint="eastAsia"/>
          <w:snapToGrid w:val="0"/>
          <w:kern w:val="0"/>
          <w:szCs w:val="32"/>
        </w:rPr>
        <w:t>，</w:t>
      </w:r>
      <w:r w:rsidR="00C7210C" w:rsidRPr="000B4DC5">
        <w:rPr>
          <w:rFonts w:ascii="標楷體" w:eastAsia="標楷體" w:hAnsi="標楷體" w:hint="eastAsia"/>
          <w:snapToGrid w:val="0"/>
          <w:kern w:val="0"/>
          <w:szCs w:val="32"/>
        </w:rPr>
        <w:t>請交通部民用航空局評估空域管制適當性，惟截至本部查核日止，交通部民用航空局尚未函復</w:t>
      </w:r>
      <w:r w:rsidR="00C7210C">
        <w:rPr>
          <w:rFonts w:ascii="標楷體" w:eastAsia="標楷體" w:hAnsi="標楷體" w:hint="eastAsia"/>
          <w:snapToGrid w:val="0"/>
          <w:kern w:val="0"/>
          <w:szCs w:val="32"/>
        </w:rPr>
        <w:t>評估結果</w:t>
      </w:r>
      <w:r w:rsidR="00C7210C" w:rsidRPr="000B4DC5">
        <w:rPr>
          <w:rFonts w:ascii="標楷體" w:eastAsia="標楷體" w:hAnsi="標楷體" w:hint="eastAsia"/>
          <w:snapToGrid w:val="0"/>
          <w:kern w:val="0"/>
          <w:szCs w:val="32"/>
        </w:rPr>
        <w:t>，致相關選址規劃未能定案，影響</w:t>
      </w:r>
      <w:r w:rsidR="00C7210C">
        <w:rPr>
          <w:rFonts w:ascii="標楷體" w:eastAsia="標楷體" w:hAnsi="標楷體" w:hint="eastAsia"/>
          <w:snapToGrid w:val="0"/>
          <w:kern w:val="0"/>
          <w:szCs w:val="32"/>
        </w:rPr>
        <w:t>後續</w:t>
      </w:r>
      <w:r w:rsidR="00C7210C" w:rsidRPr="006F4EEE">
        <w:rPr>
          <w:rFonts w:ascii="標楷體" w:eastAsia="標楷體" w:hAnsi="標楷體" w:hint="eastAsia"/>
          <w:snapToGrid w:val="0"/>
          <w:kern w:val="0"/>
          <w:szCs w:val="32"/>
        </w:rPr>
        <w:t>無人機測試基地</w:t>
      </w:r>
      <w:r w:rsidR="00C7210C">
        <w:rPr>
          <w:rFonts w:ascii="標楷體" w:eastAsia="標楷體" w:hAnsi="標楷體" w:hint="eastAsia"/>
          <w:snapToGrid w:val="0"/>
          <w:kern w:val="0"/>
          <w:szCs w:val="32"/>
        </w:rPr>
        <w:t>開發期程及政府於嘉義地區</w:t>
      </w:r>
      <w:r w:rsidR="00C7210C" w:rsidRPr="000B4DC5">
        <w:rPr>
          <w:rFonts w:ascii="標楷體" w:eastAsia="標楷體" w:hAnsi="標楷體" w:hint="eastAsia"/>
          <w:snapToGrid w:val="0"/>
          <w:kern w:val="0"/>
          <w:szCs w:val="32"/>
        </w:rPr>
        <w:t>打造無人機產業聚落目標之達成</w:t>
      </w:r>
      <w:r w:rsidR="00583FB7">
        <w:rPr>
          <w:rFonts w:ascii="標楷體" w:eastAsia="標楷體" w:hAnsi="標楷體" w:hint="eastAsia"/>
          <w:snapToGrid w:val="0"/>
          <w:kern w:val="0"/>
          <w:szCs w:val="32"/>
        </w:rPr>
        <w:t>等情事，</w:t>
      </w:r>
      <w:r w:rsidR="00C7210C" w:rsidRPr="0027042C">
        <w:rPr>
          <w:rFonts w:ascii="標楷體" w:eastAsia="標楷體" w:hAnsi="標楷體" w:hint="eastAsia"/>
          <w:snapToGrid w:val="0"/>
          <w:kern w:val="0"/>
          <w:szCs w:val="32"/>
        </w:rPr>
        <w:t>經函請行政院督促權責部會及國防部加速辦理</w:t>
      </w:r>
      <w:r w:rsidR="00C7210C">
        <w:rPr>
          <w:rFonts w:ascii="標楷體" w:eastAsia="標楷體" w:hAnsi="標楷體" w:hint="eastAsia"/>
          <w:snapToGrid w:val="0"/>
          <w:kern w:val="0"/>
          <w:szCs w:val="32"/>
        </w:rPr>
        <w:t>及</w:t>
      </w:r>
      <w:r w:rsidR="00C7210C" w:rsidRPr="0027042C">
        <w:rPr>
          <w:rFonts w:ascii="標楷體" w:eastAsia="標楷體" w:hAnsi="標楷體" w:hint="eastAsia"/>
          <w:snapToGrid w:val="0"/>
          <w:kern w:val="0"/>
          <w:szCs w:val="32"/>
        </w:rPr>
        <w:t>落實管制</w:t>
      </w:r>
      <w:r w:rsidR="00C7210C">
        <w:rPr>
          <w:rFonts w:ascii="標楷體" w:eastAsia="標楷體" w:hAnsi="標楷體" w:hint="eastAsia"/>
          <w:snapToGrid w:val="0"/>
          <w:kern w:val="0"/>
          <w:szCs w:val="32"/>
        </w:rPr>
        <w:t>作業</w:t>
      </w:r>
      <w:r w:rsidR="00C7210C" w:rsidRPr="0027042C">
        <w:rPr>
          <w:rFonts w:ascii="標楷體" w:eastAsia="標楷體" w:hAnsi="標楷體" w:hint="eastAsia"/>
          <w:snapToGrid w:val="0"/>
          <w:kern w:val="0"/>
          <w:szCs w:val="32"/>
        </w:rPr>
        <w:t>。</w:t>
      </w:r>
      <w:r w:rsidR="00C7210C" w:rsidRPr="00D0449C">
        <w:rPr>
          <w:rFonts w:ascii="標楷體" w:eastAsia="標楷體" w:hAnsi="標楷體" w:hint="eastAsia"/>
          <w:szCs w:val="24"/>
        </w:rPr>
        <w:t>據復：</w:t>
      </w:r>
      <w:r w:rsidR="00D0449C" w:rsidRPr="00D0449C">
        <w:rPr>
          <w:rFonts w:ascii="標楷體" w:eastAsia="標楷體" w:hAnsi="標楷體" w:hint="eastAsia"/>
          <w:szCs w:val="24"/>
        </w:rPr>
        <w:t>（1）國防部依補助中科院辦理「民雄航太暨無人機產業園區」開發建設契約書，</w:t>
      </w:r>
      <w:proofErr w:type="gramStart"/>
      <w:r w:rsidR="00D0449C" w:rsidRPr="00D0449C">
        <w:rPr>
          <w:rFonts w:ascii="標楷體" w:eastAsia="標楷體" w:hAnsi="標楷體" w:hint="eastAsia"/>
          <w:szCs w:val="24"/>
        </w:rPr>
        <w:t>賡</w:t>
      </w:r>
      <w:proofErr w:type="gramEnd"/>
      <w:r w:rsidR="00D0449C" w:rsidRPr="00D0449C">
        <w:rPr>
          <w:rFonts w:ascii="標楷體" w:eastAsia="標楷體" w:hAnsi="標楷體" w:hint="eastAsia"/>
          <w:szCs w:val="24"/>
        </w:rPr>
        <w:t>續管制工程進度與節點；（2）已</w:t>
      </w:r>
      <w:proofErr w:type="gramStart"/>
      <w:r w:rsidR="00D0449C" w:rsidRPr="00D0449C">
        <w:rPr>
          <w:rFonts w:ascii="標楷體" w:eastAsia="標楷體" w:hAnsi="標楷體" w:hint="eastAsia"/>
          <w:szCs w:val="24"/>
        </w:rPr>
        <w:t>蒐</w:t>
      </w:r>
      <w:proofErr w:type="gramEnd"/>
      <w:r w:rsidR="00D0449C" w:rsidRPr="00D0449C">
        <w:rPr>
          <w:rFonts w:ascii="標楷體" w:eastAsia="標楷體" w:hAnsi="標楷體" w:hint="eastAsia"/>
          <w:szCs w:val="24"/>
        </w:rPr>
        <w:t>整「科學園區土地基金及費用計收辦法」等59項法規，委請財團法人台灣經濟研究院，預計114年9月共同</w:t>
      </w:r>
      <w:proofErr w:type="gramStart"/>
      <w:r w:rsidR="00D0449C" w:rsidRPr="00D0449C">
        <w:rPr>
          <w:rFonts w:ascii="標楷體" w:eastAsia="標楷體" w:hAnsi="標楷體" w:hint="eastAsia"/>
          <w:szCs w:val="24"/>
        </w:rPr>
        <w:t>研</w:t>
      </w:r>
      <w:proofErr w:type="gramEnd"/>
      <w:r w:rsidR="00D0449C" w:rsidRPr="00D0449C">
        <w:rPr>
          <w:rFonts w:ascii="標楷體" w:eastAsia="標楷體" w:hAnsi="標楷體" w:hint="eastAsia"/>
          <w:szCs w:val="24"/>
        </w:rPr>
        <w:t>擬完成「營運發展先期研究資料」、「策略規劃支援資料」、「園區營運管理手冊草案」，及於114年12月底由中科院法務室與各幕僚單位編組審查營運手冊相關規範（含園區各項收費基準），並管制於115年上半年完成訂</w:t>
      </w:r>
      <w:proofErr w:type="gramStart"/>
      <w:r w:rsidR="00D0449C" w:rsidRPr="00D0449C">
        <w:rPr>
          <w:rFonts w:ascii="標楷體" w:eastAsia="標楷體" w:hAnsi="標楷體" w:hint="eastAsia"/>
          <w:szCs w:val="24"/>
        </w:rPr>
        <w:t>頒</w:t>
      </w:r>
      <w:proofErr w:type="gramEnd"/>
      <w:r w:rsidR="00D0449C" w:rsidRPr="00D0449C">
        <w:rPr>
          <w:rFonts w:ascii="標楷體" w:eastAsia="標楷體" w:hAnsi="標楷體" w:hint="eastAsia"/>
          <w:szCs w:val="24"/>
        </w:rPr>
        <w:t>；（3）相關權責部會刻正</w:t>
      </w:r>
      <w:proofErr w:type="gramStart"/>
      <w:r w:rsidR="00D0449C" w:rsidRPr="00D0449C">
        <w:rPr>
          <w:rFonts w:ascii="標楷體" w:eastAsia="標楷體" w:hAnsi="標楷體" w:hint="eastAsia"/>
          <w:szCs w:val="24"/>
        </w:rPr>
        <w:t>研議精</w:t>
      </w:r>
      <w:proofErr w:type="gramEnd"/>
      <w:r w:rsidR="00D0449C" w:rsidRPr="00D0449C">
        <w:rPr>
          <w:rFonts w:ascii="標楷體" w:eastAsia="標楷體" w:hAnsi="標楷體" w:hint="eastAsia"/>
          <w:szCs w:val="24"/>
        </w:rPr>
        <w:t>進措施，以加速辦理及落實管制無人機產業聚落開發相關作業。</w:t>
      </w:r>
    </w:p>
    <w:p w14:paraId="07BD5BBD" w14:textId="7F86B793" w:rsidR="008A76F0" w:rsidRPr="00385D73" w:rsidRDefault="00C7210C" w:rsidP="00385D73">
      <w:pPr>
        <w:overflowPunct w:val="0"/>
        <w:spacing w:line="450" w:lineRule="exact"/>
        <w:ind w:firstLineChars="450" w:firstLine="1081"/>
        <w:jc w:val="both"/>
        <w:rPr>
          <w:rFonts w:ascii="標楷體" w:eastAsia="標楷體" w:hAnsi="標楷體"/>
          <w:b/>
          <w:snapToGrid w:val="0"/>
          <w:color w:val="FF0000"/>
          <w:spacing w:val="4"/>
          <w:kern w:val="0"/>
          <w:szCs w:val="32"/>
        </w:rPr>
      </w:pPr>
      <w:r w:rsidRPr="0076708C">
        <w:rPr>
          <w:rFonts w:ascii="標楷體" w:eastAsia="標楷體" w:hAnsi="標楷體" w:hint="eastAsia"/>
          <w:b/>
          <w:snapToGrid w:val="0"/>
          <w:kern w:val="0"/>
          <w:szCs w:val="32"/>
        </w:rPr>
        <w:lastRenderedPageBreak/>
        <w:t>3.　國家發展委員會已定期掌握產業推動方案執進度與效益，惟部分執行成果尚未完成或與規劃內容未</w:t>
      </w:r>
      <w:proofErr w:type="gramStart"/>
      <w:r w:rsidRPr="0076708C">
        <w:rPr>
          <w:rFonts w:ascii="標楷體" w:eastAsia="標楷體" w:hAnsi="標楷體" w:hint="eastAsia"/>
          <w:b/>
          <w:snapToGrid w:val="0"/>
          <w:kern w:val="0"/>
          <w:szCs w:val="32"/>
        </w:rPr>
        <w:t>臻</w:t>
      </w:r>
      <w:proofErr w:type="gramEnd"/>
      <w:r w:rsidRPr="0076708C">
        <w:rPr>
          <w:rFonts w:ascii="標楷體" w:eastAsia="標楷體" w:hAnsi="標楷體" w:hint="eastAsia"/>
          <w:b/>
          <w:snapToGrid w:val="0"/>
          <w:kern w:val="0"/>
          <w:szCs w:val="32"/>
        </w:rPr>
        <w:t>契合，不利方案目標之達成：</w:t>
      </w:r>
      <w:r w:rsidRPr="0076708C">
        <w:rPr>
          <w:rFonts w:ascii="標楷體" w:eastAsia="標楷體" w:hAnsi="標楷體" w:hint="eastAsia"/>
          <w:bCs/>
          <w:snapToGrid w:val="0"/>
          <w:kern w:val="0"/>
          <w:szCs w:val="32"/>
        </w:rPr>
        <w:t>國家發展委員會</w:t>
      </w:r>
      <w:r>
        <w:rPr>
          <w:rFonts w:ascii="標楷體" w:eastAsia="標楷體" w:hAnsi="標楷體" w:hint="eastAsia"/>
          <w:bCs/>
          <w:snapToGrid w:val="0"/>
          <w:kern w:val="0"/>
          <w:szCs w:val="32"/>
        </w:rPr>
        <w:t>（下稱國發會）</w:t>
      </w:r>
      <w:r w:rsidRPr="0076708C">
        <w:rPr>
          <w:rFonts w:ascii="標楷體" w:eastAsia="標楷體" w:hAnsi="標楷體" w:hint="eastAsia"/>
          <w:bCs/>
          <w:snapToGrid w:val="0"/>
          <w:kern w:val="0"/>
          <w:szCs w:val="32"/>
        </w:rPr>
        <w:t>為掌握國防及戰略</w:t>
      </w:r>
      <w:r>
        <w:rPr>
          <w:rFonts w:ascii="標楷體" w:eastAsia="標楷體" w:hAnsi="標楷體" w:hint="eastAsia"/>
          <w:bCs/>
          <w:snapToGrid w:val="0"/>
          <w:kern w:val="0"/>
          <w:szCs w:val="32"/>
        </w:rPr>
        <w:t>產業</w:t>
      </w:r>
      <w:r w:rsidRPr="0076708C">
        <w:rPr>
          <w:rFonts w:ascii="標楷體" w:eastAsia="標楷體" w:hAnsi="標楷體" w:hint="eastAsia"/>
          <w:bCs/>
          <w:snapToGrid w:val="0"/>
          <w:kern w:val="0"/>
          <w:szCs w:val="32"/>
        </w:rPr>
        <w:t>推動方案之執行進度及成效，於方案執行期間定期請經濟部將前一期執行成果彙整後提送該委員會審查</w:t>
      </w:r>
      <w:r>
        <w:rPr>
          <w:rFonts w:ascii="標楷體" w:eastAsia="標楷體" w:hAnsi="標楷體" w:hint="eastAsia"/>
          <w:bCs/>
          <w:snapToGrid w:val="0"/>
          <w:kern w:val="0"/>
          <w:szCs w:val="32"/>
        </w:rPr>
        <w:t>。國發會審查內容著重於</w:t>
      </w:r>
      <w:r w:rsidRPr="0076708C">
        <w:rPr>
          <w:rFonts w:ascii="標楷體" w:eastAsia="標楷體" w:hAnsi="標楷體" w:hint="eastAsia"/>
          <w:bCs/>
          <w:snapToGrid w:val="0"/>
          <w:kern w:val="0"/>
          <w:szCs w:val="32"/>
        </w:rPr>
        <w:t>執行成果有無呈現具體亮點，</w:t>
      </w:r>
      <w:r>
        <w:rPr>
          <w:rFonts w:ascii="標楷體" w:eastAsia="標楷體" w:hAnsi="標楷體" w:hint="eastAsia"/>
          <w:bCs/>
          <w:snapToGrid w:val="0"/>
          <w:kern w:val="0"/>
          <w:szCs w:val="32"/>
        </w:rPr>
        <w:t>對於</w:t>
      </w:r>
      <w:r w:rsidRPr="0076708C">
        <w:rPr>
          <w:rFonts w:ascii="標楷體" w:eastAsia="標楷體" w:hAnsi="標楷體" w:hint="eastAsia"/>
          <w:bCs/>
          <w:snapToGrid w:val="0"/>
          <w:kern w:val="0"/>
          <w:szCs w:val="32"/>
        </w:rPr>
        <w:t>執行情形不如預期者，</w:t>
      </w:r>
      <w:r>
        <w:rPr>
          <w:rFonts w:ascii="標楷體" w:eastAsia="標楷體" w:hAnsi="標楷體" w:hint="eastAsia"/>
          <w:bCs/>
          <w:snapToGrid w:val="0"/>
          <w:kern w:val="0"/>
          <w:szCs w:val="32"/>
        </w:rPr>
        <w:t>亦</w:t>
      </w:r>
      <w:r w:rsidRPr="0076708C">
        <w:rPr>
          <w:rFonts w:ascii="標楷體" w:eastAsia="標楷體" w:hAnsi="標楷體" w:hint="eastAsia"/>
          <w:bCs/>
          <w:snapToGrid w:val="0"/>
          <w:kern w:val="0"/>
          <w:szCs w:val="32"/>
        </w:rPr>
        <w:t>提出解決方案。</w:t>
      </w:r>
      <w:proofErr w:type="gramStart"/>
      <w:r w:rsidRPr="0076708C">
        <w:rPr>
          <w:rFonts w:ascii="標楷體" w:eastAsia="標楷體" w:hAnsi="標楷體" w:hint="eastAsia"/>
          <w:bCs/>
          <w:snapToGrid w:val="0"/>
          <w:kern w:val="0"/>
          <w:szCs w:val="32"/>
        </w:rPr>
        <w:t>經據各</w:t>
      </w:r>
      <w:proofErr w:type="gramEnd"/>
      <w:r w:rsidRPr="0076708C">
        <w:rPr>
          <w:rFonts w:ascii="標楷體" w:eastAsia="標楷體" w:hAnsi="標楷體" w:hint="eastAsia"/>
          <w:bCs/>
          <w:snapToGrid w:val="0"/>
          <w:kern w:val="0"/>
          <w:szCs w:val="32"/>
        </w:rPr>
        <w:t>主辦單位提供國防及戰略產業推動方案執行成果資料載述，已達成14項具體措施</w:t>
      </w:r>
      <w:r>
        <w:rPr>
          <w:rFonts w:ascii="標楷體" w:eastAsia="標楷體" w:hAnsi="標楷體" w:hint="eastAsia"/>
          <w:bCs/>
          <w:snapToGrid w:val="0"/>
          <w:kern w:val="0"/>
          <w:szCs w:val="32"/>
        </w:rPr>
        <w:t>（</w:t>
      </w:r>
      <w:r w:rsidRPr="0076708C">
        <w:rPr>
          <w:rFonts w:ascii="標楷體" w:eastAsia="標楷體" w:hAnsi="標楷體" w:hint="eastAsia"/>
          <w:bCs/>
          <w:snapToGrid w:val="0"/>
          <w:kern w:val="0"/>
          <w:szCs w:val="32"/>
        </w:rPr>
        <w:t>31項辦理事項</w:t>
      </w:r>
      <w:r>
        <w:rPr>
          <w:rFonts w:ascii="標楷體" w:eastAsia="標楷體" w:hAnsi="標楷體" w:hint="eastAsia"/>
          <w:bCs/>
          <w:snapToGrid w:val="0"/>
          <w:kern w:val="0"/>
          <w:szCs w:val="32"/>
        </w:rPr>
        <w:t>）</w:t>
      </w:r>
      <w:r w:rsidRPr="0076708C">
        <w:rPr>
          <w:rFonts w:ascii="標楷體" w:eastAsia="標楷體" w:hAnsi="標楷體" w:hint="eastAsia"/>
          <w:bCs/>
          <w:snapToGrid w:val="0"/>
          <w:kern w:val="0"/>
          <w:szCs w:val="32"/>
        </w:rPr>
        <w:t>所列42項目標，惟</w:t>
      </w:r>
      <w:r>
        <w:rPr>
          <w:rFonts w:ascii="標楷體" w:eastAsia="標楷體" w:hAnsi="標楷體" w:hint="eastAsia"/>
          <w:bCs/>
          <w:snapToGrid w:val="0"/>
          <w:kern w:val="0"/>
          <w:szCs w:val="32"/>
        </w:rPr>
        <w:t>其中</w:t>
      </w:r>
      <w:r w:rsidRPr="0076708C">
        <w:rPr>
          <w:rFonts w:ascii="標楷體" w:eastAsia="標楷體" w:hAnsi="標楷體" w:hint="eastAsia"/>
          <w:bCs/>
          <w:snapToGrid w:val="0"/>
          <w:kern w:val="0"/>
          <w:szCs w:val="32"/>
        </w:rPr>
        <w:t>經濟部辦理航空及船艦產業有關「推動軍民技術移轉」、「輔導廠商升級轉型，以完備航空及船艦供應鏈體系」及「建立航空及船艦關鍵核心技術」之3項具體措施，7項辦理事項執行成果，</w:t>
      </w:r>
      <w:proofErr w:type="gramStart"/>
      <w:r w:rsidRPr="0076708C">
        <w:rPr>
          <w:rFonts w:ascii="標楷體" w:eastAsia="標楷體" w:hAnsi="標楷體" w:hint="eastAsia"/>
          <w:bCs/>
          <w:snapToGrid w:val="0"/>
          <w:kern w:val="0"/>
          <w:szCs w:val="32"/>
        </w:rPr>
        <w:t>間有軍民</w:t>
      </w:r>
      <w:proofErr w:type="gramEnd"/>
      <w:r w:rsidRPr="0076708C">
        <w:rPr>
          <w:rFonts w:ascii="標楷體" w:eastAsia="標楷體" w:hAnsi="標楷體" w:hint="eastAsia"/>
          <w:bCs/>
          <w:snapToGrid w:val="0"/>
          <w:kern w:val="0"/>
          <w:szCs w:val="32"/>
        </w:rPr>
        <w:t>通用技術移轉非應用於機艦國造範疇、部分開發飛機、船艦零組件或技術之補助計畫已逾</w:t>
      </w:r>
      <w:r>
        <w:rPr>
          <w:rFonts w:ascii="標楷體" w:eastAsia="標楷體" w:hAnsi="標楷體" w:hint="eastAsia"/>
          <w:bCs/>
          <w:snapToGrid w:val="0"/>
          <w:kern w:val="0"/>
          <w:szCs w:val="32"/>
        </w:rPr>
        <w:t>產業推動</w:t>
      </w:r>
      <w:r w:rsidRPr="0076708C">
        <w:rPr>
          <w:rFonts w:ascii="標楷體" w:eastAsia="標楷體" w:hAnsi="標楷體" w:hint="eastAsia"/>
          <w:bCs/>
          <w:snapToGrid w:val="0"/>
          <w:kern w:val="0"/>
          <w:szCs w:val="32"/>
        </w:rPr>
        <w:t>方案執行期程</w:t>
      </w:r>
      <w:r>
        <w:rPr>
          <w:rFonts w:ascii="標楷體" w:eastAsia="標楷體" w:hAnsi="標楷體" w:hint="eastAsia"/>
          <w:bCs/>
          <w:snapToGrid w:val="0"/>
          <w:kern w:val="0"/>
          <w:szCs w:val="32"/>
        </w:rPr>
        <w:t>仍未完成</w:t>
      </w:r>
      <w:r w:rsidRPr="0076708C">
        <w:rPr>
          <w:rFonts w:ascii="標楷體" w:eastAsia="標楷體" w:hAnsi="標楷體" w:hint="eastAsia"/>
          <w:bCs/>
          <w:snapToGrid w:val="0"/>
          <w:kern w:val="0"/>
          <w:szCs w:val="32"/>
        </w:rPr>
        <w:t>，相關技術尚未完成開發、相關技術及產品開發廠商未投入船艦供應鏈、補助開發14項國防航空及8項國防船艦等前瞻核心技術，未扣合</w:t>
      </w:r>
      <w:r>
        <w:rPr>
          <w:rFonts w:ascii="標楷體" w:eastAsia="標楷體" w:hAnsi="標楷體" w:hint="eastAsia"/>
          <w:bCs/>
          <w:snapToGrid w:val="0"/>
          <w:kern w:val="0"/>
          <w:szCs w:val="32"/>
        </w:rPr>
        <w:t>產業推動</w:t>
      </w:r>
      <w:r w:rsidRPr="0076708C">
        <w:rPr>
          <w:rFonts w:ascii="標楷體" w:eastAsia="標楷體" w:hAnsi="標楷體" w:hint="eastAsia"/>
          <w:bCs/>
          <w:snapToGrid w:val="0"/>
          <w:kern w:val="0"/>
          <w:szCs w:val="32"/>
        </w:rPr>
        <w:t>方案規劃發展項目或裝備、部分補助開發國防船艦前瞻核心技術，非屬造艦應用範疇等情事，惟</w:t>
      </w:r>
      <w:r>
        <w:rPr>
          <w:rFonts w:ascii="標楷體" w:eastAsia="標楷體" w:hAnsi="標楷體" w:hint="eastAsia"/>
          <w:bCs/>
          <w:snapToGrid w:val="0"/>
          <w:kern w:val="0"/>
          <w:szCs w:val="32"/>
        </w:rPr>
        <w:t>國發會</w:t>
      </w:r>
      <w:r w:rsidRPr="0076708C">
        <w:rPr>
          <w:rFonts w:ascii="標楷體" w:eastAsia="標楷體" w:hAnsi="標楷體" w:hint="eastAsia"/>
          <w:bCs/>
          <w:snapToGrid w:val="0"/>
          <w:kern w:val="0"/>
          <w:szCs w:val="32"/>
        </w:rPr>
        <w:t>辦理方案管考作業，對各案執行情形，與產業推動方案發展項目範疇有間，及逾方案執行期限等，未適時提出相關</w:t>
      </w:r>
      <w:r>
        <w:rPr>
          <w:rFonts w:ascii="標楷體" w:eastAsia="標楷體" w:hAnsi="標楷體" w:hint="eastAsia"/>
          <w:bCs/>
          <w:snapToGrid w:val="0"/>
          <w:kern w:val="0"/>
          <w:szCs w:val="32"/>
        </w:rPr>
        <w:t>解決方案或建議</w:t>
      </w:r>
      <w:r w:rsidRPr="0076708C">
        <w:rPr>
          <w:rFonts w:ascii="標楷體" w:eastAsia="標楷體" w:hAnsi="標楷體" w:hint="eastAsia"/>
          <w:bCs/>
          <w:snapToGrid w:val="0"/>
          <w:kern w:val="0"/>
          <w:szCs w:val="32"/>
        </w:rPr>
        <w:t>意見，請各主辦單位</w:t>
      </w:r>
      <w:proofErr w:type="gramStart"/>
      <w:r w:rsidRPr="0076708C">
        <w:rPr>
          <w:rFonts w:ascii="標楷體" w:eastAsia="標楷體" w:hAnsi="標楷體" w:hint="eastAsia"/>
          <w:bCs/>
          <w:snapToGrid w:val="0"/>
          <w:kern w:val="0"/>
          <w:szCs w:val="32"/>
        </w:rPr>
        <w:t>研</w:t>
      </w:r>
      <w:proofErr w:type="gramEnd"/>
      <w:r w:rsidRPr="0076708C">
        <w:rPr>
          <w:rFonts w:ascii="標楷體" w:eastAsia="標楷體" w:hAnsi="標楷體" w:hint="eastAsia"/>
          <w:bCs/>
          <w:snapToGrid w:val="0"/>
          <w:kern w:val="0"/>
          <w:szCs w:val="32"/>
        </w:rPr>
        <w:t>謀改進</w:t>
      </w:r>
      <w:r>
        <w:rPr>
          <w:rFonts w:ascii="標楷體" w:eastAsia="標楷體" w:hAnsi="標楷體" w:hint="eastAsia"/>
          <w:bCs/>
          <w:snapToGrid w:val="0"/>
          <w:kern w:val="0"/>
          <w:szCs w:val="32"/>
        </w:rPr>
        <w:t>，影響推動</w:t>
      </w:r>
      <w:r w:rsidRPr="007C26F7">
        <w:rPr>
          <w:rFonts w:ascii="標楷體" w:eastAsia="標楷體" w:hAnsi="標楷體" w:hint="eastAsia"/>
          <w:bCs/>
          <w:snapToGrid w:val="0"/>
          <w:kern w:val="0"/>
          <w:szCs w:val="32"/>
        </w:rPr>
        <w:t>方案目標之達成</w:t>
      </w:r>
      <w:r w:rsidR="000E6C74">
        <w:rPr>
          <w:rFonts w:ascii="標楷體" w:eastAsia="標楷體" w:hAnsi="標楷體" w:hint="eastAsia"/>
          <w:bCs/>
          <w:snapToGrid w:val="0"/>
          <w:kern w:val="0"/>
          <w:szCs w:val="32"/>
        </w:rPr>
        <w:t>，</w:t>
      </w:r>
      <w:r w:rsidRPr="00AF3BA0">
        <w:rPr>
          <w:rFonts w:ascii="標楷體" w:eastAsia="標楷體" w:hAnsi="標楷體" w:hint="eastAsia"/>
          <w:bCs/>
          <w:snapToGrid w:val="0"/>
          <w:kern w:val="0"/>
          <w:szCs w:val="32"/>
        </w:rPr>
        <w:t>經函請行政院</w:t>
      </w:r>
      <w:r>
        <w:rPr>
          <w:rFonts w:ascii="標楷體" w:eastAsia="標楷體" w:hAnsi="標楷體" w:hint="eastAsia"/>
          <w:bCs/>
          <w:snapToGrid w:val="0"/>
          <w:kern w:val="0"/>
          <w:szCs w:val="32"/>
        </w:rPr>
        <w:t>協調國發會</w:t>
      </w:r>
      <w:r w:rsidRPr="00AF3BA0">
        <w:rPr>
          <w:rFonts w:ascii="標楷體" w:eastAsia="標楷體" w:hAnsi="標楷體" w:hint="eastAsia"/>
          <w:bCs/>
          <w:snapToGrid w:val="0"/>
          <w:kern w:val="0"/>
          <w:szCs w:val="32"/>
        </w:rPr>
        <w:t>落實及強化管考作業。</w:t>
      </w:r>
      <w:r w:rsidRPr="00385D73">
        <w:rPr>
          <w:rFonts w:ascii="標楷體" w:eastAsia="標楷體" w:hAnsi="標楷體" w:hint="eastAsia"/>
          <w:szCs w:val="24"/>
        </w:rPr>
        <w:t>據復：</w:t>
      </w:r>
      <w:r w:rsidR="00385D73" w:rsidRPr="00385D73">
        <w:rPr>
          <w:rFonts w:ascii="標楷體" w:eastAsia="標楷體" w:hAnsi="標楷體" w:hint="eastAsia"/>
          <w:szCs w:val="24"/>
        </w:rPr>
        <w:t>將適時檢視執行成效，並持續強化及落實管考作業，確保相關發展項目能如期落實，以達成產業推動及國防自主之整體目標。</w:t>
      </w:r>
    </w:p>
    <w:p w14:paraId="378A660B" w14:textId="451CDA29" w:rsidR="00193785" w:rsidRPr="00193785" w:rsidRDefault="00193785" w:rsidP="005D5E54">
      <w:pPr>
        <w:overflowPunct w:val="0"/>
        <w:spacing w:line="450" w:lineRule="exact"/>
        <w:ind w:firstLineChars="200" w:firstLine="561"/>
        <w:jc w:val="both"/>
        <w:outlineLvl w:val="1"/>
        <w:rPr>
          <w:rFonts w:ascii="標楷體" w:eastAsia="標楷體" w:hAnsi="標楷體" w:cstheme="minorBidi"/>
          <w:szCs w:val="22"/>
        </w:rPr>
      </w:pPr>
      <w:r w:rsidRPr="00193785">
        <w:rPr>
          <w:rFonts w:ascii="標楷體" w:eastAsia="標楷體" w:hAnsi="標楷體" w:cstheme="majorBidi" w:hint="eastAsia"/>
          <w:b/>
          <w:bCs/>
          <w:sz w:val="28"/>
          <w:szCs w:val="32"/>
        </w:rPr>
        <w:t>（</w:t>
      </w:r>
      <w:r>
        <w:rPr>
          <w:rFonts w:ascii="標楷體" w:eastAsia="標楷體" w:hAnsi="標楷體" w:cstheme="majorBidi" w:hint="eastAsia"/>
          <w:b/>
          <w:bCs/>
          <w:sz w:val="28"/>
          <w:szCs w:val="32"/>
        </w:rPr>
        <w:t>十二</w:t>
      </w:r>
      <w:r w:rsidRPr="00193785">
        <w:rPr>
          <w:rFonts w:ascii="標楷體" w:eastAsia="標楷體" w:hAnsi="標楷體" w:cstheme="majorBidi" w:hint="eastAsia"/>
          <w:b/>
          <w:bCs/>
          <w:sz w:val="28"/>
          <w:szCs w:val="32"/>
        </w:rPr>
        <w:t xml:space="preserve">）　</w:t>
      </w:r>
      <w:r w:rsidR="00A93282" w:rsidRPr="00A93282">
        <w:rPr>
          <w:rFonts w:ascii="標楷體" w:eastAsia="標楷體" w:hAnsi="標楷體" w:hint="eastAsia"/>
          <w:b/>
          <w:sz w:val="28"/>
          <w:szCs w:val="32"/>
        </w:rPr>
        <w:t>政府滾動檢討用電需求，有助確保國內電力供需平衡，隨能源轉型太陽光電裝置容量逐年成長，供電壓力已轉移至夜間尖峰，惟夜間備用容量率未達法定目標值，且未來仍有持續下降風險，另台灣電力公司部分燃煤機組固定</w:t>
      </w:r>
      <w:proofErr w:type="gramStart"/>
      <w:r w:rsidR="00A93282" w:rsidRPr="00A93282">
        <w:rPr>
          <w:rFonts w:ascii="標楷體" w:eastAsia="標楷體" w:hAnsi="標楷體" w:hint="eastAsia"/>
          <w:b/>
          <w:sz w:val="28"/>
          <w:szCs w:val="32"/>
        </w:rPr>
        <w:t>污染源展延</w:t>
      </w:r>
      <w:proofErr w:type="gramEnd"/>
      <w:r w:rsidR="00A93282" w:rsidRPr="00A93282">
        <w:rPr>
          <w:rFonts w:ascii="標楷體" w:eastAsia="標楷體" w:hAnsi="標楷體" w:hint="eastAsia"/>
          <w:b/>
          <w:sz w:val="28"/>
          <w:szCs w:val="32"/>
        </w:rPr>
        <w:t>操作許可遲未取得，更新改建燃氣機組計畫進度亦較預期落後，又我國天然氣供給高度仰賴進口，預估存量未達法定安全存量要求，</w:t>
      </w:r>
      <w:proofErr w:type="gramStart"/>
      <w:r w:rsidR="00A93282" w:rsidRPr="00A93282">
        <w:rPr>
          <w:rFonts w:ascii="標楷體" w:eastAsia="標楷體" w:hAnsi="標楷體" w:hint="eastAsia"/>
          <w:b/>
          <w:sz w:val="28"/>
          <w:szCs w:val="32"/>
        </w:rPr>
        <w:t>均</w:t>
      </w:r>
      <w:r w:rsidR="00116339" w:rsidRPr="00A93282">
        <w:rPr>
          <w:rFonts w:ascii="標楷體" w:eastAsia="標楷體" w:hAnsi="標楷體" w:hint="eastAsia"/>
          <w:b/>
          <w:sz w:val="28"/>
          <w:szCs w:val="32"/>
        </w:rPr>
        <w:t>恐</w:t>
      </w:r>
      <w:r w:rsidR="00A93282" w:rsidRPr="00A93282">
        <w:rPr>
          <w:rFonts w:ascii="標楷體" w:eastAsia="標楷體" w:hAnsi="標楷體" w:hint="eastAsia"/>
          <w:b/>
          <w:sz w:val="28"/>
          <w:szCs w:val="32"/>
        </w:rPr>
        <w:t>影響</w:t>
      </w:r>
      <w:proofErr w:type="gramEnd"/>
      <w:r w:rsidR="00A93282" w:rsidRPr="00A93282">
        <w:rPr>
          <w:rFonts w:ascii="標楷體" w:eastAsia="標楷體" w:hAnsi="標楷體" w:hint="eastAsia"/>
          <w:b/>
          <w:sz w:val="28"/>
          <w:szCs w:val="32"/>
        </w:rPr>
        <w:t>供電穩定，允宜督促</w:t>
      </w:r>
      <w:proofErr w:type="gramStart"/>
      <w:r w:rsidR="00A93282" w:rsidRPr="00A93282">
        <w:rPr>
          <w:rFonts w:ascii="標楷體" w:eastAsia="標楷體" w:hAnsi="標楷體" w:hint="eastAsia"/>
          <w:b/>
          <w:sz w:val="28"/>
          <w:szCs w:val="32"/>
        </w:rPr>
        <w:t>研</w:t>
      </w:r>
      <w:proofErr w:type="gramEnd"/>
      <w:r w:rsidR="00A93282" w:rsidRPr="00A93282">
        <w:rPr>
          <w:rFonts w:ascii="標楷體" w:eastAsia="標楷體" w:hAnsi="標楷體" w:hint="eastAsia"/>
          <w:b/>
          <w:sz w:val="28"/>
          <w:szCs w:val="32"/>
        </w:rPr>
        <w:t>謀因應，以確保能源供給之持續性及穩定性。</w:t>
      </w:r>
    </w:p>
    <w:p w14:paraId="5379824C" w14:textId="3F76AA03" w:rsidR="00193785" w:rsidRPr="00193785" w:rsidRDefault="00A340C6" w:rsidP="005D5E54">
      <w:pPr>
        <w:overflowPunct w:val="0"/>
        <w:adjustRightInd w:val="0"/>
        <w:snapToGrid w:val="0"/>
        <w:spacing w:line="454" w:lineRule="exact"/>
        <w:ind w:firstLineChars="200" w:firstLine="480"/>
        <w:jc w:val="both"/>
        <w:rPr>
          <w:rFonts w:ascii="標楷體" w:eastAsia="標楷體" w:hAnsi="標楷體" w:cstheme="minorBidi"/>
          <w:szCs w:val="24"/>
        </w:rPr>
      </w:pPr>
      <w:r w:rsidRPr="00A340C6">
        <w:rPr>
          <w:rFonts w:ascii="標楷體" w:eastAsia="標楷體" w:hAnsi="標楷體" w:cstheme="minorBidi" w:hint="eastAsia"/>
          <w:szCs w:val="24"/>
        </w:rPr>
        <w:t>依電業法第91條規定：「中央主管機關應就國家整體電力資源供需狀況、電力建設進度及節能</w:t>
      </w:r>
      <w:proofErr w:type="gramStart"/>
      <w:r w:rsidRPr="00A340C6">
        <w:rPr>
          <w:rFonts w:ascii="標楷體" w:eastAsia="標楷體" w:hAnsi="標楷體" w:cstheme="minorBidi" w:hint="eastAsia"/>
          <w:szCs w:val="24"/>
        </w:rPr>
        <w:t>減碳期</w:t>
      </w:r>
      <w:proofErr w:type="gramEnd"/>
      <w:r w:rsidRPr="00A340C6">
        <w:rPr>
          <w:rFonts w:ascii="標楷體" w:eastAsia="標楷體" w:hAnsi="標楷體" w:cstheme="minorBidi" w:hint="eastAsia"/>
          <w:szCs w:val="24"/>
        </w:rPr>
        <w:t>程，提出年度報告並公開。」經濟部</w:t>
      </w:r>
      <w:proofErr w:type="gramStart"/>
      <w:r w:rsidRPr="00A340C6">
        <w:rPr>
          <w:rFonts w:ascii="標楷體" w:eastAsia="標楷體" w:hAnsi="標楷體" w:cstheme="minorBidi" w:hint="eastAsia"/>
          <w:szCs w:val="24"/>
        </w:rPr>
        <w:t>爰</w:t>
      </w:r>
      <w:proofErr w:type="gramEnd"/>
      <w:r w:rsidRPr="00A340C6">
        <w:rPr>
          <w:rFonts w:ascii="標楷體" w:eastAsia="標楷體" w:hAnsi="標楷體" w:cstheme="minorBidi" w:hint="eastAsia"/>
          <w:szCs w:val="24"/>
        </w:rPr>
        <w:t>考量國內外能源及經濟情勢變化、國家能源政策</w:t>
      </w:r>
      <w:proofErr w:type="gramStart"/>
      <w:r w:rsidRPr="00A340C6">
        <w:rPr>
          <w:rFonts w:ascii="標楷體" w:eastAsia="標楷體" w:hAnsi="標楷體" w:cstheme="minorBidi" w:hint="eastAsia"/>
          <w:szCs w:val="24"/>
        </w:rPr>
        <w:t>及淨零排放</w:t>
      </w:r>
      <w:proofErr w:type="gramEnd"/>
      <w:r w:rsidRPr="00A340C6">
        <w:rPr>
          <w:rFonts w:ascii="標楷體" w:eastAsia="標楷體" w:hAnsi="標楷體" w:cstheme="minorBidi" w:hint="eastAsia"/>
          <w:szCs w:val="24"/>
        </w:rPr>
        <w:t>路徑推動情形，滾動檢討長期用電需求，撰擬年度電力供需報告，並依據報告所定期程，規劃、監督各項電源開發計畫進度，及提出相關因應措施與方案，以確保能源供應之持續性及穩定性。經查我國電力系統供電穩定情形，核有下列事項：</w:t>
      </w:r>
    </w:p>
    <w:p w14:paraId="3074E76D" w14:textId="74CB8B29" w:rsidR="00E455EF" w:rsidRPr="00EA580B" w:rsidRDefault="00EA580B" w:rsidP="00C51E08">
      <w:pPr>
        <w:overflowPunct w:val="0"/>
        <w:spacing w:line="450" w:lineRule="exact"/>
        <w:ind w:firstLineChars="450" w:firstLine="1081"/>
        <w:jc w:val="both"/>
        <w:rPr>
          <w:rFonts w:ascii="標楷體" w:eastAsia="標楷體" w:hAnsi="標楷體" w:cstheme="minorBidi"/>
          <w:color w:val="000000" w:themeColor="text1"/>
          <w:szCs w:val="24"/>
        </w:rPr>
      </w:pPr>
      <w:r w:rsidRPr="00EA580B">
        <w:rPr>
          <w:rFonts w:ascii="標楷體" w:eastAsia="標楷體" w:hAnsi="標楷體" w:cstheme="minorBidi" w:hint="eastAsia"/>
          <w:b/>
          <w:bCs/>
          <w:color w:val="000000" w:themeColor="text1"/>
          <w:szCs w:val="24"/>
        </w:rPr>
        <w:t>1.　夜間備用容量率已連續三年未達法定目標值，且預估未來數年將持續下降，又部分燃煤機組固定</w:t>
      </w:r>
      <w:proofErr w:type="gramStart"/>
      <w:r w:rsidRPr="00EA580B">
        <w:rPr>
          <w:rFonts w:ascii="標楷體" w:eastAsia="標楷體" w:hAnsi="標楷體" w:cstheme="minorBidi" w:hint="eastAsia"/>
          <w:b/>
          <w:bCs/>
          <w:color w:val="000000" w:themeColor="text1"/>
          <w:szCs w:val="24"/>
        </w:rPr>
        <w:t>污染源展延</w:t>
      </w:r>
      <w:proofErr w:type="gramEnd"/>
      <w:r w:rsidRPr="00EA580B">
        <w:rPr>
          <w:rFonts w:ascii="標楷體" w:eastAsia="標楷體" w:hAnsi="標楷體" w:cstheme="minorBidi" w:hint="eastAsia"/>
          <w:b/>
          <w:bCs/>
          <w:color w:val="000000" w:themeColor="text1"/>
          <w:szCs w:val="24"/>
        </w:rPr>
        <w:t>操作許可遲未取得，影響自有機組調度能力：</w:t>
      </w:r>
      <w:r w:rsidRPr="00EA580B">
        <w:rPr>
          <w:rFonts w:ascii="標楷體" w:eastAsia="標楷體" w:hAnsi="標楷體" w:cstheme="minorBidi" w:hint="eastAsia"/>
          <w:color w:val="000000" w:themeColor="text1"/>
          <w:szCs w:val="24"/>
        </w:rPr>
        <w:t>備用</w:t>
      </w:r>
      <w:proofErr w:type="gramStart"/>
      <w:r w:rsidRPr="00EA580B">
        <w:rPr>
          <w:rFonts w:ascii="標楷體" w:eastAsia="標楷體" w:hAnsi="標楷體" w:cstheme="minorBidi" w:hint="eastAsia"/>
          <w:color w:val="000000" w:themeColor="text1"/>
          <w:szCs w:val="24"/>
        </w:rPr>
        <w:t>容量率係用以</w:t>
      </w:r>
      <w:proofErr w:type="gramEnd"/>
      <w:r w:rsidRPr="00EA580B">
        <w:rPr>
          <w:rFonts w:ascii="標楷體" w:eastAsia="標楷體" w:hAnsi="標楷體" w:cstheme="minorBidi" w:hint="eastAsia"/>
          <w:color w:val="000000" w:themeColor="text1"/>
          <w:szCs w:val="24"/>
        </w:rPr>
        <w:t>評估電力系統長期規劃之穩定程度，通常以年為單位，該數值愈大代表所需電力設備投資金額亦愈高。經濟部為兼顧供電可靠度及降低台灣電力公司供電成本，於</w:t>
      </w:r>
      <w:proofErr w:type="gramStart"/>
      <w:r w:rsidRPr="00EA580B">
        <w:rPr>
          <w:rFonts w:ascii="標楷體" w:eastAsia="標楷體" w:hAnsi="標楷體" w:cstheme="minorBidi" w:hint="eastAsia"/>
          <w:color w:val="000000" w:themeColor="text1"/>
          <w:szCs w:val="24"/>
        </w:rPr>
        <w:t>101</w:t>
      </w:r>
      <w:proofErr w:type="gramEnd"/>
      <w:r w:rsidRPr="00EA580B">
        <w:rPr>
          <w:rFonts w:ascii="標楷體" w:eastAsia="標楷體" w:hAnsi="標楷體" w:cstheme="minorBidi" w:hint="eastAsia"/>
          <w:color w:val="000000" w:themeColor="text1"/>
          <w:szCs w:val="24"/>
        </w:rPr>
        <w:t>年度將備用容量率目標</w:t>
      </w:r>
      <w:r w:rsidRPr="00EA580B">
        <w:rPr>
          <w:rFonts w:ascii="標楷體" w:eastAsia="標楷體" w:hAnsi="標楷體" w:cstheme="minorBidi" w:hint="eastAsia"/>
          <w:color w:val="000000" w:themeColor="text1"/>
          <w:szCs w:val="24"/>
        </w:rPr>
        <w:lastRenderedPageBreak/>
        <w:t>值由16％調降至15％，又為配合再生能源發展政策推動，太陽光電裝置容量逐年成長，電力系統供電壓力已轉移至夜間，自</w:t>
      </w:r>
      <w:proofErr w:type="gramStart"/>
      <w:r w:rsidRPr="00EA580B">
        <w:rPr>
          <w:rFonts w:ascii="標楷體" w:eastAsia="標楷體" w:hAnsi="標楷體" w:cstheme="minorBidi" w:hint="eastAsia"/>
          <w:color w:val="000000" w:themeColor="text1"/>
          <w:szCs w:val="24"/>
        </w:rPr>
        <w:t>111</w:t>
      </w:r>
      <w:proofErr w:type="gramEnd"/>
      <w:r w:rsidRPr="00EA580B">
        <w:rPr>
          <w:rFonts w:ascii="標楷體" w:eastAsia="標楷體" w:hAnsi="標楷體" w:cstheme="minorBidi" w:hint="eastAsia"/>
          <w:color w:val="000000" w:themeColor="text1"/>
          <w:szCs w:val="24"/>
        </w:rPr>
        <w:t>年度起備用容量率改以夜間用電尖峰之數值呈現。經查，111至113年夜間備用容量率實績值，分別為12.2％、14.7％、11.0％，較目標值分別減少2</w:t>
      </w:r>
      <w:r w:rsidRPr="00EA580B">
        <w:rPr>
          <w:rFonts w:ascii="標楷體" w:eastAsia="標楷體" w:hAnsi="標楷體" w:cstheme="minorBidi"/>
          <w:color w:val="000000" w:themeColor="text1"/>
          <w:szCs w:val="24"/>
        </w:rPr>
        <w:t>.8</w:t>
      </w:r>
      <w:r w:rsidRPr="00EA580B">
        <w:rPr>
          <w:rFonts w:ascii="標楷體" w:eastAsia="標楷體" w:hAnsi="標楷體" w:cstheme="minorBidi" w:hint="eastAsia"/>
          <w:color w:val="000000" w:themeColor="text1"/>
          <w:szCs w:val="24"/>
        </w:rPr>
        <w:t>、</w:t>
      </w:r>
      <w:r w:rsidR="0012628A" w:rsidRPr="00EA580B">
        <w:rPr>
          <w:rFonts w:ascii="標楷體" w:eastAsia="標楷體" w:hAnsi="標楷體" w:cstheme="minorBidi"/>
          <w:b/>
          <w:bCs/>
          <w:noProof/>
          <w:color w:val="000000" w:themeColor="text1"/>
          <w:szCs w:val="24"/>
        </w:rPr>
        <w:drawing>
          <wp:anchor distT="0" distB="0" distL="114300" distR="114300" simplePos="0" relativeHeight="251679744" behindDoc="0" locked="0" layoutInCell="1" allowOverlap="1" wp14:anchorId="41CA1A93" wp14:editId="1517E09C">
            <wp:simplePos x="0" y="0"/>
            <wp:positionH relativeFrom="margin">
              <wp:posOffset>2504440</wp:posOffset>
            </wp:positionH>
            <wp:positionV relativeFrom="paragraph">
              <wp:posOffset>1009015</wp:posOffset>
            </wp:positionV>
            <wp:extent cx="3747770" cy="2879725"/>
            <wp:effectExtent l="0" t="0" r="5080" b="15875"/>
            <wp:wrapSquare wrapText="bothSides"/>
            <wp:docPr id="2008327053" name="圖表 20083270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Pr="00EA580B">
        <w:rPr>
          <w:rFonts w:ascii="標楷體" w:eastAsia="標楷體" w:hAnsi="標楷體" w:cstheme="minorBidi" w:hint="eastAsia"/>
          <w:color w:val="000000" w:themeColor="text1"/>
          <w:szCs w:val="24"/>
        </w:rPr>
        <w:t>0</w:t>
      </w:r>
      <w:r w:rsidRPr="00EA580B">
        <w:rPr>
          <w:rFonts w:ascii="標楷體" w:eastAsia="標楷體" w:hAnsi="標楷體" w:cstheme="minorBidi"/>
          <w:color w:val="000000" w:themeColor="text1"/>
          <w:szCs w:val="24"/>
        </w:rPr>
        <w:t>.3</w:t>
      </w:r>
      <w:r w:rsidRPr="00EA580B">
        <w:rPr>
          <w:rFonts w:ascii="標楷體" w:eastAsia="標楷體" w:hAnsi="標楷體" w:cstheme="minorBidi" w:hint="eastAsia"/>
          <w:color w:val="000000" w:themeColor="text1"/>
          <w:szCs w:val="24"/>
        </w:rPr>
        <w:t>以及4個百分點（圖</w:t>
      </w:r>
      <w:r w:rsidR="009E51B1">
        <w:rPr>
          <w:rFonts w:ascii="標楷體" w:eastAsia="標楷體" w:hAnsi="標楷體" w:cstheme="minorBidi" w:hint="eastAsia"/>
          <w:color w:val="000000" w:themeColor="text1"/>
          <w:szCs w:val="24"/>
        </w:rPr>
        <w:t>1</w:t>
      </w:r>
      <w:r w:rsidR="009B0882">
        <w:rPr>
          <w:rFonts w:ascii="標楷體" w:eastAsia="標楷體" w:hAnsi="標楷體" w:cstheme="minorBidi" w:hint="eastAsia"/>
          <w:color w:val="000000" w:themeColor="text1"/>
          <w:szCs w:val="24"/>
        </w:rPr>
        <w:t>1</w:t>
      </w:r>
      <w:r w:rsidRPr="00EA580B">
        <w:rPr>
          <w:rFonts w:ascii="標楷體" w:eastAsia="標楷體" w:hAnsi="標楷體" w:cstheme="minorBidi" w:hint="eastAsia"/>
          <w:color w:val="000000" w:themeColor="text1"/>
          <w:szCs w:val="24"/>
        </w:rPr>
        <w:t>），整體呈下降趨勢，主要係國內用電需求增加，及台灣電力公司部分燃氣機組更新計畫</w:t>
      </w:r>
      <w:proofErr w:type="gramStart"/>
      <w:r w:rsidRPr="00EA580B">
        <w:rPr>
          <w:rFonts w:ascii="標楷體" w:eastAsia="標楷體" w:hAnsi="標楷體" w:cstheme="minorBidi" w:hint="eastAsia"/>
          <w:color w:val="000000" w:themeColor="text1"/>
          <w:szCs w:val="24"/>
        </w:rPr>
        <w:t>商轉期程</w:t>
      </w:r>
      <w:proofErr w:type="gramEnd"/>
      <w:r w:rsidRPr="00EA580B">
        <w:rPr>
          <w:rFonts w:ascii="標楷體" w:eastAsia="標楷體" w:hAnsi="標楷體" w:cstheme="minorBidi" w:hint="eastAsia"/>
          <w:color w:val="000000" w:themeColor="text1"/>
          <w:szCs w:val="24"/>
        </w:rPr>
        <w:t>較預期落後等所致。另據經濟部（能源署）1</w:t>
      </w:r>
      <w:r w:rsidRPr="00EA580B">
        <w:rPr>
          <w:rFonts w:ascii="標楷體" w:eastAsia="標楷體" w:hAnsi="標楷體" w:cstheme="minorBidi"/>
          <w:color w:val="000000" w:themeColor="text1"/>
          <w:szCs w:val="24"/>
        </w:rPr>
        <w:t>13</w:t>
      </w:r>
      <w:r w:rsidRPr="00EA580B">
        <w:rPr>
          <w:rFonts w:ascii="標楷體" w:eastAsia="標楷體" w:hAnsi="標楷體" w:cstheme="minorBidi" w:hint="eastAsia"/>
          <w:color w:val="000000" w:themeColor="text1"/>
          <w:szCs w:val="24"/>
        </w:rPr>
        <w:t>年7月15日更新公布之</w:t>
      </w:r>
      <w:proofErr w:type="gramStart"/>
      <w:r w:rsidRPr="00EA580B">
        <w:rPr>
          <w:rFonts w:ascii="標楷體" w:eastAsia="標楷體" w:hAnsi="標楷體" w:cstheme="minorBidi" w:hint="eastAsia"/>
          <w:color w:val="000000" w:themeColor="text1"/>
          <w:szCs w:val="24"/>
        </w:rPr>
        <w:t>1</w:t>
      </w:r>
      <w:r w:rsidRPr="00EA580B">
        <w:rPr>
          <w:rFonts w:ascii="標楷體" w:eastAsia="標楷體" w:hAnsi="標楷體" w:cstheme="minorBidi"/>
          <w:color w:val="000000" w:themeColor="text1"/>
          <w:szCs w:val="24"/>
        </w:rPr>
        <w:t>12</w:t>
      </w:r>
      <w:proofErr w:type="gramEnd"/>
      <w:r w:rsidRPr="00EA580B">
        <w:rPr>
          <w:rFonts w:ascii="標楷體" w:eastAsia="標楷體" w:hAnsi="標楷體" w:cstheme="minorBidi" w:hint="eastAsia"/>
          <w:color w:val="000000" w:themeColor="text1"/>
          <w:szCs w:val="24"/>
        </w:rPr>
        <w:t>年度全國電力資源供需報告估算，人工智慧（</w:t>
      </w:r>
      <w:r w:rsidRPr="00EA580B">
        <w:rPr>
          <w:rFonts w:ascii="標楷體" w:eastAsia="標楷體" w:hAnsi="標楷體" w:cstheme="minorBidi"/>
          <w:color w:val="000000" w:themeColor="text1"/>
          <w:szCs w:val="24"/>
        </w:rPr>
        <w:t>AI</w:t>
      </w:r>
      <w:r w:rsidRPr="00EA580B">
        <w:rPr>
          <w:rFonts w:ascii="標楷體" w:eastAsia="標楷體" w:hAnsi="標楷體" w:cstheme="minorBidi" w:hint="eastAsia"/>
          <w:color w:val="000000" w:themeColor="text1"/>
          <w:szCs w:val="24"/>
        </w:rPr>
        <w:t>）帶來之半導體產業擴廠、設立資料中心等，皆使電力需求</w:t>
      </w:r>
      <w:proofErr w:type="gramStart"/>
      <w:r w:rsidRPr="00EA580B">
        <w:rPr>
          <w:rFonts w:ascii="標楷體" w:eastAsia="標楷體" w:hAnsi="標楷體" w:cstheme="minorBidi" w:hint="eastAsia"/>
          <w:color w:val="000000" w:themeColor="text1"/>
          <w:szCs w:val="24"/>
        </w:rPr>
        <w:t>遽</w:t>
      </w:r>
      <w:proofErr w:type="gramEnd"/>
      <w:r w:rsidRPr="00EA580B">
        <w:rPr>
          <w:rFonts w:ascii="標楷體" w:eastAsia="標楷體" w:hAnsi="標楷體" w:cstheme="minorBidi" w:hint="eastAsia"/>
          <w:color w:val="000000" w:themeColor="text1"/>
          <w:szCs w:val="24"/>
        </w:rPr>
        <w:t>增，預估未來夜間尖峰負載每年將增加約115萬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，1</w:t>
      </w:r>
      <w:r w:rsidRPr="00EA580B">
        <w:rPr>
          <w:rFonts w:ascii="標楷體" w:eastAsia="標楷體" w:hAnsi="標楷體" w:cstheme="minorBidi"/>
          <w:color w:val="000000" w:themeColor="text1"/>
          <w:szCs w:val="24"/>
        </w:rPr>
        <w:t>14</w:t>
      </w:r>
      <w:r w:rsidRPr="00EA580B">
        <w:rPr>
          <w:rFonts w:ascii="標楷體" w:eastAsia="標楷體" w:hAnsi="標楷體" w:cstheme="minorBidi" w:hint="eastAsia"/>
          <w:color w:val="000000" w:themeColor="text1"/>
          <w:szCs w:val="24"/>
        </w:rPr>
        <w:t>至</w:t>
      </w:r>
      <w:r w:rsidRPr="00EA580B">
        <w:rPr>
          <w:rFonts w:ascii="標楷體" w:eastAsia="標楷體" w:hAnsi="標楷體" w:cstheme="minorBidi"/>
          <w:color w:val="000000" w:themeColor="text1"/>
          <w:szCs w:val="24"/>
        </w:rPr>
        <w:t>116</w:t>
      </w:r>
      <w:r w:rsidRPr="00EA580B">
        <w:rPr>
          <w:rFonts w:ascii="標楷體" w:eastAsia="標楷體" w:hAnsi="標楷體" w:cstheme="minorBidi" w:hint="eastAsia"/>
          <w:color w:val="000000" w:themeColor="text1"/>
          <w:szCs w:val="24"/>
        </w:rPr>
        <w:t>年夜間備用容量率將再降至8</w:t>
      </w:r>
      <w:r w:rsidRPr="00EA580B">
        <w:rPr>
          <w:rFonts w:ascii="標楷體" w:eastAsia="標楷體" w:hAnsi="標楷體" w:cstheme="minorBidi"/>
          <w:color w:val="000000" w:themeColor="text1"/>
          <w:szCs w:val="24"/>
        </w:rPr>
        <w:t>.5</w:t>
      </w:r>
      <w:r w:rsidRPr="00EA580B">
        <w:rPr>
          <w:rFonts w:ascii="標楷體" w:eastAsia="標楷體" w:hAnsi="標楷體" w:cstheme="minorBidi" w:hint="eastAsia"/>
          <w:color w:val="000000" w:themeColor="text1"/>
          <w:szCs w:val="24"/>
        </w:rPr>
        <w:t>％、1</w:t>
      </w:r>
      <w:r w:rsidRPr="00EA580B">
        <w:rPr>
          <w:rFonts w:ascii="標楷體" w:eastAsia="標楷體" w:hAnsi="標楷體" w:cstheme="minorBidi"/>
          <w:color w:val="000000" w:themeColor="text1"/>
          <w:szCs w:val="24"/>
        </w:rPr>
        <w:t>0.3</w:t>
      </w:r>
      <w:r w:rsidRPr="00EA580B">
        <w:rPr>
          <w:rFonts w:ascii="標楷體" w:eastAsia="標楷體" w:hAnsi="標楷體" w:cstheme="minorBidi" w:hint="eastAsia"/>
          <w:color w:val="000000" w:themeColor="text1"/>
          <w:szCs w:val="24"/>
        </w:rPr>
        <w:t>％、</w:t>
      </w:r>
      <w:r w:rsidRPr="00EA580B">
        <w:rPr>
          <w:rFonts w:ascii="標楷體" w:eastAsia="標楷體" w:hAnsi="標楷體" w:cstheme="minorBidi"/>
          <w:color w:val="000000" w:themeColor="text1"/>
          <w:szCs w:val="24"/>
        </w:rPr>
        <w:t>8.5</w:t>
      </w:r>
      <w:r w:rsidRPr="00EA580B">
        <w:rPr>
          <w:rFonts w:ascii="標楷體" w:eastAsia="標楷體" w:hAnsi="標楷體" w:cstheme="minorBidi" w:hint="eastAsia"/>
          <w:color w:val="000000" w:themeColor="text1"/>
          <w:szCs w:val="24"/>
        </w:rPr>
        <w:t>％，僅約達成法定目標值15％之</w:t>
      </w:r>
      <w:proofErr w:type="gramStart"/>
      <w:r w:rsidRPr="00EA580B">
        <w:rPr>
          <w:rFonts w:ascii="標楷體" w:eastAsia="標楷體" w:hAnsi="標楷體" w:cstheme="minorBidi" w:hint="eastAsia"/>
          <w:color w:val="000000" w:themeColor="text1"/>
          <w:szCs w:val="24"/>
        </w:rPr>
        <w:t>5成</w:t>
      </w:r>
      <w:proofErr w:type="gramEnd"/>
      <w:r w:rsidRPr="00EA580B">
        <w:rPr>
          <w:rFonts w:ascii="標楷體" w:eastAsia="標楷體" w:hAnsi="標楷體" w:cstheme="minorBidi" w:hint="eastAsia"/>
          <w:color w:val="000000" w:themeColor="text1"/>
          <w:szCs w:val="24"/>
        </w:rPr>
        <w:t>至</w:t>
      </w:r>
      <w:proofErr w:type="gramStart"/>
      <w:r w:rsidRPr="00EA580B">
        <w:rPr>
          <w:rFonts w:ascii="標楷體" w:eastAsia="標楷體" w:hAnsi="標楷體" w:cstheme="minorBidi" w:hint="eastAsia"/>
          <w:color w:val="000000" w:themeColor="text1"/>
          <w:szCs w:val="24"/>
        </w:rPr>
        <w:t>6成</w:t>
      </w:r>
      <w:proofErr w:type="gramEnd"/>
      <w:r w:rsidRPr="00EA580B">
        <w:rPr>
          <w:rFonts w:ascii="標楷體" w:eastAsia="標楷體" w:hAnsi="標楷體" w:cstheme="minorBidi" w:hint="eastAsia"/>
          <w:color w:val="000000" w:themeColor="text1"/>
          <w:szCs w:val="24"/>
        </w:rPr>
        <w:t>間，依據台灣電力公司經驗，當備用容量率低於10％，扣除歲修、檢修、臨時故障，以及受環保限制等無法出力之機組，實際每日之備轉容量率將會更低，當備轉容量率介於6％至10％時為供電吃緊狀態，系統供電餘裕</w:t>
      </w:r>
      <w:proofErr w:type="gramStart"/>
      <w:r w:rsidRPr="00EA580B">
        <w:rPr>
          <w:rFonts w:ascii="標楷體" w:eastAsia="標楷體" w:hAnsi="標楷體" w:cstheme="minorBidi" w:hint="eastAsia"/>
          <w:color w:val="000000" w:themeColor="text1"/>
          <w:szCs w:val="24"/>
        </w:rPr>
        <w:t>緊澀，</w:t>
      </w:r>
      <w:proofErr w:type="gramEnd"/>
      <w:r w:rsidRPr="00EA580B">
        <w:rPr>
          <w:rFonts w:ascii="標楷體" w:eastAsia="標楷體" w:hAnsi="標楷體" w:cstheme="minorBidi" w:hint="eastAsia"/>
          <w:color w:val="000000" w:themeColor="text1"/>
          <w:szCs w:val="24"/>
        </w:rPr>
        <w:t>倘低於6％時，則為供電警戒，系統限電機率增加，顯示未來數年國內電力系統供電穩定性潛存一定風險。另查，台灣電力公司興達發電廠燃煤3、4號機（裝置容量合計110萬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）之固定污染源操作暨燃料使用許可證（下稱操作許可證），已於113年9月底到期，截至114年3月底止仍未獲高雄市政府環境保護局同意展延，</w:t>
      </w:r>
      <w:proofErr w:type="gramStart"/>
      <w:r w:rsidRPr="00EA580B">
        <w:rPr>
          <w:rFonts w:ascii="標楷體" w:eastAsia="標楷體" w:hAnsi="標楷體" w:cstheme="minorBidi" w:hint="eastAsia"/>
          <w:color w:val="000000" w:themeColor="text1"/>
          <w:szCs w:val="24"/>
        </w:rPr>
        <w:t>囿</w:t>
      </w:r>
      <w:proofErr w:type="gramEnd"/>
      <w:r w:rsidRPr="00EA580B">
        <w:rPr>
          <w:rFonts w:ascii="標楷體" w:eastAsia="標楷體" w:hAnsi="標楷體" w:cstheme="minorBidi" w:hint="eastAsia"/>
          <w:color w:val="000000" w:themeColor="text1"/>
          <w:szCs w:val="24"/>
        </w:rPr>
        <w:t>於原操作許可證已於113年9月底到期且配合新建燃氣機組之環評承諾，燃煤3、4號機於每年第1季及第4季不發電，</w:t>
      </w:r>
      <w:proofErr w:type="gramStart"/>
      <w:r w:rsidRPr="00EA580B">
        <w:rPr>
          <w:rFonts w:ascii="標楷體" w:eastAsia="標楷體" w:hAnsi="標楷體" w:cstheme="minorBidi" w:hint="eastAsia"/>
          <w:color w:val="000000" w:themeColor="text1"/>
          <w:szCs w:val="24"/>
        </w:rPr>
        <w:t>爰</w:t>
      </w:r>
      <w:proofErr w:type="gramEnd"/>
      <w:r w:rsidRPr="00EA580B">
        <w:rPr>
          <w:rFonts w:ascii="標楷體" w:eastAsia="標楷體" w:hAnsi="標楷體" w:cstheme="minorBidi" w:hint="eastAsia"/>
          <w:color w:val="000000" w:themeColor="text1"/>
          <w:szCs w:val="24"/>
        </w:rPr>
        <w:t>興達發電廠燃煤3、4號機自113年10月起已停機，如無法獲同意展延操作許可證，機組僅能於特定條件下方能運轉（備轉容量率低於8％），據估算114年備用容量率將自8.5％降至5</w:t>
      </w:r>
      <w:r w:rsidRPr="00EA580B">
        <w:rPr>
          <w:rFonts w:ascii="標楷體" w:eastAsia="標楷體" w:hAnsi="標楷體" w:cstheme="minorBidi"/>
          <w:color w:val="000000" w:themeColor="text1"/>
          <w:szCs w:val="24"/>
        </w:rPr>
        <w:t>.7</w:t>
      </w:r>
      <w:r w:rsidRPr="00EA580B">
        <w:rPr>
          <w:rFonts w:ascii="標楷體" w:eastAsia="標楷體" w:hAnsi="標楷體" w:cstheme="minorBidi" w:hint="eastAsia"/>
          <w:color w:val="000000" w:themeColor="text1"/>
          <w:szCs w:val="24"/>
        </w:rPr>
        <w:t>％，影響電力調度餘裕甚巨，降低電力系統供電穩定性。經函請行政院督促經濟部</w:t>
      </w:r>
      <w:proofErr w:type="gramStart"/>
      <w:r w:rsidRPr="00EA580B">
        <w:rPr>
          <w:rFonts w:ascii="標楷體" w:eastAsia="標楷體" w:hAnsi="標楷體" w:cstheme="minorBidi" w:hint="eastAsia"/>
          <w:color w:val="000000" w:themeColor="text1"/>
          <w:szCs w:val="24"/>
        </w:rPr>
        <w:t>研</w:t>
      </w:r>
      <w:proofErr w:type="gramEnd"/>
      <w:r w:rsidRPr="00EA580B">
        <w:rPr>
          <w:rFonts w:ascii="標楷體" w:eastAsia="標楷體" w:hAnsi="標楷體" w:cstheme="minorBidi" w:hint="eastAsia"/>
          <w:color w:val="000000" w:themeColor="text1"/>
          <w:szCs w:val="24"/>
        </w:rPr>
        <w:t>議相關電源開發</w:t>
      </w:r>
      <w:proofErr w:type="gramStart"/>
      <w:r w:rsidRPr="00EA580B">
        <w:rPr>
          <w:rFonts w:ascii="標楷體" w:eastAsia="標楷體" w:hAnsi="標楷體" w:cstheme="minorBidi" w:hint="eastAsia"/>
          <w:color w:val="000000" w:themeColor="text1"/>
          <w:szCs w:val="24"/>
        </w:rPr>
        <w:t>及抑低用</w:t>
      </w:r>
      <w:proofErr w:type="gramEnd"/>
      <w:r w:rsidRPr="00EA580B">
        <w:rPr>
          <w:rFonts w:ascii="標楷體" w:eastAsia="標楷體" w:hAnsi="標楷體" w:cstheme="minorBidi" w:hint="eastAsia"/>
          <w:color w:val="000000" w:themeColor="text1"/>
          <w:szCs w:val="24"/>
        </w:rPr>
        <w:t>電需求等方案，另就燃煤機組未取得操作許可證展延部分，儘速提出具體改善規劃，並強化與地方政府溝通，以確保電力系統供電穩定。</w:t>
      </w:r>
      <w:r w:rsidR="00A93282" w:rsidRPr="00A93282">
        <w:rPr>
          <w:rFonts w:ascii="標楷體" w:eastAsia="標楷體" w:hAnsi="標楷體" w:cstheme="minorBidi" w:hint="eastAsia"/>
          <w:color w:val="000000" w:themeColor="text1"/>
          <w:szCs w:val="24"/>
        </w:rPr>
        <w:t>據復：台灣電力公司如遇電源開發計畫延宕，已備妥儲能系統及抽蓄水力，並結合電價時間帶調整、需量反應方案等需求管理措施以確保供電無虞；另亦將持續與高雄市政府環境保護局溝通，申請展延操作許可證。</w:t>
      </w:r>
    </w:p>
    <w:p w14:paraId="1BC55C92" w14:textId="2E9A3C36" w:rsidR="00EA580B" w:rsidRPr="00EA580B" w:rsidRDefault="00EA580B" w:rsidP="00623BF6">
      <w:pPr>
        <w:overflowPunct w:val="0"/>
        <w:spacing w:line="450" w:lineRule="exact"/>
        <w:ind w:firstLineChars="450" w:firstLine="1081"/>
        <w:jc w:val="both"/>
        <w:rPr>
          <w:rFonts w:ascii="標楷體" w:eastAsia="標楷體" w:hAnsi="標楷體" w:cstheme="minorBidi"/>
          <w:color w:val="000000" w:themeColor="text1"/>
          <w:szCs w:val="24"/>
        </w:rPr>
      </w:pPr>
      <w:r w:rsidRPr="00EA580B">
        <w:rPr>
          <w:rFonts w:ascii="標楷體" w:eastAsia="標楷體" w:hAnsi="標楷體" w:cstheme="minorBidi" w:hint="eastAsia"/>
          <w:b/>
          <w:bCs/>
          <w:color w:val="000000" w:themeColor="text1"/>
          <w:szCs w:val="24"/>
        </w:rPr>
        <w:t>2.　台灣電力公司更新改建燃氣機組進度較預期落後，又我國天然氣供給高度仰賴進口，預估存量天數較法定存量</w:t>
      </w:r>
      <w:proofErr w:type="gramStart"/>
      <w:r w:rsidRPr="00EA580B">
        <w:rPr>
          <w:rFonts w:ascii="標楷體" w:eastAsia="標楷體" w:hAnsi="標楷體" w:cstheme="minorBidi" w:hint="eastAsia"/>
          <w:b/>
          <w:bCs/>
          <w:color w:val="000000" w:themeColor="text1"/>
          <w:szCs w:val="24"/>
        </w:rPr>
        <w:t>天數均有不足</w:t>
      </w:r>
      <w:proofErr w:type="gramEnd"/>
      <w:r w:rsidRPr="00EA580B">
        <w:rPr>
          <w:rFonts w:ascii="標楷體" w:eastAsia="標楷體" w:hAnsi="標楷體" w:cstheme="minorBidi" w:hint="eastAsia"/>
          <w:b/>
          <w:bCs/>
          <w:color w:val="000000" w:themeColor="text1"/>
          <w:szCs w:val="24"/>
        </w:rPr>
        <w:t>，恐影響供電穩定：</w:t>
      </w:r>
      <w:r w:rsidRPr="00EA580B">
        <w:rPr>
          <w:rFonts w:ascii="標楷體" w:eastAsia="標楷體" w:hAnsi="標楷體" w:cstheme="minorBidi" w:hint="eastAsia"/>
          <w:color w:val="000000" w:themeColor="text1"/>
          <w:szCs w:val="24"/>
        </w:rPr>
        <w:t>經濟部為滿足未來用電需求，</w:t>
      </w:r>
      <w:r w:rsidRPr="00EA580B">
        <w:rPr>
          <w:rFonts w:ascii="標楷體" w:eastAsia="標楷體" w:hAnsi="標楷體" w:cstheme="minorBidi" w:hint="eastAsia"/>
          <w:color w:val="000000" w:themeColor="text1"/>
          <w:szCs w:val="24"/>
        </w:rPr>
        <w:lastRenderedPageBreak/>
        <w:t>估算用電成長，扣除即將除役之發電機組，</w:t>
      </w:r>
      <w:proofErr w:type="gramStart"/>
      <w:r w:rsidRPr="00EA580B">
        <w:rPr>
          <w:rFonts w:ascii="標楷體" w:eastAsia="標楷體" w:hAnsi="標楷體" w:cstheme="minorBidi" w:hint="eastAsia"/>
          <w:color w:val="000000" w:themeColor="text1"/>
          <w:szCs w:val="24"/>
        </w:rPr>
        <w:t>估列須新增</w:t>
      </w:r>
      <w:proofErr w:type="gramEnd"/>
      <w:r w:rsidRPr="00EA580B">
        <w:rPr>
          <w:rFonts w:ascii="標楷體" w:eastAsia="標楷體" w:hAnsi="標楷體" w:cstheme="minorBidi" w:hint="eastAsia"/>
          <w:color w:val="000000" w:themeColor="text1"/>
          <w:szCs w:val="24"/>
        </w:rPr>
        <w:t>發電機組。</w:t>
      </w:r>
      <w:proofErr w:type="gramStart"/>
      <w:r w:rsidRPr="00EA580B">
        <w:rPr>
          <w:rFonts w:ascii="標楷體" w:eastAsia="標楷體" w:hAnsi="標楷體" w:cstheme="minorBidi" w:hint="eastAsia"/>
          <w:color w:val="000000" w:themeColor="text1"/>
          <w:szCs w:val="24"/>
        </w:rPr>
        <w:t>惟</w:t>
      </w:r>
      <w:proofErr w:type="gramEnd"/>
      <w:r w:rsidRPr="00EA580B">
        <w:rPr>
          <w:rFonts w:ascii="標楷體" w:eastAsia="標楷體" w:hAnsi="標楷體" w:cstheme="minorBidi" w:hint="eastAsia"/>
          <w:color w:val="000000" w:themeColor="text1"/>
          <w:szCs w:val="24"/>
        </w:rPr>
        <w:t>近年因民眾環保意識高漲，台灣電力公司擴建之發電機組難覓合適廠址興建，僅能於既存發電廠內進行更新改建計畫。現行台灣電力公司興建中之更新改建發電工程，計有：協和發電廠更新改建（2部機，共260萬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）、大潭發電廠增</w:t>
      </w:r>
      <w:proofErr w:type="gramStart"/>
      <w:r w:rsidRPr="00EA580B">
        <w:rPr>
          <w:rFonts w:ascii="標楷體" w:eastAsia="標楷體" w:hAnsi="標楷體" w:cstheme="minorBidi" w:hint="eastAsia"/>
          <w:color w:val="000000" w:themeColor="text1"/>
          <w:szCs w:val="24"/>
        </w:rPr>
        <w:t>建燃氣複</w:t>
      </w:r>
      <w:proofErr w:type="gramEnd"/>
      <w:r w:rsidRPr="00EA580B">
        <w:rPr>
          <w:rFonts w:ascii="標楷體" w:eastAsia="標楷體" w:hAnsi="標楷體" w:cstheme="minorBidi" w:hint="eastAsia"/>
          <w:color w:val="000000" w:themeColor="text1"/>
          <w:szCs w:val="24"/>
        </w:rPr>
        <w:t>循環機組（3部機，共316萬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）、通霄發電廠第二期更新改建（5部機，共270至330萬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）、台中發電廠新建燃氣機組（2部機，共260萬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）、興達發電廠燃氣機組更新改建（3部機，共390萬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）、大林發電廠燃氣機組更新改建（2部機，共110至140萬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）等6項燃氣火力發電計畫，共</w:t>
      </w:r>
      <w:r w:rsidRPr="00EA580B">
        <w:rPr>
          <w:rFonts w:ascii="標楷體" w:eastAsia="標楷體" w:hAnsi="標楷體" w:cstheme="minorBidi"/>
          <w:color w:val="000000" w:themeColor="text1"/>
          <w:szCs w:val="24"/>
        </w:rPr>
        <w:t>17</w:t>
      </w:r>
      <w:r w:rsidRPr="00EA580B">
        <w:rPr>
          <w:rFonts w:ascii="標楷體" w:eastAsia="標楷體" w:hAnsi="標楷體" w:cstheme="minorBidi" w:hint="eastAsia"/>
          <w:color w:val="000000" w:themeColor="text1"/>
          <w:szCs w:val="24"/>
        </w:rPr>
        <w:t>部機組，裝置容量合計1</w:t>
      </w:r>
      <w:r w:rsidRPr="00EA580B">
        <w:rPr>
          <w:rFonts w:ascii="標楷體" w:eastAsia="標楷體" w:hAnsi="標楷體" w:cstheme="minorBidi"/>
          <w:color w:val="000000" w:themeColor="text1"/>
          <w:szCs w:val="24"/>
        </w:rPr>
        <w:t>,</w:t>
      </w:r>
      <w:r w:rsidRPr="00EA580B">
        <w:rPr>
          <w:rFonts w:ascii="標楷體" w:eastAsia="標楷體" w:hAnsi="標楷體" w:cstheme="minorBidi" w:hint="eastAsia"/>
          <w:color w:val="000000" w:themeColor="text1"/>
          <w:szCs w:val="24"/>
        </w:rPr>
        <w:t>606至1,696萬</w:t>
      </w:r>
      <w:proofErr w:type="gramStart"/>
      <w:r w:rsidRPr="00EA580B">
        <w:rPr>
          <w:rFonts w:ascii="標楷體" w:eastAsia="標楷體" w:hAnsi="標楷體" w:cstheme="minorBidi" w:hint="eastAsia"/>
          <w:color w:val="000000" w:themeColor="text1"/>
          <w:szCs w:val="24"/>
        </w:rPr>
        <w:t>瓩</w:t>
      </w:r>
      <w:proofErr w:type="gramEnd"/>
      <w:r w:rsidRPr="00EA580B">
        <w:rPr>
          <w:rFonts w:ascii="標楷體" w:eastAsia="標楷體" w:hAnsi="標楷體" w:cstheme="minorBidi" w:hint="eastAsia"/>
          <w:color w:val="000000" w:themeColor="text1"/>
          <w:szCs w:val="24"/>
        </w:rPr>
        <w:t>間，投資總額6,630億餘元。經查，上開6項計畫，僅大潭發電廠8號機已於113年7月31日商轉，其餘1</w:t>
      </w:r>
      <w:r w:rsidRPr="00EA580B">
        <w:rPr>
          <w:rFonts w:ascii="標楷體" w:eastAsia="標楷體" w:hAnsi="標楷體" w:cstheme="minorBidi"/>
          <w:color w:val="000000" w:themeColor="text1"/>
          <w:szCs w:val="24"/>
        </w:rPr>
        <w:t>6</w:t>
      </w:r>
      <w:r w:rsidRPr="00EA580B">
        <w:rPr>
          <w:rFonts w:ascii="標楷體" w:eastAsia="標楷體" w:hAnsi="標楷體" w:cstheme="minorBidi" w:hint="eastAsia"/>
          <w:color w:val="000000" w:themeColor="text1"/>
          <w:szCs w:val="24"/>
        </w:rPr>
        <w:t>部燃氣機組興建工程均處於施工或規劃階段，較原定期程落後1</w:t>
      </w:r>
      <w:r w:rsidRPr="00EA580B">
        <w:rPr>
          <w:rFonts w:ascii="標楷體" w:eastAsia="標楷體" w:hAnsi="標楷體" w:cstheme="minorBidi"/>
          <w:color w:val="000000" w:themeColor="text1"/>
          <w:szCs w:val="24"/>
        </w:rPr>
        <w:t>1</w:t>
      </w:r>
      <w:r w:rsidRPr="00EA580B">
        <w:rPr>
          <w:rFonts w:ascii="標楷體" w:eastAsia="標楷體" w:hAnsi="標楷體" w:cstheme="minorBidi" w:hint="eastAsia"/>
          <w:color w:val="000000" w:themeColor="text1"/>
          <w:szCs w:val="24"/>
        </w:rPr>
        <w:t>個月至8年2個月不等（表</w:t>
      </w:r>
      <w:r w:rsidR="00330BC0">
        <w:rPr>
          <w:rFonts w:ascii="標楷體" w:eastAsia="標楷體" w:hAnsi="標楷體" w:cstheme="minorBidi" w:hint="eastAsia"/>
          <w:color w:val="000000" w:themeColor="text1"/>
          <w:szCs w:val="24"/>
        </w:rPr>
        <w:t>16</w:t>
      </w:r>
      <w:r w:rsidRPr="00EA580B">
        <w:rPr>
          <w:rFonts w:ascii="標楷體" w:eastAsia="標楷體" w:hAnsi="標楷體" w:cstheme="minorBidi" w:hint="eastAsia"/>
          <w:color w:val="000000" w:themeColor="text1"/>
          <w:szCs w:val="24"/>
        </w:rPr>
        <w:t>），其中以協和發電廠2號機工程延宕較久，主要係</w:t>
      </w:r>
      <w:r w:rsidRPr="00EA580B">
        <w:rPr>
          <w:rFonts w:ascii="標楷體" w:eastAsia="標楷體" w:hAnsi="標楷體" w:cstheme="minorBidi"/>
          <w:color w:val="000000" w:themeColor="text1"/>
          <w:szCs w:val="24"/>
        </w:rPr>
        <w:t>涉及填海造陸</w:t>
      </w:r>
      <w:r w:rsidRPr="00EA580B">
        <w:rPr>
          <w:rFonts w:ascii="標楷體" w:eastAsia="標楷體" w:hAnsi="標楷體" w:cstheme="minorBidi" w:hint="eastAsia"/>
          <w:color w:val="000000" w:themeColor="text1"/>
          <w:szCs w:val="24"/>
        </w:rPr>
        <w:t>議</w:t>
      </w:r>
      <w:r w:rsidRPr="00EA580B">
        <w:rPr>
          <w:rFonts w:ascii="標楷體" w:eastAsia="標楷體" w:hAnsi="標楷體" w:cstheme="minorBidi"/>
          <w:color w:val="000000" w:themeColor="text1"/>
          <w:szCs w:val="24"/>
        </w:rPr>
        <w:t>題</w:t>
      </w:r>
      <w:r w:rsidRPr="00EA580B">
        <w:rPr>
          <w:rFonts w:ascii="標楷體" w:eastAsia="標楷體" w:hAnsi="標楷體" w:cstheme="minorBidi" w:hint="eastAsia"/>
          <w:color w:val="000000" w:themeColor="text1"/>
          <w:szCs w:val="24"/>
        </w:rPr>
        <w:t>，環境影響評估（下稱環評</w:t>
      </w:r>
      <w:r w:rsidRPr="00EA580B">
        <w:rPr>
          <w:rFonts w:ascii="標楷體" w:eastAsia="標楷體" w:hAnsi="標楷體" w:cstheme="minorBidi"/>
          <w:color w:val="000000" w:themeColor="text1"/>
          <w:szCs w:val="24"/>
        </w:rPr>
        <w:t>）</w:t>
      </w:r>
      <w:r w:rsidRPr="00EA580B">
        <w:rPr>
          <w:rFonts w:ascii="標楷體" w:eastAsia="標楷體" w:hAnsi="標楷體" w:cstheme="minorBidi" w:hint="eastAsia"/>
          <w:color w:val="000000" w:themeColor="text1"/>
          <w:szCs w:val="24"/>
        </w:rPr>
        <w:t>審查自107年3月2</w:t>
      </w:r>
      <w:r w:rsidRPr="00EA580B">
        <w:rPr>
          <w:rFonts w:ascii="標楷體" w:eastAsia="標楷體" w:hAnsi="標楷體" w:cstheme="minorBidi"/>
          <w:color w:val="000000" w:themeColor="text1"/>
          <w:szCs w:val="24"/>
        </w:rPr>
        <w:t>8</w:t>
      </w:r>
      <w:r w:rsidRPr="00EA580B">
        <w:rPr>
          <w:rFonts w:ascii="標楷體" w:eastAsia="標楷體" w:hAnsi="標楷體" w:cstheme="minorBidi" w:hint="eastAsia"/>
          <w:color w:val="000000" w:themeColor="text1"/>
          <w:szCs w:val="24"/>
        </w:rPr>
        <w:t>日進入第二階段</w:t>
      </w:r>
      <w:proofErr w:type="gramStart"/>
      <w:r w:rsidRPr="00EA580B">
        <w:rPr>
          <w:rFonts w:ascii="標楷體" w:eastAsia="標楷體" w:hAnsi="標楷體" w:cstheme="minorBidi" w:hint="eastAsia"/>
          <w:color w:val="000000" w:themeColor="text1"/>
          <w:szCs w:val="24"/>
        </w:rPr>
        <w:t>環評後</w:t>
      </w:r>
      <w:proofErr w:type="gramEnd"/>
      <w:r w:rsidRPr="00EA580B">
        <w:rPr>
          <w:rFonts w:ascii="標楷體" w:eastAsia="標楷體" w:hAnsi="標楷體" w:cstheme="minorBidi" w:hint="eastAsia"/>
          <w:color w:val="000000" w:themeColor="text1"/>
          <w:szCs w:val="24"/>
        </w:rPr>
        <w:t>，即遭部分民眾提出質疑或抗議，</w:t>
      </w:r>
      <w:proofErr w:type="gramStart"/>
      <w:r w:rsidRPr="00EA580B">
        <w:rPr>
          <w:rFonts w:ascii="標楷體" w:eastAsia="標楷體" w:hAnsi="標楷體" w:cstheme="minorBidi" w:hint="eastAsia"/>
          <w:color w:val="000000" w:themeColor="text1"/>
          <w:szCs w:val="24"/>
        </w:rPr>
        <w:t>另環評</w:t>
      </w:r>
      <w:proofErr w:type="gramEnd"/>
      <w:r w:rsidRPr="00EA580B">
        <w:rPr>
          <w:rFonts w:ascii="標楷體" w:eastAsia="標楷體" w:hAnsi="標楷體" w:cstheme="minorBidi" w:hint="eastAsia"/>
          <w:color w:val="000000" w:themeColor="text1"/>
          <w:szCs w:val="24"/>
        </w:rPr>
        <w:t>專案小組部分成員對計畫替代方案評估、海域生態調查等事項，認為相關內容不足，要求補充資料或增加調查等，歷時近7年，始於114年2月2</w:t>
      </w:r>
      <w:r w:rsidRPr="00EA580B">
        <w:rPr>
          <w:rFonts w:ascii="標楷體" w:eastAsia="標楷體" w:hAnsi="標楷體" w:cstheme="minorBidi"/>
          <w:color w:val="000000" w:themeColor="text1"/>
          <w:szCs w:val="24"/>
        </w:rPr>
        <w:t>6</w:t>
      </w:r>
      <w:r w:rsidRPr="00EA580B">
        <w:rPr>
          <w:rFonts w:ascii="標楷體" w:eastAsia="標楷體" w:hAnsi="標楷體" w:cstheme="minorBidi" w:hint="eastAsia"/>
          <w:color w:val="000000" w:themeColor="text1"/>
          <w:szCs w:val="24"/>
        </w:rPr>
        <w:t>日經環評大會審查通過，預定於127年8月商轉，較原定期程（119年6月）延後8年2個月。又查，上開新建機組皆以天然氣為燃料，</w:t>
      </w:r>
      <w:proofErr w:type="gramStart"/>
      <w:r w:rsidRPr="00EA580B">
        <w:rPr>
          <w:rFonts w:ascii="標楷體" w:eastAsia="標楷體" w:hAnsi="標楷體" w:cstheme="minorBidi" w:hint="eastAsia"/>
          <w:color w:val="000000" w:themeColor="text1"/>
          <w:szCs w:val="24"/>
        </w:rPr>
        <w:t>囿</w:t>
      </w:r>
      <w:proofErr w:type="gramEnd"/>
      <w:r w:rsidRPr="00EA580B">
        <w:rPr>
          <w:rFonts w:ascii="標楷體" w:eastAsia="標楷體" w:hAnsi="標楷體" w:cstheme="minorBidi" w:hint="eastAsia"/>
          <w:color w:val="000000" w:themeColor="text1"/>
          <w:szCs w:val="24"/>
        </w:rPr>
        <w:t>於我國天然氣之供給99％仰賴進口，其供應之平穩與否，</w:t>
      </w:r>
      <w:proofErr w:type="gramStart"/>
      <w:r w:rsidRPr="00EA580B">
        <w:rPr>
          <w:rFonts w:ascii="標楷體" w:eastAsia="標楷體" w:hAnsi="標楷體" w:cstheme="minorBidi" w:hint="eastAsia"/>
          <w:color w:val="000000" w:themeColor="text1"/>
          <w:szCs w:val="24"/>
        </w:rPr>
        <w:t>攸關燃</w:t>
      </w:r>
      <w:proofErr w:type="gramEnd"/>
      <w:r w:rsidRPr="00EA580B">
        <w:rPr>
          <w:rFonts w:ascii="標楷體" w:eastAsia="標楷體" w:hAnsi="標楷體" w:cstheme="minorBidi" w:hint="eastAsia"/>
          <w:color w:val="000000" w:themeColor="text1"/>
          <w:szCs w:val="24"/>
        </w:rPr>
        <w:t>氣機組發電穩定甚巨</w:t>
      </w:r>
      <w:r w:rsidRPr="00EA580B">
        <w:rPr>
          <w:rFonts w:ascii="標楷體" w:eastAsia="標楷體" w:hAnsi="標楷體" w:cstheme="minorBidi"/>
          <w:color w:val="000000" w:themeColor="text1"/>
          <w:szCs w:val="24"/>
        </w:rPr>
        <w:t>，</w:t>
      </w:r>
      <w:proofErr w:type="gramStart"/>
      <w:r w:rsidRPr="00EA580B">
        <w:rPr>
          <w:rFonts w:ascii="標楷體" w:eastAsia="標楷體" w:hAnsi="標楷體" w:cstheme="minorBidi" w:hint="eastAsia"/>
          <w:color w:val="000000" w:themeColor="text1"/>
          <w:szCs w:val="24"/>
        </w:rPr>
        <w:t>爰</w:t>
      </w:r>
      <w:proofErr w:type="gramEnd"/>
      <w:r w:rsidRPr="00EA580B">
        <w:rPr>
          <w:rFonts w:ascii="標楷體" w:eastAsia="標楷體" w:hAnsi="標楷體" w:cstheme="minorBidi" w:hint="eastAsia"/>
          <w:color w:val="000000" w:themeColor="text1"/>
          <w:szCs w:val="24"/>
        </w:rPr>
        <w:t>政府規劃逐年提高天然氣安全存量目標天數，自113年之8天逐步提高至116年之14天；又</w:t>
      </w:r>
      <w:r w:rsidR="00C51E08" w:rsidRPr="00C51E08">
        <w:rPr>
          <w:rFonts w:ascii="標楷體" w:eastAsia="標楷體" w:hAnsi="標楷體" w:cstheme="minorBidi"/>
          <w:b/>
          <w:bCs/>
          <w:noProof/>
          <w:color w:val="000000" w:themeColor="text1"/>
          <w:szCs w:val="24"/>
        </w:rPr>
        <mc:AlternateContent>
          <mc:Choice Requires="wps">
            <w:drawing>
              <wp:anchor distT="45720" distB="45720" distL="114300" distR="114300" simplePos="0" relativeHeight="251680768" behindDoc="0" locked="0" layoutInCell="1" allowOverlap="1" wp14:anchorId="407A09D8" wp14:editId="50108B60">
                <wp:simplePos x="0" y="0"/>
                <wp:positionH relativeFrom="margin">
                  <wp:posOffset>180340</wp:posOffset>
                </wp:positionH>
                <wp:positionV relativeFrom="paragraph">
                  <wp:posOffset>4922520</wp:posOffset>
                </wp:positionV>
                <wp:extent cx="5939790" cy="3959860"/>
                <wp:effectExtent l="0" t="0" r="3810" b="2540"/>
                <wp:wrapTopAndBottom/>
                <wp:docPr id="20083270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3959860"/>
                        </a:xfrm>
                        <a:prstGeom prst="rect">
                          <a:avLst/>
                        </a:prstGeom>
                        <a:solidFill>
                          <a:srgbClr val="FFFFFF"/>
                        </a:solidFill>
                        <a:ln w="9525">
                          <a:noFill/>
                          <a:miter lim="800000"/>
                          <a:headEnd/>
                          <a:tailEnd/>
                        </a:ln>
                      </wps:spPr>
                      <wps:txbx>
                        <w:txbxContent>
                          <w:tbl>
                            <w:tblPr>
                              <w:tblStyle w:val="SGSTableBasic1112"/>
                              <w:tblW w:w="0" w:type="auto"/>
                              <w:tblLayout w:type="fixed"/>
                              <w:tblLook w:val="04A0" w:firstRow="1" w:lastRow="0" w:firstColumn="1" w:lastColumn="0" w:noHBand="0" w:noVBand="1"/>
                            </w:tblPr>
                            <w:tblGrid>
                              <w:gridCol w:w="1843"/>
                              <w:gridCol w:w="1276"/>
                              <w:gridCol w:w="1418"/>
                              <w:gridCol w:w="1418"/>
                              <w:gridCol w:w="1418"/>
                              <w:gridCol w:w="1559"/>
                            </w:tblGrid>
                            <w:tr w:rsidR="00C51E08" w:rsidRPr="00CC1004" w14:paraId="7F078530" w14:textId="77777777" w:rsidTr="00A417DA">
                              <w:tc>
                                <w:tcPr>
                                  <w:tcW w:w="1559" w:type="dxa"/>
                                  <w:gridSpan w:val="6"/>
                                  <w:tcBorders>
                                    <w:top w:val="nil"/>
                                    <w:left w:val="nil"/>
                                    <w:bottom w:val="single" w:sz="4" w:space="0" w:color="auto"/>
                                    <w:right w:val="nil"/>
                                  </w:tcBorders>
                                </w:tcPr>
                                <w:p w14:paraId="10E6BDAE" w14:textId="77777777" w:rsidR="00C51E08" w:rsidRPr="00970B3F" w:rsidRDefault="00C51E08" w:rsidP="00E764F2">
                                  <w:pPr>
                                    <w:snapToGrid w:val="0"/>
                                    <w:spacing w:beforeLines="20" w:before="72" w:afterLines="20" w:after="72"/>
                                    <w:jc w:val="center"/>
                                    <w:rPr>
                                      <w:rFonts w:ascii="標楷體" w:eastAsia="標楷體" w:hAnsi="標楷體"/>
                                      <w:b/>
                                      <w:szCs w:val="24"/>
                                    </w:rPr>
                                  </w:pPr>
                                  <w:r w:rsidRPr="00DA77D2">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6</w:t>
                                  </w:r>
                                  <w:r w:rsidRPr="00970B3F">
                                    <w:rPr>
                                      <w:rFonts w:ascii="標楷體" w:eastAsia="標楷體" w:hAnsi="標楷體" w:hint="eastAsia"/>
                                      <w:b/>
                                      <w:szCs w:val="24"/>
                                    </w:rPr>
                                    <w:t xml:space="preserve">　台</w:t>
                                  </w:r>
                                  <w:r>
                                    <w:rPr>
                                      <w:rFonts w:ascii="標楷體" w:eastAsia="標楷體" w:hAnsi="標楷體" w:hint="eastAsia"/>
                                      <w:b/>
                                      <w:szCs w:val="24"/>
                                    </w:rPr>
                                    <w:t>灣</w:t>
                                  </w:r>
                                  <w:r w:rsidRPr="00970B3F">
                                    <w:rPr>
                                      <w:rFonts w:ascii="標楷體" w:eastAsia="標楷體" w:hAnsi="標楷體" w:hint="eastAsia"/>
                                      <w:b/>
                                      <w:szCs w:val="24"/>
                                    </w:rPr>
                                    <w:t>電</w:t>
                                  </w:r>
                                  <w:r>
                                    <w:rPr>
                                      <w:rFonts w:ascii="標楷體" w:eastAsia="標楷體" w:hAnsi="標楷體" w:hint="eastAsia"/>
                                      <w:b/>
                                      <w:szCs w:val="24"/>
                                    </w:rPr>
                                    <w:t>力</w:t>
                                  </w:r>
                                  <w:r w:rsidRPr="00970B3F">
                                    <w:rPr>
                                      <w:rFonts w:ascii="標楷體" w:eastAsia="標楷體" w:hAnsi="標楷體" w:hint="eastAsia"/>
                                      <w:b/>
                                      <w:szCs w:val="24"/>
                                    </w:rPr>
                                    <w:t>公司</w:t>
                                  </w:r>
                                  <w:proofErr w:type="gramStart"/>
                                  <w:r w:rsidRPr="00970B3F">
                                    <w:rPr>
                                      <w:rFonts w:ascii="標楷體" w:eastAsia="標楷體" w:hAnsi="標楷體" w:hint="eastAsia"/>
                                      <w:b/>
                                      <w:szCs w:val="24"/>
                                    </w:rPr>
                                    <w:t>興建中燃氣</w:t>
                                  </w:r>
                                  <w:proofErr w:type="gramEnd"/>
                                  <w:r w:rsidRPr="00970B3F">
                                    <w:rPr>
                                      <w:rFonts w:ascii="標楷體" w:eastAsia="標楷體" w:hAnsi="標楷體" w:hint="eastAsia"/>
                                      <w:b/>
                                      <w:szCs w:val="24"/>
                                    </w:rPr>
                                    <w:t>發電計畫進度</w:t>
                                  </w:r>
                                </w:p>
                              </w:tc>
                            </w:tr>
                            <w:tr w:rsidR="00C51E08" w:rsidRPr="00CC1004" w14:paraId="7DEE2A2D" w14:textId="77777777" w:rsidTr="00A417DA">
                              <w:trPr>
                                <w:trHeight w:val="312"/>
                              </w:trPr>
                              <w:tc>
                                <w:tcPr>
                                  <w:tcW w:w="1843" w:type="dxa"/>
                                  <w:vMerge w:val="restart"/>
                                  <w:tcBorders>
                                    <w:top w:val="single" w:sz="4" w:space="0" w:color="auto"/>
                                  </w:tcBorders>
                                  <w:vAlign w:val="center"/>
                                </w:tcPr>
                                <w:p w14:paraId="5E8D7F7E"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工程名稱</w:t>
                                  </w:r>
                                </w:p>
                              </w:tc>
                              <w:tc>
                                <w:tcPr>
                                  <w:tcW w:w="1418" w:type="dxa"/>
                                  <w:gridSpan w:val="4"/>
                                  <w:tcBorders>
                                    <w:top w:val="single" w:sz="4" w:space="0" w:color="auto"/>
                                  </w:tcBorders>
                                  <w:vAlign w:val="center"/>
                                </w:tcPr>
                                <w:p w14:paraId="7560E4C1" w14:textId="77777777" w:rsidR="00C51E08" w:rsidRPr="00970B3F" w:rsidRDefault="00C51E08" w:rsidP="00D95B6A">
                                  <w:pPr>
                                    <w:snapToGrid w:val="0"/>
                                    <w:jc w:val="center"/>
                                    <w:rPr>
                                      <w:rFonts w:ascii="標楷體" w:eastAsia="標楷體" w:hAnsi="標楷體"/>
                                      <w:sz w:val="20"/>
                                      <w:szCs w:val="20"/>
                                    </w:rPr>
                                  </w:pPr>
                                  <w:proofErr w:type="gramStart"/>
                                  <w:r w:rsidRPr="00970B3F">
                                    <w:rPr>
                                      <w:rFonts w:ascii="標楷體" w:eastAsia="標楷體" w:hAnsi="標楷體" w:hint="eastAsia"/>
                                      <w:sz w:val="20"/>
                                      <w:szCs w:val="20"/>
                                    </w:rPr>
                                    <w:t>商轉期程</w:t>
                                  </w:r>
                                  <w:proofErr w:type="gramEnd"/>
                                </w:p>
                              </w:tc>
                              <w:tc>
                                <w:tcPr>
                                  <w:tcW w:w="1559" w:type="dxa"/>
                                  <w:vMerge w:val="restart"/>
                                  <w:tcBorders>
                                    <w:top w:val="single" w:sz="4" w:space="0" w:color="auto"/>
                                  </w:tcBorders>
                                  <w:vAlign w:val="center"/>
                                </w:tcPr>
                                <w:p w14:paraId="2134B41B"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備註</w:t>
                                  </w:r>
                                </w:p>
                              </w:tc>
                            </w:tr>
                            <w:tr w:rsidR="00C51E08" w:rsidRPr="00CC1004" w14:paraId="0B4B4423" w14:textId="77777777" w:rsidTr="00A417DA">
                              <w:trPr>
                                <w:trHeight w:val="312"/>
                              </w:trPr>
                              <w:tc>
                                <w:tcPr>
                                  <w:tcW w:w="1843" w:type="dxa"/>
                                  <w:vMerge/>
                                </w:tcPr>
                                <w:p w14:paraId="34D4ED4B" w14:textId="77777777" w:rsidR="00C51E08" w:rsidRPr="00970B3F" w:rsidRDefault="00C51E08" w:rsidP="00C66321">
                                  <w:pPr>
                                    <w:snapToGrid w:val="0"/>
                                    <w:spacing w:line="280" w:lineRule="exact"/>
                                    <w:jc w:val="both"/>
                                    <w:rPr>
                                      <w:rFonts w:ascii="標楷體" w:eastAsia="標楷體" w:hAnsi="標楷體"/>
                                      <w:sz w:val="20"/>
                                      <w:szCs w:val="20"/>
                                    </w:rPr>
                                  </w:pPr>
                                </w:p>
                              </w:tc>
                              <w:tc>
                                <w:tcPr>
                                  <w:tcW w:w="1276" w:type="dxa"/>
                                  <w:vAlign w:val="center"/>
                                </w:tcPr>
                                <w:p w14:paraId="67A03447"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機組</w:t>
                                  </w:r>
                                </w:p>
                              </w:tc>
                              <w:tc>
                                <w:tcPr>
                                  <w:tcW w:w="1418" w:type="dxa"/>
                                  <w:vAlign w:val="center"/>
                                </w:tcPr>
                                <w:p w14:paraId="0802866D"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可行性研究</w:t>
                                  </w:r>
                                </w:p>
                              </w:tc>
                              <w:tc>
                                <w:tcPr>
                                  <w:tcW w:w="1418" w:type="dxa"/>
                                  <w:vAlign w:val="center"/>
                                </w:tcPr>
                                <w:p w14:paraId="63EBB606"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計畫修正後</w:t>
                                  </w:r>
                                </w:p>
                              </w:tc>
                              <w:tc>
                                <w:tcPr>
                                  <w:tcW w:w="1418" w:type="dxa"/>
                                  <w:vAlign w:val="center"/>
                                </w:tcPr>
                                <w:p w14:paraId="64B2E762"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落後期間</w:t>
                                  </w:r>
                                </w:p>
                              </w:tc>
                              <w:tc>
                                <w:tcPr>
                                  <w:tcW w:w="1559" w:type="dxa"/>
                                  <w:vMerge/>
                                </w:tcPr>
                                <w:p w14:paraId="3E638753" w14:textId="77777777" w:rsidR="00C51E08" w:rsidRPr="00970B3F" w:rsidRDefault="00C51E08" w:rsidP="00C66321">
                                  <w:pPr>
                                    <w:snapToGrid w:val="0"/>
                                    <w:spacing w:line="280" w:lineRule="exact"/>
                                    <w:jc w:val="both"/>
                                    <w:rPr>
                                      <w:rFonts w:ascii="標楷體" w:eastAsia="標楷體" w:hAnsi="標楷體"/>
                                      <w:sz w:val="20"/>
                                      <w:szCs w:val="20"/>
                                    </w:rPr>
                                  </w:pPr>
                                </w:p>
                              </w:tc>
                            </w:tr>
                            <w:tr w:rsidR="00C51E08" w:rsidRPr="00CC1004" w14:paraId="2765DDFD" w14:textId="77777777" w:rsidTr="00A417DA">
                              <w:trPr>
                                <w:trHeight w:val="532"/>
                              </w:trPr>
                              <w:tc>
                                <w:tcPr>
                                  <w:tcW w:w="1843" w:type="dxa"/>
                                  <w:vAlign w:val="center"/>
                                </w:tcPr>
                                <w:p w14:paraId="6181A30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協和發電廠更新改建</w:t>
                                  </w:r>
                                </w:p>
                              </w:tc>
                              <w:tc>
                                <w:tcPr>
                                  <w:tcW w:w="1276" w:type="dxa"/>
                                  <w:vAlign w:val="center"/>
                                </w:tcPr>
                                <w:p w14:paraId="4558BCE8"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7853D6EF"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tc>
                              <w:tc>
                                <w:tcPr>
                                  <w:tcW w:w="1418" w:type="dxa"/>
                                  <w:vAlign w:val="center"/>
                                </w:tcPr>
                                <w:p w14:paraId="43699A0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114年6月</w:t>
                                  </w:r>
                                </w:p>
                                <w:p w14:paraId="45475E5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119年6月</w:t>
                                  </w:r>
                                </w:p>
                              </w:tc>
                              <w:tc>
                                <w:tcPr>
                                  <w:tcW w:w="1418" w:type="dxa"/>
                                  <w:vAlign w:val="center"/>
                                </w:tcPr>
                                <w:p w14:paraId="5DFB920A"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121年1月</w:t>
                                  </w:r>
                                </w:p>
                                <w:p w14:paraId="171E605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127年8月</w:t>
                                  </w:r>
                                </w:p>
                              </w:tc>
                              <w:tc>
                                <w:tcPr>
                                  <w:tcW w:w="1418" w:type="dxa"/>
                                  <w:vAlign w:val="center"/>
                                </w:tcPr>
                                <w:p w14:paraId="0362301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6年7個月</w:t>
                                  </w:r>
                                </w:p>
                                <w:p w14:paraId="68DA9C7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8年2個月</w:t>
                                  </w:r>
                                </w:p>
                              </w:tc>
                              <w:tc>
                                <w:tcPr>
                                  <w:tcW w:w="1559" w:type="dxa"/>
                                  <w:vAlign w:val="center"/>
                                </w:tcPr>
                                <w:p w14:paraId="25B18C7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2BF30852" w14:textId="77777777" w:rsidTr="00A417DA">
                              <w:trPr>
                                <w:trHeight w:val="837"/>
                              </w:trPr>
                              <w:tc>
                                <w:tcPr>
                                  <w:tcW w:w="1843" w:type="dxa"/>
                                  <w:vAlign w:val="center"/>
                                </w:tcPr>
                                <w:p w14:paraId="0A01EDF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大潭發電廠增</w:t>
                                  </w:r>
                                  <w:proofErr w:type="gramStart"/>
                                  <w:r w:rsidRPr="00633260">
                                    <w:rPr>
                                      <w:rFonts w:ascii="標楷體" w:eastAsia="標楷體" w:hAnsi="標楷體" w:hint="eastAsia"/>
                                      <w:sz w:val="20"/>
                                      <w:szCs w:val="20"/>
                                    </w:rPr>
                                    <w:t>建燃氣複</w:t>
                                  </w:r>
                                  <w:proofErr w:type="gramEnd"/>
                                  <w:r w:rsidRPr="00633260">
                                    <w:rPr>
                                      <w:rFonts w:ascii="標楷體" w:eastAsia="標楷體" w:hAnsi="標楷體" w:hint="eastAsia"/>
                                      <w:sz w:val="20"/>
                                      <w:szCs w:val="20"/>
                                    </w:rPr>
                                    <w:t>循環機組</w:t>
                                  </w:r>
                                </w:p>
                              </w:tc>
                              <w:tc>
                                <w:tcPr>
                                  <w:tcW w:w="1276" w:type="dxa"/>
                                  <w:vAlign w:val="center"/>
                                </w:tcPr>
                                <w:p w14:paraId="07128894"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7號機</w:t>
                                  </w:r>
                                </w:p>
                                <w:p w14:paraId="6D0E4E8F"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8號機</w:t>
                                  </w:r>
                                </w:p>
                                <w:p w14:paraId="58E8B803"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9號機</w:t>
                                  </w:r>
                                </w:p>
                              </w:tc>
                              <w:tc>
                                <w:tcPr>
                                  <w:tcW w:w="1418" w:type="dxa"/>
                                  <w:vAlign w:val="center"/>
                                </w:tcPr>
                                <w:p w14:paraId="72E832DD"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113年1月</w:t>
                                  </w:r>
                                </w:p>
                                <w:p w14:paraId="50F4381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111年2月</w:t>
                                  </w:r>
                                </w:p>
                                <w:p w14:paraId="4418316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111年2月</w:t>
                                  </w:r>
                                </w:p>
                              </w:tc>
                              <w:tc>
                                <w:tcPr>
                                  <w:tcW w:w="1418" w:type="dxa"/>
                                  <w:vAlign w:val="center"/>
                                </w:tcPr>
                                <w:p w14:paraId="6F2C29F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114年5月</w:t>
                                  </w:r>
                                </w:p>
                                <w:p w14:paraId="0C52B1A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113年7月</w:t>
                                  </w:r>
                                </w:p>
                                <w:p w14:paraId="5B758A0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114年4月</w:t>
                                  </w:r>
                                </w:p>
                              </w:tc>
                              <w:tc>
                                <w:tcPr>
                                  <w:tcW w:w="1418" w:type="dxa"/>
                                  <w:vAlign w:val="center"/>
                                </w:tcPr>
                                <w:p w14:paraId="473C801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1年4個月</w:t>
                                  </w:r>
                                </w:p>
                                <w:p w14:paraId="770AB48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2年5個月</w:t>
                                  </w:r>
                                </w:p>
                                <w:p w14:paraId="70BC14B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3年2個月</w:t>
                                  </w:r>
                                </w:p>
                              </w:tc>
                              <w:tc>
                                <w:tcPr>
                                  <w:tcW w:w="1559" w:type="dxa"/>
                                  <w:vAlign w:val="center"/>
                                </w:tcPr>
                                <w:p w14:paraId="7A7314D4" w14:textId="77777777" w:rsidR="00C51E08" w:rsidRPr="00633260" w:rsidRDefault="00C51E08" w:rsidP="005C388D">
                                  <w:pPr>
                                    <w:snapToGrid w:val="0"/>
                                    <w:spacing w:line="240" w:lineRule="exact"/>
                                    <w:jc w:val="both"/>
                                    <w:rPr>
                                      <w:rFonts w:ascii="標楷體" w:eastAsia="標楷體" w:hAnsi="標楷體"/>
                                      <w:sz w:val="20"/>
                                      <w:szCs w:val="20"/>
                                    </w:rPr>
                                  </w:pPr>
                                  <w:r w:rsidRPr="00633260">
                                    <w:rPr>
                                      <w:rFonts w:ascii="標楷體" w:eastAsia="標楷體" w:hAnsi="標楷體" w:hint="eastAsia"/>
                                      <w:sz w:val="20"/>
                                      <w:szCs w:val="20"/>
                                    </w:rPr>
                                    <w:t>8號機已於113年7月商轉</w:t>
                                  </w:r>
                                </w:p>
                              </w:tc>
                            </w:tr>
                            <w:tr w:rsidR="00C51E08" w:rsidRPr="00CC1004" w14:paraId="207BA288" w14:textId="77777777" w:rsidTr="00A417DA">
                              <w:tc>
                                <w:tcPr>
                                  <w:tcW w:w="1843" w:type="dxa"/>
                                  <w:vAlign w:val="center"/>
                                </w:tcPr>
                                <w:p w14:paraId="2592FCA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通霄發電廠第二期更新改建</w:t>
                                  </w:r>
                                </w:p>
                              </w:tc>
                              <w:tc>
                                <w:tcPr>
                                  <w:tcW w:w="1276" w:type="dxa"/>
                                  <w:vAlign w:val="center"/>
                                </w:tcPr>
                                <w:p w14:paraId="12F30B07"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4號機</w:t>
                                  </w:r>
                                </w:p>
                                <w:p w14:paraId="10FAD128"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5號機</w:t>
                                  </w:r>
                                </w:p>
                                <w:p w14:paraId="01369532"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6號機</w:t>
                                  </w:r>
                                </w:p>
                                <w:p w14:paraId="26065258"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7號機</w:t>
                                  </w:r>
                                </w:p>
                                <w:p w14:paraId="5B91AFC4"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8號機</w:t>
                                  </w:r>
                                </w:p>
                              </w:tc>
                              <w:tc>
                                <w:tcPr>
                                  <w:tcW w:w="1418" w:type="dxa"/>
                                  <w:vAlign w:val="center"/>
                                </w:tcPr>
                                <w:p w14:paraId="7F10E79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p w14:paraId="4690F42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p w14:paraId="41F4534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116年12月</w:t>
                                  </w:r>
                                </w:p>
                                <w:p w14:paraId="552B2747"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116年12月</w:t>
                                  </w:r>
                                </w:p>
                                <w:p w14:paraId="738EA4E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117年6月</w:t>
                                  </w:r>
                                </w:p>
                              </w:tc>
                              <w:tc>
                                <w:tcPr>
                                  <w:tcW w:w="1418" w:type="dxa"/>
                                  <w:vAlign w:val="center"/>
                                </w:tcPr>
                                <w:p w14:paraId="425866FD"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119年3月</w:t>
                                  </w:r>
                                </w:p>
                                <w:p w14:paraId="5473DF89"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119年3月</w:t>
                                  </w:r>
                                </w:p>
                                <w:p w14:paraId="7C536C9F"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119年11月</w:t>
                                  </w:r>
                                </w:p>
                                <w:p w14:paraId="277B188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119年11月</w:t>
                                  </w:r>
                                </w:p>
                                <w:p w14:paraId="3867F9BC"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120年2月</w:t>
                                  </w:r>
                                </w:p>
                              </w:tc>
                              <w:tc>
                                <w:tcPr>
                                  <w:tcW w:w="1418" w:type="dxa"/>
                                  <w:vAlign w:val="center"/>
                                </w:tcPr>
                                <w:p w14:paraId="07E4783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2年9個月</w:t>
                                  </w:r>
                                </w:p>
                                <w:p w14:paraId="62E4A46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2年9個月</w:t>
                                  </w:r>
                                </w:p>
                                <w:p w14:paraId="7884F09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2年1</w:t>
                                  </w:r>
                                  <w:r w:rsidRPr="00633260">
                                    <w:rPr>
                                      <w:rFonts w:ascii="標楷體" w:eastAsia="標楷體" w:hAnsi="標楷體"/>
                                      <w:sz w:val="20"/>
                                      <w:szCs w:val="20"/>
                                    </w:rPr>
                                    <w:t>1</w:t>
                                  </w:r>
                                  <w:r w:rsidRPr="00633260">
                                    <w:rPr>
                                      <w:rFonts w:ascii="標楷體" w:eastAsia="標楷體" w:hAnsi="標楷體" w:hint="eastAsia"/>
                                      <w:sz w:val="20"/>
                                      <w:szCs w:val="20"/>
                                    </w:rPr>
                                    <w:t>個月</w:t>
                                  </w:r>
                                </w:p>
                                <w:p w14:paraId="1F0FC36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2年1</w:t>
                                  </w:r>
                                  <w:r w:rsidRPr="00633260">
                                    <w:rPr>
                                      <w:rFonts w:ascii="標楷體" w:eastAsia="標楷體" w:hAnsi="標楷體"/>
                                      <w:sz w:val="20"/>
                                      <w:szCs w:val="20"/>
                                    </w:rPr>
                                    <w:t>1</w:t>
                                  </w:r>
                                  <w:r w:rsidRPr="00633260">
                                    <w:rPr>
                                      <w:rFonts w:ascii="標楷體" w:eastAsia="標楷體" w:hAnsi="標楷體" w:hint="eastAsia"/>
                                      <w:sz w:val="20"/>
                                      <w:szCs w:val="20"/>
                                    </w:rPr>
                                    <w:t>個月</w:t>
                                  </w:r>
                                </w:p>
                                <w:p w14:paraId="3AC71BF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2年8個月</w:t>
                                  </w:r>
                                </w:p>
                              </w:tc>
                              <w:tc>
                                <w:tcPr>
                                  <w:tcW w:w="1559" w:type="dxa"/>
                                  <w:vAlign w:val="center"/>
                                </w:tcPr>
                                <w:p w14:paraId="038856E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184AE11D" w14:textId="77777777" w:rsidTr="00A417DA">
                              <w:tc>
                                <w:tcPr>
                                  <w:tcW w:w="1843" w:type="dxa"/>
                                  <w:tcBorders>
                                    <w:bottom w:val="single" w:sz="4" w:space="0" w:color="auto"/>
                                  </w:tcBorders>
                                  <w:vAlign w:val="center"/>
                                </w:tcPr>
                                <w:p w14:paraId="42170C7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台中發電廠新建燃氣機組</w:t>
                                  </w:r>
                                </w:p>
                              </w:tc>
                              <w:tc>
                                <w:tcPr>
                                  <w:tcW w:w="1276" w:type="dxa"/>
                                  <w:tcBorders>
                                    <w:bottom w:val="single" w:sz="4" w:space="0" w:color="auto"/>
                                  </w:tcBorders>
                                  <w:vAlign w:val="center"/>
                                </w:tcPr>
                                <w:p w14:paraId="094692B1"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73765921"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tc>
                              <w:tc>
                                <w:tcPr>
                                  <w:tcW w:w="1418" w:type="dxa"/>
                                  <w:tcBorders>
                                    <w:bottom w:val="single" w:sz="4" w:space="0" w:color="auto"/>
                                  </w:tcBorders>
                                  <w:vAlign w:val="center"/>
                                </w:tcPr>
                                <w:p w14:paraId="1E46361C"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114年1月</w:t>
                                  </w:r>
                                </w:p>
                                <w:p w14:paraId="0696920A"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114年7月</w:t>
                                  </w:r>
                                </w:p>
                              </w:tc>
                              <w:tc>
                                <w:tcPr>
                                  <w:tcW w:w="1418" w:type="dxa"/>
                                  <w:tcBorders>
                                    <w:bottom w:val="single" w:sz="4" w:space="0" w:color="auto"/>
                                  </w:tcBorders>
                                  <w:vAlign w:val="center"/>
                                </w:tcPr>
                                <w:p w14:paraId="596D302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114年12月</w:t>
                                  </w:r>
                                </w:p>
                                <w:p w14:paraId="4CDCE337"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115年8月</w:t>
                                  </w:r>
                                </w:p>
                              </w:tc>
                              <w:tc>
                                <w:tcPr>
                                  <w:tcW w:w="1418" w:type="dxa"/>
                                  <w:tcBorders>
                                    <w:bottom w:val="single" w:sz="4" w:space="0" w:color="auto"/>
                                  </w:tcBorders>
                                  <w:vAlign w:val="center"/>
                                </w:tcPr>
                                <w:p w14:paraId="5105A4C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sz w:val="20"/>
                                      <w:szCs w:val="20"/>
                                    </w:rPr>
                                    <w:t>11</w:t>
                                  </w:r>
                                  <w:r w:rsidRPr="00633260">
                                    <w:rPr>
                                      <w:rFonts w:ascii="標楷體" w:eastAsia="標楷體" w:hAnsi="標楷體" w:hint="eastAsia"/>
                                      <w:sz w:val="20"/>
                                      <w:szCs w:val="20"/>
                                    </w:rPr>
                                    <w:t>個月</w:t>
                                  </w:r>
                                </w:p>
                                <w:p w14:paraId="608F1A1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1年1個月</w:t>
                                  </w:r>
                                </w:p>
                              </w:tc>
                              <w:tc>
                                <w:tcPr>
                                  <w:tcW w:w="1559" w:type="dxa"/>
                                  <w:tcBorders>
                                    <w:bottom w:val="single" w:sz="4" w:space="0" w:color="auto"/>
                                  </w:tcBorders>
                                </w:tcPr>
                                <w:p w14:paraId="6CE7EBB8" w14:textId="77777777" w:rsidR="00C51E08" w:rsidRPr="00633260" w:rsidRDefault="00C51E08" w:rsidP="005C388D">
                                  <w:pPr>
                                    <w:snapToGrid w:val="0"/>
                                    <w:spacing w:line="240" w:lineRule="exact"/>
                                    <w:jc w:val="both"/>
                                    <w:rPr>
                                      <w:rFonts w:ascii="標楷體" w:eastAsia="標楷體" w:hAnsi="標楷體"/>
                                      <w:sz w:val="20"/>
                                      <w:szCs w:val="20"/>
                                    </w:rPr>
                                  </w:pPr>
                                  <w:r w:rsidRPr="00633260">
                                    <w:rPr>
                                      <w:rFonts w:ascii="標楷體" w:eastAsia="標楷體" w:hAnsi="標楷體" w:hint="eastAsia"/>
                                      <w:sz w:val="20"/>
                                      <w:szCs w:val="20"/>
                                    </w:rPr>
                                    <w:t>新建天然氣接收站海域環評尚未通過</w:t>
                                  </w:r>
                                </w:p>
                              </w:tc>
                            </w:tr>
                            <w:tr w:rsidR="00C51E08" w:rsidRPr="00CC1004" w14:paraId="1816CF1A" w14:textId="77777777" w:rsidTr="00A417DA">
                              <w:trPr>
                                <w:trHeight w:val="722"/>
                              </w:trPr>
                              <w:tc>
                                <w:tcPr>
                                  <w:tcW w:w="1843" w:type="dxa"/>
                                  <w:tcBorders>
                                    <w:bottom w:val="single" w:sz="4" w:space="0" w:color="auto"/>
                                  </w:tcBorders>
                                  <w:vAlign w:val="center"/>
                                </w:tcPr>
                                <w:p w14:paraId="0BAAE55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興達發電廠燃氣機組更新改建</w:t>
                                  </w:r>
                                </w:p>
                              </w:tc>
                              <w:tc>
                                <w:tcPr>
                                  <w:tcW w:w="1276" w:type="dxa"/>
                                  <w:tcBorders>
                                    <w:bottom w:val="single" w:sz="4" w:space="0" w:color="auto"/>
                                  </w:tcBorders>
                                  <w:vAlign w:val="center"/>
                                </w:tcPr>
                                <w:p w14:paraId="362CD8E1"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7188F1E6"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p w14:paraId="2DB4ED4E"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3號機</w:t>
                                  </w:r>
                                </w:p>
                              </w:tc>
                              <w:tc>
                                <w:tcPr>
                                  <w:tcW w:w="1418" w:type="dxa"/>
                                  <w:tcBorders>
                                    <w:bottom w:val="single" w:sz="4" w:space="0" w:color="auto"/>
                                  </w:tcBorders>
                                  <w:vAlign w:val="center"/>
                                </w:tcPr>
                                <w:p w14:paraId="1100A0C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112年6月</w:t>
                                  </w:r>
                                </w:p>
                                <w:p w14:paraId="6024CB2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113年6月</w:t>
                                  </w:r>
                                </w:p>
                                <w:p w14:paraId="7E92A7B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115年1月</w:t>
                                  </w:r>
                                </w:p>
                              </w:tc>
                              <w:tc>
                                <w:tcPr>
                                  <w:tcW w:w="1418" w:type="dxa"/>
                                  <w:tcBorders>
                                    <w:bottom w:val="single" w:sz="4" w:space="0" w:color="auto"/>
                                  </w:tcBorders>
                                  <w:vAlign w:val="center"/>
                                </w:tcPr>
                                <w:p w14:paraId="5B388CFD"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114年5月</w:t>
                                  </w:r>
                                </w:p>
                                <w:p w14:paraId="2385B5A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115年1月</w:t>
                                  </w:r>
                                </w:p>
                                <w:p w14:paraId="5B95B4A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116年1月</w:t>
                                  </w:r>
                                </w:p>
                              </w:tc>
                              <w:tc>
                                <w:tcPr>
                                  <w:tcW w:w="1418" w:type="dxa"/>
                                  <w:tcBorders>
                                    <w:bottom w:val="single" w:sz="4" w:space="0" w:color="auto"/>
                                  </w:tcBorders>
                                  <w:vAlign w:val="center"/>
                                </w:tcPr>
                                <w:p w14:paraId="194082B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1年1</w:t>
                                  </w:r>
                                  <w:r w:rsidRPr="00633260">
                                    <w:rPr>
                                      <w:rFonts w:ascii="標楷體" w:eastAsia="標楷體" w:hAnsi="標楷體"/>
                                      <w:sz w:val="20"/>
                                      <w:szCs w:val="20"/>
                                    </w:rPr>
                                    <w:t>1</w:t>
                                  </w:r>
                                  <w:r w:rsidRPr="00633260">
                                    <w:rPr>
                                      <w:rFonts w:ascii="標楷體" w:eastAsia="標楷體" w:hAnsi="標楷體" w:hint="eastAsia"/>
                                      <w:sz w:val="20"/>
                                      <w:szCs w:val="20"/>
                                    </w:rPr>
                                    <w:t>個月</w:t>
                                  </w:r>
                                </w:p>
                                <w:p w14:paraId="5AE2D58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1年7個月</w:t>
                                  </w:r>
                                </w:p>
                                <w:p w14:paraId="4B27A23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w:t>
                                  </w:r>
                                </w:p>
                              </w:tc>
                              <w:tc>
                                <w:tcPr>
                                  <w:tcW w:w="1559" w:type="dxa"/>
                                  <w:tcBorders>
                                    <w:bottom w:val="single" w:sz="4" w:space="0" w:color="auto"/>
                                  </w:tcBorders>
                                  <w:vAlign w:val="center"/>
                                </w:tcPr>
                                <w:p w14:paraId="4A862A6F"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24AF014B" w14:textId="77777777" w:rsidTr="00A417DA">
                              <w:tc>
                                <w:tcPr>
                                  <w:tcW w:w="1843" w:type="dxa"/>
                                  <w:tcBorders>
                                    <w:bottom w:val="single" w:sz="4" w:space="0" w:color="auto"/>
                                  </w:tcBorders>
                                  <w:vAlign w:val="center"/>
                                </w:tcPr>
                                <w:p w14:paraId="3E13C5B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大林發電廠燃氣機組更新改建</w:t>
                                  </w:r>
                                </w:p>
                              </w:tc>
                              <w:tc>
                                <w:tcPr>
                                  <w:tcW w:w="1276" w:type="dxa"/>
                                  <w:tcBorders>
                                    <w:bottom w:val="single" w:sz="4" w:space="0" w:color="auto"/>
                                  </w:tcBorders>
                                  <w:vAlign w:val="center"/>
                                </w:tcPr>
                                <w:p w14:paraId="17945925"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312C903F"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tc>
                              <w:tc>
                                <w:tcPr>
                                  <w:tcW w:w="1418" w:type="dxa"/>
                                  <w:tcBorders>
                                    <w:bottom w:val="single" w:sz="4" w:space="0" w:color="auto"/>
                                  </w:tcBorders>
                                  <w:vAlign w:val="center"/>
                                </w:tcPr>
                                <w:p w14:paraId="15A6966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p w14:paraId="32E3EABF"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tc>
                              <w:tc>
                                <w:tcPr>
                                  <w:tcW w:w="1418" w:type="dxa"/>
                                  <w:tcBorders>
                                    <w:bottom w:val="single" w:sz="4" w:space="0" w:color="auto"/>
                                  </w:tcBorders>
                                  <w:vAlign w:val="center"/>
                                </w:tcPr>
                                <w:p w14:paraId="6CB15D4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118年7月</w:t>
                                  </w:r>
                                </w:p>
                                <w:p w14:paraId="6B53657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118年8月</w:t>
                                  </w:r>
                                </w:p>
                              </w:tc>
                              <w:tc>
                                <w:tcPr>
                                  <w:tcW w:w="1418" w:type="dxa"/>
                                  <w:tcBorders>
                                    <w:bottom w:val="single" w:sz="4" w:space="0" w:color="auto"/>
                                  </w:tcBorders>
                                  <w:vAlign w:val="center"/>
                                </w:tcPr>
                                <w:p w14:paraId="7968AB4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2年1個月</w:t>
                                  </w:r>
                                </w:p>
                                <w:p w14:paraId="3F80627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2年2個月</w:t>
                                  </w:r>
                                </w:p>
                              </w:tc>
                              <w:tc>
                                <w:tcPr>
                                  <w:tcW w:w="1559" w:type="dxa"/>
                                  <w:tcBorders>
                                    <w:bottom w:val="single" w:sz="4" w:space="0" w:color="auto"/>
                                  </w:tcBorders>
                                  <w:vAlign w:val="center"/>
                                </w:tcPr>
                                <w:p w14:paraId="3B4D6F2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42C1AB4F" w14:textId="77777777" w:rsidTr="00A417DA">
                              <w:tc>
                                <w:tcPr>
                                  <w:tcW w:w="1559" w:type="dxa"/>
                                  <w:gridSpan w:val="6"/>
                                  <w:tcBorders>
                                    <w:top w:val="single" w:sz="4" w:space="0" w:color="auto"/>
                                    <w:left w:val="nil"/>
                                    <w:bottom w:val="nil"/>
                                    <w:right w:val="nil"/>
                                  </w:tcBorders>
                                </w:tcPr>
                                <w:p w14:paraId="68D15BF5" w14:textId="77777777" w:rsidR="00C51E08" w:rsidRPr="00CC1004" w:rsidRDefault="00C51E08" w:rsidP="00C66321">
                                  <w:pPr>
                                    <w:snapToGrid w:val="0"/>
                                    <w:spacing w:line="240" w:lineRule="exact"/>
                                    <w:jc w:val="both"/>
                                    <w:rPr>
                                      <w:rFonts w:ascii="標楷體" w:eastAsia="標楷體" w:hAnsi="標楷體"/>
                                      <w:sz w:val="18"/>
                                      <w:szCs w:val="20"/>
                                    </w:rPr>
                                  </w:pPr>
                                  <w:r w:rsidRPr="00CC1004">
                                    <w:rPr>
                                      <w:rFonts w:ascii="標楷體" w:eastAsia="標楷體" w:hAnsi="標楷體" w:hint="eastAsia"/>
                                      <w:sz w:val="18"/>
                                      <w:szCs w:val="20"/>
                                    </w:rPr>
                                    <w:t>資料來源：整理自台</w:t>
                                  </w:r>
                                  <w:r>
                                    <w:rPr>
                                      <w:rFonts w:ascii="標楷體" w:eastAsia="標楷體" w:hAnsi="標楷體" w:hint="eastAsia"/>
                                      <w:sz w:val="18"/>
                                      <w:szCs w:val="20"/>
                                    </w:rPr>
                                    <w:t>灣</w:t>
                                  </w:r>
                                  <w:r w:rsidRPr="00CC1004">
                                    <w:rPr>
                                      <w:rFonts w:ascii="標楷體" w:eastAsia="標楷體" w:hAnsi="標楷體" w:hint="eastAsia"/>
                                      <w:sz w:val="18"/>
                                      <w:szCs w:val="20"/>
                                    </w:rPr>
                                    <w:t>電</w:t>
                                  </w:r>
                                  <w:r>
                                    <w:rPr>
                                      <w:rFonts w:ascii="標楷體" w:eastAsia="標楷體" w:hAnsi="標楷體" w:hint="eastAsia"/>
                                      <w:sz w:val="18"/>
                                      <w:szCs w:val="20"/>
                                    </w:rPr>
                                    <w:t>力</w:t>
                                  </w:r>
                                  <w:r w:rsidRPr="00CC1004">
                                    <w:rPr>
                                      <w:rFonts w:ascii="標楷體" w:eastAsia="標楷體" w:hAnsi="標楷體" w:hint="eastAsia"/>
                                      <w:sz w:val="18"/>
                                      <w:szCs w:val="20"/>
                                    </w:rPr>
                                    <w:t>公司提供資料。</w:t>
                                  </w:r>
                                </w:p>
                              </w:tc>
                            </w:tr>
                          </w:tbl>
                          <w:p w14:paraId="1AD5BF5B" w14:textId="77777777" w:rsidR="00C51E08" w:rsidRPr="001F0DEA" w:rsidRDefault="00C51E08" w:rsidP="00C51E08"/>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7A09D8" id="_x0000_s1066" type="#_x0000_t202" style="position:absolute;left:0;text-align:left;margin-left:14.2pt;margin-top:387.6pt;width:467.7pt;height:311.8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" stroked="f">
                <v:textbox inset=",0,,0">
                  <w:txbxContent>
                    <w:tbl>
                      <w:tblPr>
                        <w:tblStyle w:val="SGSTableBasic1112"/>
                        <w:tblW w:w="0" w:type="auto"/>
                        <w:tblLayout w:type="fixed"/>
                        <w:tblLook w:val="04A0" w:firstRow="1" w:lastRow="0" w:firstColumn="1" w:lastColumn="0" w:noHBand="0" w:noVBand="1"/>
                      </w:tblPr>
                      <w:tblGrid>
                        <w:gridCol w:w="1843"/>
                        <w:gridCol w:w="1276"/>
                        <w:gridCol w:w="1418"/>
                        <w:gridCol w:w="1418"/>
                        <w:gridCol w:w="1418"/>
                        <w:gridCol w:w="1559"/>
                      </w:tblGrid>
                      <w:tr w:rsidR="00C51E08" w:rsidRPr="00CC1004" w14:paraId="7F078530" w14:textId="77777777" w:rsidTr="00A417DA">
                        <w:tc>
                          <w:tcPr>
                            <w:tcW w:w="1559" w:type="dxa"/>
                            <w:gridSpan w:val="6"/>
                            <w:tcBorders>
                              <w:top w:val="nil"/>
                              <w:left w:val="nil"/>
                              <w:bottom w:val="single" w:sz="4" w:space="0" w:color="auto"/>
                              <w:right w:val="nil"/>
                            </w:tcBorders>
                          </w:tcPr>
                          <w:p w14:paraId="10E6BDAE" w14:textId="77777777" w:rsidR="00C51E08" w:rsidRPr="00970B3F" w:rsidRDefault="00C51E08" w:rsidP="00E764F2">
                            <w:pPr>
                              <w:snapToGrid w:val="0"/>
                              <w:spacing w:beforeLines="20" w:before="72" w:afterLines="20" w:after="72"/>
                              <w:jc w:val="center"/>
                              <w:rPr>
                                <w:rFonts w:ascii="標楷體" w:eastAsia="標楷體" w:hAnsi="標楷體"/>
                                <w:b/>
                                <w:szCs w:val="24"/>
                              </w:rPr>
                            </w:pPr>
                            <w:r w:rsidRPr="00DA77D2">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6</w:t>
                            </w:r>
                            <w:r w:rsidRPr="00970B3F">
                              <w:rPr>
                                <w:rFonts w:ascii="標楷體" w:eastAsia="標楷體" w:hAnsi="標楷體" w:hint="eastAsia"/>
                                <w:b/>
                                <w:szCs w:val="24"/>
                              </w:rPr>
                              <w:t xml:space="preserve">　台</w:t>
                            </w:r>
                            <w:r>
                              <w:rPr>
                                <w:rFonts w:ascii="標楷體" w:eastAsia="標楷體" w:hAnsi="標楷體" w:hint="eastAsia"/>
                                <w:b/>
                                <w:szCs w:val="24"/>
                              </w:rPr>
                              <w:t>灣</w:t>
                            </w:r>
                            <w:r w:rsidRPr="00970B3F">
                              <w:rPr>
                                <w:rFonts w:ascii="標楷體" w:eastAsia="標楷體" w:hAnsi="標楷體" w:hint="eastAsia"/>
                                <w:b/>
                                <w:szCs w:val="24"/>
                              </w:rPr>
                              <w:t>電</w:t>
                            </w:r>
                            <w:r>
                              <w:rPr>
                                <w:rFonts w:ascii="標楷體" w:eastAsia="標楷體" w:hAnsi="標楷體" w:hint="eastAsia"/>
                                <w:b/>
                                <w:szCs w:val="24"/>
                              </w:rPr>
                              <w:t>力</w:t>
                            </w:r>
                            <w:r w:rsidRPr="00970B3F">
                              <w:rPr>
                                <w:rFonts w:ascii="標楷體" w:eastAsia="標楷體" w:hAnsi="標楷體" w:hint="eastAsia"/>
                                <w:b/>
                                <w:szCs w:val="24"/>
                              </w:rPr>
                              <w:t>公司</w:t>
                            </w:r>
                            <w:proofErr w:type="gramStart"/>
                            <w:r w:rsidRPr="00970B3F">
                              <w:rPr>
                                <w:rFonts w:ascii="標楷體" w:eastAsia="標楷體" w:hAnsi="標楷體" w:hint="eastAsia"/>
                                <w:b/>
                                <w:szCs w:val="24"/>
                              </w:rPr>
                              <w:t>興建中燃氣</w:t>
                            </w:r>
                            <w:proofErr w:type="gramEnd"/>
                            <w:r w:rsidRPr="00970B3F">
                              <w:rPr>
                                <w:rFonts w:ascii="標楷體" w:eastAsia="標楷體" w:hAnsi="標楷體" w:hint="eastAsia"/>
                                <w:b/>
                                <w:szCs w:val="24"/>
                              </w:rPr>
                              <w:t>發電計畫進度</w:t>
                            </w:r>
                          </w:p>
                        </w:tc>
                      </w:tr>
                      <w:tr w:rsidR="00C51E08" w:rsidRPr="00CC1004" w14:paraId="7DEE2A2D" w14:textId="77777777" w:rsidTr="00A417DA">
                        <w:trPr>
                          <w:trHeight w:val="312"/>
                        </w:trPr>
                        <w:tc>
                          <w:tcPr>
                            <w:tcW w:w="1843" w:type="dxa"/>
                            <w:vMerge w:val="restart"/>
                            <w:tcBorders>
                              <w:top w:val="single" w:sz="4" w:space="0" w:color="auto"/>
                            </w:tcBorders>
                            <w:vAlign w:val="center"/>
                          </w:tcPr>
                          <w:p w14:paraId="5E8D7F7E"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工程名稱</w:t>
                            </w:r>
                          </w:p>
                        </w:tc>
                        <w:tc>
                          <w:tcPr>
                            <w:tcW w:w="1418" w:type="dxa"/>
                            <w:gridSpan w:val="4"/>
                            <w:tcBorders>
                              <w:top w:val="single" w:sz="4" w:space="0" w:color="auto"/>
                            </w:tcBorders>
                            <w:vAlign w:val="center"/>
                          </w:tcPr>
                          <w:p w14:paraId="7560E4C1" w14:textId="77777777" w:rsidR="00C51E08" w:rsidRPr="00970B3F" w:rsidRDefault="00C51E08" w:rsidP="00D95B6A">
                            <w:pPr>
                              <w:snapToGrid w:val="0"/>
                              <w:jc w:val="center"/>
                              <w:rPr>
                                <w:rFonts w:ascii="標楷體" w:eastAsia="標楷體" w:hAnsi="標楷體"/>
                                <w:sz w:val="20"/>
                                <w:szCs w:val="20"/>
                              </w:rPr>
                            </w:pPr>
                            <w:proofErr w:type="gramStart"/>
                            <w:r w:rsidRPr="00970B3F">
                              <w:rPr>
                                <w:rFonts w:ascii="標楷體" w:eastAsia="標楷體" w:hAnsi="標楷體" w:hint="eastAsia"/>
                                <w:sz w:val="20"/>
                                <w:szCs w:val="20"/>
                              </w:rPr>
                              <w:t>商轉期程</w:t>
                            </w:r>
                            <w:proofErr w:type="gramEnd"/>
                          </w:p>
                        </w:tc>
                        <w:tc>
                          <w:tcPr>
                            <w:tcW w:w="1559" w:type="dxa"/>
                            <w:vMerge w:val="restart"/>
                            <w:tcBorders>
                              <w:top w:val="single" w:sz="4" w:space="0" w:color="auto"/>
                            </w:tcBorders>
                            <w:vAlign w:val="center"/>
                          </w:tcPr>
                          <w:p w14:paraId="2134B41B"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備註</w:t>
                            </w:r>
                          </w:p>
                        </w:tc>
                      </w:tr>
                      <w:tr w:rsidR="00C51E08" w:rsidRPr="00CC1004" w14:paraId="0B4B4423" w14:textId="77777777" w:rsidTr="00A417DA">
                        <w:trPr>
                          <w:trHeight w:val="312"/>
                        </w:trPr>
                        <w:tc>
                          <w:tcPr>
                            <w:tcW w:w="1843" w:type="dxa"/>
                            <w:vMerge/>
                          </w:tcPr>
                          <w:p w14:paraId="34D4ED4B" w14:textId="77777777" w:rsidR="00C51E08" w:rsidRPr="00970B3F" w:rsidRDefault="00C51E08" w:rsidP="00C66321">
                            <w:pPr>
                              <w:snapToGrid w:val="0"/>
                              <w:spacing w:line="280" w:lineRule="exact"/>
                              <w:jc w:val="both"/>
                              <w:rPr>
                                <w:rFonts w:ascii="標楷體" w:eastAsia="標楷體" w:hAnsi="標楷體"/>
                                <w:sz w:val="20"/>
                                <w:szCs w:val="20"/>
                              </w:rPr>
                            </w:pPr>
                          </w:p>
                        </w:tc>
                        <w:tc>
                          <w:tcPr>
                            <w:tcW w:w="1276" w:type="dxa"/>
                            <w:vAlign w:val="center"/>
                          </w:tcPr>
                          <w:p w14:paraId="67A03447"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機組</w:t>
                            </w:r>
                          </w:p>
                        </w:tc>
                        <w:tc>
                          <w:tcPr>
                            <w:tcW w:w="1418" w:type="dxa"/>
                            <w:vAlign w:val="center"/>
                          </w:tcPr>
                          <w:p w14:paraId="0802866D"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可行性研究</w:t>
                            </w:r>
                          </w:p>
                        </w:tc>
                        <w:tc>
                          <w:tcPr>
                            <w:tcW w:w="1418" w:type="dxa"/>
                            <w:vAlign w:val="center"/>
                          </w:tcPr>
                          <w:p w14:paraId="63EBB606"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計畫修正後</w:t>
                            </w:r>
                          </w:p>
                        </w:tc>
                        <w:tc>
                          <w:tcPr>
                            <w:tcW w:w="1418" w:type="dxa"/>
                            <w:vAlign w:val="center"/>
                          </w:tcPr>
                          <w:p w14:paraId="64B2E762" w14:textId="77777777" w:rsidR="00C51E08" w:rsidRPr="00970B3F" w:rsidRDefault="00C51E08" w:rsidP="00C66321">
                            <w:pPr>
                              <w:snapToGrid w:val="0"/>
                              <w:spacing w:line="280" w:lineRule="exact"/>
                              <w:jc w:val="center"/>
                              <w:rPr>
                                <w:rFonts w:ascii="標楷體" w:eastAsia="標楷體" w:hAnsi="標楷體"/>
                                <w:sz w:val="20"/>
                                <w:szCs w:val="20"/>
                              </w:rPr>
                            </w:pPr>
                            <w:r w:rsidRPr="00970B3F">
                              <w:rPr>
                                <w:rFonts w:ascii="標楷體" w:eastAsia="標楷體" w:hAnsi="標楷體" w:hint="eastAsia"/>
                                <w:sz w:val="20"/>
                                <w:szCs w:val="20"/>
                              </w:rPr>
                              <w:t>落後期間</w:t>
                            </w:r>
                          </w:p>
                        </w:tc>
                        <w:tc>
                          <w:tcPr>
                            <w:tcW w:w="1559" w:type="dxa"/>
                            <w:vMerge/>
                          </w:tcPr>
                          <w:p w14:paraId="3E638753" w14:textId="77777777" w:rsidR="00C51E08" w:rsidRPr="00970B3F" w:rsidRDefault="00C51E08" w:rsidP="00C66321">
                            <w:pPr>
                              <w:snapToGrid w:val="0"/>
                              <w:spacing w:line="280" w:lineRule="exact"/>
                              <w:jc w:val="both"/>
                              <w:rPr>
                                <w:rFonts w:ascii="標楷體" w:eastAsia="標楷體" w:hAnsi="標楷體"/>
                                <w:sz w:val="20"/>
                                <w:szCs w:val="20"/>
                              </w:rPr>
                            </w:pPr>
                          </w:p>
                        </w:tc>
                      </w:tr>
                      <w:tr w:rsidR="00C51E08" w:rsidRPr="00CC1004" w14:paraId="2765DDFD" w14:textId="77777777" w:rsidTr="00A417DA">
                        <w:trPr>
                          <w:trHeight w:val="532"/>
                        </w:trPr>
                        <w:tc>
                          <w:tcPr>
                            <w:tcW w:w="1843" w:type="dxa"/>
                            <w:vAlign w:val="center"/>
                          </w:tcPr>
                          <w:p w14:paraId="6181A30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協和發電廠更新改建</w:t>
                            </w:r>
                          </w:p>
                        </w:tc>
                        <w:tc>
                          <w:tcPr>
                            <w:tcW w:w="1276" w:type="dxa"/>
                            <w:vAlign w:val="center"/>
                          </w:tcPr>
                          <w:p w14:paraId="4558BCE8"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7853D6EF"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tc>
                        <w:tc>
                          <w:tcPr>
                            <w:tcW w:w="1418" w:type="dxa"/>
                            <w:vAlign w:val="center"/>
                          </w:tcPr>
                          <w:p w14:paraId="43699A0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114年6月</w:t>
                            </w:r>
                          </w:p>
                          <w:p w14:paraId="45475E5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119年6月</w:t>
                            </w:r>
                          </w:p>
                        </w:tc>
                        <w:tc>
                          <w:tcPr>
                            <w:tcW w:w="1418" w:type="dxa"/>
                            <w:vAlign w:val="center"/>
                          </w:tcPr>
                          <w:p w14:paraId="5DFB920A"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121年1月</w:t>
                            </w:r>
                          </w:p>
                          <w:p w14:paraId="171E605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127年8月</w:t>
                            </w:r>
                          </w:p>
                        </w:tc>
                        <w:tc>
                          <w:tcPr>
                            <w:tcW w:w="1418" w:type="dxa"/>
                            <w:vAlign w:val="center"/>
                          </w:tcPr>
                          <w:p w14:paraId="0362301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6年7個月</w:t>
                            </w:r>
                          </w:p>
                          <w:p w14:paraId="68DA9C7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8年2個月</w:t>
                            </w:r>
                          </w:p>
                        </w:tc>
                        <w:tc>
                          <w:tcPr>
                            <w:tcW w:w="1559" w:type="dxa"/>
                            <w:vAlign w:val="center"/>
                          </w:tcPr>
                          <w:p w14:paraId="25B18C7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2BF30852" w14:textId="77777777" w:rsidTr="00A417DA">
                        <w:trPr>
                          <w:trHeight w:val="837"/>
                        </w:trPr>
                        <w:tc>
                          <w:tcPr>
                            <w:tcW w:w="1843" w:type="dxa"/>
                            <w:vAlign w:val="center"/>
                          </w:tcPr>
                          <w:p w14:paraId="0A01EDF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大潭發電廠增</w:t>
                            </w:r>
                            <w:proofErr w:type="gramStart"/>
                            <w:r w:rsidRPr="00633260">
                              <w:rPr>
                                <w:rFonts w:ascii="標楷體" w:eastAsia="標楷體" w:hAnsi="標楷體" w:hint="eastAsia"/>
                                <w:sz w:val="20"/>
                                <w:szCs w:val="20"/>
                              </w:rPr>
                              <w:t>建燃氣複</w:t>
                            </w:r>
                            <w:proofErr w:type="gramEnd"/>
                            <w:r w:rsidRPr="00633260">
                              <w:rPr>
                                <w:rFonts w:ascii="標楷體" w:eastAsia="標楷體" w:hAnsi="標楷體" w:hint="eastAsia"/>
                                <w:sz w:val="20"/>
                                <w:szCs w:val="20"/>
                              </w:rPr>
                              <w:t>循環機組</w:t>
                            </w:r>
                          </w:p>
                        </w:tc>
                        <w:tc>
                          <w:tcPr>
                            <w:tcW w:w="1276" w:type="dxa"/>
                            <w:vAlign w:val="center"/>
                          </w:tcPr>
                          <w:p w14:paraId="07128894"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7號機</w:t>
                            </w:r>
                          </w:p>
                          <w:p w14:paraId="6D0E4E8F"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8號機</w:t>
                            </w:r>
                          </w:p>
                          <w:p w14:paraId="58E8B803"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9號機</w:t>
                            </w:r>
                          </w:p>
                        </w:tc>
                        <w:tc>
                          <w:tcPr>
                            <w:tcW w:w="1418" w:type="dxa"/>
                            <w:vAlign w:val="center"/>
                          </w:tcPr>
                          <w:p w14:paraId="72E832DD"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113年1月</w:t>
                            </w:r>
                          </w:p>
                          <w:p w14:paraId="50F4381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111年2月</w:t>
                            </w:r>
                          </w:p>
                          <w:p w14:paraId="4418316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111年2月</w:t>
                            </w:r>
                          </w:p>
                        </w:tc>
                        <w:tc>
                          <w:tcPr>
                            <w:tcW w:w="1418" w:type="dxa"/>
                            <w:vAlign w:val="center"/>
                          </w:tcPr>
                          <w:p w14:paraId="6F2C29F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114年5月</w:t>
                            </w:r>
                          </w:p>
                          <w:p w14:paraId="0C52B1A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113年7月</w:t>
                            </w:r>
                          </w:p>
                          <w:p w14:paraId="5B758A0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114年4月</w:t>
                            </w:r>
                          </w:p>
                        </w:tc>
                        <w:tc>
                          <w:tcPr>
                            <w:tcW w:w="1418" w:type="dxa"/>
                            <w:vAlign w:val="center"/>
                          </w:tcPr>
                          <w:p w14:paraId="473C801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1年4個月</w:t>
                            </w:r>
                          </w:p>
                          <w:p w14:paraId="770AB48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2年5個月</w:t>
                            </w:r>
                          </w:p>
                          <w:p w14:paraId="70BC14B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3年2個月</w:t>
                            </w:r>
                          </w:p>
                        </w:tc>
                        <w:tc>
                          <w:tcPr>
                            <w:tcW w:w="1559" w:type="dxa"/>
                            <w:vAlign w:val="center"/>
                          </w:tcPr>
                          <w:p w14:paraId="7A7314D4" w14:textId="77777777" w:rsidR="00C51E08" w:rsidRPr="00633260" w:rsidRDefault="00C51E08" w:rsidP="005C388D">
                            <w:pPr>
                              <w:snapToGrid w:val="0"/>
                              <w:spacing w:line="240" w:lineRule="exact"/>
                              <w:jc w:val="both"/>
                              <w:rPr>
                                <w:rFonts w:ascii="標楷體" w:eastAsia="標楷體" w:hAnsi="標楷體"/>
                                <w:sz w:val="20"/>
                                <w:szCs w:val="20"/>
                              </w:rPr>
                            </w:pPr>
                            <w:r w:rsidRPr="00633260">
                              <w:rPr>
                                <w:rFonts w:ascii="標楷體" w:eastAsia="標楷體" w:hAnsi="標楷體" w:hint="eastAsia"/>
                                <w:sz w:val="20"/>
                                <w:szCs w:val="20"/>
                              </w:rPr>
                              <w:t>8號機已於113年7月商轉</w:t>
                            </w:r>
                          </w:p>
                        </w:tc>
                      </w:tr>
                      <w:tr w:rsidR="00C51E08" w:rsidRPr="00CC1004" w14:paraId="207BA288" w14:textId="77777777" w:rsidTr="00A417DA">
                        <w:tc>
                          <w:tcPr>
                            <w:tcW w:w="1843" w:type="dxa"/>
                            <w:vAlign w:val="center"/>
                          </w:tcPr>
                          <w:p w14:paraId="2592FCA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通霄發電廠第二期更新改建</w:t>
                            </w:r>
                          </w:p>
                        </w:tc>
                        <w:tc>
                          <w:tcPr>
                            <w:tcW w:w="1276" w:type="dxa"/>
                            <w:vAlign w:val="center"/>
                          </w:tcPr>
                          <w:p w14:paraId="12F30B07"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4號機</w:t>
                            </w:r>
                          </w:p>
                          <w:p w14:paraId="10FAD128"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5號機</w:t>
                            </w:r>
                          </w:p>
                          <w:p w14:paraId="01369532"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6號機</w:t>
                            </w:r>
                          </w:p>
                          <w:p w14:paraId="26065258"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7號機</w:t>
                            </w:r>
                          </w:p>
                          <w:p w14:paraId="5B91AFC4"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8號機</w:t>
                            </w:r>
                          </w:p>
                        </w:tc>
                        <w:tc>
                          <w:tcPr>
                            <w:tcW w:w="1418" w:type="dxa"/>
                            <w:vAlign w:val="center"/>
                          </w:tcPr>
                          <w:p w14:paraId="7F10E79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p w14:paraId="4690F42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p w14:paraId="41F4534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116年12月</w:t>
                            </w:r>
                          </w:p>
                          <w:p w14:paraId="552B2747"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116年12月</w:t>
                            </w:r>
                          </w:p>
                          <w:p w14:paraId="738EA4E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117年6月</w:t>
                            </w:r>
                          </w:p>
                        </w:tc>
                        <w:tc>
                          <w:tcPr>
                            <w:tcW w:w="1418" w:type="dxa"/>
                            <w:vAlign w:val="center"/>
                          </w:tcPr>
                          <w:p w14:paraId="425866FD"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119年3月</w:t>
                            </w:r>
                          </w:p>
                          <w:p w14:paraId="5473DF89"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119年3月</w:t>
                            </w:r>
                          </w:p>
                          <w:p w14:paraId="7C536C9F"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119年11月</w:t>
                            </w:r>
                          </w:p>
                          <w:p w14:paraId="277B188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119年11月</w:t>
                            </w:r>
                          </w:p>
                          <w:p w14:paraId="3867F9BC"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120年2月</w:t>
                            </w:r>
                          </w:p>
                        </w:tc>
                        <w:tc>
                          <w:tcPr>
                            <w:tcW w:w="1418" w:type="dxa"/>
                            <w:vAlign w:val="center"/>
                          </w:tcPr>
                          <w:p w14:paraId="07E4783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2年9個月</w:t>
                            </w:r>
                          </w:p>
                          <w:p w14:paraId="62E4A46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2年9個月</w:t>
                            </w:r>
                          </w:p>
                          <w:p w14:paraId="7884F09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2年1</w:t>
                            </w:r>
                            <w:r w:rsidRPr="00633260">
                              <w:rPr>
                                <w:rFonts w:ascii="標楷體" w:eastAsia="標楷體" w:hAnsi="標楷體"/>
                                <w:sz w:val="20"/>
                                <w:szCs w:val="20"/>
                              </w:rPr>
                              <w:t>1</w:t>
                            </w:r>
                            <w:r w:rsidRPr="00633260">
                              <w:rPr>
                                <w:rFonts w:ascii="標楷體" w:eastAsia="標楷體" w:hAnsi="標楷體" w:hint="eastAsia"/>
                                <w:sz w:val="20"/>
                                <w:szCs w:val="20"/>
                              </w:rPr>
                              <w:t>個月</w:t>
                            </w:r>
                          </w:p>
                          <w:p w14:paraId="1F0FC36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2年1</w:t>
                            </w:r>
                            <w:r w:rsidRPr="00633260">
                              <w:rPr>
                                <w:rFonts w:ascii="標楷體" w:eastAsia="標楷體" w:hAnsi="標楷體"/>
                                <w:sz w:val="20"/>
                                <w:szCs w:val="20"/>
                              </w:rPr>
                              <w:t>1</w:t>
                            </w:r>
                            <w:r w:rsidRPr="00633260">
                              <w:rPr>
                                <w:rFonts w:ascii="標楷體" w:eastAsia="標楷體" w:hAnsi="標楷體" w:hint="eastAsia"/>
                                <w:sz w:val="20"/>
                                <w:szCs w:val="20"/>
                              </w:rPr>
                              <w:t>個月</w:t>
                            </w:r>
                          </w:p>
                          <w:p w14:paraId="3AC71BF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2年8個月</w:t>
                            </w:r>
                          </w:p>
                        </w:tc>
                        <w:tc>
                          <w:tcPr>
                            <w:tcW w:w="1559" w:type="dxa"/>
                            <w:vAlign w:val="center"/>
                          </w:tcPr>
                          <w:p w14:paraId="038856E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184AE11D" w14:textId="77777777" w:rsidTr="00A417DA">
                        <w:tc>
                          <w:tcPr>
                            <w:tcW w:w="1843" w:type="dxa"/>
                            <w:tcBorders>
                              <w:bottom w:val="single" w:sz="4" w:space="0" w:color="auto"/>
                            </w:tcBorders>
                            <w:vAlign w:val="center"/>
                          </w:tcPr>
                          <w:p w14:paraId="42170C7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台中發電廠新建燃氣機組</w:t>
                            </w:r>
                          </w:p>
                        </w:tc>
                        <w:tc>
                          <w:tcPr>
                            <w:tcW w:w="1276" w:type="dxa"/>
                            <w:tcBorders>
                              <w:bottom w:val="single" w:sz="4" w:space="0" w:color="auto"/>
                            </w:tcBorders>
                            <w:vAlign w:val="center"/>
                          </w:tcPr>
                          <w:p w14:paraId="094692B1"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73765921"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tc>
                        <w:tc>
                          <w:tcPr>
                            <w:tcW w:w="1418" w:type="dxa"/>
                            <w:tcBorders>
                              <w:bottom w:val="single" w:sz="4" w:space="0" w:color="auto"/>
                            </w:tcBorders>
                            <w:vAlign w:val="center"/>
                          </w:tcPr>
                          <w:p w14:paraId="1E46361C"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114年1月</w:t>
                            </w:r>
                          </w:p>
                          <w:p w14:paraId="0696920A"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114年7月</w:t>
                            </w:r>
                          </w:p>
                        </w:tc>
                        <w:tc>
                          <w:tcPr>
                            <w:tcW w:w="1418" w:type="dxa"/>
                            <w:tcBorders>
                              <w:bottom w:val="single" w:sz="4" w:space="0" w:color="auto"/>
                            </w:tcBorders>
                            <w:vAlign w:val="center"/>
                          </w:tcPr>
                          <w:p w14:paraId="596D3025"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114年12月</w:t>
                            </w:r>
                          </w:p>
                          <w:p w14:paraId="4CDCE337"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115年8月</w:t>
                            </w:r>
                          </w:p>
                        </w:tc>
                        <w:tc>
                          <w:tcPr>
                            <w:tcW w:w="1418" w:type="dxa"/>
                            <w:tcBorders>
                              <w:bottom w:val="single" w:sz="4" w:space="0" w:color="auto"/>
                            </w:tcBorders>
                            <w:vAlign w:val="center"/>
                          </w:tcPr>
                          <w:p w14:paraId="5105A4C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sz w:val="20"/>
                                <w:szCs w:val="20"/>
                              </w:rPr>
                              <w:t>11</w:t>
                            </w:r>
                            <w:r w:rsidRPr="00633260">
                              <w:rPr>
                                <w:rFonts w:ascii="標楷體" w:eastAsia="標楷體" w:hAnsi="標楷體" w:hint="eastAsia"/>
                                <w:sz w:val="20"/>
                                <w:szCs w:val="20"/>
                              </w:rPr>
                              <w:t>個月</w:t>
                            </w:r>
                          </w:p>
                          <w:p w14:paraId="608F1A1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1年1個月</w:t>
                            </w:r>
                          </w:p>
                        </w:tc>
                        <w:tc>
                          <w:tcPr>
                            <w:tcW w:w="1559" w:type="dxa"/>
                            <w:tcBorders>
                              <w:bottom w:val="single" w:sz="4" w:space="0" w:color="auto"/>
                            </w:tcBorders>
                          </w:tcPr>
                          <w:p w14:paraId="6CE7EBB8" w14:textId="77777777" w:rsidR="00C51E08" w:rsidRPr="00633260" w:rsidRDefault="00C51E08" w:rsidP="005C388D">
                            <w:pPr>
                              <w:snapToGrid w:val="0"/>
                              <w:spacing w:line="240" w:lineRule="exact"/>
                              <w:jc w:val="both"/>
                              <w:rPr>
                                <w:rFonts w:ascii="標楷體" w:eastAsia="標楷體" w:hAnsi="標楷體"/>
                                <w:sz w:val="20"/>
                                <w:szCs w:val="20"/>
                              </w:rPr>
                            </w:pPr>
                            <w:r w:rsidRPr="00633260">
                              <w:rPr>
                                <w:rFonts w:ascii="標楷體" w:eastAsia="標楷體" w:hAnsi="標楷體" w:hint="eastAsia"/>
                                <w:sz w:val="20"/>
                                <w:szCs w:val="20"/>
                              </w:rPr>
                              <w:t>新建天然氣接收站海域環評尚未通過</w:t>
                            </w:r>
                          </w:p>
                        </w:tc>
                      </w:tr>
                      <w:tr w:rsidR="00C51E08" w:rsidRPr="00CC1004" w14:paraId="1816CF1A" w14:textId="77777777" w:rsidTr="00A417DA">
                        <w:trPr>
                          <w:trHeight w:val="722"/>
                        </w:trPr>
                        <w:tc>
                          <w:tcPr>
                            <w:tcW w:w="1843" w:type="dxa"/>
                            <w:tcBorders>
                              <w:bottom w:val="single" w:sz="4" w:space="0" w:color="auto"/>
                            </w:tcBorders>
                            <w:vAlign w:val="center"/>
                          </w:tcPr>
                          <w:p w14:paraId="0BAAE556"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興達發電廠燃氣機組更新改建</w:t>
                            </w:r>
                          </w:p>
                        </w:tc>
                        <w:tc>
                          <w:tcPr>
                            <w:tcW w:w="1276" w:type="dxa"/>
                            <w:tcBorders>
                              <w:bottom w:val="single" w:sz="4" w:space="0" w:color="auto"/>
                            </w:tcBorders>
                            <w:vAlign w:val="center"/>
                          </w:tcPr>
                          <w:p w14:paraId="362CD8E1"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7188F1E6"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p w14:paraId="2DB4ED4E"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3號機</w:t>
                            </w:r>
                          </w:p>
                        </w:tc>
                        <w:tc>
                          <w:tcPr>
                            <w:tcW w:w="1418" w:type="dxa"/>
                            <w:tcBorders>
                              <w:bottom w:val="single" w:sz="4" w:space="0" w:color="auto"/>
                            </w:tcBorders>
                            <w:vAlign w:val="center"/>
                          </w:tcPr>
                          <w:p w14:paraId="1100A0C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112年6月</w:t>
                            </w:r>
                          </w:p>
                          <w:p w14:paraId="6024CB2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113年6月</w:t>
                            </w:r>
                          </w:p>
                          <w:p w14:paraId="7E92A7B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115年1月</w:t>
                            </w:r>
                          </w:p>
                        </w:tc>
                        <w:tc>
                          <w:tcPr>
                            <w:tcW w:w="1418" w:type="dxa"/>
                            <w:tcBorders>
                              <w:bottom w:val="single" w:sz="4" w:space="0" w:color="auto"/>
                            </w:tcBorders>
                            <w:vAlign w:val="center"/>
                          </w:tcPr>
                          <w:p w14:paraId="5B388CFD"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114年5月</w:t>
                            </w:r>
                          </w:p>
                          <w:p w14:paraId="2385B5A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115年1月</w:t>
                            </w:r>
                          </w:p>
                          <w:p w14:paraId="5B95B4A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116年1月</w:t>
                            </w:r>
                          </w:p>
                        </w:tc>
                        <w:tc>
                          <w:tcPr>
                            <w:tcW w:w="1418" w:type="dxa"/>
                            <w:tcBorders>
                              <w:bottom w:val="single" w:sz="4" w:space="0" w:color="auto"/>
                            </w:tcBorders>
                            <w:vAlign w:val="center"/>
                          </w:tcPr>
                          <w:p w14:paraId="194082B3"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1年1</w:t>
                            </w:r>
                            <w:r w:rsidRPr="00633260">
                              <w:rPr>
                                <w:rFonts w:ascii="標楷體" w:eastAsia="標楷體" w:hAnsi="標楷體"/>
                                <w:sz w:val="20"/>
                                <w:szCs w:val="20"/>
                              </w:rPr>
                              <w:t>1</w:t>
                            </w:r>
                            <w:r w:rsidRPr="00633260">
                              <w:rPr>
                                <w:rFonts w:ascii="標楷體" w:eastAsia="標楷體" w:hAnsi="標楷體" w:hint="eastAsia"/>
                                <w:sz w:val="20"/>
                                <w:szCs w:val="20"/>
                              </w:rPr>
                              <w:t>個月</w:t>
                            </w:r>
                          </w:p>
                          <w:p w14:paraId="5AE2D58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1年7個月</w:t>
                            </w:r>
                          </w:p>
                          <w:p w14:paraId="4B27A23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1年</w:t>
                            </w:r>
                          </w:p>
                        </w:tc>
                        <w:tc>
                          <w:tcPr>
                            <w:tcW w:w="1559" w:type="dxa"/>
                            <w:tcBorders>
                              <w:bottom w:val="single" w:sz="4" w:space="0" w:color="auto"/>
                            </w:tcBorders>
                            <w:vAlign w:val="center"/>
                          </w:tcPr>
                          <w:p w14:paraId="4A862A6F"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24AF014B" w14:textId="77777777" w:rsidTr="00A417DA">
                        <w:tc>
                          <w:tcPr>
                            <w:tcW w:w="1843" w:type="dxa"/>
                            <w:tcBorders>
                              <w:bottom w:val="single" w:sz="4" w:space="0" w:color="auto"/>
                            </w:tcBorders>
                            <w:vAlign w:val="center"/>
                          </w:tcPr>
                          <w:p w14:paraId="3E13C5B4"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大林發電廠燃氣機組更新改建</w:t>
                            </w:r>
                          </w:p>
                        </w:tc>
                        <w:tc>
                          <w:tcPr>
                            <w:tcW w:w="1276" w:type="dxa"/>
                            <w:tcBorders>
                              <w:bottom w:val="single" w:sz="4" w:space="0" w:color="auto"/>
                            </w:tcBorders>
                            <w:vAlign w:val="center"/>
                          </w:tcPr>
                          <w:p w14:paraId="17945925"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1號機</w:t>
                            </w:r>
                          </w:p>
                          <w:p w14:paraId="312C903F" w14:textId="77777777" w:rsidR="00C51E08" w:rsidRPr="00633260" w:rsidRDefault="00C51E08" w:rsidP="00C66321">
                            <w:pPr>
                              <w:snapToGrid w:val="0"/>
                              <w:spacing w:line="220" w:lineRule="atLeast"/>
                              <w:jc w:val="center"/>
                              <w:rPr>
                                <w:rFonts w:ascii="標楷體" w:eastAsia="標楷體" w:hAnsi="標楷體"/>
                                <w:sz w:val="20"/>
                                <w:szCs w:val="20"/>
                              </w:rPr>
                            </w:pPr>
                            <w:r w:rsidRPr="00633260">
                              <w:rPr>
                                <w:rFonts w:ascii="標楷體" w:eastAsia="標楷體" w:hAnsi="標楷體" w:hint="eastAsia"/>
                                <w:sz w:val="20"/>
                                <w:szCs w:val="20"/>
                              </w:rPr>
                              <w:t>2號機</w:t>
                            </w:r>
                          </w:p>
                        </w:tc>
                        <w:tc>
                          <w:tcPr>
                            <w:tcW w:w="1418" w:type="dxa"/>
                            <w:tcBorders>
                              <w:bottom w:val="single" w:sz="4" w:space="0" w:color="auto"/>
                            </w:tcBorders>
                            <w:vAlign w:val="center"/>
                          </w:tcPr>
                          <w:p w14:paraId="15A69662"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p w14:paraId="32E3EABF"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116年6月</w:t>
                            </w:r>
                          </w:p>
                        </w:tc>
                        <w:tc>
                          <w:tcPr>
                            <w:tcW w:w="1418" w:type="dxa"/>
                            <w:tcBorders>
                              <w:bottom w:val="single" w:sz="4" w:space="0" w:color="auto"/>
                            </w:tcBorders>
                            <w:vAlign w:val="center"/>
                          </w:tcPr>
                          <w:p w14:paraId="6CB15D4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118年7月</w:t>
                            </w:r>
                          </w:p>
                          <w:p w14:paraId="6B536578"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118年8月</w:t>
                            </w:r>
                          </w:p>
                        </w:tc>
                        <w:tc>
                          <w:tcPr>
                            <w:tcW w:w="1418" w:type="dxa"/>
                            <w:tcBorders>
                              <w:bottom w:val="single" w:sz="4" w:space="0" w:color="auto"/>
                            </w:tcBorders>
                            <w:vAlign w:val="center"/>
                          </w:tcPr>
                          <w:p w14:paraId="7968AB4B"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2年1個月</w:t>
                            </w:r>
                          </w:p>
                          <w:p w14:paraId="3F806271"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2年2個月</w:t>
                            </w:r>
                          </w:p>
                        </w:tc>
                        <w:tc>
                          <w:tcPr>
                            <w:tcW w:w="1559" w:type="dxa"/>
                            <w:tcBorders>
                              <w:bottom w:val="single" w:sz="4" w:space="0" w:color="auto"/>
                            </w:tcBorders>
                            <w:vAlign w:val="center"/>
                          </w:tcPr>
                          <w:p w14:paraId="3B4D6F2E" w14:textId="77777777" w:rsidR="00C51E08" w:rsidRPr="00633260" w:rsidRDefault="00C51E08" w:rsidP="00C66321">
                            <w:pPr>
                              <w:snapToGrid w:val="0"/>
                              <w:spacing w:line="220" w:lineRule="atLeast"/>
                              <w:jc w:val="both"/>
                              <w:rPr>
                                <w:rFonts w:ascii="標楷體" w:eastAsia="標楷體" w:hAnsi="標楷體"/>
                                <w:sz w:val="20"/>
                                <w:szCs w:val="20"/>
                              </w:rPr>
                            </w:pPr>
                            <w:r w:rsidRPr="00633260">
                              <w:rPr>
                                <w:rFonts w:ascii="標楷體" w:eastAsia="標楷體" w:hAnsi="標楷體" w:hint="eastAsia"/>
                                <w:sz w:val="20"/>
                                <w:szCs w:val="20"/>
                              </w:rPr>
                              <w:t>－</w:t>
                            </w:r>
                          </w:p>
                        </w:tc>
                      </w:tr>
                      <w:tr w:rsidR="00C51E08" w:rsidRPr="00CC1004" w14:paraId="42C1AB4F" w14:textId="77777777" w:rsidTr="00A417DA">
                        <w:tc>
                          <w:tcPr>
                            <w:tcW w:w="1559" w:type="dxa"/>
                            <w:gridSpan w:val="6"/>
                            <w:tcBorders>
                              <w:top w:val="single" w:sz="4" w:space="0" w:color="auto"/>
                              <w:left w:val="nil"/>
                              <w:bottom w:val="nil"/>
                              <w:right w:val="nil"/>
                            </w:tcBorders>
                          </w:tcPr>
                          <w:p w14:paraId="68D15BF5" w14:textId="77777777" w:rsidR="00C51E08" w:rsidRPr="00CC1004" w:rsidRDefault="00C51E08" w:rsidP="00C66321">
                            <w:pPr>
                              <w:snapToGrid w:val="0"/>
                              <w:spacing w:line="240" w:lineRule="exact"/>
                              <w:jc w:val="both"/>
                              <w:rPr>
                                <w:rFonts w:ascii="標楷體" w:eastAsia="標楷體" w:hAnsi="標楷體"/>
                                <w:sz w:val="18"/>
                                <w:szCs w:val="20"/>
                              </w:rPr>
                            </w:pPr>
                            <w:r w:rsidRPr="00CC1004">
                              <w:rPr>
                                <w:rFonts w:ascii="標楷體" w:eastAsia="標楷體" w:hAnsi="標楷體" w:hint="eastAsia"/>
                                <w:sz w:val="18"/>
                                <w:szCs w:val="20"/>
                              </w:rPr>
                              <w:t>資料來源：整理自台</w:t>
                            </w:r>
                            <w:r>
                              <w:rPr>
                                <w:rFonts w:ascii="標楷體" w:eastAsia="標楷體" w:hAnsi="標楷體" w:hint="eastAsia"/>
                                <w:sz w:val="18"/>
                                <w:szCs w:val="20"/>
                              </w:rPr>
                              <w:t>灣</w:t>
                            </w:r>
                            <w:r w:rsidRPr="00CC1004">
                              <w:rPr>
                                <w:rFonts w:ascii="標楷體" w:eastAsia="標楷體" w:hAnsi="標楷體" w:hint="eastAsia"/>
                                <w:sz w:val="18"/>
                                <w:szCs w:val="20"/>
                              </w:rPr>
                              <w:t>電</w:t>
                            </w:r>
                            <w:r>
                              <w:rPr>
                                <w:rFonts w:ascii="標楷體" w:eastAsia="標楷體" w:hAnsi="標楷體" w:hint="eastAsia"/>
                                <w:sz w:val="18"/>
                                <w:szCs w:val="20"/>
                              </w:rPr>
                              <w:t>力</w:t>
                            </w:r>
                            <w:r w:rsidRPr="00CC1004">
                              <w:rPr>
                                <w:rFonts w:ascii="標楷體" w:eastAsia="標楷體" w:hAnsi="標楷體" w:hint="eastAsia"/>
                                <w:sz w:val="18"/>
                                <w:szCs w:val="20"/>
                              </w:rPr>
                              <w:t>公司提供資料。</w:t>
                            </w:r>
                          </w:p>
                        </w:tc>
                      </w:tr>
                    </w:tbl>
                    <w:p w14:paraId="1AD5BF5B" w14:textId="77777777" w:rsidR="00C51E08" w:rsidRPr="001F0DEA" w:rsidRDefault="00C51E08" w:rsidP="00C51E08"/>
                  </w:txbxContent>
                </v:textbox>
                <w10:wrap type="topAndBottom" anchorx="margin"/>
              </v:shape>
            </w:pict>
          </mc:Fallback>
        </mc:AlternateContent>
      </w:r>
      <w:r w:rsidRPr="00EA580B">
        <w:rPr>
          <w:rFonts w:ascii="標楷體" w:eastAsia="標楷體" w:hAnsi="標楷體" w:cstheme="minorBidi" w:hint="eastAsia"/>
          <w:color w:val="000000" w:themeColor="text1"/>
          <w:szCs w:val="24"/>
        </w:rPr>
        <w:t>目前台灣電力公司燃氣機組使用之</w:t>
      </w:r>
      <w:proofErr w:type="gramStart"/>
      <w:r w:rsidRPr="00EA580B">
        <w:rPr>
          <w:rFonts w:ascii="標楷體" w:eastAsia="標楷體" w:hAnsi="標楷體" w:cstheme="minorBidi" w:hint="eastAsia"/>
          <w:color w:val="000000" w:themeColor="text1"/>
          <w:szCs w:val="24"/>
        </w:rPr>
        <w:t>天然氣均由台灣中油公司</w:t>
      </w:r>
      <w:proofErr w:type="gramEnd"/>
      <w:r w:rsidRPr="00EA580B">
        <w:rPr>
          <w:rFonts w:ascii="標楷體" w:eastAsia="標楷體" w:hAnsi="標楷體" w:cstheme="minorBidi" w:hint="eastAsia"/>
          <w:color w:val="000000" w:themeColor="text1"/>
          <w:szCs w:val="24"/>
        </w:rPr>
        <w:t>供應，據其估算1</w:t>
      </w:r>
      <w:r w:rsidRPr="00EA580B">
        <w:rPr>
          <w:rFonts w:ascii="標楷體" w:eastAsia="標楷體" w:hAnsi="標楷體" w:cstheme="minorBidi"/>
          <w:color w:val="000000" w:themeColor="text1"/>
          <w:szCs w:val="24"/>
        </w:rPr>
        <w:t>14</w:t>
      </w:r>
      <w:r w:rsidRPr="00EA580B">
        <w:rPr>
          <w:rFonts w:ascii="標楷體" w:eastAsia="標楷體" w:hAnsi="標楷體" w:cstheme="minorBidi" w:hint="eastAsia"/>
          <w:color w:val="000000" w:themeColor="text1"/>
          <w:szCs w:val="24"/>
        </w:rPr>
        <w:t>年至1</w:t>
      </w:r>
      <w:r w:rsidRPr="00EA580B">
        <w:rPr>
          <w:rFonts w:ascii="標楷體" w:eastAsia="標楷體" w:hAnsi="標楷體" w:cstheme="minorBidi"/>
          <w:color w:val="000000" w:themeColor="text1"/>
          <w:szCs w:val="24"/>
        </w:rPr>
        <w:t>16</w:t>
      </w:r>
      <w:r w:rsidRPr="00EA580B">
        <w:rPr>
          <w:rFonts w:ascii="標楷體" w:eastAsia="標楷體" w:hAnsi="標楷體" w:cstheme="minorBidi" w:hint="eastAsia"/>
          <w:color w:val="000000" w:themeColor="text1"/>
          <w:szCs w:val="24"/>
        </w:rPr>
        <w:t>年天然氣預估存量</w:t>
      </w:r>
      <w:r w:rsidRPr="00EA580B">
        <w:rPr>
          <w:rFonts w:ascii="標楷體" w:eastAsia="標楷體" w:hAnsi="標楷體" w:cstheme="minorBidi" w:hint="eastAsia"/>
          <w:color w:val="000000" w:themeColor="text1"/>
          <w:szCs w:val="24"/>
        </w:rPr>
        <w:lastRenderedPageBreak/>
        <w:t>天數分別為10.6天、9.8天、11.4天，相較法定天數（</w:t>
      </w:r>
      <w:r w:rsidRPr="00EA580B">
        <w:rPr>
          <w:rFonts w:ascii="標楷體" w:eastAsia="標楷體" w:hAnsi="標楷體" w:cstheme="minorBidi"/>
          <w:color w:val="000000" w:themeColor="text1"/>
          <w:szCs w:val="24"/>
        </w:rPr>
        <w:t>11</w:t>
      </w:r>
      <w:r w:rsidRPr="00EA580B">
        <w:rPr>
          <w:rFonts w:ascii="標楷體" w:eastAsia="標楷體" w:hAnsi="標楷體" w:cstheme="minorBidi" w:hint="eastAsia"/>
          <w:color w:val="000000" w:themeColor="text1"/>
          <w:szCs w:val="24"/>
        </w:rPr>
        <w:t>天、11天、14天）均有所不足，不足天數介於0</w:t>
      </w:r>
      <w:r w:rsidRPr="00EA580B">
        <w:rPr>
          <w:rFonts w:ascii="標楷體" w:eastAsia="標楷體" w:hAnsi="標楷體" w:cstheme="minorBidi"/>
          <w:color w:val="000000" w:themeColor="text1"/>
          <w:szCs w:val="24"/>
        </w:rPr>
        <w:t>.</w:t>
      </w:r>
      <w:r w:rsidRPr="00EA580B">
        <w:rPr>
          <w:rFonts w:ascii="標楷體" w:eastAsia="標楷體" w:hAnsi="標楷體" w:cstheme="minorBidi" w:hint="eastAsia"/>
          <w:color w:val="000000" w:themeColor="text1"/>
          <w:szCs w:val="24"/>
        </w:rPr>
        <w:t>4至2.6天。</w:t>
      </w:r>
      <w:proofErr w:type="gramStart"/>
      <w:r w:rsidRPr="00EA580B">
        <w:rPr>
          <w:rFonts w:ascii="標楷體" w:eastAsia="標楷體" w:hAnsi="標楷體" w:cstheme="minorBidi" w:hint="eastAsia"/>
          <w:color w:val="000000" w:themeColor="text1"/>
          <w:szCs w:val="24"/>
        </w:rPr>
        <w:t>鑑</w:t>
      </w:r>
      <w:proofErr w:type="gramEnd"/>
      <w:r w:rsidRPr="00EA580B">
        <w:rPr>
          <w:rFonts w:ascii="標楷體" w:eastAsia="標楷體" w:hAnsi="標楷體" w:cstheme="minorBidi" w:hint="eastAsia"/>
          <w:color w:val="000000" w:themeColor="text1"/>
          <w:szCs w:val="24"/>
        </w:rPr>
        <w:t>於協和發電廠、台中發電廠燃氣機組計畫，均包含液化天然氣（LNG）接收站與儲氣槽興建工程，國內天然氣存量若無法</w:t>
      </w:r>
      <w:r w:rsidR="00A86279">
        <w:rPr>
          <w:rFonts w:ascii="標楷體" w:eastAsia="標楷體" w:hAnsi="標楷體" w:cstheme="minorBidi" w:hint="eastAsia"/>
          <w:color w:val="000000" w:themeColor="text1"/>
          <w:szCs w:val="24"/>
        </w:rPr>
        <w:t>及</w:t>
      </w:r>
      <w:r w:rsidRPr="00EA580B">
        <w:rPr>
          <w:rFonts w:ascii="標楷體" w:eastAsia="標楷體" w:hAnsi="標楷體" w:cstheme="minorBidi" w:hint="eastAsia"/>
          <w:color w:val="000000" w:themeColor="text1"/>
          <w:szCs w:val="24"/>
        </w:rPr>
        <w:t>時調度滿足發電所需，恐立即影響供電穩定，且國內部分天然氣接收站興建過程涉及環境生態、民宅安全距離不足或整體特定港區開發等議題，常引發國內環保團體或民眾抗爭，致部分</w:t>
      </w:r>
      <w:proofErr w:type="spellStart"/>
      <w:r w:rsidRPr="00EA580B">
        <w:rPr>
          <w:rFonts w:ascii="標楷體" w:eastAsia="標楷體" w:hAnsi="標楷體" w:cstheme="minorBidi" w:hint="eastAsia"/>
          <w:color w:val="000000" w:themeColor="text1"/>
          <w:szCs w:val="24"/>
        </w:rPr>
        <w:t>LNG</w:t>
      </w:r>
      <w:proofErr w:type="spellEnd"/>
      <w:r w:rsidRPr="00EA580B">
        <w:rPr>
          <w:rFonts w:ascii="標楷體" w:eastAsia="標楷體" w:hAnsi="標楷體" w:cstheme="minorBidi" w:hint="eastAsia"/>
          <w:color w:val="000000" w:themeColor="text1"/>
          <w:szCs w:val="24"/>
        </w:rPr>
        <w:t>儲存設備或管線鋪設地點須配合變更或縮減，影響原訂接收站完工期程。經函請行政院督促經濟部</w:t>
      </w:r>
      <w:proofErr w:type="gramStart"/>
      <w:r w:rsidRPr="00EA580B">
        <w:rPr>
          <w:rFonts w:ascii="標楷體" w:eastAsia="標楷體" w:hAnsi="標楷體" w:cstheme="minorBidi" w:hint="eastAsia"/>
          <w:color w:val="000000" w:themeColor="text1"/>
          <w:szCs w:val="24"/>
        </w:rPr>
        <w:t>研謀妥處</w:t>
      </w:r>
      <w:proofErr w:type="gramEnd"/>
      <w:r w:rsidRPr="00EA580B">
        <w:rPr>
          <w:rFonts w:ascii="標楷體" w:eastAsia="標楷體" w:hAnsi="標楷體" w:cstheme="minorBidi" w:hint="eastAsia"/>
          <w:color w:val="000000" w:themeColor="text1"/>
          <w:szCs w:val="24"/>
        </w:rPr>
        <w:t>，加強控管各項燃氣發電計畫及</w:t>
      </w:r>
      <w:r w:rsidRPr="00EA580B">
        <w:rPr>
          <w:rFonts w:ascii="標楷體" w:eastAsia="標楷體" w:hAnsi="標楷體" w:cstheme="minorBidi"/>
          <w:color w:val="000000" w:themeColor="text1"/>
          <w:szCs w:val="24"/>
        </w:rPr>
        <w:t>LNG</w:t>
      </w:r>
      <w:r w:rsidRPr="00EA580B">
        <w:rPr>
          <w:rFonts w:ascii="標楷體" w:eastAsia="標楷體" w:hAnsi="標楷體" w:cstheme="minorBidi" w:hint="eastAsia"/>
          <w:color w:val="000000" w:themeColor="text1"/>
          <w:szCs w:val="24"/>
        </w:rPr>
        <w:t>接收站及</w:t>
      </w:r>
      <w:proofErr w:type="gramStart"/>
      <w:r w:rsidRPr="00EA580B">
        <w:rPr>
          <w:rFonts w:ascii="標楷體" w:eastAsia="標楷體" w:hAnsi="標楷體" w:cstheme="minorBidi" w:hint="eastAsia"/>
          <w:color w:val="000000" w:themeColor="text1"/>
          <w:szCs w:val="24"/>
        </w:rPr>
        <w:t>儲槽增建</w:t>
      </w:r>
      <w:proofErr w:type="gramEnd"/>
      <w:r w:rsidRPr="00EA580B">
        <w:rPr>
          <w:rFonts w:ascii="標楷體" w:eastAsia="標楷體" w:hAnsi="標楷體" w:cstheme="minorBidi" w:hint="eastAsia"/>
          <w:color w:val="000000" w:themeColor="text1"/>
          <w:szCs w:val="24"/>
        </w:rPr>
        <w:t>計畫之執行進度，評估提前完工之可行性，並</w:t>
      </w:r>
      <w:proofErr w:type="gramStart"/>
      <w:r w:rsidRPr="00EA580B">
        <w:rPr>
          <w:rFonts w:ascii="標楷體" w:eastAsia="標楷體" w:hAnsi="標楷體" w:cstheme="minorBidi" w:hint="eastAsia"/>
          <w:color w:val="000000" w:themeColor="text1"/>
          <w:szCs w:val="24"/>
        </w:rPr>
        <w:t>研</w:t>
      </w:r>
      <w:proofErr w:type="gramEnd"/>
      <w:r w:rsidRPr="00EA580B">
        <w:rPr>
          <w:rFonts w:ascii="標楷體" w:eastAsia="標楷體" w:hAnsi="標楷體" w:cstheme="minorBidi" w:hint="eastAsia"/>
          <w:color w:val="000000" w:themeColor="text1"/>
          <w:szCs w:val="24"/>
        </w:rPr>
        <w:t>擬天然氣存量不足時因應方案，</w:t>
      </w:r>
      <w:proofErr w:type="gramStart"/>
      <w:r w:rsidRPr="00EA580B">
        <w:rPr>
          <w:rFonts w:ascii="標楷體" w:eastAsia="標楷體" w:hAnsi="標楷體" w:cstheme="minorBidi" w:hint="eastAsia"/>
          <w:color w:val="000000" w:themeColor="text1"/>
          <w:szCs w:val="24"/>
        </w:rPr>
        <w:t>俾</w:t>
      </w:r>
      <w:proofErr w:type="gramEnd"/>
      <w:r w:rsidRPr="00EA580B">
        <w:rPr>
          <w:rFonts w:ascii="標楷體" w:eastAsia="標楷體" w:hAnsi="標楷體" w:cstheme="minorBidi" w:hint="eastAsia"/>
          <w:color w:val="000000" w:themeColor="text1"/>
          <w:szCs w:val="24"/>
        </w:rPr>
        <w:t>增加天然氣供應及儲存量能，以確保能源供給之持續性及穩定性。</w:t>
      </w:r>
      <w:r w:rsidRPr="00B93E03">
        <w:rPr>
          <w:rFonts w:ascii="標楷體" w:eastAsia="標楷體" w:hAnsi="標楷體" w:cstheme="minorBidi" w:hint="eastAsia"/>
          <w:color w:val="000000" w:themeColor="text1"/>
          <w:szCs w:val="24"/>
        </w:rPr>
        <w:t>據復：</w:t>
      </w:r>
      <w:r w:rsidR="00B93E03" w:rsidRPr="00B93E03">
        <w:rPr>
          <w:rFonts w:ascii="標楷體" w:eastAsia="標楷體" w:hAnsi="標楷體" w:cstheme="minorBidi" w:hint="eastAsia"/>
          <w:color w:val="000000" w:themeColor="text1"/>
          <w:szCs w:val="24"/>
        </w:rPr>
        <w:t>經濟部國營事業管理司將持續監管工程進度，必要時進行跨部會溝通協調；另由台灣中油公司機動協調LNG船期、與台灣電力公司保持聯繫、維持高存量調度策略及確保卸收、生產及輸送等設備妥善維運，以穩定國內能源供應。</w:t>
      </w:r>
    </w:p>
    <w:p w14:paraId="3BCE42A0" w14:textId="06041845" w:rsidR="00755C25" w:rsidRPr="00755C25" w:rsidRDefault="00755C25" w:rsidP="00CA55FD">
      <w:pPr>
        <w:overflowPunct w:val="0"/>
        <w:spacing w:beforeLines="20" w:before="72" w:afterLines="20" w:after="72" w:line="460" w:lineRule="exact"/>
        <w:ind w:firstLineChars="200" w:firstLine="561"/>
        <w:jc w:val="both"/>
        <w:outlineLvl w:val="1"/>
        <w:rPr>
          <w:rFonts w:ascii="標楷體" w:eastAsia="標楷體" w:hAnsi="Arial"/>
          <w:b/>
          <w:bCs/>
          <w:kern w:val="0"/>
          <w:sz w:val="28"/>
          <w:szCs w:val="28"/>
        </w:rPr>
      </w:pPr>
      <w:r w:rsidRPr="00755C25">
        <w:rPr>
          <w:rFonts w:ascii="標楷體" w:eastAsia="標楷體" w:hAnsi="Arial" w:hint="eastAsia"/>
          <w:b/>
          <w:bCs/>
          <w:kern w:val="0"/>
          <w:sz w:val="28"/>
          <w:szCs w:val="28"/>
        </w:rPr>
        <w:t>（</w:t>
      </w:r>
      <w:r>
        <w:rPr>
          <w:rFonts w:ascii="標楷體" w:eastAsia="標楷體" w:hAnsi="Arial" w:hint="eastAsia"/>
          <w:b/>
          <w:bCs/>
          <w:kern w:val="0"/>
          <w:sz w:val="28"/>
          <w:szCs w:val="28"/>
        </w:rPr>
        <w:t>十三</w:t>
      </w:r>
      <w:r w:rsidRPr="00755C25">
        <w:rPr>
          <w:rFonts w:ascii="標楷體" w:eastAsia="標楷體" w:hAnsi="Arial" w:hint="eastAsia"/>
          <w:b/>
          <w:bCs/>
          <w:kern w:val="0"/>
          <w:sz w:val="28"/>
          <w:szCs w:val="28"/>
        </w:rPr>
        <w:t xml:space="preserve">）　</w:t>
      </w:r>
      <w:r w:rsidR="005B66DA" w:rsidRPr="005B66DA">
        <w:rPr>
          <w:rFonts w:ascii="標楷體" w:eastAsia="標楷體" w:hAnsi="Arial" w:hint="eastAsia"/>
          <w:b/>
          <w:bCs/>
          <w:spacing w:val="2"/>
          <w:kern w:val="0"/>
          <w:sz w:val="28"/>
          <w:szCs w:val="28"/>
        </w:rPr>
        <w:t>政府推動公有土地設置太陽光電發電設備使用，以促進土地資源永續利用並發揮最大公共利益，惟現行標租作業範本規範不一、未建立場址篩選與可行性評估機制及農業用地未落實結合農業經營等，允宜</w:t>
      </w:r>
      <w:proofErr w:type="gramStart"/>
      <w:r w:rsidR="005B66DA" w:rsidRPr="005B66DA">
        <w:rPr>
          <w:rFonts w:ascii="標楷體" w:eastAsia="標楷體" w:hAnsi="Arial" w:hint="eastAsia"/>
          <w:b/>
          <w:bCs/>
          <w:spacing w:val="2"/>
          <w:kern w:val="0"/>
          <w:sz w:val="28"/>
          <w:szCs w:val="28"/>
        </w:rPr>
        <w:t>研</w:t>
      </w:r>
      <w:proofErr w:type="gramEnd"/>
      <w:r w:rsidR="005B66DA" w:rsidRPr="005B66DA">
        <w:rPr>
          <w:rFonts w:ascii="標楷體" w:eastAsia="標楷體" w:hAnsi="Arial" w:hint="eastAsia"/>
          <w:b/>
          <w:bCs/>
          <w:spacing w:val="2"/>
          <w:kern w:val="0"/>
          <w:sz w:val="28"/>
          <w:szCs w:val="28"/>
        </w:rPr>
        <w:t>謀改善，以提升政策執行成效。</w:t>
      </w:r>
    </w:p>
    <w:p w14:paraId="3BF4ECA5" w14:textId="5D02182D" w:rsidR="0005399C" w:rsidRDefault="00A4629F" w:rsidP="00A4629F">
      <w:pPr>
        <w:pStyle w:val="-"/>
        <w:spacing w:line="440" w:lineRule="exact"/>
        <w:ind w:firstLine="480"/>
        <w:jc w:val="both"/>
        <w:rPr>
          <w:rFonts w:cstheme="minorBidi"/>
          <w:color w:val="000000" w:themeColor="text1"/>
        </w:rPr>
      </w:pPr>
      <w:r>
        <w:rPr>
          <w:rFonts w:hint="eastAsia"/>
          <w:snapToGrid w:val="0"/>
          <w:kern w:val="32"/>
        </w:rPr>
        <w:t>政府自99年起推動地面型太陽光電政策，以促進土地資源永續利用並發揮最大公共利益，期間經濟部能源署、財政部國有財產署（下稱國產署）及教育部等機關分別頒定「國有不動產設置太陽光電發電設備標租須知」、「國有非公用土地設置太陽光電發電設備</w:t>
      </w:r>
      <w:proofErr w:type="gramStart"/>
      <w:r>
        <w:rPr>
          <w:rFonts w:hint="eastAsia"/>
          <w:snapToGrid w:val="0"/>
          <w:kern w:val="32"/>
        </w:rPr>
        <w:t>標租案投標</w:t>
      </w:r>
      <w:proofErr w:type="gramEnd"/>
      <w:r>
        <w:rPr>
          <w:rFonts w:hint="eastAsia"/>
          <w:snapToGrid w:val="0"/>
          <w:kern w:val="32"/>
        </w:rPr>
        <w:t>須知」、「學校設置太陽能光電運動場作業參考手冊」等標租作業範本，供各中央機關、地方政府及相關學校配合上述政策，提供公有土地或校舍設置太陽光電發電設備使用</w:t>
      </w:r>
      <w:proofErr w:type="gramStart"/>
      <w:r>
        <w:rPr>
          <w:rFonts w:hint="eastAsia"/>
          <w:snapToGrid w:val="0"/>
          <w:kern w:val="32"/>
        </w:rPr>
        <w:t>時參據</w:t>
      </w:r>
      <w:proofErr w:type="gramEnd"/>
      <w:r>
        <w:rPr>
          <w:rFonts w:hint="eastAsia"/>
          <w:snapToGrid w:val="0"/>
          <w:kern w:val="32"/>
        </w:rPr>
        <w:t>辦理；另因應地面型太陽光電發電設備設置量逐步擴大，經濟部能源署訂定「設置地面型太陽光電設施景觀及生態環境審定原則」等規定，規範規劃設置太陽光電發電設備時，應充分衡量對國土、生態及景觀等影響之原則；又農業部考量太陽光電發電設備設置案件之大量增加，為維持農業生產環境之完整性，於「申請農業用地作農業設施容許使用審查辦法」規定於農業用地設置太陽光電發電設備須與農業經營結合</w:t>
      </w:r>
      <w:r w:rsidRPr="00A4629F">
        <w:rPr>
          <w:rFonts w:hint="eastAsia"/>
          <w:snapToGrid w:val="0"/>
          <w:kern w:val="32"/>
        </w:rPr>
        <w:t>。經查各機關推動公有土地標租設置太陽光電發電設備使用情形，核有：1.經濟部能源署、國產署與</w:t>
      </w:r>
      <w:proofErr w:type="gramStart"/>
      <w:r>
        <w:rPr>
          <w:rFonts w:hint="eastAsia"/>
          <w:snapToGrid w:val="0"/>
          <w:kern w:val="32"/>
        </w:rPr>
        <w:t>教育部均就公有土地</w:t>
      </w:r>
      <w:proofErr w:type="gramEnd"/>
      <w:r>
        <w:rPr>
          <w:rFonts w:hint="eastAsia"/>
          <w:snapToGrid w:val="0"/>
          <w:kern w:val="32"/>
        </w:rPr>
        <w:t>或校舍標租設置太陽光電發電設備使用，訂定標租作業規範，供相關機關、</w:t>
      </w:r>
      <w:proofErr w:type="gramStart"/>
      <w:r>
        <w:rPr>
          <w:rFonts w:hint="eastAsia"/>
          <w:snapToGrid w:val="0"/>
          <w:kern w:val="32"/>
        </w:rPr>
        <w:t>學校參循</w:t>
      </w:r>
      <w:proofErr w:type="gramEnd"/>
      <w:r>
        <w:rPr>
          <w:rFonts w:hint="eastAsia"/>
          <w:snapToGrid w:val="0"/>
          <w:kern w:val="32"/>
        </w:rPr>
        <w:t>，惟於競標方式、回饋金比率訂定與經營租金繳納方式等存有差異；又國產署已因應近年標租使用實務，修訂相關規範，允</w:t>
      </w:r>
      <w:r w:rsidR="00DC23AF">
        <w:rPr>
          <w:rFonts w:hint="eastAsia"/>
          <w:snapToGrid w:val="0"/>
          <w:kern w:val="32"/>
        </w:rPr>
        <w:t>宜</w:t>
      </w:r>
      <w:r>
        <w:rPr>
          <w:rFonts w:hint="eastAsia"/>
          <w:snapToGrid w:val="0"/>
          <w:kern w:val="32"/>
        </w:rPr>
        <w:t>督導經濟部能源署與教育部參</w:t>
      </w:r>
      <w:proofErr w:type="gramStart"/>
      <w:r>
        <w:rPr>
          <w:rFonts w:hint="eastAsia"/>
          <w:snapToGrid w:val="0"/>
          <w:kern w:val="32"/>
        </w:rPr>
        <w:t>採</w:t>
      </w:r>
      <w:proofErr w:type="gramEnd"/>
      <w:r>
        <w:rPr>
          <w:rFonts w:hint="eastAsia"/>
          <w:snapToGrid w:val="0"/>
          <w:kern w:val="32"/>
        </w:rPr>
        <w:t>該作法，檢討近年相關案件實務發生問題與爭議，適時修訂周延主管規範，以提升執行一致性，及發揮</w:t>
      </w:r>
      <w:proofErr w:type="gramStart"/>
      <w:r>
        <w:rPr>
          <w:rFonts w:hint="eastAsia"/>
          <w:snapToGrid w:val="0"/>
          <w:kern w:val="32"/>
        </w:rPr>
        <w:t>標租案預期</w:t>
      </w:r>
      <w:proofErr w:type="gramEnd"/>
      <w:r>
        <w:rPr>
          <w:rFonts w:hint="eastAsia"/>
          <w:snapToGrid w:val="0"/>
          <w:kern w:val="32"/>
        </w:rPr>
        <w:t>效益；2.各中央機關及地方政府等土地管理單位已依行政院推動太陽光電政策，辦理公有土地標租設置太陽光電發電設備使用作業，惟多數機關尚未建立</w:t>
      </w:r>
      <w:r>
        <w:rPr>
          <w:rFonts w:hint="eastAsia"/>
          <w:snapToGrid w:val="0"/>
          <w:kern w:val="32"/>
        </w:rPr>
        <w:lastRenderedPageBreak/>
        <w:t>篩選設置場址及辦理可行性評估作業相關機制，影響太陽光電發電設備設置執行成效，允</w:t>
      </w:r>
      <w:r w:rsidR="00B03D48">
        <w:rPr>
          <w:rFonts w:hint="eastAsia"/>
          <w:snapToGrid w:val="0"/>
          <w:kern w:val="32"/>
        </w:rPr>
        <w:t>宜</w:t>
      </w:r>
      <w:r>
        <w:rPr>
          <w:rFonts w:hint="eastAsia"/>
          <w:snapToGrid w:val="0"/>
          <w:kern w:val="32"/>
        </w:rPr>
        <w:t>督促借鏡國產署經驗，建立周延評估機制，據以主動篩選</w:t>
      </w:r>
      <w:proofErr w:type="gramStart"/>
      <w:r>
        <w:rPr>
          <w:rFonts w:hint="eastAsia"/>
          <w:snapToGrid w:val="0"/>
          <w:kern w:val="32"/>
        </w:rPr>
        <w:t>土地供標租</w:t>
      </w:r>
      <w:proofErr w:type="gramEnd"/>
      <w:r>
        <w:rPr>
          <w:rFonts w:hint="eastAsia"/>
          <w:snapToGrid w:val="0"/>
          <w:kern w:val="32"/>
        </w:rPr>
        <w:t>設置太陽光電發電設備，促進土地資源有效利用，發揮最佳公共利益；3.太陽光電發電設備設置業者於農業用地設置發電設備，依規定須與農業經營結合，惟屬於公有土地之農業用地標</w:t>
      </w:r>
      <w:proofErr w:type="gramStart"/>
      <w:r>
        <w:rPr>
          <w:rFonts w:hint="eastAsia"/>
          <w:snapToGrid w:val="0"/>
          <w:kern w:val="32"/>
        </w:rPr>
        <w:t>租案場間有</w:t>
      </w:r>
      <w:proofErr w:type="gramEnd"/>
      <w:r>
        <w:rPr>
          <w:rFonts w:hint="eastAsia"/>
          <w:snapToGrid w:val="0"/>
          <w:kern w:val="32"/>
        </w:rPr>
        <w:t>未結合農業經營使用情事；另經濟部自110年起，對於以農業經營</w:t>
      </w:r>
      <w:proofErr w:type="gramStart"/>
      <w:r>
        <w:rPr>
          <w:rFonts w:hint="eastAsia"/>
          <w:snapToGrid w:val="0"/>
          <w:kern w:val="32"/>
        </w:rPr>
        <w:t>結合綠能設置</w:t>
      </w:r>
      <w:proofErr w:type="gramEnd"/>
      <w:r>
        <w:rPr>
          <w:rFonts w:hint="eastAsia"/>
          <w:snapToGrid w:val="0"/>
          <w:kern w:val="32"/>
        </w:rPr>
        <w:t>等一地</w:t>
      </w:r>
      <w:proofErr w:type="gramStart"/>
      <w:r>
        <w:rPr>
          <w:rFonts w:hint="eastAsia"/>
          <w:snapToGrid w:val="0"/>
          <w:kern w:val="32"/>
        </w:rPr>
        <w:t>兩用型案場</w:t>
      </w:r>
      <w:proofErr w:type="gramEnd"/>
      <w:r>
        <w:rPr>
          <w:rFonts w:hint="eastAsia"/>
          <w:snapToGrid w:val="0"/>
          <w:kern w:val="32"/>
        </w:rPr>
        <w:t>給予額外費率獎勵，惟尚未統計列管已給予獎勵案場，不利掌握現況使用情形，恐衍生給予額外費率案場未依原核定使用，仍給予獎勵之不當情事，允</w:t>
      </w:r>
      <w:r w:rsidR="00456CAE">
        <w:rPr>
          <w:rFonts w:hint="eastAsia"/>
          <w:snapToGrid w:val="0"/>
          <w:kern w:val="32"/>
        </w:rPr>
        <w:t>宜</w:t>
      </w:r>
      <w:r>
        <w:rPr>
          <w:rFonts w:hint="eastAsia"/>
          <w:snapToGrid w:val="0"/>
          <w:kern w:val="32"/>
        </w:rPr>
        <w:t>督促</w:t>
      </w:r>
      <w:proofErr w:type="gramStart"/>
      <w:r>
        <w:rPr>
          <w:rFonts w:hint="eastAsia"/>
          <w:snapToGrid w:val="0"/>
          <w:kern w:val="32"/>
        </w:rPr>
        <w:t>研</w:t>
      </w:r>
      <w:proofErr w:type="gramEnd"/>
      <w:r>
        <w:rPr>
          <w:rFonts w:hint="eastAsia"/>
          <w:snapToGrid w:val="0"/>
          <w:kern w:val="32"/>
        </w:rPr>
        <w:t>議建立列管查核機制，以落實獎勵政策推動及維護農業生產環境；4.經濟部為推廣再生能源並確保地面型太陽光電發電設備不影響國土與生態，訂定相關審查規定，惟未將土地權或使用權證明、</w:t>
      </w:r>
      <w:proofErr w:type="gramStart"/>
      <w:r>
        <w:rPr>
          <w:rFonts w:hint="eastAsia"/>
          <w:snapToGrid w:val="0"/>
          <w:kern w:val="32"/>
        </w:rPr>
        <w:t>臨路條件</w:t>
      </w:r>
      <w:proofErr w:type="gramEnd"/>
      <w:r>
        <w:rPr>
          <w:rFonts w:hint="eastAsia"/>
          <w:snapToGrid w:val="0"/>
          <w:kern w:val="32"/>
        </w:rPr>
        <w:t>等納入審查，致發生公有土地遭占用情形，允</w:t>
      </w:r>
      <w:r w:rsidR="00456CAE">
        <w:rPr>
          <w:rFonts w:hint="eastAsia"/>
          <w:snapToGrid w:val="0"/>
          <w:kern w:val="32"/>
        </w:rPr>
        <w:t>宜</w:t>
      </w:r>
      <w:r>
        <w:rPr>
          <w:rFonts w:hint="eastAsia"/>
          <w:snapToGrid w:val="0"/>
          <w:kern w:val="32"/>
        </w:rPr>
        <w:t>督促</w:t>
      </w:r>
      <w:proofErr w:type="gramStart"/>
      <w:r>
        <w:rPr>
          <w:rFonts w:hint="eastAsia"/>
          <w:snapToGrid w:val="0"/>
          <w:kern w:val="32"/>
        </w:rPr>
        <w:t>研</w:t>
      </w:r>
      <w:proofErr w:type="gramEnd"/>
      <w:r>
        <w:rPr>
          <w:rFonts w:hint="eastAsia"/>
          <w:snapToGrid w:val="0"/>
          <w:kern w:val="32"/>
        </w:rPr>
        <w:t>謀強化設置階段審查機制，以維護公產權益</w:t>
      </w:r>
      <w:r w:rsidRPr="00A4629F">
        <w:rPr>
          <w:rFonts w:hint="eastAsia"/>
          <w:snapToGrid w:val="0"/>
          <w:kern w:val="32"/>
        </w:rPr>
        <w:t>等情事，經函請行政院</w:t>
      </w:r>
      <w:proofErr w:type="gramStart"/>
      <w:r w:rsidRPr="00A4629F">
        <w:rPr>
          <w:rFonts w:hint="eastAsia"/>
          <w:snapToGrid w:val="0"/>
          <w:kern w:val="32"/>
        </w:rPr>
        <w:t>研</w:t>
      </w:r>
      <w:proofErr w:type="gramEnd"/>
      <w:r w:rsidRPr="00A4629F">
        <w:rPr>
          <w:rFonts w:hint="eastAsia"/>
          <w:snapToGrid w:val="0"/>
          <w:kern w:val="32"/>
        </w:rPr>
        <w:t>議辦理。</w:t>
      </w:r>
      <w:r w:rsidR="000F3391" w:rsidRPr="00A4629F">
        <w:rPr>
          <w:rFonts w:cstheme="minorBidi" w:hint="eastAsia"/>
        </w:rPr>
        <w:t>據復：</w:t>
      </w:r>
      <w:r w:rsidRPr="00A4629F">
        <w:rPr>
          <w:rFonts w:cstheme="minorBidi" w:hint="eastAsia"/>
        </w:rPr>
        <w:t>已於114年6月13日函請經濟部會商財政部、教育部、</w:t>
      </w:r>
      <w:r w:rsidRPr="00A4629F">
        <w:rPr>
          <w:rFonts w:cstheme="minorBidi" w:hint="eastAsia"/>
          <w:color w:val="000000" w:themeColor="text1"/>
        </w:rPr>
        <w:t>農業部等有關機關妥為</w:t>
      </w:r>
      <w:proofErr w:type="gramStart"/>
      <w:r w:rsidRPr="00A4629F">
        <w:rPr>
          <w:rFonts w:cstheme="minorBidi" w:hint="eastAsia"/>
          <w:color w:val="000000" w:themeColor="text1"/>
        </w:rPr>
        <w:t>研</w:t>
      </w:r>
      <w:proofErr w:type="gramEnd"/>
      <w:r w:rsidRPr="00A4629F">
        <w:rPr>
          <w:rFonts w:cstheme="minorBidi" w:hint="eastAsia"/>
          <w:color w:val="000000" w:themeColor="text1"/>
        </w:rPr>
        <w:t>處。</w:t>
      </w:r>
    </w:p>
    <w:p w14:paraId="5B36484C" w14:textId="0D4B3FB0" w:rsidR="003140FD" w:rsidRPr="00B4405D" w:rsidRDefault="003140FD" w:rsidP="00BE7C76">
      <w:pPr>
        <w:pStyle w:val="affb"/>
        <w:kinsoku/>
        <w:overflowPunct w:val="0"/>
        <w:adjustRightInd/>
        <w:spacing w:beforeLines="20" w:before="72" w:afterLines="20" w:after="72" w:line="440" w:lineRule="exact"/>
        <w:ind w:left="0" w:firstLineChars="200" w:firstLine="561"/>
        <w:jc w:val="both"/>
        <w:outlineLvl w:val="1"/>
        <w:rPr>
          <w:spacing w:val="-2"/>
          <w:sz w:val="28"/>
          <w:szCs w:val="28"/>
        </w:rPr>
      </w:pPr>
      <w:bookmarkStart w:id="13" w:name="_Hlk122080150"/>
      <w:r w:rsidRPr="003140FD">
        <w:rPr>
          <w:rFonts w:cs="Arial" w:hint="eastAsia"/>
          <w:b/>
          <w:sz w:val="28"/>
          <w:szCs w:val="28"/>
          <w:shd w:val="clear" w:color="auto" w:fill="FFFFFF"/>
          <w:lang w:val="x-none"/>
        </w:rPr>
        <w:t>（</w:t>
      </w:r>
      <w:r>
        <w:rPr>
          <w:rFonts w:cs="Arial" w:hint="eastAsia"/>
          <w:b/>
          <w:sz w:val="28"/>
          <w:szCs w:val="28"/>
          <w:shd w:val="clear" w:color="auto" w:fill="FFFFFF"/>
          <w:lang w:val="x-none"/>
        </w:rPr>
        <w:t>十四</w:t>
      </w:r>
      <w:r w:rsidRPr="003140FD">
        <w:rPr>
          <w:rFonts w:cs="Arial" w:hint="eastAsia"/>
          <w:b/>
          <w:sz w:val="28"/>
          <w:szCs w:val="28"/>
          <w:shd w:val="clear" w:color="auto" w:fill="FFFFFF"/>
          <w:lang w:val="x-none"/>
        </w:rPr>
        <w:t xml:space="preserve">）　</w:t>
      </w:r>
      <w:r w:rsidR="006262E9" w:rsidRPr="001E6BFF">
        <w:rPr>
          <w:rFonts w:hAnsi="標楷體" w:hint="eastAsia"/>
          <w:b/>
          <w:sz w:val="28"/>
          <w:szCs w:val="28"/>
        </w:rPr>
        <w:t>國營事業持續推動</w:t>
      </w:r>
      <w:proofErr w:type="gramStart"/>
      <w:r w:rsidR="006262E9" w:rsidRPr="001E6BFF">
        <w:rPr>
          <w:rFonts w:hAnsi="標楷體" w:hint="eastAsia"/>
          <w:b/>
          <w:sz w:val="28"/>
          <w:szCs w:val="28"/>
        </w:rPr>
        <w:t>各項淨零轉型</w:t>
      </w:r>
      <w:proofErr w:type="gramEnd"/>
      <w:r w:rsidR="006262E9" w:rsidRPr="001E6BFF">
        <w:rPr>
          <w:rFonts w:hAnsi="標楷體" w:hint="eastAsia"/>
          <w:b/>
          <w:sz w:val="28"/>
          <w:szCs w:val="28"/>
        </w:rPr>
        <w:t>政策，有助達成政府</w:t>
      </w:r>
      <w:proofErr w:type="gramStart"/>
      <w:r w:rsidR="006262E9" w:rsidRPr="001E6BFF">
        <w:rPr>
          <w:rFonts w:hAnsi="標楷體" w:hint="eastAsia"/>
          <w:b/>
          <w:sz w:val="28"/>
          <w:szCs w:val="28"/>
        </w:rPr>
        <w:t>淨零減碳</w:t>
      </w:r>
      <w:proofErr w:type="gramEnd"/>
      <w:r w:rsidR="006262E9" w:rsidRPr="001E6BFF">
        <w:rPr>
          <w:rFonts w:hAnsi="標楷體" w:hint="eastAsia"/>
          <w:b/>
          <w:sz w:val="28"/>
          <w:szCs w:val="28"/>
        </w:rPr>
        <w:t>目標，惟部分事業自114年起</w:t>
      </w:r>
      <w:proofErr w:type="gramStart"/>
      <w:r w:rsidR="006262E9" w:rsidRPr="001E6BFF">
        <w:rPr>
          <w:rFonts w:hAnsi="標楷體" w:hint="eastAsia"/>
          <w:b/>
          <w:sz w:val="28"/>
          <w:szCs w:val="28"/>
        </w:rPr>
        <w:t>為碳費</w:t>
      </w:r>
      <w:proofErr w:type="gramEnd"/>
      <w:r w:rsidR="006262E9" w:rsidRPr="001E6BFF">
        <w:rPr>
          <w:rFonts w:hAnsi="標楷體" w:hint="eastAsia"/>
          <w:b/>
          <w:sz w:val="28"/>
          <w:szCs w:val="28"/>
        </w:rPr>
        <w:t>徵收對象，恐加劇其營運負荷，部分事業則自</w:t>
      </w:r>
      <w:proofErr w:type="gramStart"/>
      <w:r w:rsidR="006262E9" w:rsidRPr="001E6BFF">
        <w:rPr>
          <w:rFonts w:hAnsi="標楷體" w:hint="eastAsia"/>
          <w:b/>
          <w:sz w:val="28"/>
          <w:szCs w:val="28"/>
        </w:rPr>
        <w:t>115</w:t>
      </w:r>
      <w:proofErr w:type="gramEnd"/>
      <w:r w:rsidR="006262E9" w:rsidRPr="001E6BFF">
        <w:rPr>
          <w:rFonts w:hAnsi="標楷體" w:hint="eastAsia"/>
          <w:b/>
          <w:sz w:val="28"/>
          <w:szCs w:val="28"/>
        </w:rPr>
        <w:t>年度起為擴大盤查對象；又部分事業尚未將永續資訊管理作業納入內部控制制度，允宜督促</w:t>
      </w:r>
      <w:proofErr w:type="gramStart"/>
      <w:r w:rsidR="006262E9" w:rsidRPr="001E6BFF">
        <w:rPr>
          <w:rFonts w:hAnsi="標楷體" w:hint="eastAsia"/>
          <w:b/>
          <w:sz w:val="28"/>
          <w:szCs w:val="28"/>
        </w:rPr>
        <w:t>研</w:t>
      </w:r>
      <w:proofErr w:type="gramEnd"/>
      <w:r w:rsidR="006262E9" w:rsidRPr="001E6BFF">
        <w:rPr>
          <w:rFonts w:hAnsi="標楷體" w:hint="eastAsia"/>
          <w:b/>
          <w:sz w:val="28"/>
          <w:szCs w:val="28"/>
        </w:rPr>
        <w:t>謀因應</w:t>
      </w:r>
      <w:r w:rsidR="006262E9" w:rsidRPr="006262E9">
        <w:rPr>
          <w:rFonts w:hAnsi="標楷體" w:hint="eastAsia"/>
          <w:b/>
          <w:color w:val="000000" w:themeColor="text1"/>
          <w:sz w:val="28"/>
          <w:szCs w:val="28"/>
        </w:rPr>
        <w:t>，</w:t>
      </w:r>
      <w:proofErr w:type="gramStart"/>
      <w:r w:rsidR="006262E9" w:rsidRPr="006262E9">
        <w:rPr>
          <w:rFonts w:hAnsi="標楷體" w:hint="eastAsia"/>
          <w:b/>
          <w:color w:val="000000" w:themeColor="text1"/>
          <w:sz w:val="28"/>
          <w:szCs w:val="28"/>
        </w:rPr>
        <w:t>俾擴大減碳行動</w:t>
      </w:r>
      <w:proofErr w:type="gramEnd"/>
      <w:r w:rsidR="006262E9" w:rsidRPr="006262E9">
        <w:rPr>
          <w:rFonts w:hAnsi="標楷體" w:hint="eastAsia"/>
          <w:b/>
          <w:color w:val="000000" w:themeColor="text1"/>
          <w:sz w:val="28"/>
          <w:szCs w:val="28"/>
        </w:rPr>
        <w:t>力，暨確保及提升永續資訊之揭露品質。</w:t>
      </w:r>
    </w:p>
    <w:bookmarkEnd w:id="13"/>
    <w:p w14:paraId="273A0A35" w14:textId="193D2B82" w:rsidR="00A15E84" w:rsidRDefault="0098781D" w:rsidP="00BE7C76">
      <w:pPr>
        <w:widowControl/>
        <w:overflowPunct w:val="0"/>
        <w:spacing w:line="430" w:lineRule="exact"/>
        <w:ind w:firstLineChars="200" w:firstLine="480"/>
        <w:rPr>
          <w:rFonts w:ascii="標楷體" w:eastAsia="標楷體" w:hAnsi="標楷體"/>
          <w:bCs/>
          <w:color w:val="000000" w:themeColor="text1"/>
          <w:szCs w:val="24"/>
        </w:rPr>
      </w:pPr>
      <w:r w:rsidRPr="0098781D">
        <w:rPr>
          <w:rFonts w:ascii="標楷體" w:eastAsia="標楷體" w:hAnsi="標楷體" w:hint="eastAsia"/>
          <w:bCs/>
          <w:color w:val="000000" w:themeColor="text1"/>
          <w:szCs w:val="24"/>
        </w:rPr>
        <w:t>政府為因應全球氣候變遷，制定氣候變遷調適策略，降低與管理溫室氣體排放，於112年2月15日修正公布氣候變遷因應法，</w:t>
      </w:r>
      <w:proofErr w:type="gramStart"/>
      <w:r w:rsidRPr="0098781D">
        <w:rPr>
          <w:rFonts w:ascii="標楷體" w:eastAsia="標楷體" w:hAnsi="標楷體" w:hint="eastAsia"/>
          <w:bCs/>
          <w:color w:val="000000" w:themeColor="text1"/>
          <w:szCs w:val="24"/>
        </w:rPr>
        <w:t>環境部並依</w:t>
      </w:r>
      <w:proofErr w:type="gramEnd"/>
      <w:r w:rsidRPr="0098781D">
        <w:rPr>
          <w:rFonts w:ascii="標楷體" w:eastAsia="標楷體" w:hAnsi="標楷體" w:hint="eastAsia"/>
          <w:bCs/>
          <w:color w:val="000000" w:themeColor="text1"/>
          <w:szCs w:val="24"/>
        </w:rPr>
        <w:t>該法規定，</w:t>
      </w:r>
      <w:proofErr w:type="gramStart"/>
      <w:r w:rsidRPr="0098781D">
        <w:rPr>
          <w:rFonts w:ascii="標楷體" w:eastAsia="標楷體" w:hAnsi="標楷體" w:hint="eastAsia"/>
          <w:bCs/>
          <w:color w:val="000000" w:themeColor="text1"/>
          <w:szCs w:val="24"/>
        </w:rPr>
        <w:t>推動碳費制度</w:t>
      </w:r>
      <w:proofErr w:type="gramEnd"/>
      <w:r w:rsidRPr="0098781D">
        <w:rPr>
          <w:rFonts w:ascii="標楷體" w:eastAsia="標楷體" w:hAnsi="標楷體" w:hint="eastAsia"/>
          <w:bCs/>
          <w:color w:val="000000" w:themeColor="text1"/>
          <w:szCs w:val="24"/>
        </w:rPr>
        <w:t>，訂</w:t>
      </w:r>
      <w:proofErr w:type="gramStart"/>
      <w:r w:rsidRPr="0098781D">
        <w:rPr>
          <w:rFonts w:ascii="標楷體" w:eastAsia="標楷體" w:hAnsi="標楷體" w:hint="eastAsia"/>
          <w:bCs/>
          <w:color w:val="000000" w:themeColor="text1"/>
          <w:szCs w:val="24"/>
        </w:rPr>
        <w:t>定碳費</w:t>
      </w:r>
      <w:proofErr w:type="gramEnd"/>
      <w:r w:rsidRPr="0098781D">
        <w:rPr>
          <w:rFonts w:ascii="標楷體" w:eastAsia="標楷體" w:hAnsi="標楷體" w:hint="eastAsia"/>
          <w:bCs/>
          <w:color w:val="000000" w:themeColor="text1"/>
          <w:szCs w:val="24"/>
        </w:rPr>
        <w:t>收費辦法。又依行政院核定</w:t>
      </w:r>
      <w:proofErr w:type="gramStart"/>
      <w:r w:rsidRPr="0098781D">
        <w:rPr>
          <w:rFonts w:ascii="標楷體" w:eastAsia="標楷體" w:hAnsi="標楷體" w:hint="eastAsia"/>
          <w:bCs/>
          <w:color w:val="000000" w:themeColor="text1"/>
          <w:szCs w:val="24"/>
        </w:rPr>
        <w:t>113</w:t>
      </w:r>
      <w:proofErr w:type="gramEnd"/>
      <w:r w:rsidRPr="0098781D">
        <w:rPr>
          <w:rFonts w:ascii="標楷體" w:eastAsia="標楷體" w:hAnsi="標楷體" w:hint="eastAsia"/>
          <w:bCs/>
          <w:color w:val="000000" w:themeColor="text1"/>
          <w:szCs w:val="24"/>
        </w:rPr>
        <w:t>年度國營事業計畫總綱及預算籌編重要事項略</w:t>
      </w:r>
      <w:proofErr w:type="gramStart"/>
      <w:r w:rsidRPr="0098781D">
        <w:rPr>
          <w:rFonts w:ascii="標楷體" w:eastAsia="標楷體" w:hAnsi="標楷體" w:hint="eastAsia"/>
          <w:bCs/>
          <w:color w:val="000000" w:themeColor="text1"/>
          <w:szCs w:val="24"/>
        </w:rPr>
        <w:t>以</w:t>
      </w:r>
      <w:proofErr w:type="gramEnd"/>
      <w:r w:rsidRPr="0098781D">
        <w:rPr>
          <w:rFonts w:ascii="標楷體" w:eastAsia="標楷體" w:hAnsi="標楷體" w:hint="eastAsia"/>
          <w:bCs/>
          <w:color w:val="000000" w:themeColor="text1"/>
          <w:szCs w:val="24"/>
        </w:rPr>
        <w:t>，各事業結合永續發展理念，因應當前施政重點「臺灣2050</w:t>
      </w:r>
      <w:proofErr w:type="gramStart"/>
      <w:r w:rsidRPr="0098781D">
        <w:rPr>
          <w:rFonts w:ascii="標楷體" w:eastAsia="標楷體" w:hAnsi="標楷體" w:hint="eastAsia"/>
          <w:bCs/>
          <w:color w:val="000000" w:themeColor="text1"/>
          <w:szCs w:val="24"/>
        </w:rPr>
        <w:t>淨零排放</w:t>
      </w:r>
      <w:proofErr w:type="gramEnd"/>
      <w:r w:rsidRPr="0098781D">
        <w:rPr>
          <w:rFonts w:ascii="標楷體" w:eastAsia="標楷體" w:hAnsi="標楷體" w:hint="eastAsia"/>
          <w:bCs/>
          <w:color w:val="000000" w:themeColor="text1"/>
          <w:szCs w:val="24"/>
        </w:rPr>
        <w:t>路徑規劃與策略」及國家發展委員會所提出</w:t>
      </w:r>
      <w:r w:rsidR="000B186B">
        <w:rPr>
          <w:rFonts w:ascii="標楷體" w:eastAsia="標楷體" w:hAnsi="標楷體" w:hint="eastAsia"/>
          <w:bCs/>
          <w:color w:val="000000" w:themeColor="text1"/>
          <w:szCs w:val="24"/>
        </w:rPr>
        <w:t>12</w:t>
      </w:r>
      <w:r w:rsidRPr="0098781D">
        <w:rPr>
          <w:rFonts w:ascii="標楷體" w:eastAsia="標楷體" w:hAnsi="標楷體" w:hint="eastAsia"/>
          <w:bCs/>
          <w:color w:val="000000" w:themeColor="text1"/>
          <w:szCs w:val="24"/>
        </w:rPr>
        <w:t>項關鍵戰略具體作法，全力推動</w:t>
      </w:r>
      <w:proofErr w:type="gramStart"/>
      <w:r w:rsidRPr="0098781D">
        <w:rPr>
          <w:rFonts w:ascii="標楷體" w:eastAsia="標楷體" w:hAnsi="標楷體" w:hint="eastAsia"/>
          <w:bCs/>
          <w:color w:val="000000" w:themeColor="text1"/>
          <w:szCs w:val="24"/>
        </w:rPr>
        <w:t>各項淨零轉型</w:t>
      </w:r>
      <w:proofErr w:type="gramEnd"/>
      <w:r w:rsidRPr="0098781D">
        <w:rPr>
          <w:rFonts w:ascii="標楷體" w:eastAsia="標楷體" w:hAnsi="標楷體" w:hint="eastAsia"/>
          <w:bCs/>
          <w:color w:val="000000" w:themeColor="text1"/>
          <w:szCs w:val="24"/>
        </w:rPr>
        <w:t>政策，以</w:t>
      </w:r>
      <w:proofErr w:type="gramStart"/>
      <w:r w:rsidRPr="0098781D">
        <w:rPr>
          <w:rFonts w:ascii="標楷體" w:eastAsia="標楷體" w:hAnsi="標楷體" w:hint="eastAsia"/>
          <w:bCs/>
          <w:color w:val="000000" w:themeColor="text1"/>
          <w:szCs w:val="24"/>
        </w:rPr>
        <w:t>達成淨零目標</w:t>
      </w:r>
      <w:proofErr w:type="gramEnd"/>
      <w:r w:rsidRPr="0098781D">
        <w:rPr>
          <w:rFonts w:ascii="標楷體" w:eastAsia="標楷體" w:hAnsi="標楷體" w:hint="eastAsia"/>
          <w:bCs/>
          <w:color w:val="000000" w:themeColor="text1"/>
          <w:szCs w:val="24"/>
        </w:rPr>
        <w:t>。經查國營事業因應</w:t>
      </w:r>
      <w:proofErr w:type="gramStart"/>
      <w:r w:rsidRPr="0098781D">
        <w:rPr>
          <w:rFonts w:ascii="標楷體" w:eastAsia="標楷體" w:hAnsi="標楷體" w:hint="eastAsia"/>
          <w:bCs/>
          <w:color w:val="000000" w:themeColor="text1"/>
          <w:szCs w:val="24"/>
        </w:rPr>
        <w:t>我國碳費開徵</w:t>
      </w:r>
      <w:proofErr w:type="gramEnd"/>
      <w:r w:rsidRPr="0098781D">
        <w:rPr>
          <w:rFonts w:ascii="標楷體" w:eastAsia="標楷體" w:hAnsi="標楷體" w:hint="eastAsia"/>
          <w:bCs/>
          <w:color w:val="000000" w:themeColor="text1"/>
          <w:szCs w:val="24"/>
        </w:rPr>
        <w:t>，及永續資訊管理、揭露作業之內部控制制度建立情形，核有下列事項：</w:t>
      </w:r>
    </w:p>
    <w:p w14:paraId="7AD12936" w14:textId="485CC3A4" w:rsidR="00894426" w:rsidRPr="00502A79" w:rsidRDefault="00502A79" w:rsidP="005917F3">
      <w:pPr>
        <w:overflowPunct w:val="0"/>
        <w:adjustRightInd w:val="0"/>
        <w:snapToGrid w:val="0"/>
        <w:spacing w:line="422" w:lineRule="exact"/>
        <w:ind w:firstLineChars="450" w:firstLine="1081"/>
        <w:jc w:val="both"/>
        <w:rPr>
          <w:rFonts w:ascii="標楷體" w:eastAsia="標楷體" w:hAnsi="標楷體" w:cstheme="minorBidi"/>
          <w:szCs w:val="24"/>
        </w:rPr>
      </w:pPr>
      <w:r w:rsidRPr="00502A79">
        <w:rPr>
          <w:rFonts w:ascii="標楷體" w:eastAsia="標楷體" w:hAnsi="標楷體" w:cstheme="minorBidi" w:hint="eastAsia"/>
          <w:b/>
          <w:bCs/>
          <w:szCs w:val="24"/>
        </w:rPr>
        <w:t>1.　台灣電力公司、台灣中油公司及台灣糖業公司等國營事業因</w:t>
      </w:r>
      <w:proofErr w:type="gramStart"/>
      <w:r w:rsidRPr="00502A79">
        <w:rPr>
          <w:rFonts w:ascii="標楷體" w:eastAsia="標楷體" w:hAnsi="標楷體" w:cstheme="minorBidi" w:hint="eastAsia"/>
          <w:b/>
          <w:bCs/>
          <w:szCs w:val="24"/>
        </w:rPr>
        <w:t>我國碳費自</w:t>
      </w:r>
      <w:proofErr w:type="gramEnd"/>
      <w:r w:rsidRPr="00502A79">
        <w:rPr>
          <w:rFonts w:ascii="標楷體" w:eastAsia="標楷體" w:hAnsi="標楷體" w:cstheme="minorBidi" w:hint="eastAsia"/>
          <w:b/>
          <w:bCs/>
          <w:szCs w:val="24"/>
        </w:rPr>
        <w:t>114年起開徵，恐加劇其營運負荷，允宜督促輔導各該事業依限提出自主減量計畫，以適用優惠費率</w:t>
      </w:r>
      <w:proofErr w:type="gramStart"/>
      <w:r w:rsidRPr="00502A79">
        <w:rPr>
          <w:rFonts w:ascii="標楷體" w:eastAsia="標楷體" w:hAnsi="標楷體" w:cstheme="minorBidi" w:hint="eastAsia"/>
          <w:b/>
          <w:bCs/>
          <w:szCs w:val="24"/>
        </w:rPr>
        <w:t>減輕碳費負擔</w:t>
      </w:r>
      <w:proofErr w:type="gramEnd"/>
      <w:r w:rsidRPr="00502A79">
        <w:rPr>
          <w:rFonts w:ascii="標楷體" w:eastAsia="標楷體" w:hAnsi="標楷體" w:cstheme="minorBidi" w:hint="eastAsia"/>
          <w:b/>
          <w:bCs/>
          <w:szCs w:val="24"/>
        </w:rPr>
        <w:t>，另自</w:t>
      </w:r>
      <w:proofErr w:type="gramStart"/>
      <w:r w:rsidRPr="00502A79">
        <w:rPr>
          <w:rFonts w:ascii="標楷體" w:eastAsia="標楷體" w:hAnsi="標楷體" w:cstheme="minorBidi" w:hint="eastAsia"/>
          <w:b/>
          <w:bCs/>
          <w:szCs w:val="24"/>
        </w:rPr>
        <w:t>115年度起屬鐵路</w:t>
      </w:r>
      <w:proofErr w:type="gramEnd"/>
      <w:r w:rsidRPr="00502A79">
        <w:rPr>
          <w:rFonts w:ascii="標楷體" w:eastAsia="標楷體" w:hAnsi="標楷體" w:cstheme="minorBidi" w:hint="eastAsia"/>
          <w:b/>
          <w:bCs/>
          <w:szCs w:val="24"/>
        </w:rPr>
        <w:t>運輸業及製造業之國營事業屬應盤查對象，亦待督促輔導全面盤點應盤查登錄之排放源，</w:t>
      </w:r>
      <w:proofErr w:type="gramStart"/>
      <w:r w:rsidRPr="00502A79">
        <w:rPr>
          <w:rFonts w:ascii="標楷體" w:eastAsia="標楷體" w:hAnsi="標楷體" w:cstheme="minorBidi" w:hint="eastAsia"/>
          <w:b/>
          <w:bCs/>
          <w:szCs w:val="24"/>
        </w:rPr>
        <w:t>擴大減碳行動</w:t>
      </w:r>
      <w:proofErr w:type="gramEnd"/>
      <w:r w:rsidRPr="00502A79">
        <w:rPr>
          <w:rFonts w:ascii="標楷體" w:eastAsia="標楷體" w:hAnsi="標楷體" w:cstheme="minorBidi" w:hint="eastAsia"/>
          <w:b/>
          <w:bCs/>
          <w:szCs w:val="24"/>
        </w:rPr>
        <w:t>力：</w:t>
      </w:r>
      <w:r w:rsidRPr="00502A79">
        <w:rPr>
          <w:rFonts w:ascii="標楷體" w:eastAsia="標楷體" w:hAnsi="標楷體" w:cstheme="minorBidi" w:hint="eastAsia"/>
          <w:szCs w:val="24"/>
        </w:rPr>
        <w:t>環境</w:t>
      </w:r>
      <w:proofErr w:type="gramStart"/>
      <w:r w:rsidRPr="00502A79">
        <w:rPr>
          <w:rFonts w:ascii="標楷體" w:eastAsia="標楷體" w:hAnsi="標楷體" w:cstheme="minorBidi" w:hint="eastAsia"/>
          <w:szCs w:val="24"/>
        </w:rPr>
        <w:t>部為推動碳費</w:t>
      </w:r>
      <w:proofErr w:type="gramEnd"/>
      <w:r w:rsidRPr="00502A79">
        <w:rPr>
          <w:rFonts w:ascii="標楷體" w:eastAsia="標楷體" w:hAnsi="標楷體" w:cstheme="minorBidi" w:hint="eastAsia"/>
          <w:szCs w:val="24"/>
        </w:rPr>
        <w:t>制度，已依氣候變遷因應法第28條第1項規定，於113年8月29日訂定</w:t>
      </w:r>
      <w:proofErr w:type="gramStart"/>
      <w:r w:rsidRPr="00502A79">
        <w:rPr>
          <w:rFonts w:ascii="標楷體" w:eastAsia="標楷體" w:hAnsi="標楷體" w:cstheme="minorBidi" w:hint="eastAsia"/>
          <w:szCs w:val="24"/>
        </w:rPr>
        <w:t>發布碳費收費</w:t>
      </w:r>
      <w:proofErr w:type="gramEnd"/>
      <w:r w:rsidRPr="00502A79">
        <w:rPr>
          <w:rFonts w:ascii="標楷體" w:eastAsia="標楷體" w:hAnsi="標楷體" w:cstheme="minorBidi" w:hint="eastAsia"/>
          <w:szCs w:val="24"/>
        </w:rPr>
        <w:t>辦法，並於同日發布自主減量計畫管理辦法及「</w:t>
      </w:r>
      <w:proofErr w:type="gramStart"/>
      <w:r w:rsidRPr="00502A79">
        <w:rPr>
          <w:rFonts w:ascii="標楷體" w:eastAsia="標楷體" w:hAnsi="標楷體" w:cstheme="minorBidi" w:hint="eastAsia"/>
          <w:szCs w:val="24"/>
        </w:rPr>
        <w:t>碳費徵收</w:t>
      </w:r>
      <w:proofErr w:type="gramEnd"/>
      <w:r w:rsidRPr="00502A79">
        <w:rPr>
          <w:rFonts w:ascii="標楷體" w:eastAsia="標楷體" w:hAnsi="標楷體" w:cstheme="minorBidi" w:hint="eastAsia"/>
          <w:szCs w:val="24"/>
        </w:rPr>
        <w:t>對象溫室氣體減量指定目標」等配套子法，期透過優惠費率制度鼓勵事業實質減量。</w:t>
      </w:r>
      <w:proofErr w:type="gramStart"/>
      <w:r w:rsidRPr="00502A79">
        <w:rPr>
          <w:rFonts w:ascii="標楷體" w:eastAsia="標楷體" w:hAnsi="標楷體" w:cstheme="minorBidi" w:hint="eastAsia"/>
          <w:szCs w:val="24"/>
        </w:rPr>
        <w:t>該部已於</w:t>
      </w:r>
      <w:proofErr w:type="gramEnd"/>
      <w:r w:rsidRPr="00502A79">
        <w:rPr>
          <w:rFonts w:ascii="標楷體" w:eastAsia="標楷體" w:hAnsi="標楷體" w:cstheme="minorBidi" w:hint="eastAsia"/>
          <w:szCs w:val="24"/>
        </w:rPr>
        <w:t>113年10月21日</w:t>
      </w:r>
      <w:proofErr w:type="gramStart"/>
      <w:r w:rsidRPr="00502A79">
        <w:rPr>
          <w:rFonts w:ascii="標楷體" w:eastAsia="標楷體" w:hAnsi="標楷體" w:cstheme="minorBidi" w:hint="eastAsia"/>
          <w:szCs w:val="24"/>
        </w:rPr>
        <w:t>公告碳費徵收</w:t>
      </w:r>
      <w:proofErr w:type="gramEnd"/>
      <w:r w:rsidRPr="00502A79">
        <w:rPr>
          <w:rFonts w:ascii="標楷體" w:eastAsia="標楷體" w:hAnsi="標楷體" w:cstheme="minorBidi" w:hint="eastAsia"/>
          <w:szCs w:val="24"/>
        </w:rPr>
        <w:t>費率，並自114年1月1日生效，公告徵收之費率除一般費率（每噸碳300元）外，另包括2種優惠費率，供有意願於114年6月30日前提出自主減量計畫並於119年達成行業別或技術標竿指定</w:t>
      </w:r>
      <w:r w:rsidRPr="00502A79">
        <w:rPr>
          <w:rFonts w:ascii="標楷體" w:eastAsia="標楷體" w:hAnsi="標楷體" w:cstheme="minorBidi" w:hint="eastAsia"/>
          <w:color w:val="000000" w:themeColor="text1"/>
          <w:szCs w:val="24"/>
        </w:rPr>
        <w:t>削減率之事業，得分別適用優惠費率A（每噸碳50元）或優惠費率B（每噸碳100元）。依據環境部氣候變遷署溫室氣體排放</w:t>
      </w:r>
      <w:r w:rsidRPr="00502A79">
        <w:rPr>
          <w:rFonts w:ascii="標楷體" w:eastAsia="標楷體" w:hAnsi="標楷體" w:cstheme="minorBidi" w:hint="eastAsia"/>
          <w:color w:val="000000" w:themeColor="text1"/>
          <w:szCs w:val="24"/>
        </w:rPr>
        <w:lastRenderedPageBreak/>
        <w:t>量資訊平台（下稱排放量資訊平台）公告資訊，國營事業屬應盤查登錄及查驗之排放源且</w:t>
      </w:r>
      <w:proofErr w:type="gramStart"/>
      <w:r w:rsidRPr="00502A79">
        <w:rPr>
          <w:rFonts w:ascii="標楷體" w:eastAsia="標楷體" w:hAnsi="標楷體" w:cstheme="minorBidi" w:hint="eastAsia"/>
          <w:color w:val="000000" w:themeColor="text1"/>
          <w:szCs w:val="24"/>
        </w:rPr>
        <w:t>為碳費</w:t>
      </w:r>
      <w:proofErr w:type="gramEnd"/>
      <w:r w:rsidRPr="00502A79">
        <w:rPr>
          <w:rFonts w:ascii="標楷體" w:eastAsia="標楷體" w:hAnsi="標楷體" w:cstheme="minorBidi" w:hint="eastAsia"/>
          <w:color w:val="000000" w:themeColor="text1"/>
          <w:szCs w:val="24"/>
        </w:rPr>
        <w:t>徵收對象者，計有台灣電力公司、台灣中油公司及台灣糖業公司等3家事業，依據前揭事業提供</w:t>
      </w:r>
      <w:proofErr w:type="gramStart"/>
      <w:r w:rsidRPr="00502A79">
        <w:rPr>
          <w:rFonts w:ascii="標楷體" w:eastAsia="標楷體" w:hAnsi="標楷體" w:cstheme="minorBidi" w:hint="eastAsia"/>
          <w:color w:val="000000" w:themeColor="text1"/>
          <w:szCs w:val="24"/>
        </w:rPr>
        <w:t>113</w:t>
      </w:r>
      <w:proofErr w:type="gramEnd"/>
      <w:r w:rsidRPr="00502A79">
        <w:rPr>
          <w:rFonts w:ascii="標楷體" w:eastAsia="標楷體" w:hAnsi="標楷體" w:cstheme="minorBidi" w:hint="eastAsia"/>
          <w:color w:val="000000" w:themeColor="text1"/>
          <w:szCs w:val="24"/>
        </w:rPr>
        <w:t>年度排放量自主盤查結果，排放量由高至低依序為台灣電力公司（12廠）9,131萬餘公噸CO</w:t>
      </w:r>
      <w:r w:rsidRPr="004B1666">
        <w:rPr>
          <w:rFonts w:ascii="標楷體" w:eastAsia="標楷體" w:hAnsi="標楷體" w:cstheme="minorBidi" w:hint="eastAsia"/>
          <w:color w:val="000000" w:themeColor="text1"/>
          <w:sz w:val="18"/>
          <w:szCs w:val="18"/>
        </w:rPr>
        <w:t>2</w:t>
      </w:r>
      <w:r w:rsidRPr="00502A79">
        <w:rPr>
          <w:rFonts w:ascii="標楷體" w:eastAsia="標楷體" w:hAnsi="標楷體" w:cstheme="minorBidi" w:hint="eastAsia"/>
          <w:color w:val="000000" w:themeColor="text1"/>
          <w:szCs w:val="24"/>
        </w:rPr>
        <w:t>e、台灣中油公司（5廠）689萬餘公噸</w:t>
      </w:r>
      <w:r w:rsidR="00457980" w:rsidRPr="00502A79">
        <w:rPr>
          <w:rFonts w:ascii="標楷體" w:eastAsia="標楷體" w:hAnsi="標楷體" w:cstheme="minorBidi" w:hint="eastAsia"/>
          <w:color w:val="000000" w:themeColor="text1"/>
          <w:szCs w:val="24"/>
        </w:rPr>
        <w:t>CO</w:t>
      </w:r>
      <w:r w:rsidR="00457980" w:rsidRPr="004B1666">
        <w:rPr>
          <w:rFonts w:ascii="標楷體" w:eastAsia="標楷體" w:hAnsi="標楷體" w:cstheme="minorBidi" w:hint="eastAsia"/>
          <w:color w:val="000000" w:themeColor="text1"/>
          <w:sz w:val="18"/>
          <w:szCs w:val="18"/>
        </w:rPr>
        <w:t>2</w:t>
      </w:r>
      <w:r w:rsidR="00457980" w:rsidRPr="00502A79">
        <w:rPr>
          <w:rFonts w:ascii="標楷體" w:eastAsia="標楷體" w:hAnsi="標楷體" w:cstheme="minorBidi" w:hint="eastAsia"/>
          <w:color w:val="000000" w:themeColor="text1"/>
          <w:szCs w:val="24"/>
        </w:rPr>
        <w:t>e</w:t>
      </w:r>
      <w:r w:rsidRPr="00502A79">
        <w:rPr>
          <w:rFonts w:ascii="標楷體" w:eastAsia="標楷體" w:hAnsi="標楷體" w:cstheme="minorBidi" w:hint="eastAsia"/>
          <w:color w:val="000000" w:themeColor="text1"/>
          <w:szCs w:val="24"/>
        </w:rPr>
        <w:t>、台灣糖業公司（1廠）6萬餘公噸</w:t>
      </w:r>
      <w:r w:rsidR="00457980" w:rsidRPr="00502A79">
        <w:rPr>
          <w:rFonts w:ascii="標楷體" w:eastAsia="標楷體" w:hAnsi="標楷體" w:cstheme="minorBidi" w:hint="eastAsia"/>
          <w:color w:val="000000" w:themeColor="text1"/>
          <w:szCs w:val="24"/>
        </w:rPr>
        <w:t>CO</w:t>
      </w:r>
      <w:r w:rsidR="00457980" w:rsidRPr="004B1666">
        <w:rPr>
          <w:rFonts w:ascii="標楷體" w:eastAsia="標楷體" w:hAnsi="標楷體" w:cstheme="minorBidi" w:hint="eastAsia"/>
          <w:color w:val="000000" w:themeColor="text1"/>
          <w:sz w:val="18"/>
          <w:szCs w:val="18"/>
        </w:rPr>
        <w:t>2</w:t>
      </w:r>
      <w:r w:rsidR="00457980" w:rsidRPr="00502A79">
        <w:rPr>
          <w:rFonts w:ascii="標楷體" w:eastAsia="標楷體" w:hAnsi="標楷體" w:cstheme="minorBidi" w:hint="eastAsia"/>
          <w:color w:val="000000" w:themeColor="text1"/>
          <w:szCs w:val="24"/>
        </w:rPr>
        <w:t>e</w:t>
      </w:r>
      <w:r w:rsidRPr="00502A79">
        <w:rPr>
          <w:rFonts w:ascii="標楷體" w:eastAsia="標楷體" w:hAnsi="標楷體" w:cstheme="minorBidi" w:hint="eastAsia"/>
          <w:color w:val="000000" w:themeColor="text1"/>
          <w:szCs w:val="24"/>
        </w:rPr>
        <w:t>，若</w:t>
      </w:r>
      <w:proofErr w:type="gramStart"/>
      <w:r w:rsidRPr="00502A79">
        <w:rPr>
          <w:rFonts w:ascii="標楷體" w:eastAsia="標楷體" w:hAnsi="標楷體" w:cstheme="minorBidi" w:hint="eastAsia"/>
          <w:color w:val="000000" w:themeColor="text1"/>
          <w:szCs w:val="24"/>
        </w:rPr>
        <w:t>按碳費</w:t>
      </w:r>
      <w:proofErr w:type="gramEnd"/>
      <w:r w:rsidRPr="00502A79">
        <w:rPr>
          <w:rFonts w:ascii="標楷體" w:eastAsia="標楷體" w:hAnsi="標楷體" w:cstheme="minorBidi" w:hint="eastAsia"/>
          <w:color w:val="000000" w:themeColor="text1"/>
          <w:szCs w:val="24"/>
        </w:rPr>
        <w:t>收費辦法第5條及第8條規定，各該事業扣除起徵門檻2.5萬公噸</w:t>
      </w:r>
      <w:r w:rsidR="00457980" w:rsidRPr="00502A79">
        <w:rPr>
          <w:rFonts w:ascii="標楷體" w:eastAsia="標楷體" w:hAnsi="標楷體" w:cstheme="minorBidi" w:hint="eastAsia"/>
          <w:color w:val="000000" w:themeColor="text1"/>
          <w:szCs w:val="24"/>
        </w:rPr>
        <w:t>CO</w:t>
      </w:r>
      <w:r w:rsidR="00457980" w:rsidRPr="004B1666">
        <w:rPr>
          <w:rFonts w:ascii="標楷體" w:eastAsia="標楷體" w:hAnsi="標楷體" w:cstheme="minorBidi" w:hint="eastAsia"/>
          <w:color w:val="000000" w:themeColor="text1"/>
          <w:sz w:val="18"/>
          <w:szCs w:val="18"/>
        </w:rPr>
        <w:t>2</w:t>
      </w:r>
      <w:r w:rsidR="00457980" w:rsidRPr="00502A79">
        <w:rPr>
          <w:rFonts w:ascii="標楷體" w:eastAsia="標楷體" w:hAnsi="標楷體" w:cstheme="minorBidi" w:hint="eastAsia"/>
          <w:color w:val="000000" w:themeColor="text1"/>
          <w:szCs w:val="24"/>
        </w:rPr>
        <w:t>e</w:t>
      </w:r>
      <w:r w:rsidRPr="00502A79">
        <w:rPr>
          <w:rFonts w:ascii="標楷體" w:eastAsia="標楷體" w:hAnsi="標楷體" w:cstheme="minorBidi" w:hint="eastAsia"/>
          <w:color w:val="000000" w:themeColor="text1"/>
          <w:szCs w:val="24"/>
        </w:rPr>
        <w:t>及屬電力消費部分之排放量後，以一般費率估算應繳納</w:t>
      </w:r>
      <w:proofErr w:type="gramStart"/>
      <w:r w:rsidRPr="00502A79">
        <w:rPr>
          <w:rFonts w:ascii="標楷體" w:eastAsia="標楷體" w:hAnsi="標楷體" w:cstheme="minorBidi" w:hint="eastAsia"/>
          <w:color w:val="000000" w:themeColor="text1"/>
          <w:szCs w:val="24"/>
        </w:rPr>
        <w:t>之碳費</w:t>
      </w:r>
      <w:proofErr w:type="gramEnd"/>
      <w:r w:rsidRPr="00502A79">
        <w:rPr>
          <w:rFonts w:ascii="標楷體" w:eastAsia="標楷體" w:hAnsi="標楷體" w:cstheme="minorBidi" w:hint="eastAsia"/>
          <w:color w:val="000000" w:themeColor="text1"/>
          <w:szCs w:val="24"/>
        </w:rPr>
        <w:t>金額，由高至低依序為台灣中油公司20億餘元、台灣電力公司13億餘元、台灣糖業公司0.1億餘元，合計33億餘元。</w:t>
      </w:r>
      <w:proofErr w:type="gramStart"/>
      <w:r w:rsidRPr="00502A79">
        <w:rPr>
          <w:rFonts w:ascii="標楷體" w:eastAsia="標楷體" w:hAnsi="標楷體" w:cstheme="minorBidi" w:hint="eastAsia"/>
          <w:color w:val="000000" w:themeColor="text1"/>
          <w:szCs w:val="24"/>
        </w:rPr>
        <w:t>鑑</w:t>
      </w:r>
      <w:proofErr w:type="gramEnd"/>
      <w:r w:rsidRPr="00502A79">
        <w:rPr>
          <w:rFonts w:ascii="標楷體" w:eastAsia="標楷體" w:hAnsi="標楷體" w:cstheme="minorBidi" w:hint="eastAsia"/>
          <w:color w:val="000000" w:themeColor="text1"/>
          <w:szCs w:val="24"/>
        </w:rPr>
        <w:t>於台灣中油公司、台灣電力公司</w:t>
      </w:r>
      <w:proofErr w:type="gramStart"/>
      <w:r w:rsidRPr="00502A79">
        <w:rPr>
          <w:rFonts w:ascii="標楷體" w:eastAsia="標楷體" w:hAnsi="標楷體" w:cstheme="minorBidi" w:hint="eastAsia"/>
          <w:color w:val="000000" w:themeColor="text1"/>
          <w:szCs w:val="24"/>
        </w:rPr>
        <w:t>113</w:t>
      </w:r>
      <w:proofErr w:type="gramEnd"/>
      <w:r w:rsidRPr="00502A79">
        <w:rPr>
          <w:rFonts w:ascii="標楷體" w:eastAsia="標楷體" w:hAnsi="標楷體" w:cstheme="minorBidi" w:hint="eastAsia"/>
          <w:color w:val="000000" w:themeColor="text1"/>
          <w:szCs w:val="24"/>
        </w:rPr>
        <w:t>年度營運結果，分別發生稅前虧損366億餘元、392億餘元，截至113年底累積虧損分別為669億餘元、4,210億餘元。為免</w:t>
      </w:r>
      <w:proofErr w:type="gramStart"/>
      <w:r w:rsidRPr="00502A79">
        <w:rPr>
          <w:rFonts w:ascii="標楷體" w:eastAsia="標楷體" w:hAnsi="標楷體" w:cstheme="minorBidi" w:hint="eastAsia"/>
          <w:color w:val="000000" w:themeColor="text1"/>
          <w:szCs w:val="24"/>
        </w:rPr>
        <w:t>因碳費</w:t>
      </w:r>
      <w:proofErr w:type="gramEnd"/>
      <w:r w:rsidRPr="00502A79">
        <w:rPr>
          <w:rFonts w:ascii="標楷體" w:eastAsia="標楷體" w:hAnsi="標楷體" w:cstheme="minorBidi" w:hint="eastAsia"/>
          <w:color w:val="000000" w:themeColor="text1"/>
          <w:szCs w:val="24"/>
        </w:rPr>
        <w:t>開徵加劇營運負荷，倘能提出自主減量計畫並獲核定適用優惠費率，依不同之優惠費率計算，則只須徵收</w:t>
      </w:r>
      <w:proofErr w:type="gramStart"/>
      <w:r w:rsidRPr="00502A79">
        <w:rPr>
          <w:rFonts w:ascii="標楷體" w:eastAsia="標楷體" w:hAnsi="標楷體" w:cstheme="minorBidi" w:hint="eastAsia"/>
          <w:color w:val="000000" w:themeColor="text1"/>
          <w:szCs w:val="24"/>
        </w:rPr>
        <w:t>之碳費</w:t>
      </w:r>
      <w:proofErr w:type="gramEnd"/>
      <w:r w:rsidRPr="00502A79">
        <w:rPr>
          <w:rFonts w:ascii="標楷體" w:eastAsia="標楷體" w:hAnsi="標楷體" w:cstheme="minorBidi" w:hint="eastAsia"/>
          <w:color w:val="000000" w:themeColor="text1"/>
          <w:szCs w:val="24"/>
        </w:rPr>
        <w:t>金額為5億餘元或11億餘</w:t>
      </w:r>
      <w:r w:rsidR="00055317" w:rsidRPr="00502A79">
        <w:rPr>
          <w:rFonts w:ascii="標楷體" w:eastAsia="標楷體" w:hAnsi="標楷體" w:cstheme="minorBidi"/>
          <w:noProof/>
          <w:szCs w:val="24"/>
        </w:rPr>
        <mc:AlternateContent>
          <mc:Choice Requires="wps">
            <w:drawing>
              <wp:anchor distT="45720" distB="45720" distL="114300" distR="114300" simplePos="0" relativeHeight="251629568" behindDoc="0" locked="0" layoutInCell="1" allowOverlap="1" wp14:anchorId="31968F9E" wp14:editId="25BFBF63">
                <wp:simplePos x="0" y="0"/>
                <wp:positionH relativeFrom="margin">
                  <wp:posOffset>902335</wp:posOffset>
                </wp:positionH>
                <wp:positionV relativeFrom="paragraph">
                  <wp:posOffset>2815590</wp:posOffset>
                </wp:positionV>
                <wp:extent cx="5402580" cy="1958340"/>
                <wp:effectExtent l="0" t="0" r="7620" b="3810"/>
                <wp:wrapSquare wrapText="bothSides"/>
                <wp:docPr id="20083270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2580" cy="1958340"/>
                        </a:xfrm>
                        <a:prstGeom prst="rect">
                          <a:avLst/>
                        </a:prstGeom>
                        <a:solidFill>
                          <a:srgbClr val="FFFFFF"/>
                        </a:solidFill>
                        <a:ln w="9525">
                          <a:noFill/>
                          <a:miter lim="800000"/>
                          <a:headEnd/>
                          <a:tailEnd/>
                        </a:ln>
                      </wps:spPr>
                      <wps:txbx>
                        <w:txbxContent>
                          <w:tbl>
                            <w:tblPr>
                              <w:tblStyle w:val="112"/>
                              <w:tblW w:w="0" w:type="auto"/>
                              <w:jc w:val="center"/>
                              <w:tblLook w:val="04A0" w:firstRow="1" w:lastRow="0" w:firstColumn="1" w:lastColumn="0" w:noHBand="0" w:noVBand="1"/>
                            </w:tblPr>
                            <w:tblGrid>
                              <w:gridCol w:w="1559"/>
                              <w:gridCol w:w="1985"/>
                              <w:gridCol w:w="1984"/>
                              <w:gridCol w:w="2107"/>
                            </w:tblGrid>
                            <w:tr w:rsidR="001029CC" w14:paraId="0801F8DF" w14:textId="77777777" w:rsidTr="001029CC">
                              <w:trPr>
                                <w:trHeight w:val="397"/>
                                <w:jc w:val="center"/>
                              </w:trPr>
                              <w:tc>
                                <w:tcPr>
                                  <w:tcW w:w="7635" w:type="dxa"/>
                                  <w:gridSpan w:val="4"/>
                                  <w:tcBorders>
                                    <w:top w:val="nil"/>
                                    <w:left w:val="nil"/>
                                    <w:bottom w:val="nil"/>
                                    <w:right w:val="nil"/>
                                  </w:tcBorders>
                                  <w:vAlign w:val="center"/>
                                </w:tcPr>
                                <w:p w14:paraId="28BA23F3" w14:textId="5FD5F7F2" w:rsidR="00502A79" w:rsidRPr="001029CC" w:rsidRDefault="00502A79" w:rsidP="00C44E14">
                                  <w:pPr>
                                    <w:tabs>
                                      <w:tab w:val="left" w:pos="240"/>
                                      <w:tab w:val="left" w:pos="7080"/>
                                    </w:tabs>
                                    <w:overflowPunct w:val="0"/>
                                    <w:snapToGrid w:val="0"/>
                                    <w:spacing w:afterLines="10" w:after="36"/>
                                    <w:jc w:val="center"/>
                                    <w:textDirection w:val="lrTbV"/>
                                    <w:rPr>
                                      <w:rFonts w:ascii="標楷體" w:eastAsia="標楷體" w:hAnsi="標楷體" w:cs="標楷體"/>
                                      <w:b/>
                                      <w:bCs/>
                                      <w:kern w:val="0"/>
                                      <w:szCs w:val="24"/>
                                    </w:rPr>
                                  </w:pPr>
                                  <w:r w:rsidRPr="001029CC">
                                    <w:rPr>
                                      <w:rFonts w:ascii="標楷體" w:eastAsia="標楷體" w:hAnsi="標楷體" w:cs="標楷體" w:hint="eastAsia"/>
                                      <w:b/>
                                      <w:bCs/>
                                      <w:kern w:val="0"/>
                                      <w:szCs w:val="24"/>
                                    </w:rPr>
                                    <w:t>表</w:t>
                                  </w:r>
                                  <w:r w:rsidR="0006497C">
                                    <w:rPr>
                                      <w:rFonts w:ascii="標楷體" w:eastAsia="標楷體" w:hAnsi="標楷體" w:hint="eastAsia"/>
                                      <w:b/>
                                      <w:bCs/>
                                      <w:szCs w:val="24"/>
                                    </w:rPr>
                                    <w:t>1</w:t>
                                  </w:r>
                                  <w:r w:rsidR="0006497C">
                                    <w:rPr>
                                      <w:rFonts w:ascii="標楷體" w:eastAsia="標楷體" w:hAnsi="標楷體"/>
                                      <w:b/>
                                      <w:bCs/>
                                      <w:szCs w:val="24"/>
                                    </w:rPr>
                                    <w:t>7</w:t>
                                  </w:r>
                                  <w:r w:rsidRPr="001029CC">
                                    <w:rPr>
                                      <w:rFonts w:ascii="標楷體" w:eastAsia="標楷體" w:hAnsi="標楷體" w:cs="標楷體" w:hint="eastAsia"/>
                                      <w:b/>
                                      <w:bCs/>
                                      <w:kern w:val="0"/>
                                      <w:szCs w:val="24"/>
                                    </w:rPr>
                                    <w:t xml:space="preserve">　國營</w:t>
                                  </w:r>
                                  <w:r w:rsidRPr="001029CC">
                                    <w:rPr>
                                      <w:rFonts w:ascii="標楷體" w:eastAsia="標楷體" w:hAnsi="標楷體" w:cs="標楷體"/>
                                      <w:b/>
                                      <w:bCs/>
                                      <w:kern w:val="0"/>
                                      <w:szCs w:val="24"/>
                                    </w:rPr>
                                    <w:t>事業</w:t>
                                  </w:r>
                                  <w:r w:rsidRPr="001029CC">
                                    <w:rPr>
                                      <w:rFonts w:ascii="標楷體" w:eastAsia="標楷體" w:hAnsi="標楷體" w:cs="標楷體" w:hint="eastAsia"/>
                                      <w:b/>
                                      <w:bCs/>
                                      <w:kern w:val="0"/>
                                      <w:szCs w:val="24"/>
                                    </w:rPr>
                                    <w:t>依</w:t>
                                  </w:r>
                                  <w:proofErr w:type="gramStart"/>
                                  <w:r w:rsidRPr="001029CC">
                                    <w:rPr>
                                      <w:rFonts w:ascii="標楷體" w:eastAsia="標楷體" w:hAnsi="標楷體" w:cs="標楷體" w:hint="eastAsia"/>
                                      <w:b/>
                                      <w:bCs/>
                                      <w:kern w:val="0"/>
                                      <w:szCs w:val="24"/>
                                    </w:rPr>
                                    <w:t>1</w:t>
                                  </w:r>
                                  <w:r w:rsidRPr="001029CC">
                                    <w:rPr>
                                      <w:rFonts w:ascii="標楷體" w:eastAsia="標楷體" w:hAnsi="標楷體" w:cs="標楷體"/>
                                      <w:b/>
                                      <w:bCs/>
                                      <w:kern w:val="0"/>
                                      <w:szCs w:val="24"/>
                                    </w:rPr>
                                    <w:t>13</w:t>
                                  </w:r>
                                  <w:proofErr w:type="gramEnd"/>
                                  <w:r w:rsidRPr="001029CC">
                                    <w:rPr>
                                      <w:rFonts w:ascii="標楷體" w:eastAsia="標楷體" w:hAnsi="標楷體" w:cs="標楷體" w:hint="eastAsia"/>
                                      <w:b/>
                                      <w:bCs/>
                                      <w:kern w:val="0"/>
                                      <w:szCs w:val="24"/>
                                    </w:rPr>
                                    <w:t>年度排放量自主盤查結果估算應繳納</w:t>
                                  </w:r>
                                  <w:proofErr w:type="gramStart"/>
                                  <w:r w:rsidRPr="001029CC">
                                    <w:rPr>
                                      <w:rFonts w:ascii="標楷體" w:eastAsia="標楷體" w:hAnsi="標楷體" w:cs="標楷體" w:hint="eastAsia"/>
                                      <w:b/>
                                      <w:bCs/>
                                      <w:kern w:val="0"/>
                                      <w:szCs w:val="24"/>
                                    </w:rPr>
                                    <w:t>之碳費</w:t>
                                  </w:r>
                                  <w:proofErr w:type="gramEnd"/>
                                </w:p>
                              </w:tc>
                            </w:tr>
                            <w:tr w:rsidR="001029CC" w14:paraId="1AE974B6" w14:textId="77777777" w:rsidTr="001029CC">
                              <w:trPr>
                                <w:trHeight w:val="80"/>
                                <w:jc w:val="center"/>
                              </w:trPr>
                              <w:tc>
                                <w:tcPr>
                                  <w:tcW w:w="7635" w:type="dxa"/>
                                  <w:gridSpan w:val="4"/>
                                  <w:tcBorders>
                                    <w:top w:val="nil"/>
                                    <w:left w:val="nil"/>
                                    <w:right w:val="nil"/>
                                  </w:tcBorders>
                                  <w:vAlign w:val="center"/>
                                </w:tcPr>
                                <w:p w14:paraId="4EB54373" w14:textId="77777777" w:rsidR="00502A79" w:rsidRPr="001029CC" w:rsidRDefault="00502A79" w:rsidP="00425F07">
                                  <w:pPr>
                                    <w:tabs>
                                      <w:tab w:val="left" w:pos="240"/>
                                      <w:tab w:val="left" w:pos="7080"/>
                                    </w:tabs>
                                    <w:overflowPunct w:val="0"/>
                                    <w:snapToGrid w:val="0"/>
                                    <w:spacing w:line="240" w:lineRule="atLeast"/>
                                    <w:ind w:rightChars="-24" w:right="-58"/>
                                    <w:jc w:val="right"/>
                                    <w:textDirection w:val="lrTbV"/>
                                    <w:rPr>
                                      <w:rFonts w:ascii="標楷體" w:eastAsia="標楷體" w:hAnsi="標楷體" w:cs="標楷體"/>
                                      <w:bCs/>
                                      <w:kern w:val="0"/>
                                      <w:sz w:val="20"/>
                                      <w:szCs w:val="20"/>
                                    </w:rPr>
                                  </w:pPr>
                                  <w:r w:rsidRPr="001029CC">
                                    <w:rPr>
                                      <w:rFonts w:ascii="標楷體" w:eastAsia="標楷體" w:hAnsi="標楷體" w:cs="標楷體" w:hint="eastAsia"/>
                                      <w:bCs/>
                                      <w:kern w:val="0"/>
                                      <w:sz w:val="20"/>
                                      <w:szCs w:val="20"/>
                                    </w:rPr>
                                    <w:t>單位：新臺幣</w:t>
                                  </w:r>
                                  <w:r w:rsidRPr="001029CC">
                                    <w:rPr>
                                      <w:rFonts w:ascii="標楷體" w:eastAsia="標楷體" w:hAnsi="標楷體" w:cs="標楷體"/>
                                      <w:bCs/>
                                      <w:kern w:val="0"/>
                                      <w:sz w:val="20"/>
                                      <w:szCs w:val="20"/>
                                    </w:rPr>
                                    <w:t>萬元</w:t>
                                  </w:r>
                                </w:p>
                              </w:tc>
                            </w:tr>
                            <w:tr w:rsidR="001029CC" w14:paraId="7E0ECE40" w14:textId="77777777" w:rsidTr="001029CC">
                              <w:trPr>
                                <w:trHeight w:val="567"/>
                                <w:jc w:val="center"/>
                              </w:trPr>
                              <w:tc>
                                <w:tcPr>
                                  <w:tcW w:w="1559" w:type="dxa"/>
                                  <w:vAlign w:val="center"/>
                                </w:tcPr>
                                <w:p w14:paraId="092F2D1B" w14:textId="77777777" w:rsidR="00502A79" w:rsidRPr="001029CC" w:rsidRDefault="00502A79" w:rsidP="00C7485D">
                                  <w:pPr>
                                    <w:snapToGrid w:val="0"/>
                                    <w:spacing w:line="240" w:lineRule="atLeast"/>
                                    <w:jc w:val="center"/>
                                    <w:rPr>
                                      <w:rFonts w:ascii="標楷體" w:eastAsia="標楷體" w:hAnsi="標楷體"/>
                                      <w:sz w:val="20"/>
                                      <w:szCs w:val="20"/>
                                    </w:rPr>
                                  </w:pPr>
                                  <w:r w:rsidRPr="001029CC">
                                    <w:rPr>
                                      <w:rFonts w:ascii="標楷體" w:eastAsia="標楷體" w:hAnsi="標楷體" w:hint="eastAsia"/>
                                      <w:sz w:val="20"/>
                                      <w:szCs w:val="20"/>
                                    </w:rPr>
                                    <w:t>事業名稱</w:t>
                                  </w:r>
                                </w:p>
                              </w:tc>
                              <w:tc>
                                <w:tcPr>
                                  <w:tcW w:w="1985" w:type="dxa"/>
                                  <w:vAlign w:val="center"/>
                                </w:tcPr>
                                <w:p w14:paraId="71E2271E" w14:textId="77777777" w:rsidR="00502A79" w:rsidRPr="001029CC" w:rsidRDefault="00502A79" w:rsidP="00C7485D">
                                  <w:pPr>
                                    <w:snapToGrid w:val="0"/>
                                    <w:spacing w:line="240" w:lineRule="atLeast"/>
                                    <w:jc w:val="center"/>
                                    <w:rPr>
                                      <w:rFonts w:ascii="標楷體" w:eastAsia="標楷體" w:hAnsi="標楷體"/>
                                      <w:bCs/>
                                      <w:sz w:val="20"/>
                                      <w:szCs w:val="20"/>
                                    </w:rPr>
                                  </w:pPr>
                                  <w:r w:rsidRPr="001029CC">
                                    <w:rPr>
                                      <w:rFonts w:ascii="標楷體" w:eastAsia="標楷體" w:hAnsi="標楷體"/>
                                      <w:bCs/>
                                      <w:sz w:val="20"/>
                                      <w:szCs w:val="20"/>
                                    </w:rPr>
                                    <w:t>一般費率</w:t>
                                  </w:r>
                                </w:p>
                                <w:p w14:paraId="0C03A097" w14:textId="51785185" w:rsidR="00502A79" w:rsidRPr="001029CC" w:rsidRDefault="00502A79" w:rsidP="00C7485D">
                                  <w:pPr>
                                    <w:snapToGrid w:val="0"/>
                                    <w:spacing w:line="240" w:lineRule="atLeast"/>
                                    <w:jc w:val="center"/>
                                    <w:rPr>
                                      <w:rFonts w:ascii="標楷體" w:eastAsia="標楷體" w:hAnsi="標楷體"/>
                                      <w:sz w:val="20"/>
                                      <w:szCs w:val="20"/>
                                    </w:rPr>
                                  </w:pPr>
                                  <w:r w:rsidRPr="001029CC">
                                    <w:rPr>
                                      <w:rFonts w:ascii="標楷體" w:eastAsia="標楷體" w:hAnsi="標楷體" w:hint="eastAsia"/>
                                      <w:sz w:val="20"/>
                                      <w:szCs w:val="20"/>
                                    </w:rPr>
                                    <w:t>（300元/公噸</w:t>
                                  </w:r>
                                  <w:r w:rsidR="00457980" w:rsidRPr="00457980">
                                    <w:rPr>
                                      <w:rFonts w:ascii="標楷體" w:eastAsia="標楷體" w:hAnsi="標楷體" w:hint="eastAsia"/>
                                      <w:color w:val="000000" w:themeColor="text1"/>
                                      <w:sz w:val="20"/>
                                      <w:szCs w:val="20"/>
                                    </w:rPr>
                                    <w:t>CO</w:t>
                                  </w:r>
                                  <w:r w:rsidR="00457980" w:rsidRPr="004B1666">
                                    <w:rPr>
                                      <w:rFonts w:ascii="標楷體" w:eastAsia="標楷體" w:hAnsi="標楷體" w:hint="eastAsia"/>
                                      <w:color w:val="000000" w:themeColor="text1"/>
                                      <w:sz w:val="16"/>
                                      <w:szCs w:val="16"/>
                                    </w:rPr>
                                    <w:t>2</w:t>
                                  </w:r>
                                  <w:r w:rsidR="00457980" w:rsidRPr="00457980">
                                    <w:rPr>
                                      <w:rFonts w:ascii="標楷體" w:eastAsia="標楷體" w:hAnsi="標楷體" w:hint="eastAsia"/>
                                      <w:color w:val="000000" w:themeColor="text1"/>
                                      <w:sz w:val="20"/>
                                      <w:szCs w:val="20"/>
                                    </w:rPr>
                                    <w:t>e</w:t>
                                  </w:r>
                                  <w:r w:rsidRPr="00457980">
                                    <w:rPr>
                                      <w:rFonts w:ascii="標楷體" w:eastAsia="標楷體" w:hAnsi="標楷體" w:hint="eastAsia"/>
                                      <w:sz w:val="20"/>
                                      <w:szCs w:val="20"/>
                                    </w:rPr>
                                    <w:t>）</w:t>
                                  </w:r>
                                </w:p>
                              </w:tc>
                              <w:tc>
                                <w:tcPr>
                                  <w:tcW w:w="1984" w:type="dxa"/>
                                  <w:vAlign w:val="center"/>
                                </w:tcPr>
                                <w:p w14:paraId="0234698C" w14:textId="77777777"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cs="標楷體"/>
                                      <w:bCs/>
                                      <w:kern w:val="0"/>
                                      <w:sz w:val="20"/>
                                      <w:szCs w:val="20"/>
                                    </w:rPr>
                                  </w:pPr>
                                  <w:r w:rsidRPr="001029CC">
                                    <w:rPr>
                                      <w:rFonts w:ascii="標楷體" w:eastAsia="標楷體" w:hAnsi="標楷體" w:cs="標楷體"/>
                                      <w:bCs/>
                                      <w:kern w:val="0"/>
                                      <w:sz w:val="20"/>
                                      <w:szCs w:val="20"/>
                                    </w:rPr>
                                    <w:t>優惠費率</w:t>
                                  </w:r>
                                  <w:r w:rsidRPr="001029CC">
                                    <w:rPr>
                                      <w:rFonts w:ascii="標楷體" w:eastAsia="標楷體" w:hAnsi="標楷體" w:cs="標楷體" w:hint="eastAsia"/>
                                      <w:bCs/>
                                      <w:kern w:val="0"/>
                                      <w:sz w:val="20"/>
                                      <w:szCs w:val="20"/>
                                    </w:rPr>
                                    <w:t>A</w:t>
                                  </w:r>
                                </w:p>
                                <w:p w14:paraId="2FC1C52D" w14:textId="10825397"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sz w:val="20"/>
                                      <w:szCs w:val="20"/>
                                    </w:rPr>
                                  </w:pPr>
                                  <w:r w:rsidRPr="001029CC">
                                    <w:rPr>
                                      <w:rFonts w:ascii="標楷體" w:eastAsia="標楷體" w:hAnsi="標楷體" w:hint="eastAsia"/>
                                      <w:sz w:val="20"/>
                                      <w:szCs w:val="20"/>
                                    </w:rPr>
                                    <w:t>（50元/公噸</w:t>
                                  </w:r>
                                  <w:r w:rsidR="00457980" w:rsidRPr="00457980">
                                    <w:rPr>
                                      <w:rFonts w:ascii="標楷體" w:eastAsia="標楷體" w:hAnsi="標楷體" w:hint="eastAsia"/>
                                      <w:color w:val="000000" w:themeColor="text1"/>
                                      <w:sz w:val="20"/>
                                      <w:szCs w:val="20"/>
                                    </w:rPr>
                                    <w:t>CO</w:t>
                                  </w:r>
                                  <w:r w:rsidR="00457980" w:rsidRPr="004B1666">
                                    <w:rPr>
                                      <w:rFonts w:ascii="標楷體" w:eastAsia="標楷體" w:hAnsi="標楷體" w:hint="eastAsia"/>
                                      <w:color w:val="000000" w:themeColor="text1"/>
                                      <w:sz w:val="16"/>
                                      <w:szCs w:val="16"/>
                                    </w:rPr>
                                    <w:t>2</w:t>
                                  </w:r>
                                  <w:r w:rsidR="00457980" w:rsidRPr="00457980">
                                    <w:rPr>
                                      <w:rFonts w:ascii="標楷體" w:eastAsia="標楷體" w:hAnsi="標楷體" w:hint="eastAsia"/>
                                      <w:color w:val="000000" w:themeColor="text1"/>
                                      <w:sz w:val="20"/>
                                      <w:szCs w:val="20"/>
                                    </w:rPr>
                                    <w:t>e</w:t>
                                  </w:r>
                                  <w:r w:rsidRPr="001029CC">
                                    <w:rPr>
                                      <w:rFonts w:ascii="標楷體" w:eastAsia="標楷體" w:hAnsi="標楷體" w:hint="eastAsia"/>
                                      <w:sz w:val="20"/>
                                      <w:szCs w:val="20"/>
                                    </w:rPr>
                                    <w:t>）</w:t>
                                  </w:r>
                                </w:p>
                              </w:tc>
                              <w:tc>
                                <w:tcPr>
                                  <w:tcW w:w="2107" w:type="dxa"/>
                                  <w:vAlign w:val="center"/>
                                </w:tcPr>
                                <w:p w14:paraId="37B6145C" w14:textId="77777777"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cs="標楷體"/>
                                      <w:bCs/>
                                      <w:kern w:val="0"/>
                                      <w:sz w:val="20"/>
                                      <w:szCs w:val="20"/>
                                    </w:rPr>
                                  </w:pPr>
                                  <w:r w:rsidRPr="001029CC">
                                    <w:rPr>
                                      <w:rFonts w:ascii="標楷體" w:eastAsia="標楷體" w:hAnsi="標楷體" w:cs="標楷體"/>
                                      <w:bCs/>
                                      <w:kern w:val="0"/>
                                      <w:sz w:val="20"/>
                                      <w:szCs w:val="20"/>
                                    </w:rPr>
                                    <w:t>優惠費率B</w:t>
                                  </w:r>
                                </w:p>
                                <w:p w14:paraId="5F37E310" w14:textId="523D43D0"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cs="標楷體"/>
                                      <w:bCs/>
                                      <w:kern w:val="0"/>
                                      <w:sz w:val="20"/>
                                      <w:szCs w:val="20"/>
                                    </w:rPr>
                                  </w:pPr>
                                  <w:r w:rsidRPr="001029CC">
                                    <w:rPr>
                                      <w:rFonts w:ascii="標楷體" w:eastAsia="標楷體" w:hAnsi="標楷體" w:hint="eastAsia"/>
                                      <w:sz w:val="20"/>
                                      <w:szCs w:val="20"/>
                                    </w:rPr>
                                    <w:t>（100元/公噸</w:t>
                                  </w:r>
                                  <w:r w:rsidR="00457980" w:rsidRPr="00457980">
                                    <w:rPr>
                                      <w:rFonts w:ascii="標楷體" w:eastAsia="標楷體" w:hAnsi="標楷體" w:hint="eastAsia"/>
                                      <w:color w:val="000000" w:themeColor="text1"/>
                                      <w:sz w:val="20"/>
                                      <w:szCs w:val="20"/>
                                    </w:rPr>
                                    <w:t>CO</w:t>
                                  </w:r>
                                  <w:r w:rsidR="00457980" w:rsidRPr="004B1666">
                                    <w:rPr>
                                      <w:rFonts w:ascii="標楷體" w:eastAsia="標楷體" w:hAnsi="標楷體" w:hint="eastAsia"/>
                                      <w:color w:val="000000" w:themeColor="text1"/>
                                      <w:sz w:val="16"/>
                                      <w:szCs w:val="16"/>
                                    </w:rPr>
                                    <w:t>2</w:t>
                                  </w:r>
                                  <w:r w:rsidR="00457980" w:rsidRPr="00457980">
                                    <w:rPr>
                                      <w:rFonts w:ascii="標楷體" w:eastAsia="標楷體" w:hAnsi="標楷體" w:hint="eastAsia"/>
                                      <w:color w:val="000000" w:themeColor="text1"/>
                                      <w:sz w:val="20"/>
                                      <w:szCs w:val="20"/>
                                    </w:rPr>
                                    <w:t>e</w:t>
                                  </w:r>
                                  <w:r w:rsidRPr="00457980">
                                    <w:rPr>
                                      <w:rFonts w:ascii="標楷體" w:eastAsia="標楷體" w:hAnsi="標楷體" w:hint="eastAsia"/>
                                      <w:sz w:val="20"/>
                                      <w:szCs w:val="20"/>
                                    </w:rPr>
                                    <w:t>）</w:t>
                                  </w:r>
                                </w:p>
                              </w:tc>
                            </w:tr>
                            <w:tr w:rsidR="001029CC" w14:paraId="04C05558" w14:textId="77777777" w:rsidTr="001029CC">
                              <w:trPr>
                                <w:trHeight w:val="340"/>
                                <w:jc w:val="center"/>
                              </w:trPr>
                              <w:tc>
                                <w:tcPr>
                                  <w:tcW w:w="1559" w:type="dxa"/>
                                  <w:vAlign w:val="center"/>
                                </w:tcPr>
                                <w:p w14:paraId="190B6D9B" w14:textId="77777777" w:rsidR="00502A79" w:rsidRPr="001029CC" w:rsidRDefault="00502A79" w:rsidP="00C7485D">
                                  <w:pPr>
                                    <w:snapToGrid w:val="0"/>
                                    <w:spacing w:line="240" w:lineRule="atLeast"/>
                                    <w:jc w:val="center"/>
                                    <w:rPr>
                                      <w:rFonts w:ascii="標楷體" w:eastAsia="標楷體" w:hAnsi="標楷體"/>
                                      <w:b/>
                                      <w:sz w:val="20"/>
                                      <w:szCs w:val="20"/>
                                    </w:rPr>
                                  </w:pPr>
                                  <w:r w:rsidRPr="001029CC">
                                    <w:rPr>
                                      <w:rFonts w:ascii="標楷體" w:eastAsia="標楷體" w:hAnsi="標楷體" w:hint="eastAsia"/>
                                      <w:b/>
                                      <w:sz w:val="20"/>
                                      <w:szCs w:val="20"/>
                                    </w:rPr>
                                    <w:t>合 計</w:t>
                                  </w:r>
                                </w:p>
                              </w:tc>
                              <w:tc>
                                <w:tcPr>
                                  <w:tcW w:w="1985" w:type="dxa"/>
                                  <w:vAlign w:val="center"/>
                                </w:tcPr>
                                <w:p w14:paraId="66788CA0" w14:textId="77777777" w:rsidR="00502A79" w:rsidRPr="001029CC" w:rsidRDefault="00502A79" w:rsidP="00C44E14">
                                  <w:pPr>
                                    <w:snapToGrid w:val="0"/>
                                    <w:spacing w:line="240" w:lineRule="atLeast"/>
                                    <w:ind w:rightChars="50" w:right="120"/>
                                    <w:jc w:val="right"/>
                                    <w:rPr>
                                      <w:rFonts w:ascii="標楷體" w:eastAsia="標楷體" w:hAnsi="標楷體"/>
                                      <w:b/>
                                      <w:sz w:val="20"/>
                                      <w:szCs w:val="20"/>
                                    </w:rPr>
                                  </w:pPr>
                                  <w:r w:rsidRPr="001029CC">
                                    <w:rPr>
                                      <w:rFonts w:ascii="標楷體" w:eastAsia="標楷體" w:hAnsi="標楷體" w:hint="eastAsia"/>
                                      <w:b/>
                                      <w:sz w:val="20"/>
                                      <w:szCs w:val="20"/>
                                    </w:rPr>
                                    <w:t>334,407</w:t>
                                  </w:r>
                                </w:p>
                              </w:tc>
                              <w:tc>
                                <w:tcPr>
                                  <w:tcW w:w="1984" w:type="dxa"/>
                                  <w:vAlign w:val="center"/>
                                </w:tcPr>
                                <w:p w14:paraId="39B7D49B" w14:textId="77777777" w:rsidR="00502A79" w:rsidRPr="001029CC" w:rsidRDefault="00502A79" w:rsidP="00C44E14">
                                  <w:pPr>
                                    <w:snapToGrid w:val="0"/>
                                    <w:spacing w:line="240" w:lineRule="atLeast"/>
                                    <w:ind w:rightChars="50" w:right="120"/>
                                    <w:jc w:val="right"/>
                                    <w:rPr>
                                      <w:rFonts w:ascii="標楷體" w:eastAsia="標楷體" w:hAnsi="標楷體"/>
                                      <w:b/>
                                      <w:sz w:val="20"/>
                                      <w:szCs w:val="20"/>
                                    </w:rPr>
                                  </w:pPr>
                                  <w:r w:rsidRPr="001029CC">
                                    <w:rPr>
                                      <w:rFonts w:ascii="標楷體" w:eastAsia="標楷體" w:hAnsi="標楷體" w:hint="eastAsia"/>
                                      <w:b/>
                                      <w:sz w:val="20"/>
                                      <w:szCs w:val="20"/>
                                    </w:rPr>
                                    <w:t>55,734</w:t>
                                  </w:r>
                                </w:p>
                              </w:tc>
                              <w:tc>
                                <w:tcPr>
                                  <w:tcW w:w="2107" w:type="dxa"/>
                                  <w:vAlign w:val="center"/>
                                </w:tcPr>
                                <w:p w14:paraId="5C640929" w14:textId="77777777" w:rsidR="00502A79" w:rsidRPr="001029CC" w:rsidRDefault="00502A79" w:rsidP="00C44E14">
                                  <w:pPr>
                                    <w:snapToGrid w:val="0"/>
                                    <w:spacing w:line="240" w:lineRule="atLeast"/>
                                    <w:ind w:rightChars="50" w:right="120"/>
                                    <w:jc w:val="right"/>
                                    <w:rPr>
                                      <w:rFonts w:ascii="標楷體" w:eastAsia="標楷體" w:hAnsi="標楷體"/>
                                      <w:b/>
                                      <w:sz w:val="20"/>
                                      <w:szCs w:val="20"/>
                                    </w:rPr>
                                  </w:pPr>
                                  <w:r w:rsidRPr="001029CC">
                                    <w:rPr>
                                      <w:rFonts w:ascii="標楷體" w:eastAsia="標楷體" w:hAnsi="標楷體" w:hint="eastAsia"/>
                                      <w:b/>
                                      <w:sz w:val="20"/>
                                      <w:szCs w:val="20"/>
                                    </w:rPr>
                                    <w:t>111,469</w:t>
                                  </w:r>
                                </w:p>
                              </w:tc>
                            </w:tr>
                            <w:tr w:rsidR="001029CC" w14:paraId="30C304F0" w14:textId="77777777" w:rsidTr="001029CC">
                              <w:trPr>
                                <w:trHeight w:val="340"/>
                                <w:jc w:val="center"/>
                              </w:trPr>
                              <w:tc>
                                <w:tcPr>
                                  <w:tcW w:w="1559" w:type="dxa"/>
                                  <w:vAlign w:val="center"/>
                                </w:tcPr>
                                <w:p w14:paraId="6196D693" w14:textId="77777777" w:rsidR="00502A79" w:rsidRPr="001029CC" w:rsidRDefault="00502A79" w:rsidP="00C7485D">
                                  <w:pPr>
                                    <w:snapToGrid w:val="0"/>
                                    <w:spacing w:line="240" w:lineRule="atLeast"/>
                                    <w:jc w:val="both"/>
                                    <w:rPr>
                                      <w:rFonts w:ascii="標楷體" w:eastAsia="標楷體" w:hAnsi="標楷體"/>
                                      <w:sz w:val="20"/>
                                      <w:szCs w:val="20"/>
                                    </w:rPr>
                                  </w:pPr>
                                  <w:r w:rsidRPr="001029CC">
                                    <w:rPr>
                                      <w:rFonts w:ascii="標楷體" w:eastAsia="標楷體" w:hAnsi="標楷體" w:hint="eastAsia"/>
                                      <w:sz w:val="20"/>
                                      <w:szCs w:val="20"/>
                                    </w:rPr>
                                    <w:t>台灣電力公司</w:t>
                                  </w:r>
                                </w:p>
                              </w:tc>
                              <w:tc>
                                <w:tcPr>
                                  <w:tcW w:w="1985" w:type="dxa"/>
                                  <w:vAlign w:val="center"/>
                                </w:tcPr>
                                <w:p w14:paraId="72B2BBC9"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130,200</w:t>
                                  </w:r>
                                </w:p>
                              </w:tc>
                              <w:tc>
                                <w:tcPr>
                                  <w:tcW w:w="1984" w:type="dxa"/>
                                  <w:vAlign w:val="center"/>
                                </w:tcPr>
                                <w:p w14:paraId="4DDB0DEC"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hint="eastAsia"/>
                                      <w:sz w:val="20"/>
                                      <w:szCs w:val="20"/>
                                    </w:rPr>
                                    <w:t>21,700</w:t>
                                  </w:r>
                                </w:p>
                              </w:tc>
                              <w:tc>
                                <w:tcPr>
                                  <w:tcW w:w="2107" w:type="dxa"/>
                                  <w:vAlign w:val="center"/>
                                </w:tcPr>
                                <w:p w14:paraId="67B1F2F8"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43,400</w:t>
                                  </w:r>
                                </w:p>
                              </w:tc>
                            </w:tr>
                            <w:tr w:rsidR="001029CC" w14:paraId="62A4DB6A" w14:textId="77777777" w:rsidTr="001029CC">
                              <w:trPr>
                                <w:trHeight w:val="340"/>
                                <w:jc w:val="center"/>
                              </w:trPr>
                              <w:tc>
                                <w:tcPr>
                                  <w:tcW w:w="1559" w:type="dxa"/>
                                  <w:vAlign w:val="center"/>
                                </w:tcPr>
                                <w:p w14:paraId="44A133CB" w14:textId="77777777" w:rsidR="00502A79" w:rsidRPr="001029CC" w:rsidRDefault="00502A79" w:rsidP="00C7485D">
                                  <w:pPr>
                                    <w:snapToGrid w:val="0"/>
                                    <w:spacing w:line="240" w:lineRule="atLeast"/>
                                    <w:jc w:val="both"/>
                                    <w:rPr>
                                      <w:rFonts w:ascii="標楷體" w:eastAsia="標楷體" w:hAnsi="標楷體"/>
                                      <w:sz w:val="20"/>
                                      <w:szCs w:val="20"/>
                                    </w:rPr>
                                  </w:pPr>
                                  <w:r w:rsidRPr="001029CC">
                                    <w:rPr>
                                      <w:rFonts w:ascii="標楷體" w:eastAsia="標楷體" w:hAnsi="標楷體" w:hint="eastAsia"/>
                                      <w:sz w:val="20"/>
                                      <w:szCs w:val="20"/>
                                    </w:rPr>
                                    <w:t>台灣中油公司</w:t>
                                  </w:r>
                                </w:p>
                              </w:tc>
                              <w:tc>
                                <w:tcPr>
                                  <w:tcW w:w="1985" w:type="dxa"/>
                                  <w:vAlign w:val="center"/>
                                </w:tcPr>
                                <w:p w14:paraId="774CCCF5"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203,041</w:t>
                                  </w:r>
                                </w:p>
                              </w:tc>
                              <w:tc>
                                <w:tcPr>
                                  <w:tcW w:w="1984" w:type="dxa"/>
                                  <w:vAlign w:val="center"/>
                                </w:tcPr>
                                <w:p w14:paraId="585FC784"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33,840</w:t>
                                  </w:r>
                                </w:p>
                              </w:tc>
                              <w:tc>
                                <w:tcPr>
                                  <w:tcW w:w="2107" w:type="dxa"/>
                                  <w:vAlign w:val="center"/>
                                </w:tcPr>
                                <w:p w14:paraId="6D75FE2C"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67,680</w:t>
                                  </w:r>
                                </w:p>
                              </w:tc>
                            </w:tr>
                            <w:tr w:rsidR="001029CC" w14:paraId="0E42EAA5" w14:textId="77777777" w:rsidTr="001029CC">
                              <w:trPr>
                                <w:trHeight w:val="340"/>
                                <w:jc w:val="center"/>
                              </w:trPr>
                              <w:tc>
                                <w:tcPr>
                                  <w:tcW w:w="1559" w:type="dxa"/>
                                  <w:tcBorders>
                                    <w:bottom w:val="single" w:sz="4" w:space="0" w:color="auto"/>
                                  </w:tcBorders>
                                  <w:vAlign w:val="center"/>
                                </w:tcPr>
                                <w:p w14:paraId="69824E0B" w14:textId="77777777" w:rsidR="00502A79" w:rsidRPr="001029CC" w:rsidRDefault="00502A79" w:rsidP="00C7485D">
                                  <w:pPr>
                                    <w:snapToGrid w:val="0"/>
                                    <w:spacing w:line="240" w:lineRule="atLeast"/>
                                    <w:jc w:val="both"/>
                                    <w:rPr>
                                      <w:rFonts w:ascii="標楷體" w:eastAsia="標楷體" w:hAnsi="標楷體"/>
                                      <w:sz w:val="20"/>
                                      <w:szCs w:val="20"/>
                                    </w:rPr>
                                  </w:pPr>
                                  <w:r w:rsidRPr="001029CC">
                                    <w:rPr>
                                      <w:rFonts w:ascii="標楷體" w:eastAsia="標楷體" w:hAnsi="標楷體" w:hint="eastAsia"/>
                                      <w:sz w:val="20"/>
                                      <w:szCs w:val="20"/>
                                    </w:rPr>
                                    <w:t>台灣糖業公司</w:t>
                                  </w:r>
                                </w:p>
                              </w:tc>
                              <w:tc>
                                <w:tcPr>
                                  <w:tcW w:w="1985" w:type="dxa"/>
                                  <w:tcBorders>
                                    <w:bottom w:val="single" w:sz="4" w:space="0" w:color="auto"/>
                                  </w:tcBorders>
                                  <w:vAlign w:val="center"/>
                                </w:tcPr>
                                <w:p w14:paraId="46F8E259"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1,166</w:t>
                                  </w:r>
                                </w:p>
                              </w:tc>
                              <w:tc>
                                <w:tcPr>
                                  <w:tcW w:w="1984" w:type="dxa"/>
                                  <w:tcBorders>
                                    <w:bottom w:val="single" w:sz="4" w:space="0" w:color="auto"/>
                                  </w:tcBorders>
                                  <w:vAlign w:val="center"/>
                                </w:tcPr>
                                <w:p w14:paraId="55104ED1"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194</w:t>
                                  </w:r>
                                </w:p>
                              </w:tc>
                              <w:tc>
                                <w:tcPr>
                                  <w:tcW w:w="2107" w:type="dxa"/>
                                  <w:tcBorders>
                                    <w:bottom w:val="single" w:sz="4" w:space="0" w:color="auto"/>
                                  </w:tcBorders>
                                  <w:vAlign w:val="center"/>
                                </w:tcPr>
                                <w:p w14:paraId="6DAC83A3"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389</w:t>
                                  </w:r>
                                </w:p>
                              </w:tc>
                            </w:tr>
                            <w:tr w:rsidR="001029CC" w14:paraId="36EF995E" w14:textId="77777777" w:rsidTr="001029CC">
                              <w:trPr>
                                <w:trHeight w:val="81"/>
                                <w:jc w:val="center"/>
                              </w:trPr>
                              <w:tc>
                                <w:tcPr>
                                  <w:tcW w:w="7635" w:type="dxa"/>
                                  <w:gridSpan w:val="4"/>
                                  <w:tcBorders>
                                    <w:left w:val="nil"/>
                                    <w:bottom w:val="nil"/>
                                    <w:right w:val="nil"/>
                                  </w:tcBorders>
                                  <w:vAlign w:val="center"/>
                                </w:tcPr>
                                <w:p w14:paraId="38307B1B" w14:textId="77777777" w:rsidR="00502A79" w:rsidRPr="001029CC" w:rsidRDefault="00502A79" w:rsidP="00C7485D">
                                  <w:pPr>
                                    <w:snapToGrid w:val="0"/>
                                    <w:spacing w:line="240" w:lineRule="atLeast"/>
                                    <w:rPr>
                                      <w:rFonts w:ascii="標楷體" w:eastAsia="標楷體" w:hAnsi="標楷體"/>
                                      <w:sz w:val="18"/>
                                      <w:szCs w:val="18"/>
                                    </w:rPr>
                                  </w:pPr>
                                  <w:r w:rsidRPr="001029CC">
                                    <w:rPr>
                                      <w:rFonts w:ascii="標楷體" w:eastAsia="標楷體" w:hAnsi="標楷體" w:hint="eastAsia"/>
                                      <w:sz w:val="18"/>
                                      <w:szCs w:val="18"/>
                                    </w:rPr>
                                    <w:t>資料來源</w:t>
                                  </w:r>
                                  <w:r w:rsidRPr="001029CC">
                                    <w:rPr>
                                      <w:rFonts w:ascii="標楷體" w:eastAsia="標楷體" w:hAnsi="標楷體"/>
                                      <w:sz w:val="18"/>
                                      <w:szCs w:val="18"/>
                                    </w:rPr>
                                    <w:t>：</w:t>
                                  </w:r>
                                  <w:r w:rsidRPr="001029CC">
                                    <w:rPr>
                                      <w:rFonts w:ascii="標楷體" w:eastAsia="標楷體" w:hAnsi="標楷體" w:hint="eastAsia"/>
                                      <w:sz w:val="18"/>
                                      <w:szCs w:val="18"/>
                                    </w:rPr>
                                    <w:t>整理</w:t>
                                  </w:r>
                                  <w:r w:rsidRPr="001029CC">
                                    <w:rPr>
                                      <w:rFonts w:ascii="標楷體" w:eastAsia="標楷體" w:hAnsi="標楷體"/>
                                      <w:sz w:val="18"/>
                                      <w:szCs w:val="18"/>
                                    </w:rPr>
                                    <w:t>自</w:t>
                                  </w:r>
                                  <w:r w:rsidRPr="001029CC">
                                    <w:rPr>
                                      <w:rFonts w:ascii="標楷體" w:eastAsia="標楷體" w:hAnsi="標楷體" w:hint="eastAsia"/>
                                      <w:sz w:val="18"/>
                                      <w:szCs w:val="18"/>
                                    </w:rPr>
                                    <w:t>各該事業</w:t>
                                  </w:r>
                                  <w:r w:rsidRPr="001029CC">
                                    <w:rPr>
                                      <w:rFonts w:ascii="標楷體" w:eastAsia="標楷體" w:hAnsi="標楷體"/>
                                      <w:sz w:val="18"/>
                                      <w:szCs w:val="18"/>
                                    </w:rPr>
                                    <w:t>提供資料。</w:t>
                                  </w:r>
                                </w:p>
                              </w:tc>
                            </w:tr>
                          </w:tbl>
                          <w:p w14:paraId="20DB8DD5" w14:textId="77777777" w:rsidR="00502A79" w:rsidRPr="00C7485D" w:rsidRDefault="00502A79" w:rsidP="00502A7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968F9E" id="_x0000_s1067" type="#_x0000_t202" style="position:absolute;left:0;text-align:left;margin-left:71.05pt;margin-top:221.7pt;width:425.4pt;height:154.2pt;z-index:251629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" stroked="f">
                <v:textbox>
                  <w:txbxContent>
                    <w:tbl>
                      <w:tblPr>
                        <w:tblStyle w:val="112"/>
                        <w:tblW w:w="0" w:type="auto"/>
                        <w:jc w:val="center"/>
                        <w:tblLook w:val="04A0" w:firstRow="1" w:lastRow="0" w:firstColumn="1" w:lastColumn="0" w:noHBand="0" w:noVBand="1"/>
                      </w:tblPr>
                      <w:tblGrid>
                        <w:gridCol w:w="1559"/>
                        <w:gridCol w:w="1985"/>
                        <w:gridCol w:w="1984"/>
                        <w:gridCol w:w="2107"/>
                      </w:tblGrid>
                      <w:tr w:rsidR="001029CC" w14:paraId="0801F8DF" w14:textId="77777777" w:rsidTr="001029CC">
                        <w:trPr>
                          <w:trHeight w:val="397"/>
                          <w:jc w:val="center"/>
                        </w:trPr>
                        <w:tc>
                          <w:tcPr>
                            <w:tcW w:w="7635" w:type="dxa"/>
                            <w:gridSpan w:val="4"/>
                            <w:tcBorders>
                              <w:top w:val="nil"/>
                              <w:left w:val="nil"/>
                              <w:bottom w:val="nil"/>
                              <w:right w:val="nil"/>
                            </w:tcBorders>
                            <w:vAlign w:val="center"/>
                          </w:tcPr>
                          <w:p w14:paraId="28BA23F3" w14:textId="5FD5F7F2" w:rsidR="00502A79" w:rsidRPr="001029CC" w:rsidRDefault="00502A79" w:rsidP="00C44E14">
                            <w:pPr>
                              <w:tabs>
                                <w:tab w:val="left" w:pos="240"/>
                                <w:tab w:val="left" w:pos="7080"/>
                              </w:tabs>
                              <w:overflowPunct w:val="0"/>
                              <w:snapToGrid w:val="0"/>
                              <w:spacing w:afterLines="10" w:after="36"/>
                              <w:jc w:val="center"/>
                              <w:textDirection w:val="lrTbV"/>
                              <w:rPr>
                                <w:rFonts w:ascii="標楷體" w:eastAsia="標楷體" w:hAnsi="標楷體" w:cs="標楷體"/>
                                <w:b/>
                                <w:bCs/>
                                <w:kern w:val="0"/>
                                <w:szCs w:val="24"/>
                              </w:rPr>
                            </w:pPr>
                            <w:r w:rsidRPr="001029CC">
                              <w:rPr>
                                <w:rFonts w:ascii="標楷體" w:eastAsia="標楷體" w:hAnsi="標楷體" w:cs="標楷體" w:hint="eastAsia"/>
                                <w:b/>
                                <w:bCs/>
                                <w:kern w:val="0"/>
                                <w:szCs w:val="24"/>
                              </w:rPr>
                              <w:t>表</w:t>
                            </w:r>
                            <w:r w:rsidR="0006497C">
                              <w:rPr>
                                <w:rFonts w:ascii="標楷體" w:eastAsia="標楷體" w:hAnsi="標楷體" w:hint="eastAsia"/>
                                <w:b/>
                                <w:bCs/>
                                <w:szCs w:val="24"/>
                              </w:rPr>
                              <w:t>1</w:t>
                            </w:r>
                            <w:r w:rsidR="0006497C">
                              <w:rPr>
                                <w:rFonts w:ascii="標楷體" w:eastAsia="標楷體" w:hAnsi="標楷體"/>
                                <w:b/>
                                <w:bCs/>
                                <w:szCs w:val="24"/>
                              </w:rPr>
                              <w:t>7</w:t>
                            </w:r>
                            <w:r w:rsidRPr="001029CC">
                              <w:rPr>
                                <w:rFonts w:ascii="標楷體" w:eastAsia="標楷體" w:hAnsi="標楷體" w:cs="標楷體" w:hint="eastAsia"/>
                                <w:b/>
                                <w:bCs/>
                                <w:kern w:val="0"/>
                                <w:szCs w:val="24"/>
                              </w:rPr>
                              <w:t xml:space="preserve">　國營</w:t>
                            </w:r>
                            <w:r w:rsidRPr="001029CC">
                              <w:rPr>
                                <w:rFonts w:ascii="標楷體" w:eastAsia="標楷體" w:hAnsi="標楷體" w:cs="標楷體"/>
                                <w:b/>
                                <w:bCs/>
                                <w:kern w:val="0"/>
                                <w:szCs w:val="24"/>
                              </w:rPr>
                              <w:t>事業</w:t>
                            </w:r>
                            <w:r w:rsidRPr="001029CC">
                              <w:rPr>
                                <w:rFonts w:ascii="標楷體" w:eastAsia="標楷體" w:hAnsi="標楷體" w:cs="標楷體" w:hint="eastAsia"/>
                                <w:b/>
                                <w:bCs/>
                                <w:kern w:val="0"/>
                                <w:szCs w:val="24"/>
                              </w:rPr>
                              <w:t>依</w:t>
                            </w:r>
                            <w:proofErr w:type="gramStart"/>
                            <w:r w:rsidRPr="001029CC">
                              <w:rPr>
                                <w:rFonts w:ascii="標楷體" w:eastAsia="標楷體" w:hAnsi="標楷體" w:cs="標楷體" w:hint="eastAsia"/>
                                <w:b/>
                                <w:bCs/>
                                <w:kern w:val="0"/>
                                <w:szCs w:val="24"/>
                              </w:rPr>
                              <w:t>1</w:t>
                            </w:r>
                            <w:r w:rsidRPr="001029CC">
                              <w:rPr>
                                <w:rFonts w:ascii="標楷體" w:eastAsia="標楷體" w:hAnsi="標楷體" w:cs="標楷體"/>
                                <w:b/>
                                <w:bCs/>
                                <w:kern w:val="0"/>
                                <w:szCs w:val="24"/>
                              </w:rPr>
                              <w:t>13</w:t>
                            </w:r>
                            <w:proofErr w:type="gramEnd"/>
                            <w:r w:rsidRPr="001029CC">
                              <w:rPr>
                                <w:rFonts w:ascii="標楷體" w:eastAsia="標楷體" w:hAnsi="標楷體" w:cs="標楷體" w:hint="eastAsia"/>
                                <w:b/>
                                <w:bCs/>
                                <w:kern w:val="0"/>
                                <w:szCs w:val="24"/>
                              </w:rPr>
                              <w:t>年度排放量自主盤查結果估算應繳納</w:t>
                            </w:r>
                            <w:proofErr w:type="gramStart"/>
                            <w:r w:rsidRPr="001029CC">
                              <w:rPr>
                                <w:rFonts w:ascii="標楷體" w:eastAsia="標楷體" w:hAnsi="標楷體" w:cs="標楷體" w:hint="eastAsia"/>
                                <w:b/>
                                <w:bCs/>
                                <w:kern w:val="0"/>
                                <w:szCs w:val="24"/>
                              </w:rPr>
                              <w:t>之碳費</w:t>
                            </w:r>
                            <w:proofErr w:type="gramEnd"/>
                          </w:p>
                        </w:tc>
                      </w:tr>
                      <w:tr w:rsidR="001029CC" w14:paraId="1AE974B6" w14:textId="77777777" w:rsidTr="001029CC">
                        <w:trPr>
                          <w:trHeight w:val="80"/>
                          <w:jc w:val="center"/>
                        </w:trPr>
                        <w:tc>
                          <w:tcPr>
                            <w:tcW w:w="7635" w:type="dxa"/>
                            <w:gridSpan w:val="4"/>
                            <w:tcBorders>
                              <w:top w:val="nil"/>
                              <w:left w:val="nil"/>
                              <w:right w:val="nil"/>
                            </w:tcBorders>
                            <w:vAlign w:val="center"/>
                          </w:tcPr>
                          <w:p w14:paraId="4EB54373" w14:textId="77777777" w:rsidR="00502A79" w:rsidRPr="001029CC" w:rsidRDefault="00502A79" w:rsidP="00425F07">
                            <w:pPr>
                              <w:tabs>
                                <w:tab w:val="left" w:pos="240"/>
                                <w:tab w:val="left" w:pos="7080"/>
                              </w:tabs>
                              <w:overflowPunct w:val="0"/>
                              <w:snapToGrid w:val="0"/>
                              <w:spacing w:line="240" w:lineRule="atLeast"/>
                              <w:ind w:rightChars="-24" w:right="-58"/>
                              <w:jc w:val="right"/>
                              <w:textDirection w:val="lrTbV"/>
                              <w:rPr>
                                <w:rFonts w:ascii="標楷體" w:eastAsia="標楷體" w:hAnsi="標楷體" w:cs="標楷體"/>
                                <w:bCs/>
                                <w:kern w:val="0"/>
                                <w:sz w:val="20"/>
                                <w:szCs w:val="20"/>
                              </w:rPr>
                            </w:pPr>
                            <w:r w:rsidRPr="001029CC">
                              <w:rPr>
                                <w:rFonts w:ascii="標楷體" w:eastAsia="標楷體" w:hAnsi="標楷體" w:cs="標楷體" w:hint="eastAsia"/>
                                <w:bCs/>
                                <w:kern w:val="0"/>
                                <w:sz w:val="20"/>
                                <w:szCs w:val="20"/>
                              </w:rPr>
                              <w:t>單位：新臺幣</w:t>
                            </w:r>
                            <w:r w:rsidRPr="001029CC">
                              <w:rPr>
                                <w:rFonts w:ascii="標楷體" w:eastAsia="標楷體" w:hAnsi="標楷體" w:cs="標楷體"/>
                                <w:bCs/>
                                <w:kern w:val="0"/>
                                <w:sz w:val="20"/>
                                <w:szCs w:val="20"/>
                              </w:rPr>
                              <w:t>萬元</w:t>
                            </w:r>
                          </w:p>
                        </w:tc>
                      </w:tr>
                      <w:tr w:rsidR="001029CC" w14:paraId="7E0ECE40" w14:textId="77777777" w:rsidTr="001029CC">
                        <w:trPr>
                          <w:trHeight w:val="567"/>
                          <w:jc w:val="center"/>
                        </w:trPr>
                        <w:tc>
                          <w:tcPr>
                            <w:tcW w:w="1559" w:type="dxa"/>
                            <w:vAlign w:val="center"/>
                          </w:tcPr>
                          <w:p w14:paraId="092F2D1B" w14:textId="77777777" w:rsidR="00502A79" w:rsidRPr="001029CC" w:rsidRDefault="00502A79" w:rsidP="00C7485D">
                            <w:pPr>
                              <w:snapToGrid w:val="0"/>
                              <w:spacing w:line="240" w:lineRule="atLeast"/>
                              <w:jc w:val="center"/>
                              <w:rPr>
                                <w:rFonts w:ascii="標楷體" w:eastAsia="標楷體" w:hAnsi="標楷體"/>
                                <w:sz w:val="20"/>
                                <w:szCs w:val="20"/>
                              </w:rPr>
                            </w:pPr>
                            <w:r w:rsidRPr="001029CC">
                              <w:rPr>
                                <w:rFonts w:ascii="標楷體" w:eastAsia="標楷體" w:hAnsi="標楷體" w:hint="eastAsia"/>
                                <w:sz w:val="20"/>
                                <w:szCs w:val="20"/>
                              </w:rPr>
                              <w:t>事業名稱</w:t>
                            </w:r>
                          </w:p>
                        </w:tc>
                        <w:tc>
                          <w:tcPr>
                            <w:tcW w:w="1985" w:type="dxa"/>
                            <w:vAlign w:val="center"/>
                          </w:tcPr>
                          <w:p w14:paraId="71E2271E" w14:textId="77777777" w:rsidR="00502A79" w:rsidRPr="001029CC" w:rsidRDefault="00502A79" w:rsidP="00C7485D">
                            <w:pPr>
                              <w:snapToGrid w:val="0"/>
                              <w:spacing w:line="240" w:lineRule="atLeast"/>
                              <w:jc w:val="center"/>
                              <w:rPr>
                                <w:rFonts w:ascii="標楷體" w:eastAsia="標楷體" w:hAnsi="標楷體"/>
                                <w:bCs/>
                                <w:sz w:val="20"/>
                                <w:szCs w:val="20"/>
                              </w:rPr>
                            </w:pPr>
                            <w:r w:rsidRPr="001029CC">
                              <w:rPr>
                                <w:rFonts w:ascii="標楷體" w:eastAsia="標楷體" w:hAnsi="標楷體"/>
                                <w:bCs/>
                                <w:sz w:val="20"/>
                                <w:szCs w:val="20"/>
                              </w:rPr>
                              <w:t>一般費率</w:t>
                            </w:r>
                          </w:p>
                          <w:p w14:paraId="0C03A097" w14:textId="51785185" w:rsidR="00502A79" w:rsidRPr="001029CC" w:rsidRDefault="00502A79" w:rsidP="00C7485D">
                            <w:pPr>
                              <w:snapToGrid w:val="0"/>
                              <w:spacing w:line="240" w:lineRule="atLeast"/>
                              <w:jc w:val="center"/>
                              <w:rPr>
                                <w:rFonts w:ascii="標楷體" w:eastAsia="標楷體" w:hAnsi="標楷體"/>
                                <w:sz w:val="20"/>
                                <w:szCs w:val="20"/>
                              </w:rPr>
                            </w:pPr>
                            <w:r w:rsidRPr="001029CC">
                              <w:rPr>
                                <w:rFonts w:ascii="標楷體" w:eastAsia="標楷體" w:hAnsi="標楷體" w:hint="eastAsia"/>
                                <w:sz w:val="20"/>
                                <w:szCs w:val="20"/>
                              </w:rPr>
                              <w:t>（300元/公噸</w:t>
                            </w:r>
                            <w:r w:rsidR="00457980" w:rsidRPr="00457980">
                              <w:rPr>
                                <w:rFonts w:ascii="標楷體" w:eastAsia="標楷體" w:hAnsi="標楷體" w:hint="eastAsia"/>
                                <w:color w:val="000000" w:themeColor="text1"/>
                                <w:sz w:val="20"/>
                                <w:szCs w:val="20"/>
                              </w:rPr>
                              <w:t>CO</w:t>
                            </w:r>
                            <w:r w:rsidR="00457980" w:rsidRPr="004B1666">
                              <w:rPr>
                                <w:rFonts w:ascii="標楷體" w:eastAsia="標楷體" w:hAnsi="標楷體" w:hint="eastAsia"/>
                                <w:color w:val="000000" w:themeColor="text1"/>
                                <w:sz w:val="16"/>
                                <w:szCs w:val="16"/>
                              </w:rPr>
                              <w:t>2</w:t>
                            </w:r>
                            <w:r w:rsidR="00457980" w:rsidRPr="00457980">
                              <w:rPr>
                                <w:rFonts w:ascii="標楷體" w:eastAsia="標楷體" w:hAnsi="標楷體" w:hint="eastAsia"/>
                                <w:color w:val="000000" w:themeColor="text1"/>
                                <w:sz w:val="20"/>
                                <w:szCs w:val="20"/>
                              </w:rPr>
                              <w:t>e</w:t>
                            </w:r>
                            <w:r w:rsidRPr="00457980">
                              <w:rPr>
                                <w:rFonts w:ascii="標楷體" w:eastAsia="標楷體" w:hAnsi="標楷體" w:hint="eastAsia"/>
                                <w:sz w:val="20"/>
                                <w:szCs w:val="20"/>
                              </w:rPr>
                              <w:t>）</w:t>
                            </w:r>
                          </w:p>
                        </w:tc>
                        <w:tc>
                          <w:tcPr>
                            <w:tcW w:w="1984" w:type="dxa"/>
                            <w:vAlign w:val="center"/>
                          </w:tcPr>
                          <w:p w14:paraId="0234698C" w14:textId="77777777"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cs="標楷體"/>
                                <w:bCs/>
                                <w:kern w:val="0"/>
                                <w:sz w:val="20"/>
                                <w:szCs w:val="20"/>
                              </w:rPr>
                            </w:pPr>
                            <w:r w:rsidRPr="001029CC">
                              <w:rPr>
                                <w:rFonts w:ascii="標楷體" w:eastAsia="標楷體" w:hAnsi="標楷體" w:cs="標楷體"/>
                                <w:bCs/>
                                <w:kern w:val="0"/>
                                <w:sz w:val="20"/>
                                <w:szCs w:val="20"/>
                              </w:rPr>
                              <w:t>優惠費率</w:t>
                            </w:r>
                            <w:r w:rsidRPr="001029CC">
                              <w:rPr>
                                <w:rFonts w:ascii="標楷體" w:eastAsia="標楷體" w:hAnsi="標楷體" w:cs="標楷體" w:hint="eastAsia"/>
                                <w:bCs/>
                                <w:kern w:val="0"/>
                                <w:sz w:val="20"/>
                                <w:szCs w:val="20"/>
                              </w:rPr>
                              <w:t>A</w:t>
                            </w:r>
                          </w:p>
                          <w:p w14:paraId="2FC1C52D" w14:textId="10825397"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sz w:val="20"/>
                                <w:szCs w:val="20"/>
                              </w:rPr>
                            </w:pPr>
                            <w:r w:rsidRPr="001029CC">
                              <w:rPr>
                                <w:rFonts w:ascii="標楷體" w:eastAsia="標楷體" w:hAnsi="標楷體" w:hint="eastAsia"/>
                                <w:sz w:val="20"/>
                                <w:szCs w:val="20"/>
                              </w:rPr>
                              <w:t>（50元/公噸</w:t>
                            </w:r>
                            <w:r w:rsidR="00457980" w:rsidRPr="00457980">
                              <w:rPr>
                                <w:rFonts w:ascii="標楷體" w:eastAsia="標楷體" w:hAnsi="標楷體" w:hint="eastAsia"/>
                                <w:color w:val="000000" w:themeColor="text1"/>
                                <w:sz w:val="20"/>
                                <w:szCs w:val="20"/>
                              </w:rPr>
                              <w:t>CO</w:t>
                            </w:r>
                            <w:r w:rsidR="00457980" w:rsidRPr="004B1666">
                              <w:rPr>
                                <w:rFonts w:ascii="標楷體" w:eastAsia="標楷體" w:hAnsi="標楷體" w:hint="eastAsia"/>
                                <w:color w:val="000000" w:themeColor="text1"/>
                                <w:sz w:val="16"/>
                                <w:szCs w:val="16"/>
                              </w:rPr>
                              <w:t>2</w:t>
                            </w:r>
                            <w:r w:rsidR="00457980" w:rsidRPr="00457980">
                              <w:rPr>
                                <w:rFonts w:ascii="標楷體" w:eastAsia="標楷體" w:hAnsi="標楷體" w:hint="eastAsia"/>
                                <w:color w:val="000000" w:themeColor="text1"/>
                                <w:sz w:val="20"/>
                                <w:szCs w:val="20"/>
                              </w:rPr>
                              <w:t>e</w:t>
                            </w:r>
                            <w:r w:rsidRPr="001029CC">
                              <w:rPr>
                                <w:rFonts w:ascii="標楷體" w:eastAsia="標楷體" w:hAnsi="標楷體" w:hint="eastAsia"/>
                                <w:sz w:val="20"/>
                                <w:szCs w:val="20"/>
                              </w:rPr>
                              <w:t>）</w:t>
                            </w:r>
                          </w:p>
                        </w:tc>
                        <w:tc>
                          <w:tcPr>
                            <w:tcW w:w="2107" w:type="dxa"/>
                            <w:vAlign w:val="center"/>
                          </w:tcPr>
                          <w:p w14:paraId="37B6145C" w14:textId="77777777"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cs="標楷體"/>
                                <w:bCs/>
                                <w:kern w:val="0"/>
                                <w:sz w:val="20"/>
                                <w:szCs w:val="20"/>
                              </w:rPr>
                            </w:pPr>
                            <w:r w:rsidRPr="001029CC">
                              <w:rPr>
                                <w:rFonts w:ascii="標楷體" w:eastAsia="標楷體" w:hAnsi="標楷體" w:cs="標楷體"/>
                                <w:bCs/>
                                <w:kern w:val="0"/>
                                <w:sz w:val="20"/>
                                <w:szCs w:val="20"/>
                              </w:rPr>
                              <w:t>優惠費率B</w:t>
                            </w:r>
                          </w:p>
                          <w:p w14:paraId="5F37E310" w14:textId="523D43D0" w:rsidR="00502A79" w:rsidRPr="001029CC" w:rsidRDefault="00502A79" w:rsidP="00C7485D">
                            <w:pPr>
                              <w:tabs>
                                <w:tab w:val="left" w:pos="240"/>
                                <w:tab w:val="left" w:pos="7080"/>
                              </w:tabs>
                              <w:overflowPunct w:val="0"/>
                              <w:snapToGrid w:val="0"/>
                              <w:spacing w:line="240" w:lineRule="atLeast"/>
                              <w:jc w:val="center"/>
                              <w:textDirection w:val="lrTbV"/>
                              <w:rPr>
                                <w:rFonts w:ascii="標楷體" w:eastAsia="標楷體" w:hAnsi="標楷體" w:cs="標楷體"/>
                                <w:bCs/>
                                <w:kern w:val="0"/>
                                <w:sz w:val="20"/>
                                <w:szCs w:val="20"/>
                              </w:rPr>
                            </w:pPr>
                            <w:r w:rsidRPr="001029CC">
                              <w:rPr>
                                <w:rFonts w:ascii="標楷體" w:eastAsia="標楷體" w:hAnsi="標楷體" w:hint="eastAsia"/>
                                <w:sz w:val="20"/>
                                <w:szCs w:val="20"/>
                              </w:rPr>
                              <w:t>（100元/公噸</w:t>
                            </w:r>
                            <w:r w:rsidR="00457980" w:rsidRPr="00457980">
                              <w:rPr>
                                <w:rFonts w:ascii="標楷體" w:eastAsia="標楷體" w:hAnsi="標楷體" w:hint="eastAsia"/>
                                <w:color w:val="000000" w:themeColor="text1"/>
                                <w:sz w:val="20"/>
                                <w:szCs w:val="20"/>
                              </w:rPr>
                              <w:t>CO</w:t>
                            </w:r>
                            <w:r w:rsidR="00457980" w:rsidRPr="004B1666">
                              <w:rPr>
                                <w:rFonts w:ascii="標楷體" w:eastAsia="標楷體" w:hAnsi="標楷體" w:hint="eastAsia"/>
                                <w:color w:val="000000" w:themeColor="text1"/>
                                <w:sz w:val="16"/>
                                <w:szCs w:val="16"/>
                              </w:rPr>
                              <w:t>2</w:t>
                            </w:r>
                            <w:r w:rsidR="00457980" w:rsidRPr="00457980">
                              <w:rPr>
                                <w:rFonts w:ascii="標楷體" w:eastAsia="標楷體" w:hAnsi="標楷體" w:hint="eastAsia"/>
                                <w:color w:val="000000" w:themeColor="text1"/>
                                <w:sz w:val="20"/>
                                <w:szCs w:val="20"/>
                              </w:rPr>
                              <w:t>e</w:t>
                            </w:r>
                            <w:r w:rsidRPr="00457980">
                              <w:rPr>
                                <w:rFonts w:ascii="標楷體" w:eastAsia="標楷體" w:hAnsi="標楷體" w:hint="eastAsia"/>
                                <w:sz w:val="20"/>
                                <w:szCs w:val="20"/>
                              </w:rPr>
                              <w:t>）</w:t>
                            </w:r>
                          </w:p>
                        </w:tc>
                      </w:tr>
                      <w:tr w:rsidR="001029CC" w14:paraId="04C05558" w14:textId="77777777" w:rsidTr="001029CC">
                        <w:trPr>
                          <w:trHeight w:val="340"/>
                          <w:jc w:val="center"/>
                        </w:trPr>
                        <w:tc>
                          <w:tcPr>
                            <w:tcW w:w="1559" w:type="dxa"/>
                            <w:vAlign w:val="center"/>
                          </w:tcPr>
                          <w:p w14:paraId="190B6D9B" w14:textId="77777777" w:rsidR="00502A79" w:rsidRPr="001029CC" w:rsidRDefault="00502A79" w:rsidP="00C7485D">
                            <w:pPr>
                              <w:snapToGrid w:val="0"/>
                              <w:spacing w:line="240" w:lineRule="atLeast"/>
                              <w:jc w:val="center"/>
                              <w:rPr>
                                <w:rFonts w:ascii="標楷體" w:eastAsia="標楷體" w:hAnsi="標楷體"/>
                                <w:b/>
                                <w:sz w:val="20"/>
                                <w:szCs w:val="20"/>
                              </w:rPr>
                            </w:pPr>
                            <w:r w:rsidRPr="001029CC">
                              <w:rPr>
                                <w:rFonts w:ascii="標楷體" w:eastAsia="標楷體" w:hAnsi="標楷體" w:hint="eastAsia"/>
                                <w:b/>
                                <w:sz w:val="20"/>
                                <w:szCs w:val="20"/>
                              </w:rPr>
                              <w:t>合 計</w:t>
                            </w:r>
                          </w:p>
                        </w:tc>
                        <w:tc>
                          <w:tcPr>
                            <w:tcW w:w="1985" w:type="dxa"/>
                            <w:vAlign w:val="center"/>
                          </w:tcPr>
                          <w:p w14:paraId="66788CA0" w14:textId="77777777" w:rsidR="00502A79" w:rsidRPr="001029CC" w:rsidRDefault="00502A79" w:rsidP="00C44E14">
                            <w:pPr>
                              <w:snapToGrid w:val="0"/>
                              <w:spacing w:line="240" w:lineRule="atLeast"/>
                              <w:ind w:rightChars="50" w:right="120"/>
                              <w:jc w:val="right"/>
                              <w:rPr>
                                <w:rFonts w:ascii="標楷體" w:eastAsia="標楷體" w:hAnsi="標楷體"/>
                                <w:b/>
                                <w:sz w:val="20"/>
                                <w:szCs w:val="20"/>
                              </w:rPr>
                            </w:pPr>
                            <w:r w:rsidRPr="001029CC">
                              <w:rPr>
                                <w:rFonts w:ascii="標楷體" w:eastAsia="標楷體" w:hAnsi="標楷體" w:hint="eastAsia"/>
                                <w:b/>
                                <w:sz w:val="20"/>
                                <w:szCs w:val="20"/>
                              </w:rPr>
                              <w:t>334,407</w:t>
                            </w:r>
                          </w:p>
                        </w:tc>
                        <w:tc>
                          <w:tcPr>
                            <w:tcW w:w="1984" w:type="dxa"/>
                            <w:vAlign w:val="center"/>
                          </w:tcPr>
                          <w:p w14:paraId="39B7D49B" w14:textId="77777777" w:rsidR="00502A79" w:rsidRPr="001029CC" w:rsidRDefault="00502A79" w:rsidP="00C44E14">
                            <w:pPr>
                              <w:snapToGrid w:val="0"/>
                              <w:spacing w:line="240" w:lineRule="atLeast"/>
                              <w:ind w:rightChars="50" w:right="120"/>
                              <w:jc w:val="right"/>
                              <w:rPr>
                                <w:rFonts w:ascii="標楷體" w:eastAsia="標楷體" w:hAnsi="標楷體"/>
                                <w:b/>
                                <w:sz w:val="20"/>
                                <w:szCs w:val="20"/>
                              </w:rPr>
                            </w:pPr>
                            <w:r w:rsidRPr="001029CC">
                              <w:rPr>
                                <w:rFonts w:ascii="標楷體" w:eastAsia="標楷體" w:hAnsi="標楷體" w:hint="eastAsia"/>
                                <w:b/>
                                <w:sz w:val="20"/>
                                <w:szCs w:val="20"/>
                              </w:rPr>
                              <w:t>55,734</w:t>
                            </w:r>
                          </w:p>
                        </w:tc>
                        <w:tc>
                          <w:tcPr>
                            <w:tcW w:w="2107" w:type="dxa"/>
                            <w:vAlign w:val="center"/>
                          </w:tcPr>
                          <w:p w14:paraId="5C640929" w14:textId="77777777" w:rsidR="00502A79" w:rsidRPr="001029CC" w:rsidRDefault="00502A79" w:rsidP="00C44E14">
                            <w:pPr>
                              <w:snapToGrid w:val="0"/>
                              <w:spacing w:line="240" w:lineRule="atLeast"/>
                              <w:ind w:rightChars="50" w:right="120"/>
                              <w:jc w:val="right"/>
                              <w:rPr>
                                <w:rFonts w:ascii="標楷體" w:eastAsia="標楷體" w:hAnsi="標楷體"/>
                                <w:b/>
                                <w:sz w:val="20"/>
                                <w:szCs w:val="20"/>
                              </w:rPr>
                            </w:pPr>
                            <w:r w:rsidRPr="001029CC">
                              <w:rPr>
                                <w:rFonts w:ascii="標楷體" w:eastAsia="標楷體" w:hAnsi="標楷體" w:hint="eastAsia"/>
                                <w:b/>
                                <w:sz w:val="20"/>
                                <w:szCs w:val="20"/>
                              </w:rPr>
                              <w:t>111,469</w:t>
                            </w:r>
                          </w:p>
                        </w:tc>
                      </w:tr>
                      <w:tr w:rsidR="001029CC" w14:paraId="30C304F0" w14:textId="77777777" w:rsidTr="001029CC">
                        <w:trPr>
                          <w:trHeight w:val="340"/>
                          <w:jc w:val="center"/>
                        </w:trPr>
                        <w:tc>
                          <w:tcPr>
                            <w:tcW w:w="1559" w:type="dxa"/>
                            <w:vAlign w:val="center"/>
                          </w:tcPr>
                          <w:p w14:paraId="6196D693" w14:textId="77777777" w:rsidR="00502A79" w:rsidRPr="001029CC" w:rsidRDefault="00502A79" w:rsidP="00C7485D">
                            <w:pPr>
                              <w:snapToGrid w:val="0"/>
                              <w:spacing w:line="240" w:lineRule="atLeast"/>
                              <w:jc w:val="both"/>
                              <w:rPr>
                                <w:rFonts w:ascii="標楷體" w:eastAsia="標楷體" w:hAnsi="標楷體"/>
                                <w:sz w:val="20"/>
                                <w:szCs w:val="20"/>
                              </w:rPr>
                            </w:pPr>
                            <w:r w:rsidRPr="001029CC">
                              <w:rPr>
                                <w:rFonts w:ascii="標楷體" w:eastAsia="標楷體" w:hAnsi="標楷體" w:hint="eastAsia"/>
                                <w:sz w:val="20"/>
                                <w:szCs w:val="20"/>
                              </w:rPr>
                              <w:t>台灣電力公司</w:t>
                            </w:r>
                          </w:p>
                        </w:tc>
                        <w:tc>
                          <w:tcPr>
                            <w:tcW w:w="1985" w:type="dxa"/>
                            <w:vAlign w:val="center"/>
                          </w:tcPr>
                          <w:p w14:paraId="72B2BBC9"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130,200</w:t>
                            </w:r>
                          </w:p>
                        </w:tc>
                        <w:tc>
                          <w:tcPr>
                            <w:tcW w:w="1984" w:type="dxa"/>
                            <w:vAlign w:val="center"/>
                          </w:tcPr>
                          <w:p w14:paraId="4DDB0DEC"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hint="eastAsia"/>
                                <w:sz w:val="20"/>
                                <w:szCs w:val="20"/>
                              </w:rPr>
                              <w:t>21,700</w:t>
                            </w:r>
                          </w:p>
                        </w:tc>
                        <w:tc>
                          <w:tcPr>
                            <w:tcW w:w="2107" w:type="dxa"/>
                            <w:vAlign w:val="center"/>
                          </w:tcPr>
                          <w:p w14:paraId="67B1F2F8"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43,400</w:t>
                            </w:r>
                          </w:p>
                        </w:tc>
                      </w:tr>
                      <w:tr w:rsidR="001029CC" w14:paraId="62A4DB6A" w14:textId="77777777" w:rsidTr="001029CC">
                        <w:trPr>
                          <w:trHeight w:val="340"/>
                          <w:jc w:val="center"/>
                        </w:trPr>
                        <w:tc>
                          <w:tcPr>
                            <w:tcW w:w="1559" w:type="dxa"/>
                            <w:vAlign w:val="center"/>
                          </w:tcPr>
                          <w:p w14:paraId="44A133CB" w14:textId="77777777" w:rsidR="00502A79" w:rsidRPr="001029CC" w:rsidRDefault="00502A79" w:rsidP="00C7485D">
                            <w:pPr>
                              <w:snapToGrid w:val="0"/>
                              <w:spacing w:line="240" w:lineRule="atLeast"/>
                              <w:jc w:val="both"/>
                              <w:rPr>
                                <w:rFonts w:ascii="標楷體" w:eastAsia="標楷體" w:hAnsi="標楷體"/>
                                <w:sz w:val="20"/>
                                <w:szCs w:val="20"/>
                              </w:rPr>
                            </w:pPr>
                            <w:r w:rsidRPr="001029CC">
                              <w:rPr>
                                <w:rFonts w:ascii="標楷體" w:eastAsia="標楷體" w:hAnsi="標楷體" w:hint="eastAsia"/>
                                <w:sz w:val="20"/>
                                <w:szCs w:val="20"/>
                              </w:rPr>
                              <w:t>台灣中油公司</w:t>
                            </w:r>
                          </w:p>
                        </w:tc>
                        <w:tc>
                          <w:tcPr>
                            <w:tcW w:w="1985" w:type="dxa"/>
                            <w:vAlign w:val="center"/>
                          </w:tcPr>
                          <w:p w14:paraId="774CCCF5"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203,041</w:t>
                            </w:r>
                          </w:p>
                        </w:tc>
                        <w:tc>
                          <w:tcPr>
                            <w:tcW w:w="1984" w:type="dxa"/>
                            <w:vAlign w:val="center"/>
                          </w:tcPr>
                          <w:p w14:paraId="585FC784"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33,840</w:t>
                            </w:r>
                          </w:p>
                        </w:tc>
                        <w:tc>
                          <w:tcPr>
                            <w:tcW w:w="2107" w:type="dxa"/>
                            <w:vAlign w:val="center"/>
                          </w:tcPr>
                          <w:p w14:paraId="6D75FE2C"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67,680</w:t>
                            </w:r>
                          </w:p>
                        </w:tc>
                      </w:tr>
                      <w:tr w:rsidR="001029CC" w14:paraId="0E42EAA5" w14:textId="77777777" w:rsidTr="001029CC">
                        <w:trPr>
                          <w:trHeight w:val="340"/>
                          <w:jc w:val="center"/>
                        </w:trPr>
                        <w:tc>
                          <w:tcPr>
                            <w:tcW w:w="1559" w:type="dxa"/>
                            <w:tcBorders>
                              <w:bottom w:val="single" w:sz="4" w:space="0" w:color="auto"/>
                            </w:tcBorders>
                            <w:vAlign w:val="center"/>
                          </w:tcPr>
                          <w:p w14:paraId="69824E0B" w14:textId="77777777" w:rsidR="00502A79" w:rsidRPr="001029CC" w:rsidRDefault="00502A79" w:rsidP="00C7485D">
                            <w:pPr>
                              <w:snapToGrid w:val="0"/>
                              <w:spacing w:line="240" w:lineRule="atLeast"/>
                              <w:jc w:val="both"/>
                              <w:rPr>
                                <w:rFonts w:ascii="標楷體" w:eastAsia="標楷體" w:hAnsi="標楷體"/>
                                <w:sz w:val="20"/>
                                <w:szCs w:val="20"/>
                              </w:rPr>
                            </w:pPr>
                            <w:r w:rsidRPr="001029CC">
                              <w:rPr>
                                <w:rFonts w:ascii="標楷體" w:eastAsia="標楷體" w:hAnsi="標楷體" w:hint="eastAsia"/>
                                <w:sz w:val="20"/>
                                <w:szCs w:val="20"/>
                              </w:rPr>
                              <w:t>台灣糖業公司</w:t>
                            </w:r>
                          </w:p>
                        </w:tc>
                        <w:tc>
                          <w:tcPr>
                            <w:tcW w:w="1985" w:type="dxa"/>
                            <w:tcBorders>
                              <w:bottom w:val="single" w:sz="4" w:space="0" w:color="auto"/>
                            </w:tcBorders>
                            <w:vAlign w:val="center"/>
                          </w:tcPr>
                          <w:p w14:paraId="46F8E259"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1,166</w:t>
                            </w:r>
                          </w:p>
                        </w:tc>
                        <w:tc>
                          <w:tcPr>
                            <w:tcW w:w="1984" w:type="dxa"/>
                            <w:tcBorders>
                              <w:bottom w:val="single" w:sz="4" w:space="0" w:color="auto"/>
                            </w:tcBorders>
                            <w:vAlign w:val="center"/>
                          </w:tcPr>
                          <w:p w14:paraId="55104ED1"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194</w:t>
                            </w:r>
                          </w:p>
                        </w:tc>
                        <w:tc>
                          <w:tcPr>
                            <w:tcW w:w="2107" w:type="dxa"/>
                            <w:tcBorders>
                              <w:bottom w:val="single" w:sz="4" w:space="0" w:color="auto"/>
                            </w:tcBorders>
                            <w:vAlign w:val="center"/>
                          </w:tcPr>
                          <w:p w14:paraId="6DAC83A3" w14:textId="77777777" w:rsidR="00502A79" w:rsidRPr="001029CC" w:rsidRDefault="00502A79" w:rsidP="00C44E14">
                            <w:pPr>
                              <w:snapToGrid w:val="0"/>
                              <w:spacing w:line="240" w:lineRule="atLeast"/>
                              <w:ind w:rightChars="50" w:right="120"/>
                              <w:jc w:val="right"/>
                              <w:rPr>
                                <w:rFonts w:ascii="標楷體" w:eastAsia="標楷體" w:hAnsi="標楷體"/>
                                <w:sz w:val="20"/>
                                <w:szCs w:val="20"/>
                              </w:rPr>
                            </w:pPr>
                            <w:r w:rsidRPr="001029CC">
                              <w:rPr>
                                <w:rFonts w:ascii="標楷體" w:eastAsia="標楷體" w:hAnsi="標楷體"/>
                                <w:sz w:val="20"/>
                                <w:szCs w:val="20"/>
                              </w:rPr>
                              <w:t>389</w:t>
                            </w:r>
                          </w:p>
                        </w:tc>
                      </w:tr>
                      <w:tr w:rsidR="001029CC" w14:paraId="36EF995E" w14:textId="77777777" w:rsidTr="001029CC">
                        <w:trPr>
                          <w:trHeight w:val="81"/>
                          <w:jc w:val="center"/>
                        </w:trPr>
                        <w:tc>
                          <w:tcPr>
                            <w:tcW w:w="7635" w:type="dxa"/>
                            <w:gridSpan w:val="4"/>
                            <w:tcBorders>
                              <w:left w:val="nil"/>
                              <w:bottom w:val="nil"/>
                              <w:right w:val="nil"/>
                            </w:tcBorders>
                            <w:vAlign w:val="center"/>
                          </w:tcPr>
                          <w:p w14:paraId="38307B1B" w14:textId="77777777" w:rsidR="00502A79" w:rsidRPr="001029CC" w:rsidRDefault="00502A79" w:rsidP="00C7485D">
                            <w:pPr>
                              <w:snapToGrid w:val="0"/>
                              <w:spacing w:line="240" w:lineRule="atLeast"/>
                              <w:rPr>
                                <w:rFonts w:ascii="標楷體" w:eastAsia="標楷體" w:hAnsi="標楷體"/>
                                <w:sz w:val="18"/>
                                <w:szCs w:val="18"/>
                              </w:rPr>
                            </w:pPr>
                            <w:r w:rsidRPr="001029CC">
                              <w:rPr>
                                <w:rFonts w:ascii="標楷體" w:eastAsia="標楷體" w:hAnsi="標楷體" w:hint="eastAsia"/>
                                <w:sz w:val="18"/>
                                <w:szCs w:val="18"/>
                              </w:rPr>
                              <w:t>資料來源</w:t>
                            </w:r>
                            <w:r w:rsidRPr="001029CC">
                              <w:rPr>
                                <w:rFonts w:ascii="標楷體" w:eastAsia="標楷體" w:hAnsi="標楷體"/>
                                <w:sz w:val="18"/>
                                <w:szCs w:val="18"/>
                              </w:rPr>
                              <w:t>：</w:t>
                            </w:r>
                            <w:r w:rsidRPr="001029CC">
                              <w:rPr>
                                <w:rFonts w:ascii="標楷體" w:eastAsia="標楷體" w:hAnsi="標楷體" w:hint="eastAsia"/>
                                <w:sz w:val="18"/>
                                <w:szCs w:val="18"/>
                              </w:rPr>
                              <w:t>整理</w:t>
                            </w:r>
                            <w:r w:rsidRPr="001029CC">
                              <w:rPr>
                                <w:rFonts w:ascii="標楷體" w:eastAsia="標楷體" w:hAnsi="標楷體"/>
                                <w:sz w:val="18"/>
                                <w:szCs w:val="18"/>
                              </w:rPr>
                              <w:t>自</w:t>
                            </w:r>
                            <w:r w:rsidRPr="001029CC">
                              <w:rPr>
                                <w:rFonts w:ascii="標楷體" w:eastAsia="標楷體" w:hAnsi="標楷體" w:hint="eastAsia"/>
                                <w:sz w:val="18"/>
                                <w:szCs w:val="18"/>
                              </w:rPr>
                              <w:t>各該事業</w:t>
                            </w:r>
                            <w:r w:rsidRPr="001029CC">
                              <w:rPr>
                                <w:rFonts w:ascii="標楷體" w:eastAsia="標楷體" w:hAnsi="標楷體"/>
                                <w:sz w:val="18"/>
                                <w:szCs w:val="18"/>
                              </w:rPr>
                              <w:t>提供資料。</w:t>
                            </w:r>
                          </w:p>
                        </w:tc>
                      </w:tr>
                    </w:tbl>
                    <w:p w14:paraId="20DB8DD5" w14:textId="77777777" w:rsidR="00502A79" w:rsidRPr="00C7485D" w:rsidRDefault="00502A79" w:rsidP="00502A79"/>
                  </w:txbxContent>
                </v:textbox>
                <w10:wrap type="square" anchorx="margin"/>
              </v:shape>
            </w:pict>
          </mc:Fallback>
        </mc:AlternateContent>
      </w:r>
      <w:r w:rsidRPr="00502A79">
        <w:rPr>
          <w:rFonts w:ascii="標楷體" w:eastAsia="標楷體" w:hAnsi="標楷體" w:cstheme="minorBidi" w:hint="eastAsia"/>
          <w:color w:val="000000" w:themeColor="text1"/>
          <w:szCs w:val="24"/>
        </w:rPr>
        <w:t>元（表</w:t>
      </w:r>
      <w:r w:rsidR="0006497C">
        <w:rPr>
          <w:rFonts w:ascii="標楷體" w:eastAsia="標楷體" w:hAnsi="標楷體" w:cstheme="minorBidi" w:hint="eastAsia"/>
          <w:color w:val="000000" w:themeColor="text1"/>
          <w:szCs w:val="24"/>
        </w:rPr>
        <w:t>17</w:t>
      </w:r>
      <w:r w:rsidRPr="00502A79">
        <w:rPr>
          <w:rFonts w:ascii="標楷體" w:eastAsia="標楷體" w:hAnsi="標楷體" w:cstheme="minorBidi" w:hint="eastAsia"/>
          <w:color w:val="000000" w:themeColor="text1"/>
          <w:szCs w:val="24"/>
        </w:rPr>
        <w:t>），可大幅</w:t>
      </w:r>
      <w:proofErr w:type="gramStart"/>
      <w:r w:rsidRPr="00502A79">
        <w:rPr>
          <w:rFonts w:ascii="標楷體" w:eastAsia="標楷體" w:hAnsi="標楷體" w:cstheme="minorBidi" w:hint="eastAsia"/>
          <w:color w:val="000000" w:themeColor="text1"/>
          <w:szCs w:val="24"/>
        </w:rPr>
        <w:t>降低碳費負擔</w:t>
      </w:r>
      <w:proofErr w:type="gramEnd"/>
      <w:r w:rsidRPr="00502A79">
        <w:rPr>
          <w:rFonts w:ascii="標楷體" w:eastAsia="標楷體" w:hAnsi="標楷體" w:cstheme="minorBidi" w:hint="eastAsia"/>
          <w:color w:val="000000" w:themeColor="text1"/>
          <w:szCs w:val="24"/>
        </w:rPr>
        <w:t>。又</w:t>
      </w:r>
      <w:proofErr w:type="gramStart"/>
      <w:r w:rsidRPr="00502A79">
        <w:rPr>
          <w:rFonts w:ascii="標楷體" w:eastAsia="標楷體" w:hAnsi="標楷體" w:cstheme="minorBidi" w:hint="eastAsia"/>
          <w:color w:val="000000" w:themeColor="text1"/>
          <w:szCs w:val="24"/>
        </w:rPr>
        <w:t>環境部於113年12月30日</w:t>
      </w:r>
      <w:proofErr w:type="gramEnd"/>
      <w:r w:rsidRPr="00502A79">
        <w:rPr>
          <w:rFonts w:ascii="標楷體" w:eastAsia="標楷體" w:hAnsi="標楷體" w:cstheme="minorBidi" w:hint="eastAsia"/>
          <w:color w:val="000000" w:themeColor="text1"/>
          <w:szCs w:val="24"/>
        </w:rPr>
        <w:t>依據氣候變遷因應法第10條規定，公告「第三期溫室氣體階段管制目標草案」，將我國2030年溫室氣體淨排放量減量目標較基準年（2005年）減量24±1％，提高至28±2％，並於114年3月4日公告將自</w:t>
      </w:r>
      <w:proofErr w:type="gramStart"/>
      <w:r w:rsidRPr="00502A79">
        <w:rPr>
          <w:rFonts w:ascii="標楷體" w:eastAsia="標楷體" w:hAnsi="標楷體" w:cstheme="minorBidi" w:hint="eastAsia"/>
          <w:color w:val="000000" w:themeColor="text1"/>
          <w:szCs w:val="24"/>
        </w:rPr>
        <w:t>115</w:t>
      </w:r>
      <w:proofErr w:type="gramEnd"/>
      <w:r w:rsidRPr="00502A79">
        <w:rPr>
          <w:rFonts w:ascii="標楷體" w:eastAsia="標楷體" w:hAnsi="標楷體" w:cstheme="minorBidi" w:hint="eastAsia"/>
          <w:color w:val="000000" w:themeColor="text1"/>
          <w:szCs w:val="24"/>
        </w:rPr>
        <w:t>年度起擴大應盤查對象，其中包括鐵路運輸業，及全廠（場）所屬設施使用能源符合煤炭年使用量4千公噸以上、或燃料油年使用量3,200公秉以上、或天然氣年使用量500萬立方公尺以上、或全廠（場）年外購電力2千萬度以上之製造業等，自115年起皆應於每年4月30日前，至排放量資訊平台完成前一年度溫室氣體排放量盤查及登錄，促使加速加大</w:t>
      </w:r>
      <w:proofErr w:type="gramStart"/>
      <w:r w:rsidRPr="00502A79">
        <w:rPr>
          <w:rFonts w:ascii="標楷體" w:eastAsia="標楷體" w:hAnsi="標楷體" w:cstheme="minorBidi" w:hint="eastAsia"/>
          <w:szCs w:val="24"/>
        </w:rPr>
        <w:t>減碳力</w:t>
      </w:r>
      <w:proofErr w:type="gramEnd"/>
      <w:r w:rsidRPr="00502A79">
        <w:rPr>
          <w:rFonts w:ascii="標楷體" w:eastAsia="標楷體" w:hAnsi="標楷體" w:cstheme="minorBidi" w:hint="eastAsia"/>
          <w:szCs w:val="24"/>
        </w:rPr>
        <w:t>道。經函請行政院督促相關主管機關輔導各該事業依限提出自主減量計畫，以適用優惠費率</w:t>
      </w:r>
      <w:proofErr w:type="gramStart"/>
      <w:r w:rsidRPr="00502A79">
        <w:rPr>
          <w:rFonts w:ascii="標楷體" w:eastAsia="標楷體" w:hAnsi="標楷體" w:cstheme="minorBidi" w:hint="eastAsia"/>
          <w:szCs w:val="24"/>
        </w:rPr>
        <w:t>減輕碳費負擔</w:t>
      </w:r>
      <w:proofErr w:type="gramEnd"/>
      <w:r w:rsidRPr="00502A79">
        <w:rPr>
          <w:rFonts w:ascii="標楷體" w:eastAsia="標楷體" w:hAnsi="標楷體" w:cstheme="minorBidi" w:hint="eastAsia"/>
          <w:szCs w:val="24"/>
        </w:rPr>
        <w:t>，另自</w:t>
      </w:r>
      <w:proofErr w:type="gramStart"/>
      <w:r w:rsidRPr="00502A79">
        <w:rPr>
          <w:rFonts w:ascii="標楷體" w:eastAsia="標楷體" w:hAnsi="標楷體" w:cstheme="minorBidi" w:hint="eastAsia"/>
          <w:szCs w:val="24"/>
        </w:rPr>
        <w:t>115年度起屬鐵路</w:t>
      </w:r>
      <w:proofErr w:type="gramEnd"/>
      <w:r w:rsidRPr="00502A79">
        <w:rPr>
          <w:rFonts w:ascii="標楷體" w:eastAsia="標楷體" w:hAnsi="標楷體" w:cstheme="minorBidi" w:hint="eastAsia"/>
          <w:szCs w:val="24"/>
        </w:rPr>
        <w:t>運輸業及製造業之國營事業屬應盤查對象，</w:t>
      </w:r>
      <w:proofErr w:type="gramStart"/>
      <w:r w:rsidRPr="00502A79">
        <w:rPr>
          <w:rFonts w:ascii="標楷體" w:eastAsia="標楷體" w:hAnsi="標楷體" w:cstheme="minorBidi" w:hint="eastAsia"/>
          <w:szCs w:val="24"/>
        </w:rPr>
        <w:t>併</w:t>
      </w:r>
      <w:proofErr w:type="gramEnd"/>
      <w:r w:rsidRPr="00502A79">
        <w:rPr>
          <w:rFonts w:ascii="標楷體" w:eastAsia="標楷體" w:hAnsi="標楷體" w:cstheme="minorBidi" w:hint="eastAsia"/>
          <w:szCs w:val="24"/>
        </w:rPr>
        <w:t>請督促相關主管機關輔導各該事業全面盤點應盤查登錄之排放源，</w:t>
      </w:r>
      <w:proofErr w:type="gramStart"/>
      <w:r w:rsidRPr="00502A79">
        <w:rPr>
          <w:rFonts w:ascii="標楷體" w:eastAsia="標楷體" w:hAnsi="標楷體" w:cstheme="minorBidi" w:hint="eastAsia"/>
          <w:szCs w:val="24"/>
        </w:rPr>
        <w:t>擴大減碳行動</w:t>
      </w:r>
      <w:proofErr w:type="gramEnd"/>
      <w:r w:rsidRPr="00502A79">
        <w:rPr>
          <w:rFonts w:ascii="標楷體" w:eastAsia="標楷體" w:hAnsi="標楷體" w:cstheme="minorBidi" w:hint="eastAsia"/>
          <w:szCs w:val="24"/>
        </w:rPr>
        <w:t>力。</w:t>
      </w:r>
      <w:r w:rsidRPr="005917F3">
        <w:rPr>
          <w:rFonts w:ascii="標楷體" w:eastAsia="標楷體" w:hAnsi="標楷體" w:cstheme="minorBidi" w:hint="eastAsia"/>
          <w:szCs w:val="24"/>
        </w:rPr>
        <w:t>據復：</w:t>
      </w:r>
      <w:r w:rsidR="005917F3" w:rsidRPr="005917F3">
        <w:rPr>
          <w:rFonts w:ascii="標楷體" w:eastAsia="標楷體" w:hAnsi="標楷體" w:cstheme="minorBidi" w:hint="eastAsia"/>
          <w:szCs w:val="24"/>
        </w:rPr>
        <w:t>各該事業將依據自主減量計畫管理辦法，於環境部規定之期限內提出「自主減量計畫」以爭取優惠費率，並將持續推動製程節能</w:t>
      </w:r>
      <w:proofErr w:type="gramStart"/>
      <w:r w:rsidR="005917F3" w:rsidRPr="005917F3">
        <w:rPr>
          <w:rFonts w:ascii="標楷體" w:eastAsia="標楷體" w:hAnsi="標楷體" w:cstheme="minorBidi" w:hint="eastAsia"/>
          <w:szCs w:val="24"/>
        </w:rPr>
        <w:t>減碳與負碳</w:t>
      </w:r>
      <w:proofErr w:type="gramEnd"/>
      <w:r w:rsidR="005917F3" w:rsidRPr="005917F3">
        <w:rPr>
          <w:rFonts w:ascii="標楷體" w:eastAsia="標楷體" w:hAnsi="標楷體" w:cstheme="minorBidi" w:hint="eastAsia"/>
          <w:szCs w:val="24"/>
        </w:rPr>
        <w:t>技術</w:t>
      </w:r>
      <w:proofErr w:type="gramStart"/>
      <w:r w:rsidR="005917F3" w:rsidRPr="005917F3">
        <w:rPr>
          <w:rFonts w:ascii="標楷體" w:eastAsia="標楷體" w:hAnsi="標楷體" w:cstheme="minorBidi" w:hint="eastAsia"/>
          <w:szCs w:val="24"/>
        </w:rPr>
        <w:t>等淨零轉型</w:t>
      </w:r>
      <w:proofErr w:type="gramEnd"/>
      <w:r w:rsidR="005917F3" w:rsidRPr="005917F3">
        <w:rPr>
          <w:rFonts w:ascii="標楷體" w:eastAsia="標楷體" w:hAnsi="標楷體" w:cstheme="minorBidi" w:hint="eastAsia"/>
          <w:szCs w:val="24"/>
        </w:rPr>
        <w:t>工作；另</w:t>
      </w:r>
      <w:r w:rsidR="00C33003">
        <w:rPr>
          <w:rFonts w:ascii="標楷體" w:eastAsia="標楷體" w:hAnsi="標楷體" w:cstheme="minorBidi" w:hint="eastAsia"/>
          <w:szCs w:val="24"/>
        </w:rPr>
        <w:t>國營</w:t>
      </w:r>
      <w:r w:rsidR="005917F3" w:rsidRPr="005917F3">
        <w:rPr>
          <w:rFonts w:ascii="標楷體" w:eastAsia="標楷體" w:hAnsi="標楷體" w:cstheme="minorBidi" w:hint="eastAsia"/>
          <w:szCs w:val="24"/>
        </w:rPr>
        <w:t>臺</w:t>
      </w:r>
      <w:r w:rsidR="00C33003">
        <w:rPr>
          <w:rFonts w:ascii="標楷體" w:eastAsia="標楷體" w:hAnsi="標楷體" w:cstheme="minorBidi" w:hint="eastAsia"/>
          <w:szCs w:val="24"/>
        </w:rPr>
        <w:t>灣</w:t>
      </w:r>
      <w:r w:rsidR="005917F3" w:rsidRPr="005917F3">
        <w:rPr>
          <w:rFonts w:ascii="標楷體" w:eastAsia="標楷體" w:hAnsi="標楷體" w:cstheme="minorBidi" w:hint="eastAsia"/>
          <w:szCs w:val="24"/>
        </w:rPr>
        <w:t>鐵</w:t>
      </w:r>
      <w:r w:rsidR="00C33003">
        <w:rPr>
          <w:rFonts w:ascii="標楷體" w:eastAsia="標楷體" w:hAnsi="標楷體" w:cstheme="minorBidi" w:hint="eastAsia"/>
          <w:szCs w:val="24"/>
        </w:rPr>
        <w:t>路</w:t>
      </w:r>
      <w:r w:rsidR="005917F3" w:rsidRPr="005917F3">
        <w:rPr>
          <w:rFonts w:ascii="標楷體" w:eastAsia="標楷體" w:hAnsi="標楷體" w:cstheme="minorBidi" w:hint="eastAsia"/>
          <w:szCs w:val="24"/>
        </w:rPr>
        <w:t>公司已於113年11月成立「溫室氣體盤查推動小組」進行溫室氣體盤查業務，刻正進入資料收集彙整階段，規劃於114年9月辦理外部查證。</w:t>
      </w:r>
    </w:p>
    <w:p w14:paraId="3D05E23F" w14:textId="77777777" w:rsidR="000C0C98" w:rsidRDefault="00502A79" w:rsidP="005917F3">
      <w:pPr>
        <w:widowControl/>
        <w:overflowPunct w:val="0"/>
        <w:spacing w:line="440" w:lineRule="exact"/>
        <w:ind w:firstLineChars="450" w:firstLine="1081"/>
        <w:jc w:val="both"/>
        <w:rPr>
          <w:rFonts w:ascii="標楷體" w:eastAsia="標楷體" w:hAnsi="標楷體" w:cstheme="minorBidi"/>
          <w:b/>
          <w:bCs/>
          <w:szCs w:val="24"/>
        </w:rPr>
      </w:pPr>
      <w:r w:rsidRPr="00502A79">
        <w:rPr>
          <w:rFonts w:ascii="標楷體" w:eastAsia="標楷體" w:hAnsi="標楷體" w:cstheme="minorBidi" w:hint="eastAsia"/>
          <w:b/>
          <w:bCs/>
          <w:szCs w:val="24"/>
        </w:rPr>
        <w:t>2.　公開發行公司內部控制制度依法應包含永續資訊管理，國營事業雖非適用對象，惟多數事業規模相當於大型上市櫃公司，為健全各該事業有關永續資訊管理之內部控制作業，允宜督促各國營事業參考ICSR報告架構或公開發行公司建立內部控制制度處理準則，檢討修正</w:t>
      </w:r>
    </w:p>
    <w:p w14:paraId="60979A3D" w14:textId="1C02504D" w:rsidR="002E10E6" w:rsidRPr="002C2E7C" w:rsidRDefault="00F15BC2" w:rsidP="002C2E7C">
      <w:pPr>
        <w:widowControl/>
        <w:overflowPunct w:val="0"/>
        <w:spacing w:line="436" w:lineRule="exact"/>
        <w:jc w:val="both"/>
        <w:rPr>
          <w:rFonts w:ascii="標楷體" w:eastAsia="標楷體" w:hAnsi="標楷體" w:cstheme="minorBidi"/>
          <w:szCs w:val="24"/>
        </w:rPr>
      </w:pPr>
      <w:r w:rsidRPr="005917F3">
        <w:rPr>
          <w:rFonts w:ascii="標楷體" w:eastAsia="標楷體" w:hAnsi="標楷體" w:cstheme="minorBidi"/>
          <w:b/>
          <w:bCs/>
          <w:noProof/>
          <w:szCs w:val="24"/>
        </w:rPr>
        <w:lastRenderedPageBreak/>
        <mc:AlternateContent>
          <mc:Choice Requires="wps">
            <w:drawing>
              <wp:anchor distT="45720" distB="45720" distL="114300" distR="114300" simplePos="0" relativeHeight="251682816" behindDoc="0" locked="0" layoutInCell="1" allowOverlap="1" wp14:anchorId="2E937F7E" wp14:editId="481E06D1">
                <wp:simplePos x="0" y="0"/>
                <wp:positionH relativeFrom="margin">
                  <wp:posOffset>2569210</wp:posOffset>
                </wp:positionH>
                <wp:positionV relativeFrom="paragraph">
                  <wp:posOffset>6854190</wp:posOffset>
                </wp:positionV>
                <wp:extent cx="3733800" cy="1927860"/>
                <wp:effectExtent l="0" t="0" r="0"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1927860"/>
                        </a:xfrm>
                        <a:prstGeom prst="rect">
                          <a:avLst/>
                        </a:prstGeom>
                        <a:solidFill>
                          <a:srgbClr val="FFFFFF"/>
                        </a:solidFill>
                        <a:ln w="9525">
                          <a:noFill/>
                          <a:miter lim="800000"/>
                          <a:headEnd/>
                          <a:tailEnd/>
                        </a:ln>
                      </wps:spPr>
                      <wps:txbx>
                        <w:txbxContent>
                          <w:tbl>
                            <w:tblPr>
                              <w:tblStyle w:val="SGSTableBasic1113"/>
                              <w:tblW w:w="5670" w:type="dxa"/>
                              <w:tblLook w:val="04A0" w:firstRow="1" w:lastRow="0" w:firstColumn="1" w:lastColumn="0" w:noHBand="0" w:noVBand="1"/>
                            </w:tblPr>
                            <w:tblGrid>
                              <w:gridCol w:w="1418"/>
                              <w:gridCol w:w="4252"/>
                            </w:tblGrid>
                            <w:tr w:rsidR="005917F3" w14:paraId="6DF724AA" w14:textId="77777777" w:rsidTr="00DF1DA3">
                              <w:tc>
                                <w:tcPr>
                                  <w:tcW w:w="5670" w:type="dxa"/>
                                  <w:gridSpan w:val="2"/>
                                  <w:tcBorders>
                                    <w:top w:val="nil"/>
                                    <w:left w:val="nil"/>
                                    <w:right w:val="nil"/>
                                  </w:tcBorders>
                                  <w:vAlign w:val="center"/>
                                </w:tcPr>
                                <w:p w14:paraId="4E3BFA1E" w14:textId="77777777" w:rsidR="005917F3" w:rsidRPr="00DF1DA3" w:rsidRDefault="005917F3" w:rsidP="000E04AA">
                                  <w:pPr>
                                    <w:overflowPunct w:val="0"/>
                                    <w:snapToGrid w:val="0"/>
                                    <w:spacing w:afterLines="20" w:after="72" w:line="260" w:lineRule="atLeast"/>
                                    <w:ind w:leftChars="-30" w:left="681" w:hangingChars="330" w:hanging="753"/>
                                    <w:jc w:val="both"/>
                                    <w:rPr>
                                      <w:rFonts w:ascii="標楷體" w:eastAsia="標楷體" w:hAnsi="標楷體"/>
                                      <w:b/>
                                      <w:bCs/>
                                      <w:spacing w:val="-6"/>
                                      <w:szCs w:val="24"/>
                                    </w:rPr>
                                  </w:pPr>
                                  <w:r w:rsidRPr="00DA77D2">
                                    <w:rPr>
                                      <w:rFonts w:ascii="標楷體" w:eastAsia="標楷體" w:hAnsi="標楷體" w:hint="eastAsia"/>
                                      <w:b/>
                                      <w:spacing w:val="-6"/>
                                      <w:szCs w:val="24"/>
                                    </w:rPr>
                                    <w:t>表</w:t>
                                  </w:r>
                                  <w:r>
                                    <w:rPr>
                                      <w:rFonts w:ascii="標楷體" w:eastAsia="標楷體" w:hAnsi="標楷體" w:hint="eastAsia"/>
                                      <w:b/>
                                      <w:spacing w:val="-6"/>
                                      <w:szCs w:val="24"/>
                                    </w:rPr>
                                    <w:t>1</w:t>
                                  </w:r>
                                  <w:r>
                                    <w:rPr>
                                      <w:rFonts w:ascii="標楷體" w:eastAsia="標楷體" w:hAnsi="標楷體"/>
                                      <w:b/>
                                      <w:spacing w:val="-6"/>
                                      <w:szCs w:val="24"/>
                                    </w:rPr>
                                    <w:t>8</w:t>
                                  </w:r>
                                  <w:r w:rsidRPr="00DF1DA3">
                                    <w:rPr>
                                      <w:rFonts w:ascii="標楷體" w:eastAsia="標楷體" w:hAnsi="標楷體" w:hint="eastAsia"/>
                                      <w:b/>
                                      <w:spacing w:val="-6"/>
                                      <w:szCs w:val="24"/>
                                    </w:rPr>
                                    <w:t xml:space="preserve">　</w:t>
                                  </w:r>
                                  <w:r w:rsidRPr="00C8530D">
                                    <w:rPr>
                                      <w:rFonts w:ascii="標楷體" w:eastAsia="標楷體" w:hAnsi="標楷體" w:hint="eastAsia"/>
                                      <w:b/>
                                      <w:spacing w:val="-10"/>
                                      <w:szCs w:val="24"/>
                                    </w:rPr>
                                    <w:t>國營事業</w:t>
                                  </w:r>
                                  <w:r w:rsidRPr="00C8530D">
                                    <w:rPr>
                                      <w:rFonts w:ascii="標楷體" w:eastAsia="標楷體" w:hAnsi="標楷體"/>
                                      <w:b/>
                                      <w:spacing w:val="-10"/>
                                      <w:szCs w:val="24"/>
                                    </w:rPr>
                                    <w:t>參考</w:t>
                                  </w:r>
                                  <w:r w:rsidRPr="00C8530D">
                                    <w:rPr>
                                      <w:rFonts w:ascii="標楷體" w:eastAsia="標楷體" w:hAnsi="標楷體" w:hint="eastAsia"/>
                                      <w:b/>
                                      <w:bCs/>
                                      <w:spacing w:val="-10"/>
                                      <w:szCs w:val="24"/>
                                    </w:rPr>
                                    <w:t>I</w:t>
                                  </w:r>
                                  <w:r w:rsidRPr="00C8530D">
                                    <w:rPr>
                                      <w:rFonts w:ascii="標楷體" w:eastAsia="標楷體" w:hAnsi="標楷體"/>
                                      <w:b/>
                                      <w:bCs/>
                                      <w:spacing w:val="-10"/>
                                      <w:szCs w:val="24"/>
                                    </w:rPr>
                                    <w:t>CSR報告</w:t>
                                  </w:r>
                                  <w:r w:rsidRPr="00C8530D">
                                    <w:rPr>
                                      <w:rFonts w:ascii="標楷體" w:eastAsia="標楷體" w:hAnsi="標楷體" w:hint="eastAsia"/>
                                      <w:b/>
                                      <w:bCs/>
                                      <w:spacing w:val="-10"/>
                                      <w:szCs w:val="24"/>
                                    </w:rPr>
                                    <w:t>架構或公開發行公司</w:t>
                                  </w:r>
                                  <w:r w:rsidRPr="000E04AA">
                                    <w:rPr>
                                      <w:rFonts w:ascii="標楷體" w:eastAsia="標楷體" w:hAnsi="標楷體" w:hint="eastAsia"/>
                                      <w:b/>
                                      <w:bCs/>
                                      <w:color w:val="000000" w:themeColor="text1"/>
                                      <w:spacing w:val="-10"/>
                                      <w:szCs w:val="24"/>
                                    </w:rPr>
                                    <w:t>建立</w:t>
                                  </w:r>
                                  <w:r w:rsidRPr="000E04AA">
                                    <w:rPr>
                                      <w:rFonts w:ascii="標楷體" w:eastAsia="標楷體" w:hAnsi="標楷體" w:hint="eastAsia"/>
                                      <w:b/>
                                      <w:bCs/>
                                      <w:color w:val="000000" w:themeColor="text1"/>
                                      <w:spacing w:val="-2"/>
                                      <w:szCs w:val="24"/>
                                    </w:rPr>
                                    <w:t>內部控制制度處理準則修正內部控制制度情形</w:t>
                                  </w:r>
                                </w:p>
                              </w:tc>
                            </w:tr>
                            <w:tr w:rsidR="005917F3" w14:paraId="200938BE" w14:textId="77777777" w:rsidTr="00C8530D">
                              <w:trPr>
                                <w:trHeight w:val="369"/>
                              </w:trPr>
                              <w:tc>
                                <w:tcPr>
                                  <w:tcW w:w="1418" w:type="dxa"/>
                                  <w:vAlign w:val="center"/>
                                </w:tcPr>
                                <w:p w14:paraId="3D4690CF" w14:textId="77777777" w:rsidR="005917F3" w:rsidRPr="005C1886" w:rsidRDefault="005917F3" w:rsidP="00DF1DA3">
                                  <w:pPr>
                                    <w:snapToGrid w:val="0"/>
                                    <w:spacing w:line="200" w:lineRule="atLeast"/>
                                    <w:jc w:val="center"/>
                                    <w:rPr>
                                      <w:rFonts w:ascii="標楷體" w:eastAsia="標楷體" w:hAnsi="標楷體"/>
                                      <w:sz w:val="20"/>
                                      <w:szCs w:val="20"/>
                                    </w:rPr>
                                  </w:pPr>
                                  <w:r w:rsidRPr="005C1886">
                                    <w:rPr>
                                      <w:rFonts w:ascii="標楷體" w:eastAsia="標楷體" w:hAnsi="標楷體" w:hint="eastAsia"/>
                                      <w:sz w:val="20"/>
                                      <w:szCs w:val="20"/>
                                    </w:rPr>
                                    <w:t>參考情形</w:t>
                                  </w:r>
                                </w:p>
                              </w:tc>
                              <w:tc>
                                <w:tcPr>
                                  <w:tcW w:w="4252" w:type="dxa"/>
                                  <w:vAlign w:val="center"/>
                                </w:tcPr>
                                <w:p w14:paraId="572E2333" w14:textId="77777777" w:rsidR="005917F3" w:rsidRPr="005C1886" w:rsidRDefault="005917F3" w:rsidP="00DF1DA3">
                                  <w:pPr>
                                    <w:snapToGrid w:val="0"/>
                                    <w:spacing w:line="200" w:lineRule="atLeast"/>
                                    <w:jc w:val="center"/>
                                    <w:rPr>
                                      <w:rFonts w:ascii="標楷體" w:eastAsia="標楷體" w:hAnsi="標楷體"/>
                                      <w:sz w:val="20"/>
                                      <w:szCs w:val="20"/>
                                    </w:rPr>
                                  </w:pPr>
                                  <w:r w:rsidRPr="005C1886">
                                    <w:rPr>
                                      <w:rFonts w:ascii="標楷體" w:eastAsia="標楷體" w:hAnsi="標楷體" w:hint="eastAsia"/>
                                      <w:sz w:val="20"/>
                                      <w:szCs w:val="20"/>
                                    </w:rPr>
                                    <w:t>事業名稱</w:t>
                                  </w:r>
                                </w:p>
                              </w:tc>
                            </w:tr>
                            <w:tr w:rsidR="005917F3" w14:paraId="51578E0B" w14:textId="77777777" w:rsidTr="009134B9">
                              <w:trPr>
                                <w:trHeight w:val="510"/>
                              </w:trPr>
                              <w:tc>
                                <w:tcPr>
                                  <w:tcW w:w="1418" w:type="dxa"/>
                                  <w:vAlign w:val="center"/>
                                </w:tcPr>
                                <w:p w14:paraId="1CD28301" w14:textId="77777777" w:rsidR="005917F3" w:rsidRPr="005C1886" w:rsidRDefault="005917F3" w:rsidP="00D21FAF">
                                  <w:pPr>
                                    <w:snapToGrid w:val="0"/>
                                    <w:spacing w:line="240" w:lineRule="exact"/>
                                    <w:jc w:val="center"/>
                                    <w:rPr>
                                      <w:rFonts w:ascii="標楷體" w:eastAsia="標楷體" w:hAnsi="標楷體"/>
                                      <w:sz w:val="20"/>
                                      <w:szCs w:val="20"/>
                                    </w:rPr>
                                  </w:pPr>
                                  <w:r w:rsidRPr="005C1886">
                                    <w:rPr>
                                      <w:rFonts w:ascii="標楷體" w:eastAsia="標楷體" w:hAnsi="標楷體" w:hint="eastAsia"/>
                                      <w:sz w:val="20"/>
                                      <w:szCs w:val="20"/>
                                    </w:rPr>
                                    <w:t>已參考</w:t>
                                  </w:r>
                                </w:p>
                                <w:p w14:paraId="52F876C2" w14:textId="77777777" w:rsidR="005917F3" w:rsidRPr="005C1886" w:rsidRDefault="005917F3" w:rsidP="00D21FAF">
                                  <w:pPr>
                                    <w:snapToGrid w:val="0"/>
                                    <w:spacing w:line="240" w:lineRule="exact"/>
                                    <w:jc w:val="center"/>
                                    <w:rPr>
                                      <w:rFonts w:ascii="標楷體" w:eastAsia="標楷體" w:hAnsi="標楷體"/>
                                      <w:sz w:val="20"/>
                                      <w:szCs w:val="20"/>
                                    </w:rPr>
                                  </w:pPr>
                                  <w:r>
                                    <w:rPr>
                                      <w:rFonts w:ascii="標楷體" w:eastAsia="標楷體" w:hAnsi="標楷體" w:hint="eastAsia"/>
                                      <w:sz w:val="20"/>
                                      <w:szCs w:val="20"/>
                                    </w:rPr>
                                    <w:t>（</w:t>
                                  </w:r>
                                  <w:r w:rsidRPr="005C1886">
                                    <w:rPr>
                                      <w:rFonts w:ascii="標楷體" w:eastAsia="標楷體" w:hAnsi="標楷體" w:hint="eastAsia"/>
                                      <w:sz w:val="20"/>
                                      <w:szCs w:val="20"/>
                                    </w:rPr>
                                    <w:t>4</w:t>
                                  </w:r>
                                  <w:r w:rsidRPr="005C1886">
                                    <w:rPr>
                                      <w:rFonts w:ascii="標楷體" w:eastAsia="標楷體" w:hAnsi="標楷體"/>
                                      <w:sz w:val="20"/>
                                      <w:szCs w:val="20"/>
                                    </w:rPr>
                                    <w:t>家</w:t>
                                  </w:r>
                                  <w:r>
                                    <w:rPr>
                                      <w:rFonts w:ascii="標楷體" w:eastAsia="標楷體" w:hAnsi="標楷體" w:hint="eastAsia"/>
                                      <w:sz w:val="20"/>
                                      <w:szCs w:val="20"/>
                                    </w:rPr>
                                    <w:t>）</w:t>
                                  </w:r>
                                </w:p>
                              </w:tc>
                              <w:tc>
                                <w:tcPr>
                                  <w:tcW w:w="4252" w:type="dxa"/>
                                </w:tcPr>
                                <w:p w14:paraId="20F0CF90" w14:textId="77777777" w:rsidR="005917F3" w:rsidRPr="005C1886" w:rsidRDefault="005917F3" w:rsidP="00D21FAF">
                                  <w:pPr>
                                    <w:snapToGrid w:val="0"/>
                                    <w:spacing w:line="240" w:lineRule="exact"/>
                                    <w:jc w:val="both"/>
                                    <w:rPr>
                                      <w:rFonts w:ascii="標楷體" w:eastAsia="標楷體" w:hAnsi="標楷體"/>
                                      <w:sz w:val="20"/>
                                      <w:szCs w:val="20"/>
                                    </w:rPr>
                                  </w:pPr>
                                  <w:r w:rsidRPr="005C1886">
                                    <w:rPr>
                                      <w:rFonts w:ascii="標楷體" w:eastAsia="標楷體" w:hAnsi="標楷體" w:hint="eastAsia"/>
                                      <w:sz w:val="20"/>
                                      <w:szCs w:val="20"/>
                                    </w:rPr>
                                    <w:t>台灣中油公司、中國輸出入銀行、臺灣金融控股公司、臺灣土地銀行公司</w:t>
                                  </w:r>
                                </w:p>
                              </w:tc>
                            </w:tr>
                            <w:tr w:rsidR="005917F3" w14:paraId="10DF0972" w14:textId="77777777" w:rsidTr="009134B9">
                              <w:trPr>
                                <w:trHeight w:val="1020"/>
                              </w:trPr>
                              <w:tc>
                                <w:tcPr>
                                  <w:tcW w:w="1418" w:type="dxa"/>
                                  <w:tcBorders>
                                    <w:bottom w:val="single" w:sz="4" w:space="0" w:color="auto"/>
                                  </w:tcBorders>
                                  <w:vAlign w:val="center"/>
                                </w:tcPr>
                                <w:p w14:paraId="26F127D2" w14:textId="77777777" w:rsidR="005917F3" w:rsidRPr="005C1886" w:rsidRDefault="005917F3" w:rsidP="00D21FAF">
                                  <w:pPr>
                                    <w:snapToGrid w:val="0"/>
                                    <w:spacing w:line="240" w:lineRule="exact"/>
                                    <w:jc w:val="center"/>
                                    <w:rPr>
                                      <w:rFonts w:ascii="標楷體" w:eastAsia="標楷體" w:hAnsi="標楷體"/>
                                      <w:sz w:val="20"/>
                                      <w:szCs w:val="20"/>
                                    </w:rPr>
                                  </w:pPr>
                                  <w:r w:rsidRPr="005C1886">
                                    <w:rPr>
                                      <w:rFonts w:ascii="標楷體" w:eastAsia="標楷體" w:hAnsi="標楷體" w:hint="eastAsia"/>
                                      <w:sz w:val="20"/>
                                      <w:szCs w:val="20"/>
                                    </w:rPr>
                                    <w:t>尚未參考</w:t>
                                  </w:r>
                                </w:p>
                                <w:p w14:paraId="0C916561" w14:textId="77777777" w:rsidR="005917F3" w:rsidRPr="005C1886" w:rsidRDefault="005917F3" w:rsidP="00D21FAF">
                                  <w:pPr>
                                    <w:snapToGrid w:val="0"/>
                                    <w:spacing w:line="240" w:lineRule="exact"/>
                                    <w:jc w:val="center"/>
                                    <w:rPr>
                                      <w:rFonts w:ascii="標楷體" w:eastAsia="標楷體" w:hAnsi="標楷體"/>
                                      <w:sz w:val="20"/>
                                      <w:szCs w:val="20"/>
                                    </w:rPr>
                                  </w:pPr>
                                  <w:r>
                                    <w:rPr>
                                      <w:rFonts w:ascii="標楷體" w:eastAsia="標楷體" w:hAnsi="標楷體" w:hint="eastAsia"/>
                                      <w:sz w:val="20"/>
                                      <w:szCs w:val="20"/>
                                    </w:rPr>
                                    <w:t>（</w:t>
                                  </w:r>
                                  <w:r w:rsidRPr="005C1886">
                                    <w:rPr>
                                      <w:rFonts w:ascii="標楷體" w:eastAsia="標楷體" w:hAnsi="標楷體"/>
                                      <w:sz w:val="20"/>
                                      <w:szCs w:val="20"/>
                                    </w:rPr>
                                    <w:t>11家</w:t>
                                  </w:r>
                                  <w:r>
                                    <w:rPr>
                                      <w:rFonts w:ascii="標楷體" w:eastAsia="標楷體" w:hAnsi="標楷體" w:hint="eastAsia"/>
                                      <w:sz w:val="20"/>
                                      <w:szCs w:val="20"/>
                                    </w:rPr>
                                    <w:t>）</w:t>
                                  </w:r>
                                </w:p>
                              </w:tc>
                              <w:tc>
                                <w:tcPr>
                                  <w:tcW w:w="4252" w:type="dxa"/>
                                  <w:tcBorders>
                                    <w:bottom w:val="single" w:sz="4" w:space="0" w:color="auto"/>
                                  </w:tcBorders>
                                  <w:vAlign w:val="center"/>
                                </w:tcPr>
                                <w:p w14:paraId="40EAF5A8" w14:textId="77777777" w:rsidR="005917F3" w:rsidRPr="005C1886" w:rsidRDefault="005917F3" w:rsidP="00D21FAF">
                                  <w:pPr>
                                    <w:snapToGrid w:val="0"/>
                                    <w:spacing w:line="240" w:lineRule="exact"/>
                                    <w:jc w:val="both"/>
                                    <w:rPr>
                                      <w:rFonts w:ascii="標楷體" w:eastAsia="標楷體" w:hAnsi="標楷體"/>
                                      <w:sz w:val="20"/>
                                      <w:szCs w:val="20"/>
                                    </w:rPr>
                                  </w:pPr>
                                  <w:r w:rsidRPr="005C1886">
                                    <w:rPr>
                                      <w:rFonts w:ascii="標楷體" w:eastAsia="標楷體" w:hAnsi="標楷體" w:hint="eastAsia"/>
                                      <w:sz w:val="20"/>
                                      <w:szCs w:val="20"/>
                                    </w:rPr>
                                    <w:t>中央銀行</w:t>
                                  </w:r>
                                  <w:r w:rsidRPr="005C1886">
                                    <w:rPr>
                                      <w:rFonts w:ascii="標楷體" w:eastAsia="標楷體" w:hAnsi="標楷體"/>
                                      <w:sz w:val="20"/>
                                      <w:szCs w:val="20"/>
                                    </w:rPr>
                                    <w:t>、</w:t>
                                  </w:r>
                                  <w:r w:rsidRPr="005C1886">
                                    <w:rPr>
                                      <w:rFonts w:ascii="標楷體" w:eastAsia="標楷體" w:hAnsi="標楷體" w:hint="eastAsia"/>
                                      <w:sz w:val="20"/>
                                      <w:szCs w:val="20"/>
                                    </w:rPr>
                                    <w:t>台灣糖業公司、台灣電力公司、台灣自來水公司</w:t>
                                  </w:r>
                                  <w:r w:rsidRPr="005C1886">
                                    <w:rPr>
                                      <w:rFonts w:ascii="標楷體" w:eastAsia="標楷體" w:hAnsi="標楷體"/>
                                      <w:sz w:val="20"/>
                                      <w:szCs w:val="20"/>
                                    </w:rPr>
                                    <w:t>、</w:t>
                                  </w:r>
                                  <w:r w:rsidRPr="005C1886">
                                    <w:rPr>
                                      <w:rFonts w:ascii="標楷體" w:eastAsia="標楷體" w:hAnsi="標楷體" w:hint="eastAsia"/>
                                      <w:sz w:val="20"/>
                                      <w:szCs w:val="20"/>
                                    </w:rPr>
                                    <w:t>財政部印刷廠、臺灣菸酒公司、中華郵政公司、國營臺灣鐵路公司、臺灣港務公司、桃園國際機場公司</w:t>
                                  </w:r>
                                  <w:r w:rsidRPr="005C1886">
                                    <w:rPr>
                                      <w:rFonts w:ascii="標楷體" w:eastAsia="標楷體" w:hAnsi="標楷體"/>
                                      <w:sz w:val="20"/>
                                      <w:szCs w:val="20"/>
                                    </w:rPr>
                                    <w:t>、</w:t>
                                  </w:r>
                                  <w:r w:rsidRPr="005C1886">
                                    <w:rPr>
                                      <w:rFonts w:ascii="標楷體" w:eastAsia="標楷體" w:hAnsi="標楷體" w:hint="eastAsia"/>
                                      <w:sz w:val="20"/>
                                      <w:szCs w:val="20"/>
                                    </w:rPr>
                                    <w:t>中央存款保險公司</w:t>
                                  </w:r>
                                </w:p>
                              </w:tc>
                            </w:tr>
                            <w:tr w:rsidR="005917F3" w14:paraId="03E90DAC" w14:textId="77777777" w:rsidTr="00DF1DA3">
                              <w:tc>
                                <w:tcPr>
                                  <w:tcW w:w="5670" w:type="dxa"/>
                                  <w:gridSpan w:val="2"/>
                                  <w:tcBorders>
                                    <w:left w:val="nil"/>
                                    <w:bottom w:val="nil"/>
                                    <w:right w:val="nil"/>
                                  </w:tcBorders>
                                  <w:vAlign w:val="center"/>
                                </w:tcPr>
                                <w:p w14:paraId="577A24F7" w14:textId="77777777" w:rsidR="005917F3" w:rsidRPr="0055172D" w:rsidRDefault="005917F3" w:rsidP="00DF1DA3">
                                  <w:pPr>
                                    <w:snapToGrid w:val="0"/>
                                    <w:spacing w:line="240" w:lineRule="atLeast"/>
                                    <w:ind w:leftChars="-20" w:left="-48"/>
                                    <w:rPr>
                                      <w:rFonts w:ascii="標楷體" w:eastAsia="標楷體" w:hAnsi="標楷體"/>
                                      <w:sz w:val="18"/>
                                      <w:szCs w:val="18"/>
                                    </w:rPr>
                                  </w:pPr>
                                  <w:r w:rsidRPr="0055172D">
                                    <w:rPr>
                                      <w:rFonts w:ascii="標楷體" w:eastAsia="標楷體" w:hAnsi="標楷體" w:hint="eastAsia"/>
                                      <w:sz w:val="18"/>
                                      <w:szCs w:val="18"/>
                                    </w:rPr>
                                    <w:t>資料來源：整理</w:t>
                                  </w:r>
                                  <w:r w:rsidRPr="0055172D">
                                    <w:rPr>
                                      <w:rFonts w:ascii="標楷體" w:eastAsia="標楷體" w:hAnsi="標楷體"/>
                                      <w:sz w:val="18"/>
                                      <w:szCs w:val="18"/>
                                    </w:rPr>
                                    <w:t>自</w:t>
                                  </w:r>
                                  <w:r w:rsidRPr="0055172D">
                                    <w:rPr>
                                      <w:rFonts w:ascii="標楷體" w:eastAsia="標楷體" w:hAnsi="標楷體" w:hint="eastAsia"/>
                                      <w:sz w:val="18"/>
                                      <w:szCs w:val="18"/>
                                    </w:rPr>
                                    <w:t>各事業</w:t>
                                  </w:r>
                                  <w:r w:rsidRPr="0055172D">
                                    <w:rPr>
                                      <w:rFonts w:ascii="標楷體" w:eastAsia="標楷體" w:hAnsi="標楷體"/>
                                      <w:sz w:val="18"/>
                                      <w:szCs w:val="18"/>
                                    </w:rPr>
                                    <w:t>提供資料。</w:t>
                                  </w:r>
                                </w:p>
                              </w:tc>
                            </w:tr>
                          </w:tbl>
                          <w:p w14:paraId="1EBE2F37" w14:textId="77777777" w:rsidR="005917F3" w:rsidRPr="002C28EB" w:rsidRDefault="005917F3" w:rsidP="005917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937F7E" id="文字方塊 14" o:spid="_x0000_s1068" type="#_x0000_t202" style="position:absolute;left:0;text-align:left;margin-left:202.3pt;margin-top:539.7pt;width:294pt;height:151.8pt;z-index:25168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" stroked="f">
                <v:textbox>
                  <w:txbxContent>
                    <w:tbl>
                      <w:tblPr>
                        <w:tblStyle w:val="SGSTableBasic1113"/>
                        <w:tblW w:w="5670" w:type="dxa"/>
                        <w:tblLook w:val="04A0" w:firstRow="1" w:lastRow="0" w:firstColumn="1" w:lastColumn="0" w:noHBand="0" w:noVBand="1"/>
                      </w:tblPr>
                      <w:tblGrid>
                        <w:gridCol w:w="1418"/>
                        <w:gridCol w:w="4252"/>
                      </w:tblGrid>
                      <w:tr w:rsidR="005917F3" w14:paraId="6DF724AA" w14:textId="77777777" w:rsidTr="00DF1DA3">
                        <w:tc>
                          <w:tcPr>
                            <w:tcW w:w="5670" w:type="dxa"/>
                            <w:gridSpan w:val="2"/>
                            <w:tcBorders>
                              <w:top w:val="nil"/>
                              <w:left w:val="nil"/>
                              <w:right w:val="nil"/>
                            </w:tcBorders>
                            <w:vAlign w:val="center"/>
                          </w:tcPr>
                          <w:p w14:paraId="4E3BFA1E" w14:textId="77777777" w:rsidR="005917F3" w:rsidRPr="00DF1DA3" w:rsidRDefault="005917F3" w:rsidP="000E04AA">
                            <w:pPr>
                              <w:overflowPunct w:val="0"/>
                              <w:snapToGrid w:val="0"/>
                              <w:spacing w:afterLines="20" w:after="72" w:line="260" w:lineRule="atLeast"/>
                              <w:ind w:leftChars="-30" w:left="681" w:hangingChars="330" w:hanging="753"/>
                              <w:jc w:val="both"/>
                              <w:rPr>
                                <w:rFonts w:ascii="標楷體" w:eastAsia="標楷體" w:hAnsi="標楷體"/>
                                <w:b/>
                                <w:bCs/>
                                <w:spacing w:val="-6"/>
                                <w:szCs w:val="24"/>
                              </w:rPr>
                            </w:pPr>
                            <w:r w:rsidRPr="00DA77D2">
                              <w:rPr>
                                <w:rFonts w:ascii="標楷體" w:eastAsia="標楷體" w:hAnsi="標楷體" w:hint="eastAsia"/>
                                <w:b/>
                                <w:spacing w:val="-6"/>
                                <w:szCs w:val="24"/>
                              </w:rPr>
                              <w:t>表</w:t>
                            </w:r>
                            <w:r>
                              <w:rPr>
                                <w:rFonts w:ascii="標楷體" w:eastAsia="標楷體" w:hAnsi="標楷體" w:hint="eastAsia"/>
                                <w:b/>
                                <w:spacing w:val="-6"/>
                                <w:szCs w:val="24"/>
                              </w:rPr>
                              <w:t>1</w:t>
                            </w:r>
                            <w:r>
                              <w:rPr>
                                <w:rFonts w:ascii="標楷體" w:eastAsia="標楷體" w:hAnsi="標楷體"/>
                                <w:b/>
                                <w:spacing w:val="-6"/>
                                <w:szCs w:val="24"/>
                              </w:rPr>
                              <w:t>8</w:t>
                            </w:r>
                            <w:r w:rsidRPr="00DF1DA3">
                              <w:rPr>
                                <w:rFonts w:ascii="標楷體" w:eastAsia="標楷體" w:hAnsi="標楷體" w:hint="eastAsia"/>
                                <w:b/>
                                <w:spacing w:val="-6"/>
                                <w:szCs w:val="24"/>
                              </w:rPr>
                              <w:t xml:space="preserve">　</w:t>
                            </w:r>
                            <w:r w:rsidRPr="00C8530D">
                              <w:rPr>
                                <w:rFonts w:ascii="標楷體" w:eastAsia="標楷體" w:hAnsi="標楷體" w:hint="eastAsia"/>
                                <w:b/>
                                <w:spacing w:val="-10"/>
                                <w:szCs w:val="24"/>
                              </w:rPr>
                              <w:t>國營事業</w:t>
                            </w:r>
                            <w:r w:rsidRPr="00C8530D">
                              <w:rPr>
                                <w:rFonts w:ascii="標楷體" w:eastAsia="標楷體" w:hAnsi="標楷體"/>
                                <w:b/>
                                <w:spacing w:val="-10"/>
                                <w:szCs w:val="24"/>
                              </w:rPr>
                              <w:t>參考</w:t>
                            </w:r>
                            <w:r w:rsidRPr="00C8530D">
                              <w:rPr>
                                <w:rFonts w:ascii="標楷體" w:eastAsia="標楷體" w:hAnsi="標楷體" w:hint="eastAsia"/>
                                <w:b/>
                                <w:bCs/>
                                <w:spacing w:val="-10"/>
                                <w:szCs w:val="24"/>
                              </w:rPr>
                              <w:t>I</w:t>
                            </w:r>
                            <w:r w:rsidRPr="00C8530D">
                              <w:rPr>
                                <w:rFonts w:ascii="標楷體" w:eastAsia="標楷體" w:hAnsi="標楷體"/>
                                <w:b/>
                                <w:bCs/>
                                <w:spacing w:val="-10"/>
                                <w:szCs w:val="24"/>
                              </w:rPr>
                              <w:t>CSR報告</w:t>
                            </w:r>
                            <w:r w:rsidRPr="00C8530D">
                              <w:rPr>
                                <w:rFonts w:ascii="標楷體" w:eastAsia="標楷體" w:hAnsi="標楷體" w:hint="eastAsia"/>
                                <w:b/>
                                <w:bCs/>
                                <w:spacing w:val="-10"/>
                                <w:szCs w:val="24"/>
                              </w:rPr>
                              <w:t>架構或公開發行公司</w:t>
                            </w:r>
                            <w:r w:rsidRPr="000E04AA">
                              <w:rPr>
                                <w:rFonts w:ascii="標楷體" w:eastAsia="標楷體" w:hAnsi="標楷體" w:hint="eastAsia"/>
                                <w:b/>
                                <w:bCs/>
                                <w:color w:val="000000" w:themeColor="text1"/>
                                <w:spacing w:val="-10"/>
                                <w:szCs w:val="24"/>
                              </w:rPr>
                              <w:t>建立</w:t>
                            </w:r>
                            <w:r w:rsidRPr="000E04AA">
                              <w:rPr>
                                <w:rFonts w:ascii="標楷體" w:eastAsia="標楷體" w:hAnsi="標楷體" w:hint="eastAsia"/>
                                <w:b/>
                                <w:bCs/>
                                <w:color w:val="000000" w:themeColor="text1"/>
                                <w:spacing w:val="-2"/>
                                <w:szCs w:val="24"/>
                              </w:rPr>
                              <w:t>內部控制制度處理準則修正內部控制制度情形</w:t>
                            </w:r>
                          </w:p>
                        </w:tc>
                      </w:tr>
                      <w:tr w:rsidR="005917F3" w14:paraId="200938BE" w14:textId="77777777" w:rsidTr="00C8530D">
                        <w:trPr>
                          <w:trHeight w:val="369"/>
                        </w:trPr>
                        <w:tc>
                          <w:tcPr>
                            <w:tcW w:w="1418" w:type="dxa"/>
                            <w:vAlign w:val="center"/>
                          </w:tcPr>
                          <w:p w14:paraId="3D4690CF" w14:textId="77777777" w:rsidR="005917F3" w:rsidRPr="005C1886" w:rsidRDefault="005917F3" w:rsidP="00DF1DA3">
                            <w:pPr>
                              <w:snapToGrid w:val="0"/>
                              <w:spacing w:line="200" w:lineRule="atLeast"/>
                              <w:jc w:val="center"/>
                              <w:rPr>
                                <w:rFonts w:ascii="標楷體" w:eastAsia="標楷體" w:hAnsi="標楷體"/>
                                <w:sz w:val="20"/>
                                <w:szCs w:val="20"/>
                              </w:rPr>
                            </w:pPr>
                            <w:r w:rsidRPr="005C1886">
                              <w:rPr>
                                <w:rFonts w:ascii="標楷體" w:eastAsia="標楷體" w:hAnsi="標楷體" w:hint="eastAsia"/>
                                <w:sz w:val="20"/>
                                <w:szCs w:val="20"/>
                              </w:rPr>
                              <w:t>參考情形</w:t>
                            </w:r>
                          </w:p>
                        </w:tc>
                        <w:tc>
                          <w:tcPr>
                            <w:tcW w:w="4252" w:type="dxa"/>
                            <w:vAlign w:val="center"/>
                          </w:tcPr>
                          <w:p w14:paraId="572E2333" w14:textId="77777777" w:rsidR="005917F3" w:rsidRPr="005C1886" w:rsidRDefault="005917F3" w:rsidP="00DF1DA3">
                            <w:pPr>
                              <w:snapToGrid w:val="0"/>
                              <w:spacing w:line="200" w:lineRule="atLeast"/>
                              <w:jc w:val="center"/>
                              <w:rPr>
                                <w:rFonts w:ascii="標楷體" w:eastAsia="標楷體" w:hAnsi="標楷體"/>
                                <w:sz w:val="20"/>
                                <w:szCs w:val="20"/>
                              </w:rPr>
                            </w:pPr>
                            <w:r w:rsidRPr="005C1886">
                              <w:rPr>
                                <w:rFonts w:ascii="標楷體" w:eastAsia="標楷體" w:hAnsi="標楷體" w:hint="eastAsia"/>
                                <w:sz w:val="20"/>
                                <w:szCs w:val="20"/>
                              </w:rPr>
                              <w:t>事業名稱</w:t>
                            </w:r>
                          </w:p>
                        </w:tc>
                      </w:tr>
                      <w:tr w:rsidR="005917F3" w14:paraId="51578E0B" w14:textId="77777777" w:rsidTr="009134B9">
                        <w:trPr>
                          <w:trHeight w:val="510"/>
                        </w:trPr>
                        <w:tc>
                          <w:tcPr>
                            <w:tcW w:w="1418" w:type="dxa"/>
                            <w:vAlign w:val="center"/>
                          </w:tcPr>
                          <w:p w14:paraId="1CD28301" w14:textId="77777777" w:rsidR="005917F3" w:rsidRPr="005C1886" w:rsidRDefault="005917F3" w:rsidP="00D21FAF">
                            <w:pPr>
                              <w:snapToGrid w:val="0"/>
                              <w:spacing w:line="240" w:lineRule="exact"/>
                              <w:jc w:val="center"/>
                              <w:rPr>
                                <w:rFonts w:ascii="標楷體" w:eastAsia="標楷體" w:hAnsi="標楷體"/>
                                <w:sz w:val="20"/>
                                <w:szCs w:val="20"/>
                              </w:rPr>
                            </w:pPr>
                            <w:r w:rsidRPr="005C1886">
                              <w:rPr>
                                <w:rFonts w:ascii="標楷體" w:eastAsia="標楷體" w:hAnsi="標楷體" w:hint="eastAsia"/>
                                <w:sz w:val="20"/>
                                <w:szCs w:val="20"/>
                              </w:rPr>
                              <w:t>已參考</w:t>
                            </w:r>
                          </w:p>
                          <w:p w14:paraId="52F876C2" w14:textId="77777777" w:rsidR="005917F3" w:rsidRPr="005C1886" w:rsidRDefault="005917F3" w:rsidP="00D21FAF">
                            <w:pPr>
                              <w:snapToGrid w:val="0"/>
                              <w:spacing w:line="240" w:lineRule="exact"/>
                              <w:jc w:val="center"/>
                              <w:rPr>
                                <w:rFonts w:ascii="標楷體" w:eastAsia="標楷體" w:hAnsi="標楷體"/>
                                <w:sz w:val="20"/>
                                <w:szCs w:val="20"/>
                              </w:rPr>
                            </w:pPr>
                            <w:r>
                              <w:rPr>
                                <w:rFonts w:ascii="標楷體" w:eastAsia="標楷體" w:hAnsi="標楷體" w:hint="eastAsia"/>
                                <w:sz w:val="20"/>
                                <w:szCs w:val="20"/>
                              </w:rPr>
                              <w:t>（</w:t>
                            </w:r>
                            <w:r w:rsidRPr="005C1886">
                              <w:rPr>
                                <w:rFonts w:ascii="標楷體" w:eastAsia="標楷體" w:hAnsi="標楷體" w:hint="eastAsia"/>
                                <w:sz w:val="20"/>
                                <w:szCs w:val="20"/>
                              </w:rPr>
                              <w:t>4</w:t>
                            </w:r>
                            <w:r w:rsidRPr="005C1886">
                              <w:rPr>
                                <w:rFonts w:ascii="標楷體" w:eastAsia="標楷體" w:hAnsi="標楷體"/>
                                <w:sz w:val="20"/>
                                <w:szCs w:val="20"/>
                              </w:rPr>
                              <w:t>家</w:t>
                            </w:r>
                            <w:r>
                              <w:rPr>
                                <w:rFonts w:ascii="標楷體" w:eastAsia="標楷體" w:hAnsi="標楷體" w:hint="eastAsia"/>
                                <w:sz w:val="20"/>
                                <w:szCs w:val="20"/>
                              </w:rPr>
                              <w:t>）</w:t>
                            </w:r>
                          </w:p>
                        </w:tc>
                        <w:tc>
                          <w:tcPr>
                            <w:tcW w:w="4252" w:type="dxa"/>
                          </w:tcPr>
                          <w:p w14:paraId="20F0CF90" w14:textId="77777777" w:rsidR="005917F3" w:rsidRPr="005C1886" w:rsidRDefault="005917F3" w:rsidP="00D21FAF">
                            <w:pPr>
                              <w:snapToGrid w:val="0"/>
                              <w:spacing w:line="240" w:lineRule="exact"/>
                              <w:jc w:val="both"/>
                              <w:rPr>
                                <w:rFonts w:ascii="標楷體" w:eastAsia="標楷體" w:hAnsi="標楷體"/>
                                <w:sz w:val="20"/>
                                <w:szCs w:val="20"/>
                              </w:rPr>
                            </w:pPr>
                            <w:r w:rsidRPr="005C1886">
                              <w:rPr>
                                <w:rFonts w:ascii="標楷體" w:eastAsia="標楷體" w:hAnsi="標楷體" w:hint="eastAsia"/>
                                <w:sz w:val="20"/>
                                <w:szCs w:val="20"/>
                              </w:rPr>
                              <w:t>台灣中油公司、中國輸出入銀行、臺灣金融控股公司、臺灣土地銀行公司</w:t>
                            </w:r>
                          </w:p>
                        </w:tc>
                      </w:tr>
                      <w:tr w:rsidR="005917F3" w14:paraId="10DF0972" w14:textId="77777777" w:rsidTr="009134B9">
                        <w:trPr>
                          <w:trHeight w:val="1020"/>
                        </w:trPr>
                        <w:tc>
                          <w:tcPr>
                            <w:tcW w:w="1418" w:type="dxa"/>
                            <w:tcBorders>
                              <w:bottom w:val="single" w:sz="4" w:space="0" w:color="auto"/>
                            </w:tcBorders>
                            <w:vAlign w:val="center"/>
                          </w:tcPr>
                          <w:p w14:paraId="26F127D2" w14:textId="77777777" w:rsidR="005917F3" w:rsidRPr="005C1886" w:rsidRDefault="005917F3" w:rsidP="00D21FAF">
                            <w:pPr>
                              <w:snapToGrid w:val="0"/>
                              <w:spacing w:line="240" w:lineRule="exact"/>
                              <w:jc w:val="center"/>
                              <w:rPr>
                                <w:rFonts w:ascii="標楷體" w:eastAsia="標楷體" w:hAnsi="標楷體"/>
                                <w:sz w:val="20"/>
                                <w:szCs w:val="20"/>
                              </w:rPr>
                            </w:pPr>
                            <w:r w:rsidRPr="005C1886">
                              <w:rPr>
                                <w:rFonts w:ascii="標楷體" w:eastAsia="標楷體" w:hAnsi="標楷體" w:hint="eastAsia"/>
                                <w:sz w:val="20"/>
                                <w:szCs w:val="20"/>
                              </w:rPr>
                              <w:t>尚未參考</w:t>
                            </w:r>
                          </w:p>
                          <w:p w14:paraId="0C916561" w14:textId="77777777" w:rsidR="005917F3" w:rsidRPr="005C1886" w:rsidRDefault="005917F3" w:rsidP="00D21FAF">
                            <w:pPr>
                              <w:snapToGrid w:val="0"/>
                              <w:spacing w:line="240" w:lineRule="exact"/>
                              <w:jc w:val="center"/>
                              <w:rPr>
                                <w:rFonts w:ascii="標楷體" w:eastAsia="標楷體" w:hAnsi="標楷體"/>
                                <w:sz w:val="20"/>
                                <w:szCs w:val="20"/>
                              </w:rPr>
                            </w:pPr>
                            <w:r>
                              <w:rPr>
                                <w:rFonts w:ascii="標楷體" w:eastAsia="標楷體" w:hAnsi="標楷體" w:hint="eastAsia"/>
                                <w:sz w:val="20"/>
                                <w:szCs w:val="20"/>
                              </w:rPr>
                              <w:t>（</w:t>
                            </w:r>
                            <w:r w:rsidRPr="005C1886">
                              <w:rPr>
                                <w:rFonts w:ascii="標楷體" w:eastAsia="標楷體" w:hAnsi="標楷體"/>
                                <w:sz w:val="20"/>
                                <w:szCs w:val="20"/>
                              </w:rPr>
                              <w:t>11家</w:t>
                            </w:r>
                            <w:r>
                              <w:rPr>
                                <w:rFonts w:ascii="標楷體" w:eastAsia="標楷體" w:hAnsi="標楷體" w:hint="eastAsia"/>
                                <w:sz w:val="20"/>
                                <w:szCs w:val="20"/>
                              </w:rPr>
                              <w:t>）</w:t>
                            </w:r>
                          </w:p>
                        </w:tc>
                        <w:tc>
                          <w:tcPr>
                            <w:tcW w:w="4252" w:type="dxa"/>
                            <w:tcBorders>
                              <w:bottom w:val="single" w:sz="4" w:space="0" w:color="auto"/>
                            </w:tcBorders>
                            <w:vAlign w:val="center"/>
                          </w:tcPr>
                          <w:p w14:paraId="40EAF5A8" w14:textId="77777777" w:rsidR="005917F3" w:rsidRPr="005C1886" w:rsidRDefault="005917F3" w:rsidP="00D21FAF">
                            <w:pPr>
                              <w:snapToGrid w:val="0"/>
                              <w:spacing w:line="240" w:lineRule="exact"/>
                              <w:jc w:val="both"/>
                              <w:rPr>
                                <w:rFonts w:ascii="標楷體" w:eastAsia="標楷體" w:hAnsi="標楷體"/>
                                <w:sz w:val="20"/>
                                <w:szCs w:val="20"/>
                              </w:rPr>
                            </w:pPr>
                            <w:r w:rsidRPr="005C1886">
                              <w:rPr>
                                <w:rFonts w:ascii="標楷體" w:eastAsia="標楷體" w:hAnsi="標楷體" w:hint="eastAsia"/>
                                <w:sz w:val="20"/>
                                <w:szCs w:val="20"/>
                              </w:rPr>
                              <w:t>中央銀行</w:t>
                            </w:r>
                            <w:r w:rsidRPr="005C1886">
                              <w:rPr>
                                <w:rFonts w:ascii="標楷體" w:eastAsia="標楷體" w:hAnsi="標楷體"/>
                                <w:sz w:val="20"/>
                                <w:szCs w:val="20"/>
                              </w:rPr>
                              <w:t>、</w:t>
                            </w:r>
                            <w:r w:rsidRPr="005C1886">
                              <w:rPr>
                                <w:rFonts w:ascii="標楷體" w:eastAsia="標楷體" w:hAnsi="標楷體" w:hint="eastAsia"/>
                                <w:sz w:val="20"/>
                                <w:szCs w:val="20"/>
                              </w:rPr>
                              <w:t>台灣糖業公司、台灣電力公司、台灣自來水公司</w:t>
                            </w:r>
                            <w:r w:rsidRPr="005C1886">
                              <w:rPr>
                                <w:rFonts w:ascii="標楷體" w:eastAsia="標楷體" w:hAnsi="標楷體"/>
                                <w:sz w:val="20"/>
                                <w:szCs w:val="20"/>
                              </w:rPr>
                              <w:t>、</w:t>
                            </w:r>
                            <w:r w:rsidRPr="005C1886">
                              <w:rPr>
                                <w:rFonts w:ascii="標楷體" w:eastAsia="標楷體" w:hAnsi="標楷體" w:hint="eastAsia"/>
                                <w:sz w:val="20"/>
                                <w:szCs w:val="20"/>
                              </w:rPr>
                              <w:t>財政部印刷廠、臺灣菸酒公司、中華郵政公司、國營臺灣鐵路公司、臺灣港務公司、桃園國際機場公司</w:t>
                            </w:r>
                            <w:r w:rsidRPr="005C1886">
                              <w:rPr>
                                <w:rFonts w:ascii="標楷體" w:eastAsia="標楷體" w:hAnsi="標楷體"/>
                                <w:sz w:val="20"/>
                                <w:szCs w:val="20"/>
                              </w:rPr>
                              <w:t>、</w:t>
                            </w:r>
                            <w:r w:rsidRPr="005C1886">
                              <w:rPr>
                                <w:rFonts w:ascii="標楷體" w:eastAsia="標楷體" w:hAnsi="標楷體" w:hint="eastAsia"/>
                                <w:sz w:val="20"/>
                                <w:szCs w:val="20"/>
                              </w:rPr>
                              <w:t>中央存款保險公司</w:t>
                            </w:r>
                          </w:p>
                        </w:tc>
                      </w:tr>
                      <w:tr w:rsidR="005917F3" w14:paraId="03E90DAC" w14:textId="77777777" w:rsidTr="00DF1DA3">
                        <w:tc>
                          <w:tcPr>
                            <w:tcW w:w="5670" w:type="dxa"/>
                            <w:gridSpan w:val="2"/>
                            <w:tcBorders>
                              <w:left w:val="nil"/>
                              <w:bottom w:val="nil"/>
                              <w:right w:val="nil"/>
                            </w:tcBorders>
                            <w:vAlign w:val="center"/>
                          </w:tcPr>
                          <w:p w14:paraId="577A24F7" w14:textId="77777777" w:rsidR="005917F3" w:rsidRPr="0055172D" w:rsidRDefault="005917F3" w:rsidP="00DF1DA3">
                            <w:pPr>
                              <w:snapToGrid w:val="0"/>
                              <w:spacing w:line="240" w:lineRule="atLeast"/>
                              <w:ind w:leftChars="-20" w:left="-48"/>
                              <w:rPr>
                                <w:rFonts w:ascii="標楷體" w:eastAsia="標楷體" w:hAnsi="標楷體"/>
                                <w:sz w:val="18"/>
                                <w:szCs w:val="18"/>
                              </w:rPr>
                            </w:pPr>
                            <w:r w:rsidRPr="0055172D">
                              <w:rPr>
                                <w:rFonts w:ascii="標楷體" w:eastAsia="標楷體" w:hAnsi="標楷體" w:hint="eastAsia"/>
                                <w:sz w:val="18"/>
                                <w:szCs w:val="18"/>
                              </w:rPr>
                              <w:t>資料來源：整理</w:t>
                            </w:r>
                            <w:r w:rsidRPr="0055172D">
                              <w:rPr>
                                <w:rFonts w:ascii="標楷體" w:eastAsia="標楷體" w:hAnsi="標楷體"/>
                                <w:sz w:val="18"/>
                                <w:szCs w:val="18"/>
                              </w:rPr>
                              <w:t>自</w:t>
                            </w:r>
                            <w:r w:rsidRPr="0055172D">
                              <w:rPr>
                                <w:rFonts w:ascii="標楷體" w:eastAsia="標楷體" w:hAnsi="標楷體" w:hint="eastAsia"/>
                                <w:sz w:val="18"/>
                                <w:szCs w:val="18"/>
                              </w:rPr>
                              <w:t>各事業</w:t>
                            </w:r>
                            <w:r w:rsidRPr="0055172D">
                              <w:rPr>
                                <w:rFonts w:ascii="標楷體" w:eastAsia="標楷體" w:hAnsi="標楷體"/>
                                <w:sz w:val="18"/>
                                <w:szCs w:val="18"/>
                              </w:rPr>
                              <w:t>提供資料。</w:t>
                            </w:r>
                          </w:p>
                        </w:tc>
                      </w:tr>
                    </w:tbl>
                    <w:p w14:paraId="1EBE2F37" w14:textId="77777777" w:rsidR="005917F3" w:rsidRPr="002C28EB" w:rsidRDefault="005917F3" w:rsidP="005917F3"/>
                  </w:txbxContent>
                </v:textbox>
                <w10:wrap type="square" anchorx="margin"/>
              </v:shape>
            </w:pict>
          </mc:Fallback>
        </mc:AlternateContent>
      </w:r>
      <w:r w:rsidR="00502A79" w:rsidRPr="00502A79">
        <w:rPr>
          <w:rFonts w:ascii="標楷體" w:eastAsia="標楷體" w:hAnsi="標楷體" w:cstheme="minorBidi" w:hint="eastAsia"/>
          <w:b/>
          <w:bCs/>
          <w:szCs w:val="24"/>
        </w:rPr>
        <w:t>內部控制制度，</w:t>
      </w:r>
      <w:proofErr w:type="gramStart"/>
      <w:r w:rsidR="00502A79" w:rsidRPr="00502A79">
        <w:rPr>
          <w:rFonts w:ascii="標楷體" w:eastAsia="標楷體" w:hAnsi="標楷體" w:cstheme="minorBidi" w:hint="eastAsia"/>
          <w:b/>
          <w:bCs/>
          <w:szCs w:val="24"/>
        </w:rPr>
        <w:t>俾</w:t>
      </w:r>
      <w:proofErr w:type="gramEnd"/>
      <w:r w:rsidR="00502A79" w:rsidRPr="00502A79">
        <w:rPr>
          <w:rFonts w:ascii="標楷體" w:eastAsia="標楷體" w:hAnsi="標楷體" w:cstheme="minorBidi" w:hint="eastAsia"/>
          <w:b/>
          <w:bCs/>
          <w:szCs w:val="24"/>
        </w:rPr>
        <w:t>強化永續經營管理能力，並提升永續資訊揭露品質：</w:t>
      </w:r>
      <w:r w:rsidR="00502A79" w:rsidRPr="00502A79">
        <w:rPr>
          <w:rFonts w:ascii="標楷體" w:eastAsia="標楷體" w:hAnsi="標楷體" w:cstheme="minorBidi" w:hint="eastAsia"/>
          <w:szCs w:val="24"/>
        </w:rPr>
        <w:t>美國COSO委員會（</w:t>
      </w:r>
      <w:r w:rsidR="00502A79" w:rsidRPr="00502A79">
        <w:rPr>
          <w:rFonts w:ascii="標楷體" w:eastAsia="標楷體" w:hAnsi="標楷體" w:cstheme="minorBidi"/>
          <w:szCs w:val="24"/>
        </w:rPr>
        <w:t>The Committee of Sponsoring Organizations of the Treadway Commission, COSO</w:t>
      </w:r>
      <w:r w:rsidR="00502A79" w:rsidRPr="00502A79">
        <w:rPr>
          <w:rFonts w:ascii="標楷體" w:eastAsia="標楷體" w:hAnsi="標楷體" w:cstheme="minorBidi" w:hint="eastAsia"/>
          <w:szCs w:val="24"/>
        </w:rPr>
        <w:t>）基於永續報導資訊多為質性且涉及跨部門之工作，於2023年發布實現對永續報導之有效內部控制（Internal Control Over Sustainability Reporting, ICSR）報告，將內部控制架構擴展至永續報導，針對永續資訊提供內部控制之框架，有助提升永續資訊可靠性</w:t>
      </w:r>
      <w:r w:rsidR="00502A79" w:rsidRPr="00901701">
        <w:rPr>
          <w:rFonts w:ascii="標楷體" w:eastAsia="標楷體" w:hAnsi="標楷體" w:cstheme="minorBidi" w:hint="eastAsia"/>
          <w:color w:val="000000" w:themeColor="text1"/>
          <w:szCs w:val="24"/>
        </w:rPr>
        <w:t>。金融監督管理委員會（下稱</w:t>
      </w:r>
      <w:r w:rsidR="00502A79" w:rsidRPr="00502A79">
        <w:rPr>
          <w:rFonts w:ascii="標楷體" w:eastAsia="標楷體" w:hAnsi="標楷體" w:cstheme="minorBidi" w:hint="eastAsia"/>
          <w:szCs w:val="24"/>
        </w:rPr>
        <w:t>金管會</w:t>
      </w:r>
      <w:r w:rsidR="00502A79" w:rsidRPr="00502A79">
        <w:rPr>
          <w:rFonts w:ascii="標楷體" w:eastAsia="標楷體" w:hAnsi="標楷體" w:cstheme="minorBidi" w:hint="eastAsia"/>
          <w:color w:val="FF0000"/>
          <w:szCs w:val="24"/>
        </w:rPr>
        <w:t>）</w:t>
      </w:r>
      <w:r w:rsidR="00502A79" w:rsidRPr="00502A79">
        <w:rPr>
          <w:rFonts w:ascii="標楷體" w:eastAsia="標楷體" w:hAnsi="標楷體" w:cstheme="minorBidi" w:hint="eastAsia"/>
          <w:szCs w:val="24"/>
        </w:rPr>
        <w:t>為因應上市櫃公司應於永續報告書及年報等揭露永續發展相關資訊，且其揭露須符合相關法令及準則規範確保資訊揭露品質，於113年4月22日修正發布公開發行公司建立內部控制制度處理準則，及「公開發行公司內部控制制度有效性判斷項目」，規定上市櫃公司內部控制制度及每年年度稽核計畫，應包含永續資訊之管理，並自114年1月1日起施行。該會並責成臺灣證券交易所股份有限公司及財團法人中華民國證券櫃檯買賣中心，參考ICSR報告、國內外對永續資訊管理實務作法及永續資訊內部控制發展趨勢，於113年5月24日共同修正發布「內部控制制度有效性判斷參考項目」範例，協助企業依實務狀況建立永續資訊管理之內部控制，並於年報、永續報告書及公司網站揭露永續資訊。另依金管會發布之「上市櫃公司永續發展行動方案」，全體上市櫃公司應自114年起編製（</w:t>
      </w:r>
      <w:proofErr w:type="gramStart"/>
      <w:r w:rsidR="00502A79" w:rsidRPr="00502A79">
        <w:rPr>
          <w:rFonts w:ascii="標楷體" w:eastAsia="標楷體" w:hAnsi="標楷體" w:cstheme="minorBidi" w:hint="eastAsia"/>
          <w:szCs w:val="24"/>
        </w:rPr>
        <w:t>113</w:t>
      </w:r>
      <w:proofErr w:type="gramEnd"/>
      <w:r w:rsidR="00502A79" w:rsidRPr="00502A79">
        <w:rPr>
          <w:rFonts w:ascii="標楷體" w:eastAsia="標楷體" w:hAnsi="標楷體" w:cstheme="minorBidi" w:hint="eastAsia"/>
          <w:szCs w:val="24"/>
        </w:rPr>
        <w:t>年度）永續報告書，並自115年起分階段適用國際財務報導準則（IFRS）永續揭露準則，屆時上市櫃公司須申報永續資訊管理年度稽核執行結果，且其年度內部控制</w:t>
      </w:r>
      <w:proofErr w:type="gramStart"/>
      <w:r w:rsidR="00502A79" w:rsidRPr="00502A79">
        <w:rPr>
          <w:rFonts w:ascii="標楷體" w:eastAsia="標楷體" w:hAnsi="標楷體" w:cstheme="minorBidi" w:hint="eastAsia"/>
          <w:szCs w:val="24"/>
        </w:rPr>
        <w:t>聲明書須涵蓋</w:t>
      </w:r>
      <w:proofErr w:type="gramEnd"/>
      <w:r w:rsidR="00502A79" w:rsidRPr="00502A79">
        <w:rPr>
          <w:rFonts w:ascii="標楷體" w:eastAsia="標楷體" w:hAnsi="標楷體" w:cstheme="minorBidi" w:hint="eastAsia"/>
          <w:szCs w:val="24"/>
        </w:rPr>
        <w:t>永續資訊管理作業。經查，國營事業雖非屬前開相關規範之適用對象，</w:t>
      </w:r>
      <w:proofErr w:type="gramStart"/>
      <w:r w:rsidR="00502A79" w:rsidRPr="00502A79">
        <w:rPr>
          <w:rFonts w:ascii="標楷體" w:eastAsia="標楷體" w:hAnsi="標楷體" w:cstheme="minorBidi" w:hint="eastAsia"/>
          <w:szCs w:val="24"/>
        </w:rPr>
        <w:t>惟除財政部印刷廠</w:t>
      </w:r>
      <w:proofErr w:type="gramEnd"/>
      <w:r w:rsidR="00502A79" w:rsidRPr="00502A79">
        <w:rPr>
          <w:rFonts w:ascii="標楷體" w:eastAsia="標楷體" w:hAnsi="標楷體" w:cstheme="minorBidi" w:hint="eastAsia"/>
          <w:szCs w:val="24"/>
        </w:rPr>
        <w:t>外，其餘14家事業</w:t>
      </w:r>
      <w:proofErr w:type="gramStart"/>
      <w:r w:rsidR="00502A79" w:rsidRPr="00502A79">
        <w:rPr>
          <w:rFonts w:ascii="標楷體" w:eastAsia="標楷體" w:hAnsi="標楷體" w:cstheme="minorBidi" w:hint="eastAsia"/>
          <w:szCs w:val="24"/>
        </w:rPr>
        <w:t>資本額均逾100億元</w:t>
      </w:r>
      <w:proofErr w:type="gramEnd"/>
      <w:r w:rsidR="00502A79" w:rsidRPr="00502A79">
        <w:rPr>
          <w:rFonts w:ascii="標楷體" w:eastAsia="標楷體" w:hAnsi="標楷體" w:cstheme="minorBidi" w:hint="eastAsia"/>
          <w:szCs w:val="24"/>
        </w:rPr>
        <w:t>，規模相當於大型上市櫃公司，且依據行政院主計總處發布之</w:t>
      </w:r>
      <w:proofErr w:type="gramStart"/>
      <w:r w:rsidR="00502A79" w:rsidRPr="00502A79">
        <w:rPr>
          <w:rFonts w:ascii="標楷體" w:eastAsia="標楷體" w:hAnsi="標楷體" w:cstheme="minorBidi" w:hint="eastAsia"/>
          <w:szCs w:val="24"/>
        </w:rPr>
        <w:t>114</w:t>
      </w:r>
      <w:proofErr w:type="gramEnd"/>
      <w:r w:rsidR="00502A79" w:rsidRPr="00502A79">
        <w:rPr>
          <w:rFonts w:ascii="標楷體" w:eastAsia="標楷體" w:hAnsi="標楷體" w:cstheme="minorBidi" w:hint="eastAsia"/>
          <w:szCs w:val="24"/>
        </w:rPr>
        <w:t>年度總預算附屬單位預算編製作業手冊，附屬單位預算應編書表中有關中央營業基金適用書表格式，已新增事業永續發展計畫，且須</w:t>
      </w:r>
      <w:proofErr w:type="gramStart"/>
      <w:r w:rsidR="00502A79" w:rsidRPr="00502A79">
        <w:rPr>
          <w:rFonts w:ascii="標楷體" w:eastAsia="標楷體" w:hAnsi="標楷體" w:cstheme="minorBidi" w:hint="eastAsia"/>
          <w:szCs w:val="24"/>
        </w:rPr>
        <w:t>列示永續</w:t>
      </w:r>
      <w:proofErr w:type="gramEnd"/>
      <w:r w:rsidR="00502A79" w:rsidRPr="00502A79">
        <w:rPr>
          <w:rFonts w:ascii="標楷體" w:eastAsia="標楷體" w:hAnsi="標楷體" w:cstheme="minorBidi" w:hint="eastAsia"/>
          <w:szCs w:val="24"/>
        </w:rPr>
        <w:t>揭露項目、</w:t>
      </w:r>
      <w:proofErr w:type="gramStart"/>
      <w:r w:rsidR="00502A79" w:rsidRPr="00502A79">
        <w:rPr>
          <w:rFonts w:ascii="標楷體" w:eastAsia="標楷體" w:hAnsi="標楷體" w:cstheme="minorBidi" w:hint="eastAsia"/>
          <w:szCs w:val="24"/>
        </w:rPr>
        <w:t>淨零轉型</w:t>
      </w:r>
      <w:proofErr w:type="gramEnd"/>
      <w:r w:rsidR="00502A79" w:rsidRPr="00502A79">
        <w:rPr>
          <w:rFonts w:ascii="標楷體" w:eastAsia="標楷體" w:hAnsi="標楷體" w:cstheme="minorBidi" w:hint="eastAsia"/>
          <w:szCs w:val="24"/>
        </w:rPr>
        <w:t>關鍵戰略行動計畫預算編列情形及其他推動措施等，多家事業亦已自主於</w:t>
      </w:r>
      <w:proofErr w:type="gramStart"/>
      <w:r w:rsidR="00502A79" w:rsidRPr="00502A79">
        <w:rPr>
          <w:rFonts w:ascii="標楷體" w:eastAsia="標楷體" w:hAnsi="標楷體" w:cstheme="minorBidi" w:hint="eastAsia"/>
          <w:szCs w:val="24"/>
        </w:rPr>
        <w:t>113</w:t>
      </w:r>
      <w:proofErr w:type="gramEnd"/>
      <w:r w:rsidR="00502A79" w:rsidRPr="00502A79">
        <w:rPr>
          <w:rFonts w:ascii="標楷體" w:eastAsia="標楷體" w:hAnsi="標楷體" w:cstheme="minorBidi" w:hint="eastAsia"/>
          <w:szCs w:val="24"/>
        </w:rPr>
        <w:t>年度決算書表、永續報告書及事業網站等，揭露2050</w:t>
      </w:r>
      <w:proofErr w:type="gramStart"/>
      <w:r w:rsidR="00502A79" w:rsidRPr="00502A79">
        <w:rPr>
          <w:rFonts w:ascii="標楷體" w:eastAsia="標楷體" w:hAnsi="標楷體" w:cstheme="minorBidi" w:hint="eastAsia"/>
          <w:szCs w:val="24"/>
        </w:rPr>
        <w:t>淨零減碳</w:t>
      </w:r>
      <w:proofErr w:type="gramEnd"/>
      <w:r w:rsidR="00502A79" w:rsidRPr="00502A79">
        <w:rPr>
          <w:rFonts w:ascii="標楷體" w:eastAsia="標楷體" w:hAnsi="標楷體" w:cstheme="minorBidi" w:hint="eastAsia"/>
          <w:szCs w:val="24"/>
        </w:rPr>
        <w:t>路徑、低碳轉型計畫、氣候變遷治理等永續資訊。另經統計截至113年底止</w:t>
      </w:r>
      <w:r w:rsidR="00B5591D">
        <w:rPr>
          <w:rFonts w:ascii="標楷體" w:eastAsia="標楷體" w:hAnsi="標楷體" w:cstheme="minorBidi" w:hint="eastAsia"/>
          <w:szCs w:val="24"/>
        </w:rPr>
        <w:t>，</w:t>
      </w:r>
      <w:r w:rsidR="00502A79" w:rsidRPr="00502A79">
        <w:rPr>
          <w:rFonts w:ascii="標楷體" w:eastAsia="標楷體" w:hAnsi="標楷體" w:cstheme="minorBidi" w:hint="eastAsia"/>
          <w:szCs w:val="24"/>
        </w:rPr>
        <w:t>15家國營事業中，計有4家事業已參考ICSR報告架構或公開發行公司建立內部控制制度處理準則，將永續資訊管理納入內部控制制度，並經各該事業之董事會或理事會通過實施，其餘11家事業則尚未配合納入修正其內部控制制度（表</w:t>
      </w:r>
      <w:r w:rsidR="00901701">
        <w:rPr>
          <w:rFonts w:ascii="標楷體" w:eastAsia="標楷體" w:hAnsi="標楷體" w:cstheme="minorBidi" w:hint="eastAsia"/>
          <w:szCs w:val="24"/>
        </w:rPr>
        <w:t>18</w:t>
      </w:r>
      <w:r w:rsidR="00502A79" w:rsidRPr="00502A79">
        <w:rPr>
          <w:rFonts w:ascii="標楷體" w:eastAsia="標楷體" w:hAnsi="標楷體" w:cstheme="minorBidi" w:hint="eastAsia"/>
          <w:szCs w:val="24"/>
        </w:rPr>
        <w:t>）。</w:t>
      </w:r>
      <w:proofErr w:type="gramStart"/>
      <w:r w:rsidR="00502A79" w:rsidRPr="00502A79">
        <w:rPr>
          <w:rFonts w:ascii="標楷體" w:eastAsia="標楷體" w:hAnsi="標楷體" w:cstheme="minorBidi" w:hint="eastAsia"/>
          <w:szCs w:val="24"/>
        </w:rPr>
        <w:t>鑑</w:t>
      </w:r>
      <w:proofErr w:type="gramEnd"/>
      <w:r w:rsidR="00502A79" w:rsidRPr="00502A79">
        <w:rPr>
          <w:rFonts w:ascii="標楷體" w:eastAsia="標楷體" w:hAnsi="標楷體" w:cstheme="minorBidi" w:hint="eastAsia"/>
          <w:szCs w:val="24"/>
        </w:rPr>
        <w:t>於永續資訊管理失靈將</w:t>
      </w:r>
      <w:proofErr w:type="gramStart"/>
      <w:r w:rsidR="00502A79" w:rsidRPr="00502A79">
        <w:rPr>
          <w:rFonts w:ascii="標楷體" w:eastAsia="標楷體" w:hAnsi="標楷體" w:cstheme="minorBidi" w:hint="eastAsia"/>
          <w:szCs w:val="24"/>
        </w:rPr>
        <w:t>影響淨零投資</w:t>
      </w:r>
      <w:proofErr w:type="gramEnd"/>
      <w:r w:rsidR="00502A79" w:rsidRPr="00502A79">
        <w:rPr>
          <w:rFonts w:ascii="標楷體" w:eastAsia="標楷體" w:hAnsi="標楷體" w:cstheme="minorBidi" w:hint="eastAsia"/>
          <w:szCs w:val="24"/>
        </w:rPr>
        <w:t>、低碳轉型計畫等決策方向，誤判氣候風險及情境分析，或潛</w:t>
      </w:r>
      <w:proofErr w:type="gramStart"/>
      <w:r w:rsidR="00502A79" w:rsidRPr="00502A79">
        <w:rPr>
          <w:rFonts w:ascii="標楷體" w:eastAsia="標楷體" w:hAnsi="標楷體" w:cstheme="minorBidi" w:hint="eastAsia"/>
          <w:szCs w:val="24"/>
        </w:rPr>
        <w:t>存漂綠舞弊</w:t>
      </w:r>
      <w:proofErr w:type="gramEnd"/>
      <w:r w:rsidR="00502A79" w:rsidRPr="00502A79">
        <w:rPr>
          <w:rFonts w:ascii="標楷體" w:eastAsia="標楷體" w:hAnsi="標楷體" w:cstheme="minorBidi" w:hint="eastAsia"/>
          <w:szCs w:val="24"/>
        </w:rPr>
        <w:t>內控失效風險。為健全各該事業有關永續資訊管理之內部控制作業，經函請行政院督促各國營事業參考ICSR報告架構或公開發行公司建立內部控制制度處理準則，檢討修正</w:t>
      </w:r>
      <w:r w:rsidR="00502A79" w:rsidRPr="00502A79">
        <w:rPr>
          <w:rFonts w:ascii="標楷體" w:eastAsia="標楷體" w:hAnsi="標楷體" w:cstheme="minorBidi" w:hint="eastAsia"/>
          <w:szCs w:val="24"/>
        </w:rPr>
        <w:lastRenderedPageBreak/>
        <w:t>各該事業內部控制制度，將永續資訊管理作業納入內控架構，</w:t>
      </w:r>
      <w:proofErr w:type="gramStart"/>
      <w:r w:rsidR="00502A79" w:rsidRPr="00502A79">
        <w:rPr>
          <w:rFonts w:ascii="標楷體" w:eastAsia="標楷體" w:hAnsi="標楷體" w:cstheme="minorBidi" w:hint="eastAsia"/>
          <w:szCs w:val="24"/>
        </w:rPr>
        <w:t>俾</w:t>
      </w:r>
      <w:proofErr w:type="gramEnd"/>
      <w:r w:rsidR="00502A79" w:rsidRPr="00502A79">
        <w:rPr>
          <w:rFonts w:ascii="標楷體" w:eastAsia="標楷體" w:hAnsi="標楷體" w:cstheme="minorBidi" w:hint="eastAsia"/>
          <w:szCs w:val="24"/>
        </w:rPr>
        <w:t>接軌國內外作法及發展趨勢，以強化事業永續經營管理能力，並提升永續資訊揭露品質。</w:t>
      </w:r>
      <w:r w:rsidR="00502A79" w:rsidRPr="002C2E7C">
        <w:rPr>
          <w:rFonts w:ascii="標楷體" w:eastAsia="標楷體" w:hAnsi="標楷體" w:cstheme="minorBidi" w:hint="eastAsia"/>
          <w:szCs w:val="24"/>
        </w:rPr>
        <w:t>據復：</w:t>
      </w:r>
      <w:r w:rsidR="002C2E7C" w:rsidRPr="002C2E7C">
        <w:rPr>
          <w:rFonts w:ascii="標楷體" w:eastAsia="標楷體" w:hAnsi="標楷體" w:cstheme="minorBidi" w:hint="eastAsia"/>
          <w:szCs w:val="24"/>
        </w:rPr>
        <w:t>各該事業將參考ICSR報告架構或公開發行公司建立內部控制制度處理準則，將永續資訊管理列為內部控制制度重點修正項目，並於提報董事會或理事會通過後實施，另將配合納入內部稽核計畫，針對永續資訊管理定期辦理查核及檢討增修必要作業程序，以提升永續資訊揭露品質。</w:t>
      </w:r>
    </w:p>
    <w:p w14:paraId="7A2B1A65" w14:textId="2CCC9745" w:rsidR="00A03E51" w:rsidRPr="006F2D26" w:rsidRDefault="00A03E51" w:rsidP="00C63CD0">
      <w:pPr>
        <w:pStyle w:val="2"/>
        <w:overflowPunct w:val="0"/>
        <w:spacing w:beforeLines="20" w:before="72" w:afterLines="20" w:after="72" w:line="460" w:lineRule="exact"/>
        <w:ind w:left="0" w:firstLineChars="200" w:firstLine="577"/>
        <w:rPr>
          <w:rFonts w:hAnsi="標楷體"/>
          <w:b/>
          <w:color w:val="000000" w:themeColor="text1"/>
          <w:sz w:val="28"/>
          <w:szCs w:val="28"/>
        </w:rPr>
      </w:pPr>
      <w:r w:rsidRPr="004D7C92">
        <w:rPr>
          <w:rFonts w:hAnsi="標楷體" w:hint="eastAsia"/>
          <w:b/>
          <w:color w:val="000000" w:themeColor="text1"/>
          <w:spacing w:val="4"/>
          <w:sz w:val="28"/>
          <w:szCs w:val="28"/>
        </w:rPr>
        <w:t>（十</w:t>
      </w:r>
      <w:r w:rsidR="00781889">
        <w:rPr>
          <w:rFonts w:hAnsi="標楷體" w:hint="eastAsia"/>
          <w:b/>
          <w:color w:val="000000" w:themeColor="text1"/>
          <w:spacing w:val="4"/>
          <w:sz w:val="28"/>
          <w:szCs w:val="28"/>
        </w:rPr>
        <w:t>五</w:t>
      </w:r>
      <w:r w:rsidRPr="004D7C92">
        <w:rPr>
          <w:rFonts w:hAnsi="標楷體" w:hint="eastAsia"/>
          <w:b/>
          <w:color w:val="000000" w:themeColor="text1"/>
          <w:spacing w:val="4"/>
          <w:sz w:val="28"/>
          <w:szCs w:val="28"/>
        </w:rPr>
        <w:t xml:space="preserve">）　</w:t>
      </w:r>
      <w:r w:rsidR="00540FF7" w:rsidRPr="00C55A72">
        <w:rPr>
          <w:rFonts w:hAnsi="標楷體" w:hint="eastAsia"/>
          <w:b/>
          <w:color w:val="000000"/>
          <w:kern w:val="2"/>
          <w:sz w:val="28"/>
          <w:szCs w:val="28"/>
        </w:rPr>
        <w:t>政府為因應運具電動化對傳統車輛維修產業及勞工之衝擊，推動保養維修技術人員轉型，以減緩對產業結構及從業人員之影響，惟規劃之培訓量能</w:t>
      </w:r>
      <w:proofErr w:type="gramStart"/>
      <w:r w:rsidR="00540FF7" w:rsidRPr="00C55A72">
        <w:rPr>
          <w:rFonts w:hAnsi="標楷體" w:hint="eastAsia"/>
          <w:b/>
          <w:color w:val="000000"/>
          <w:kern w:val="2"/>
          <w:sz w:val="28"/>
          <w:szCs w:val="28"/>
        </w:rPr>
        <w:t>恐</w:t>
      </w:r>
      <w:proofErr w:type="gramEnd"/>
      <w:r w:rsidR="00540FF7" w:rsidRPr="00C55A72">
        <w:rPr>
          <w:rFonts w:hAnsi="標楷體" w:hint="eastAsia"/>
          <w:b/>
          <w:color w:val="000000"/>
          <w:kern w:val="2"/>
          <w:sz w:val="28"/>
          <w:szCs w:val="28"/>
        </w:rPr>
        <w:t>難以支應市場需求，且推動之計畫對技術人員技能轉型助益有限，難以有效因應產業所需技術人力；另高職教育體系就車輛產業轉型及相關技術教學尚乏整體資源規劃，教學內容未能有效因應電動車產業發展趨勢，恐影響未來人才供應與產業升級，允宜</w:t>
      </w:r>
      <w:proofErr w:type="gramStart"/>
      <w:r w:rsidR="00540FF7" w:rsidRPr="00C55A72">
        <w:rPr>
          <w:rFonts w:hAnsi="標楷體" w:hint="eastAsia"/>
          <w:b/>
          <w:color w:val="000000"/>
          <w:kern w:val="2"/>
          <w:sz w:val="28"/>
          <w:szCs w:val="28"/>
        </w:rPr>
        <w:t>研</w:t>
      </w:r>
      <w:proofErr w:type="gramEnd"/>
      <w:r w:rsidR="00540FF7" w:rsidRPr="00C55A72">
        <w:rPr>
          <w:rFonts w:hAnsi="標楷體" w:hint="eastAsia"/>
          <w:b/>
          <w:color w:val="000000"/>
          <w:kern w:val="2"/>
          <w:sz w:val="28"/>
          <w:szCs w:val="28"/>
        </w:rPr>
        <w:t>謀改善。</w:t>
      </w:r>
    </w:p>
    <w:p w14:paraId="1A20022E" w14:textId="18180538" w:rsidR="00B215DD" w:rsidRPr="00B215DD" w:rsidRDefault="00882004" w:rsidP="00A6774E">
      <w:pPr>
        <w:widowControl/>
        <w:overflowPunct w:val="0"/>
        <w:spacing w:line="440" w:lineRule="exact"/>
        <w:ind w:firstLineChars="200" w:firstLine="480"/>
        <w:jc w:val="both"/>
        <w:rPr>
          <w:rFonts w:ascii="標楷體" w:eastAsia="標楷體" w:hAnsi="標楷體" w:cstheme="minorBidi"/>
          <w:szCs w:val="24"/>
        </w:rPr>
      </w:pPr>
      <w:r w:rsidRPr="00882004">
        <w:rPr>
          <w:rFonts w:ascii="標楷體" w:eastAsia="標楷體" w:hAnsi="標楷體"/>
          <w:noProof/>
        </w:rPr>
        <mc:AlternateContent>
          <mc:Choice Requires="wps">
            <w:drawing>
              <wp:anchor distT="45720" distB="45720" distL="114300" distR="114300" simplePos="0" relativeHeight="251657216" behindDoc="0" locked="0" layoutInCell="1" allowOverlap="1" wp14:anchorId="568A0B79" wp14:editId="42F84F33">
                <wp:simplePos x="0" y="0"/>
                <wp:positionH relativeFrom="margin">
                  <wp:posOffset>635</wp:posOffset>
                </wp:positionH>
                <wp:positionV relativeFrom="margin">
                  <wp:posOffset>6635750</wp:posOffset>
                </wp:positionV>
                <wp:extent cx="6278880" cy="2240280"/>
                <wp:effectExtent l="0" t="0" r="7620" b="7620"/>
                <wp:wrapSquare wrapText="bothSides"/>
                <wp:docPr id="2008327059" name="文字方塊 2008327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2240280"/>
                        </a:xfrm>
                        <a:prstGeom prst="rect">
                          <a:avLst/>
                        </a:prstGeom>
                        <a:solidFill>
                          <a:srgbClr val="FFFFFF"/>
                        </a:solidFill>
                        <a:ln>
                          <a:noFill/>
                        </a:ln>
                      </wps:spPr>
                      <wps:txbx>
                        <w:txbxContent>
                          <w:p w14:paraId="00493DE6" w14:textId="286D10A1" w:rsidR="00882004" w:rsidRPr="00966A2E" w:rsidRDefault="00882004" w:rsidP="00882004">
                            <w:pPr>
                              <w:ind w:left="673" w:hangingChars="280" w:hanging="673"/>
                              <w:jc w:val="center"/>
                              <w:rPr>
                                <w:rFonts w:ascii="標楷體" w:eastAsia="標楷體" w:hAnsi="標楷體"/>
                                <w:b/>
                                <w:bCs/>
                              </w:rPr>
                            </w:pPr>
                            <w:r w:rsidRPr="00966A2E">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9</w:t>
                            </w:r>
                            <w:r w:rsidRPr="00966A2E">
                              <w:rPr>
                                <w:rFonts w:ascii="標楷體" w:eastAsia="標楷體" w:hAnsi="標楷體" w:hint="eastAsia"/>
                                <w:b/>
                                <w:bCs/>
                              </w:rPr>
                              <w:t xml:space="preserve">　「</w:t>
                            </w:r>
                            <w:r>
                              <w:rPr>
                                <w:rFonts w:ascii="標楷體" w:eastAsia="標楷體" w:hAnsi="標楷體" w:hint="eastAsia"/>
                                <w:b/>
                                <w:bCs/>
                              </w:rPr>
                              <w:t>保養維修技術人員轉型</w:t>
                            </w:r>
                            <w:r w:rsidRPr="00966A2E">
                              <w:rPr>
                                <w:rFonts w:ascii="標楷體" w:eastAsia="標楷體" w:hAnsi="標楷體" w:hint="eastAsia"/>
                                <w:b/>
                                <w:bCs/>
                              </w:rPr>
                              <w:t>」</w:t>
                            </w:r>
                            <w:r w:rsidRPr="00C81569">
                              <w:rPr>
                                <w:rFonts w:ascii="標楷體" w:eastAsia="標楷體" w:hAnsi="標楷體" w:hint="eastAsia"/>
                                <w:b/>
                                <w:bCs/>
                              </w:rPr>
                              <w:t>推動</w:t>
                            </w:r>
                            <w:r>
                              <w:rPr>
                                <w:rFonts w:ascii="標楷體" w:eastAsia="標楷體" w:hAnsi="標楷體" w:hint="eastAsia"/>
                                <w:b/>
                                <w:bCs/>
                              </w:rPr>
                              <w:t>路徑各部會分工及預估經費</w:t>
                            </w:r>
                          </w:p>
                          <w:p w14:paraId="14D861BF" w14:textId="77777777" w:rsidR="00882004" w:rsidRPr="00966A2E" w:rsidRDefault="00882004" w:rsidP="00882004">
                            <w:pPr>
                              <w:spacing w:line="240" w:lineRule="exact"/>
                              <w:jc w:val="right"/>
                              <w:rPr>
                                <w:rFonts w:ascii="標楷體" w:eastAsia="標楷體" w:hAnsi="標楷體"/>
                                <w:sz w:val="20"/>
                              </w:rPr>
                            </w:pPr>
                            <w:r w:rsidRPr="00966A2E">
                              <w:rPr>
                                <w:rFonts w:ascii="標楷體" w:eastAsia="標楷體" w:hAnsi="標楷體" w:hint="eastAsia"/>
                                <w:sz w:val="20"/>
                              </w:rPr>
                              <w:t>單位：</w:t>
                            </w:r>
                            <w:r>
                              <w:rPr>
                                <w:rFonts w:ascii="標楷體" w:eastAsia="標楷體" w:hAnsi="標楷體" w:hint="eastAsia"/>
                                <w:sz w:val="20"/>
                              </w:rPr>
                              <w:t>新臺幣百萬</w:t>
                            </w:r>
                            <w:r w:rsidRPr="00966A2E">
                              <w:rPr>
                                <w:rFonts w:ascii="標楷體" w:eastAsia="標楷體" w:hAnsi="標楷體" w:hint="eastAsia"/>
                                <w:sz w:val="20"/>
                              </w:rPr>
                              <w:t>元</w:t>
                            </w:r>
                          </w:p>
                          <w:tbl>
                            <w:tblPr>
                              <w:tblW w:w="5000" w:type="pct"/>
                              <w:tblCellMar>
                                <w:left w:w="28" w:type="dxa"/>
                                <w:right w:w="28" w:type="dxa"/>
                              </w:tblCellMar>
                              <w:tblLook w:val="04A0" w:firstRow="1" w:lastRow="0" w:firstColumn="1" w:lastColumn="0" w:noHBand="0" w:noVBand="1"/>
                            </w:tblPr>
                            <w:tblGrid>
                              <w:gridCol w:w="822"/>
                              <w:gridCol w:w="4151"/>
                              <w:gridCol w:w="3369"/>
                              <w:gridCol w:w="1329"/>
                            </w:tblGrid>
                            <w:tr w:rsidR="00882004" w:rsidRPr="00501430" w14:paraId="61DC21A4" w14:textId="77777777" w:rsidTr="007D5EF5">
                              <w:trPr>
                                <w:trHeight w:val="340"/>
                              </w:trPr>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A90EA"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序號</w:t>
                                  </w:r>
                                </w:p>
                              </w:tc>
                              <w:tc>
                                <w:tcPr>
                                  <w:tcW w:w="2146" w:type="pct"/>
                                  <w:tcBorders>
                                    <w:top w:val="single" w:sz="4" w:space="0" w:color="auto"/>
                                    <w:left w:val="nil"/>
                                    <w:bottom w:val="single" w:sz="4" w:space="0" w:color="auto"/>
                                    <w:right w:val="single" w:sz="4" w:space="0" w:color="auto"/>
                                  </w:tcBorders>
                                  <w:shd w:val="clear" w:color="auto" w:fill="auto"/>
                                  <w:noWrap/>
                                  <w:vAlign w:val="center"/>
                                  <w:hideMark/>
                                </w:tcPr>
                                <w:p w14:paraId="18062F84"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行動措施計畫</w:t>
                                  </w:r>
                                </w:p>
                              </w:tc>
                              <w:tc>
                                <w:tcPr>
                                  <w:tcW w:w="1742" w:type="pct"/>
                                  <w:tcBorders>
                                    <w:top w:val="single" w:sz="4" w:space="0" w:color="auto"/>
                                    <w:left w:val="nil"/>
                                    <w:bottom w:val="single" w:sz="4" w:space="0" w:color="auto"/>
                                    <w:right w:val="single" w:sz="4" w:space="0" w:color="auto"/>
                                  </w:tcBorders>
                                  <w:shd w:val="clear" w:color="auto" w:fill="auto"/>
                                  <w:noWrap/>
                                  <w:vAlign w:val="center"/>
                                  <w:hideMark/>
                                </w:tcPr>
                                <w:p w14:paraId="4059A415"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執行部會</w:t>
                                  </w:r>
                                </w:p>
                              </w:tc>
                              <w:tc>
                                <w:tcPr>
                                  <w:tcW w:w="687" w:type="pct"/>
                                  <w:tcBorders>
                                    <w:top w:val="single" w:sz="4" w:space="0" w:color="auto"/>
                                    <w:left w:val="nil"/>
                                    <w:bottom w:val="single" w:sz="4" w:space="0" w:color="auto"/>
                                    <w:right w:val="single" w:sz="4" w:space="0" w:color="auto"/>
                                  </w:tcBorders>
                                  <w:shd w:val="clear" w:color="auto" w:fill="auto"/>
                                  <w:noWrap/>
                                  <w:vAlign w:val="center"/>
                                  <w:hideMark/>
                                </w:tcPr>
                                <w:p w14:paraId="49F89E42"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預估經費</w:t>
                                  </w:r>
                                </w:p>
                              </w:tc>
                            </w:tr>
                            <w:tr w:rsidR="00882004" w:rsidRPr="00501430" w14:paraId="2D1320CE" w14:textId="77777777" w:rsidTr="007D5EF5">
                              <w:trPr>
                                <w:trHeight w:val="340"/>
                              </w:trPr>
                              <w:tc>
                                <w:tcPr>
                                  <w:tcW w:w="4313"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5037E59" w14:textId="77777777" w:rsidR="00882004" w:rsidRPr="00501430" w:rsidRDefault="00882004" w:rsidP="007D5EF5">
                                  <w:pPr>
                                    <w:spacing w:line="240" w:lineRule="exact"/>
                                    <w:jc w:val="center"/>
                                    <w:rPr>
                                      <w:rFonts w:ascii="標楷體" w:eastAsia="標楷體" w:hAnsi="標楷體"/>
                                      <w:b/>
                                      <w:bCs/>
                                      <w:color w:val="000000"/>
                                      <w:sz w:val="20"/>
                                    </w:rPr>
                                  </w:pPr>
                                  <w:r w:rsidRPr="00501430">
                                    <w:rPr>
                                      <w:rFonts w:ascii="標楷體" w:eastAsia="標楷體" w:hAnsi="標楷體" w:hint="eastAsia"/>
                                      <w:b/>
                                      <w:bCs/>
                                      <w:color w:val="000000"/>
                                      <w:sz w:val="20"/>
                                    </w:rPr>
                                    <w:t>合</w:t>
                                  </w:r>
                                  <w:r>
                                    <w:rPr>
                                      <w:rFonts w:ascii="標楷體" w:eastAsia="標楷體" w:hAnsi="標楷體" w:hint="eastAsia"/>
                                      <w:b/>
                                      <w:bCs/>
                                      <w:color w:val="000000"/>
                                      <w:sz w:val="20"/>
                                    </w:rPr>
                                    <w:t xml:space="preserve">  </w:t>
                                  </w:r>
                                  <w:r w:rsidRPr="00501430">
                                    <w:rPr>
                                      <w:rFonts w:ascii="標楷體" w:eastAsia="標楷體" w:hAnsi="標楷體" w:hint="eastAsia"/>
                                      <w:b/>
                                      <w:bCs/>
                                      <w:color w:val="000000"/>
                                      <w:sz w:val="20"/>
                                    </w:rPr>
                                    <w:t>計</w:t>
                                  </w:r>
                                </w:p>
                              </w:tc>
                              <w:tc>
                                <w:tcPr>
                                  <w:tcW w:w="687" w:type="pct"/>
                                  <w:tcBorders>
                                    <w:top w:val="nil"/>
                                    <w:left w:val="nil"/>
                                    <w:bottom w:val="single" w:sz="4" w:space="0" w:color="auto"/>
                                    <w:right w:val="single" w:sz="4" w:space="0" w:color="auto"/>
                                  </w:tcBorders>
                                  <w:shd w:val="clear" w:color="auto" w:fill="auto"/>
                                  <w:noWrap/>
                                  <w:vAlign w:val="center"/>
                                  <w:hideMark/>
                                </w:tcPr>
                                <w:p w14:paraId="0212FA25" w14:textId="77777777" w:rsidR="00882004" w:rsidRPr="00501430" w:rsidRDefault="00882004" w:rsidP="007D5EF5">
                                  <w:pPr>
                                    <w:spacing w:line="240" w:lineRule="exact"/>
                                    <w:jc w:val="right"/>
                                    <w:rPr>
                                      <w:rFonts w:ascii="標楷體" w:eastAsia="標楷體" w:hAnsi="標楷體"/>
                                      <w:b/>
                                      <w:bCs/>
                                      <w:color w:val="000000"/>
                                      <w:sz w:val="20"/>
                                    </w:rPr>
                                  </w:pPr>
                                  <w:r w:rsidRPr="00501430">
                                    <w:rPr>
                                      <w:rFonts w:ascii="標楷體" w:eastAsia="標楷體" w:hAnsi="標楷體"/>
                                      <w:b/>
                                      <w:bCs/>
                                      <w:color w:val="000000"/>
                                      <w:sz w:val="20"/>
                                    </w:rPr>
                                    <w:t>357.05</w:t>
                                  </w:r>
                                </w:p>
                              </w:tc>
                            </w:tr>
                            <w:tr w:rsidR="00882004" w:rsidRPr="00501430" w14:paraId="2C5CC8FB" w14:textId="77777777" w:rsidTr="007D5EF5">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1DE3DA1"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1</w:t>
                                  </w:r>
                                </w:p>
                              </w:tc>
                              <w:tc>
                                <w:tcPr>
                                  <w:tcW w:w="2146" w:type="pct"/>
                                  <w:tcBorders>
                                    <w:top w:val="nil"/>
                                    <w:left w:val="nil"/>
                                    <w:bottom w:val="single" w:sz="4" w:space="0" w:color="auto"/>
                                    <w:right w:val="single" w:sz="4" w:space="0" w:color="auto"/>
                                  </w:tcBorders>
                                  <w:shd w:val="clear" w:color="auto" w:fill="auto"/>
                                  <w:vAlign w:val="center"/>
                                  <w:hideMark/>
                                </w:tcPr>
                                <w:p w14:paraId="55EF1C35"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推動電動大客車保養維修技術人力轉型計畫</w:t>
                                  </w:r>
                                </w:p>
                              </w:tc>
                              <w:tc>
                                <w:tcPr>
                                  <w:tcW w:w="1742" w:type="pct"/>
                                  <w:vMerge w:val="restart"/>
                                  <w:tcBorders>
                                    <w:top w:val="nil"/>
                                    <w:left w:val="nil"/>
                                    <w:right w:val="single" w:sz="4" w:space="0" w:color="auto"/>
                                  </w:tcBorders>
                                  <w:shd w:val="clear" w:color="auto" w:fill="auto"/>
                                  <w:vAlign w:val="center"/>
                                  <w:hideMark/>
                                </w:tcPr>
                                <w:p w14:paraId="511A0B79"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交通部（公路局）</w:t>
                                  </w:r>
                                </w:p>
                              </w:tc>
                              <w:tc>
                                <w:tcPr>
                                  <w:tcW w:w="687" w:type="pct"/>
                                  <w:tcBorders>
                                    <w:top w:val="nil"/>
                                    <w:left w:val="nil"/>
                                    <w:bottom w:val="single" w:sz="4" w:space="0" w:color="auto"/>
                                    <w:right w:val="single" w:sz="4" w:space="0" w:color="auto"/>
                                  </w:tcBorders>
                                  <w:shd w:val="clear" w:color="auto" w:fill="auto"/>
                                  <w:noWrap/>
                                  <w:vAlign w:val="center"/>
                                  <w:hideMark/>
                                </w:tcPr>
                                <w:p w14:paraId="6F370236"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92.65</w:t>
                                  </w:r>
                                </w:p>
                              </w:tc>
                            </w:tr>
                            <w:tr w:rsidR="00882004" w:rsidRPr="00501430" w14:paraId="2F9A83D5" w14:textId="77777777" w:rsidTr="007D5EF5">
                              <w:trPr>
                                <w:trHeight w:val="51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7E97064B"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2</w:t>
                                  </w:r>
                                </w:p>
                              </w:tc>
                              <w:tc>
                                <w:tcPr>
                                  <w:tcW w:w="2146" w:type="pct"/>
                                  <w:tcBorders>
                                    <w:top w:val="nil"/>
                                    <w:left w:val="nil"/>
                                    <w:bottom w:val="single" w:sz="4" w:space="0" w:color="auto"/>
                                    <w:right w:val="single" w:sz="4" w:space="0" w:color="auto"/>
                                  </w:tcBorders>
                                  <w:shd w:val="clear" w:color="auto" w:fill="auto"/>
                                  <w:vAlign w:val="center"/>
                                  <w:hideMark/>
                                </w:tcPr>
                                <w:p w14:paraId="02D96588"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推動汽車修護技工、汽車檢驗員專業技術轉型訓練計畫</w:t>
                                  </w:r>
                                </w:p>
                              </w:tc>
                              <w:tc>
                                <w:tcPr>
                                  <w:tcW w:w="1742" w:type="pct"/>
                                  <w:vMerge/>
                                  <w:tcBorders>
                                    <w:left w:val="nil"/>
                                    <w:bottom w:val="single" w:sz="4" w:space="0" w:color="auto"/>
                                    <w:right w:val="single" w:sz="4" w:space="0" w:color="auto"/>
                                  </w:tcBorders>
                                  <w:shd w:val="clear" w:color="auto" w:fill="auto"/>
                                  <w:hideMark/>
                                </w:tcPr>
                                <w:p w14:paraId="6918D6AA" w14:textId="77777777" w:rsidR="00882004" w:rsidRPr="00501430" w:rsidRDefault="00882004" w:rsidP="007D5EF5">
                                  <w:pPr>
                                    <w:spacing w:line="240" w:lineRule="exact"/>
                                    <w:jc w:val="center"/>
                                    <w:rPr>
                                      <w:rFonts w:ascii="標楷體" w:eastAsia="標楷體" w:hAnsi="標楷體"/>
                                      <w:color w:val="000000"/>
                                      <w:sz w:val="20"/>
                                    </w:rPr>
                                  </w:pPr>
                                </w:p>
                              </w:tc>
                              <w:tc>
                                <w:tcPr>
                                  <w:tcW w:w="687" w:type="pct"/>
                                  <w:tcBorders>
                                    <w:top w:val="nil"/>
                                    <w:left w:val="nil"/>
                                    <w:bottom w:val="single" w:sz="4" w:space="0" w:color="auto"/>
                                    <w:right w:val="single" w:sz="4" w:space="0" w:color="auto"/>
                                  </w:tcBorders>
                                  <w:shd w:val="clear" w:color="auto" w:fill="auto"/>
                                  <w:noWrap/>
                                  <w:vAlign w:val="center"/>
                                  <w:hideMark/>
                                </w:tcPr>
                                <w:p w14:paraId="78F023CE"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188</w:t>
                                  </w:r>
                                  <w:r w:rsidRPr="00501430">
                                    <w:rPr>
                                      <w:rFonts w:ascii="標楷體" w:eastAsia="標楷體" w:hAnsi="標楷體"/>
                                      <w:color w:val="000000"/>
                                      <w:sz w:val="20"/>
                                    </w:rPr>
                                    <w:t>.00</w:t>
                                  </w:r>
                                </w:p>
                              </w:tc>
                            </w:tr>
                            <w:tr w:rsidR="00882004" w:rsidRPr="00501430" w14:paraId="4162B1FF" w14:textId="77777777" w:rsidTr="007D5EF5">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5C04EBB"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3</w:t>
                                  </w:r>
                                </w:p>
                              </w:tc>
                              <w:tc>
                                <w:tcPr>
                                  <w:tcW w:w="2146" w:type="pct"/>
                                  <w:tcBorders>
                                    <w:top w:val="nil"/>
                                    <w:left w:val="nil"/>
                                    <w:bottom w:val="single" w:sz="4" w:space="0" w:color="auto"/>
                                    <w:right w:val="single" w:sz="4" w:space="0" w:color="auto"/>
                                  </w:tcBorders>
                                  <w:shd w:val="clear" w:color="auto" w:fill="auto"/>
                                  <w:vAlign w:val="center"/>
                                  <w:hideMark/>
                                </w:tcPr>
                                <w:p w14:paraId="4D99394B"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辦理電動車產業人才投資方案訓練</w:t>
                                  </w:r>
                                </w:p>
                              </w:tc>
                              <w:tc>
                                <w:tcPr>
                                  <w:tcW w:w="1742" w:type="pct"/>
                                  <w:tcBorders>
                                    <w:top w:val="nil"/>
                                    <w:left w:val="nil"/>
                                    <w:bottom w:val="single" w:sz="4" w:space="0" w:color="auto"/>
                                    <w:right w:val="single" w:sz="4" w:space="0" w:color="auto"/>
                                  </w:tcBorders>
                                  <w:shd w:val="clear" w:color="auto" w:fill="auto"/>
                                  <w:vAlign w:val="center"/>
                                  <w:hideMark/>
                                </w:tcPr>
                                <w:p w14:paraId="0A37D887"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勞動部（勞動力發展署）</w:t>
                                  </w:r>
                                </w:p>
                              </w:tc>
                              <w:tc>
                                <w:tcPr>
                                  <w:tcW w:w="687" w:type="pct"/>
                                  <w:tcBorders>
                                    <w:top w:val="nil"/>
                                    <w:left w:val="nil"/>
                                    <w:bottom w:val="single" w:sz="4" w:space="0" w:color="auto"/>
                                    <w:right w:val="single" w:sz="4" w:space="0" w:color="auto"/>
                                  </w:tcBorders>
                                  <w:shd w:val="clear" w:color="auto" w:fill="auto"/>
                                  <w:noWrap/>
                                  <w:vAlign w:val="center"/>
                                  <w:hideMark/>
                                </w:tcPr>
                                <w:p w14:paraId="1B7A6433"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7</w:t>
                                  </w:r>
                                  <w:r w:rsidRPr="00501430">
                                    <w:rPr>
                                      <w:rFonts w:ascii="標楷體" w:eastAsia="標楷體" w:hAnsi="標楷體"/>
                                      <w:color w:val="000000"/>
                                      <w:sz w:val="20"/>
                                    </w:rPr>
                                    <w:t>.</w:t>
                                  </w:r>
                                  <w:r w:rsidRPr="00501430">
                                    <w:rPr>
                                      <w:rFonts w:ascii="標楷體" w:eastAsia="標楷體" w:hAnsi="標楷體" w:hint="eastAsia"/>
                                      <w:color w:val="000000"/>
                                      <w:sz w:val="20"/>
                                    </w:rPr>
                                    <w:t>4</w:t>
                                  </w:r>
                                  <w:r w:rsidRPr="00501430">
                                    <w:rPr>
                                      <w:rFonts w:ascii="標楷體" w:eastAsia="標楷體" w:hAnsi="標楷體"/>
                                      <w:color w:val="000000"/>
                                      <w:sz w:val="20"/>
                                    </w:rPr>
                                    <w:t>0</w:t>
                                  </w:r>
                                </w:p>
                              </w:tc>
                            </w:tr>
                            <w:tr w:rsidR="00882004" w:rsidRPr="00501430" w14:paraId="291B4EBF" w14:textId="77777777" w:rsidTr="007D5EF5">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025369B1"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4</w:t>
                                  </w:r>
                                </w:p>
                              </w:tc>
                              <w:tc>
                                <w:tcPr>
                                  <w:tcW w:w="2146" w:type="pct"/>
                                  <w:tcBorders>
                                    <w:top w:val="nil"/>
                                    <w:left w:val="nil"/>
                                    <w:bottom w:val="single" w:sz="4" w:space="0" w:color="auto"/>
                                    <w:right w:val="single" w:sz="4" w:space="0" w:color="auto"/>
                                  </w:tcBorders>
                                  <w:shd w:val="clear" w:color="auto" w:fill="auto"/>
                                  <w:vAlign w:val="center"/>
                                  <w:hideMark/>
                                </w:tcPr>
                                <w:p w14:paraId="550A6DE9"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持續推動機車行轉型計畫</w:t>
                                  </w:r>
                                </w:p>
                              </w:tc>
                              <w:tc>
                                <w:tcPr>
                                  <w:tcW w:w="1742" w:type="pct"/>
                                  <w:tcBorders>
                                    <w:top w:val="nil"/>
                                    <w:left w:val="nil"/>
                                    <w:bottom w:val="single" w:sz="4" w:space="0" w:color="auto"/>
                                    <w:right w:val="single" w:sz="4" w:space="0" w:color="auto"/>
                                  </w:tcBorders>
                                  <w:shd w:val="clear" w:color="auto" w:fill="auto"/>
                                  <w:vAlign w:val="center"/>
                                  <w:hideMark/>
                                </w:tcPr>
                                <w:p w14:paraId="0C276FD9"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經濟部（產業發展署）</w:t>
                                  </w:r>
                                </w:p>
                              </w:tc>
                              <w:tc>
                                <w:tcPr>
                                  <w:tcW w:w="687" w:type="pct"/>
                                  <w:tcBorders>
                                    <w:top w:val="nil"/>
                                    <w:left w:val="nil"/>
                                    <w:bottom w:val="single" w:sz="4" w:space="0" w:color="auto"/>
                                    <w:right w:val="single" w:sz="4" w:space="0" w:color="auto"/>
                                  </w:tcBorders>
                                  <w:shd w:val="clear" w:color="auto" w:fill="auto"/>
                                  <w:noWrap/>
                                  <w:vAlign w:val="center"/>
                                  <w:hideMark/>
                                </w:tcPr>
                                <w:p w14:paraId="5FFA8709"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69</w:t>
                                  </w:r>
                                  <w:r w:rsidRPr="00501430">
                                    <w:rPr>
                                      <w:rFonts w:ascii="標楷體" w:eastAsia="標楷體" w:hAnsi="標楷體"/>
                                      <w:color w:val="000000"/>
                                      <w:sz w:val="20"/>
                                    </w:rPr>
                                    <w:t>.00</w:t>
                                  </w:r>
                                </w:p>
                              </w:tc>
                            </w:tr>
                          </w:tbl>
                          <w:p w14:paraId="17A8AD23" w14:textId="77777777" w:rsidR="00882004" w:rsidRPr="00501430" w:rsidRDefault="00882004" w:rsidP="00882004">
                            <w:pPr>
                              <w:spacing w:line="240" w:lineRule="exact"/>
                              <w:jc w:val="both"/>
                              <w:rPr>
                                <w:rFonts w:ascii="標楷體" w:eastAsia="標楷體" w:hAnsi="標楷體"/>
                                <w:sz w:val="18"/>
                                <w:szCs w:val="18"/>
                              </w:rPr>
                            </w:pPr>
                            <w:proofErr w:type="gramStart"/>
                            <w:r w:rsidRPr="00501430">
                              <w:rPr>
                                <w:rFonts w:ascii="標楷體" w:eastAsia="標楷體" w:hAnsi="標楷體" w:hint="eastAsia"/>
                                <w:sz w:val="18"/>
                                <w:szCs w:val="18"/>
                              </w:rPr>
                              <w:t>註</w:t>
                            </w:r>
                            <w:proofErr w:type="gramEnd"/>
                            <w:r w:rsidRPr="00501430">
                              <w:rPr>
                                <w:rFonts w:ascii="標楷體" w:eastAsia="標楷體" w:hAnsi="標楷體" w:hint="eastAsia"/>
                                <w:sz w:val="18"/>
                                <w:szCs w:val="18"/>
                              </w:rPr>
                              <w:t>：1</w:t>
                            </w:r>
                            <w:r w:rsidRPr="00501430">
                              <w:rPr>
                                <w:rFonts w:ascii="標楷體" w:eastAsia="標楷體" w:hAnsi="標楷體"/>
                                <w:sz w:val="18"/>
                                <w:szCs w:val="18"/>
                              </w:rPr>
                              <w:t>.</w:t>
                            </w:r>
                            <w:r w:rsidRPr="00501430">
                              <w:rPr>
                                <w:rFonts w:ascii="標楷體" w:eastAsia="標楷體" w:hAnsi="標楷體" w:hint="eastAsia"/>
                                <w:sz w:val="18"/>
                                <w:szCs w:val="18"/>
                              </w:rPr>
                              <w:t>上開計畫執行期間為</w:t>
                            </w:r>
                            <w:r w:rsidRPr="00501430">
                              <w:rPr>
                                <w:rFonts w:ascii="標楷體" w:eastAsia="標楷體" w:hAnsi="標楷體"/>
                                <w:sz w:val="18"/>
                                <w:szCs w:val="18"/>
                              </w:rPr>
                              <w:t>112</w:t>
                            </w:r>
                            <w:r w:rsidRPr="00501430">
                              <w:rPr>
                                <w:rFonts w:ascii="標楷體" w:eastAsia="標楷體" w:hAnsi="標楷體" w:hint="eastAsia"/>
                                <w:sz w:val="18"/>
                                <w:szCs w:val="18"/>
                              </w:rPr>
                              <w:t>至1</w:t>
                            </w:r>
                            <w:r w:rsidRPr="00501430">
                              <w:rPr>
                                <w:rFonts w:ascii="標楷體" w:eastAsia="標楷體" w:hAnsi="標楷體"/>
                                <w:sz w:val="18"/>
                                <w:szCs w:val="18"/>
                              </w:rPr>
                              <w:t>19</w:t>
                            </w:r>
                            <w:r w:rsidRPr="00501430">
                              <w:rPr>
                                <w:rFonts w:ascii="標楷體" w:eastAsia="標楷體" w:hAnsi="標楷體" w:hint="eastAsia"/>
                                <w:sz w:val="18"/>
                                <w:szCs w:val="18"/>
                              </w:rPr>
                              <w:t>年度。</w:t>
                            </w:r>
                          </w:p>
                          <w:p w14:paraId="3D06D096" w14:textId="77777777" w:rsidR="00882004" w:rsidRPr="00501430" w:rsidRDefault="00882004" w:rsidP="00882004">
                            <w:pPr>
                              <w:spacing w:line="240" w:lineRule="exact"/>
                              <w:ind w:leftChars="150" w:left="540" w:hangingChars="100" w:hanging="180"/>
                              <w:jc w:val="both"/>
                              <w:rPr>
                                <w:rFonts w:ascii="標楷體" w:eastAsia="標楷體" w:hAnsi="標楷體"/>
                                <w:sz w:val="18"/>
                                <w:szCs w:val="18"/>
                              </w:rPr>
                            </w:pPr>
                            <w:r w:rsidRPr="00501430">
                              <w:rPr>
                                <w:rFonts w:ascii="標楷體" w:eastAsia="標楷體" w:hAnsi="標楷體"/>
                                <w:sz w:val="18"/>
                                <w:szCs w:val="18"/>
                              </w:rPr>
                              <w:t>2.</w:t>
                            </w:r>
                            <w:r w:rsidRPr="00501430">
                              <w:rPr>
                                <w:rFonts w:ascii="標楷體" w:eastAsia="標楷體" w:hAnsi="標楷體" w:hint="eastAsia"/>
                                <w:sz w:val="18"/>
                                <w:szCs w:val="18"/>
                              </w:rPr>
                              <w:t>資料來源：整理自臺灣2050</w:t>
                            </w:r>
                            <w:proofErr w:type="gramStart"/>
                            <w:r w:rsidRPr="00501430">
                              <w:rPr>
                                <w:rFonts w:ascii="標楷體" w:eastAsia="標楷體" w:hAnsi="標楷體" w:hint="eastAsia"/>
                                <w:sz w:val="18"/>
                                <w:szCs w:val="18"/>
                              </w:rPr>
                              <w:t>淨零轉型</w:t>
                            </w:r>
                            <w:proofErr w:type="gramEnd"/>
                            <w:r w:rsidRPr="00501430">
                              <w:rPr>
                                <w:rFonts w:ascii="標楷體" w:eastAsia="標楷體" w:hAnsi="標楷體" w:hint="eastAsia"/>
                                <w:sz w:val="18"/>
                                <w:szCs w:val="18"/>
                              </w:rPr>
                              <w:t>「運具電動化及無碳化」關鍵戰略行動計畫。</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8A0B79" id="文字方塊 2008327059" o:spid="_x0000_s1069" type="#_x0000_t202" style="position:absolute;left:0;text-align:left;margin-left:.05pt;margin-top:522.5pt;width:494.4pt;height:176.4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" stroked="f">
                <v:textbox>
                  <w:txbxContent>
                    <w:p w14:paraId="00493DE6" w14:textId="286D10A1" w:rsidR="00882004" w:rsidRPr="00966A2E" w:rsidRDefault="00882004" w:rsidP="00882004">
                      <w:pPr>
                        <w:ind w:left="673" w:hangingChars="280" w:hanging="673"/>
                        <w:jc w:val="center"/>
                        <w:rPr>
                          <w:rFonts w:ascii="標楷體" w:eastAsia="標楷體" w:hAnsi="標楷體"/>
                          <w:b/>
                          <w:bCs/>
                        </w:rPr>
                      </w:pPr>
                      <w:r w:rsidRPr="00966A2E">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9</w:t>
                      </w:r>
                      <w:r w:rsidRPr="00966A2E">
                        <w:rPr>
                          <w:rFonts w:ascii="標楷體" w:eastAsia="標楷體" w:hAnsi="標楷體" w:hint="eastAsia"/>
                          <w:b/>
                          <w:bCs/>
                        </w:rPr>
                        <w:t xml:space="preserve">　「</w:t>
                      </w:r>
                      <w:r>
                        <w:rPr>
                          <w:rFonts w:ascii="標楷體" w:eastAsia="標楷體" w:hAnsi="標楷體" w:hint="eastAsia"/>
                          <w:b/>
                          <w:bCs/>
                        </w:rPr>
                        <w:t>保養維修技術人員轉型</w:t>
                      </w:r>
                      <w:r w:rsidRPr="00966A2E">
                        <w:rPr>
                          <w:rFonts w:ascii="標楷體" w:eastAsia="標楷體" w:hAnsi="標楷體" w:hint="eastAsia"/>
                          <w:b/>
                          <w:bCs/>
                        </w:rPr>
                        <w:t>」</w:t>
                      </w:r>
                      <w:r w:rsidRPr="00C81569">
                        <w:rPr>
                          <w:rFonts w:ascii="標楷體" w:eastAsia="標楷體" w:hAnsi="標楷體" w:hint="eastAsia"/>
                          <w:b/>
                          <w:bCs/>
                        </w:rPr>
                        <w:t>推動</w:t>
                      </w:r>
                      <w:r>
                        <w:rPr>
                          <w:rFonts w:ascii="標楷體" w:eastAsia="標楷體" w:hAnsi="標楷體" w:hint="eastAsia"/>
                          <w:b/>
                          <w:bCs/>
                        </w:rPr>
                        <w:t>路徑各部會分工及預估經費</w:t>
                      </w:r>
                    </w:p>
                    <w:p w14:paraId="14D861BF" w14:textId="77777777" w:rsidR="00882004" w:rsidRPr="00966A2E" w:rsidRDefault="00882004" w:rsidP="00882004">
                      <w:pPr>
                        <w:spacing w:line="240" w:lineRule="exact"/>
                        <w:jc w:val="right"/>
                        <w:rPr>
                          <w:rFonts w:ascii="標楷體" w:eastAsia="標楷體" w:hAnsi="標楷體"/>
                          <w:sz w:val="20"/>
                        </w:rPr>
                      </w:pPr>
                      <w:r w:rsidRPr="00966A2E">
                        <w:rPr>
                          <w:rFonts w:ascii="標楷體" w:eastAsia="標楷體" w:hAnsi="標楷體" w:hint="eastAsia"/>
                          <w:sz w:val="20"/>
                        </w:rPr>
                        <w:t>單位：</w:t>
                      </w:r>
                      <w:r>
                        <w:rPr>
                          <w:rFonts w:ascii="標楷體" w:eastAsia="標楷體" w:hAnsi="標楷體" w:hint="eastAsia"/>
                          <w:sz w:val="20"/>
                        </w:rPr>
                        <w:t>新臺幣百萬</w:t>
                      </w:r>
                      <w:r w:rsidRPr="00966A2E">
                        <w:rPr>
                          <w:rFonts w:ascii="標楷體" w:eastAsia="標楷體" w:hAnsi="標楷體" w:hint="eastAsia"/>
                          <w:sz w:val="20"/>
                        </w:rPr>
                        <w:t>元</w:t>
                      </w:r>
                    </w:p>
                    <w:tbl>
                      <w:tblPr>
                        <w:tblW w:w="5000" w:type="pct"/>
                        <w:tblCellMar>
                          <w:left w:w="28" w:type="dxa"/>
                          <w:right w:w="28" w:type="dxa"/>
                        </w:tblCellMar>
                        <w:tblLook w:val="04A0" w:firstRow="1" w:lastRow="0" w:firstColumn="1" w:lastColumn="0" w:noHBand="0" w:noVBand="1"/>
                      </w:tblPr>
                      <w:tblGrid>
                        <w:gridCol w:w="822"/>
                        <w:gridCol w:w="4151"/>
                        <w:gridCol w:w="3369"/>
                        <w:gridCol w:w="1329"/>
                      </w:tblGrid>
                      <w:tr w:rsidR="00882004" w:rsidRPr="00501430" w14:paraId="61DC21A4" w14:textId="77777777" w:rsidTr="007D5EF5">
                        <w:trPr>
                          <w:trHeight w:val="340"/>
                        </w:trPr>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A90EA"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序號</w:t>
                            </w:r>
                          </w:p>
                        </w:tc>
                        <w:tc>
                          <w:tcPr>
                            <w:tcW w:w="2146" w:type="pct"/>
                            <w:tcBorders>
                              <w:top w:val="single" w:sz="4" w:space="0" w:color="auto"/>
                              <w:left w:val="nil"/>
                              <w:bottom w:val="single" w:sz="4" w:space="0" w:color="auto"/>
                              <w:right w:val="single" w:sz="4" w:space="0" w:color="auto"/>
                            </w:tcBorders>
                            <w:shd w:val="clear" w:color="auto" w:fill="auto"/>
                            <w:noWrap/>
                            <w:vAlign w:val="center"/>
                            <w:hideMark/>
                          </w:tcPr>
                          <w:p w14:paraId="18062F84"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行動措施計畫</w:t>
                            </w:r>
                          </w:p>
                        </w:tc>
                        <w:tc>
                          <w:tcPr>
                            <w:tcW w:w="1742" w:type="pct"/>
                            <w:tcBorders>
                              <w:top w:val="single" w:sz="4" w:space="0" w:color="auto"/>
                              <w:left w:val="nil"/>
                              <w:bottom w:val="single" w:sz="4" w:space="0" w:color="auto"/>
                              <w:right w:val="single" w:sz="4" w:space="0" w:color="auto"/>
                            </w:tcBorders>
                            <w:shd w:val="clear" w:color="auto" w:fill="auto"/>
                            <w:noWrap/>
                            <w:vAlign w:val="center"/>
                            <w:hideMark/>
                          </w:tcPr>
                          <w:p w14:paraId="4059A415"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執行部會</w:t>
                            </w:r>
                          </w:p>
                        </w:tc>
                        <w:tc>
                          <w:tcPr>
                            <w:tcW w:w="687" w:type="pct"/>
                            <w:tcBorders>
                              <w:top w:val="single" w:sz="4" w:space="0" w:color="auto"/>
                              <w:left w:val="nil"/>
                              <w:bottom w:val="single" w:sz="4" w:space="0" w:color="auto"/>
                              <w:right w:val="single" w:sz="4" w:space="0" w:color="auto"/>
                            </w:tcBorders>
                            <w:shd w:val="clear" w:color="auto" w:fill="auto"/>
                            <w:noWrap/>
                            <w:vAlign w:val="center"/>
                            <w:hideMark/>
                          </w:tcPr>
                          <w:p w14:paraId="49F89E42"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預估經費</w:t>
                            </w:r>
                          </w:p>
                        </w:tc>
                      </w:tr>
                      <w:tr w:rsidR="00882004" w:rsidRPr="00501430" w14:paraId="2D1320CE" w14:textId="77777777" w:rsidTr="007D5EF5">
                        <w:trPr>
                          <w:trHeight w:val="340"/>
                        </w:trPr>
                        <w:tc>
                          <w:tcPr>
                            <w:tcW w:w="4313"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5037E59" w14:textId="77777777" w:rsidR="00882004" w:rsidRPr="00501430" w:rsidRDefault="00882004" w:rsidP="007D5EF5">
                            <w:pPr>
                              <w:spacing w:line="240" w:lineRule="exact"/>
                              <w:jc w:val="center"/>
                              <w:rPr>
                                <w:rFonts w:ascii="標楷體" w:eastAsia="標楷體" w:hAnsi="標楷體"/>
                                <w:b/>
                                <w:bCs/>
                                <w:color w:val="000000"/>
                                <w:sz w:val="20"/>
                              </w:rPr>
                            </w:pPr>
                            <w:r w:rsidRPr="00501430">
                              <w:rPr>
                                <w:rFonts w:ascii="標楷體" w:eastAsia="標楷體" w:hAnsi="標楷體" w:hint="eastAsia"/>
                                <w:b/>
                                <w:bCs/>
                                <w:color w:val="000000"/>
                                <w:sz w:val="20"/>
                              </w:rPr>
                              <w:t>合</w:t>
                            </w:r>
                            <w:r>
                              <w:rPr>
                                <w:rFonts w:ascii="標楷體" w:eastAsia="標楷體" w:hAnsi="標楷體" w:hint="eastAsia"/>
                                <w:b/>
                                <w:bCs/>
                                <w:color w:val="000000"/>
                                <w:sz w:val="20"/>
                              </w:rPr>
                              <w:t xml:space="preserve">  </w:t>
                            </w:r>
                            <w:r w:rsidRPr="00501430">
                              <w:rPr>
                                <w:rFonts w:ascii="標楷體" w:eastAsia="標楷體" w:hAnsi="標楷體" w:hint="eastAsia"/>
                                <w:b/>
                                <w:bCs/>
                                <w:color w:val="000000"/>
                                <w:sz w:val="20"/>
                              </w:rPr>
                              <w:t>計</w:t>
                            </w:r>
                          </w:p>
                        </w:tc>
                        <w:tc>
                          <w:tcPr>
                            <w:tcW w:w="687" w:type="pct"/>
                            <w:tcBorders>
                              <w:top w:val="nil"/>
                              <w:left w:val="nil"/>
                              <w:bottom w:val="single" w:sz="4" w:space="0" w:color="auto"/>
                              <w:right w:val="single" w:sz="4" w:space="0" w:color="auto"/>
                            </w:tcBorders>
                            <w:shd w:val="clear" w:color="auto" w:fill="auto"/>
                            <w:noWrap/>
                            <w:vAlign w:val="center"/>
                            <w:hideMark/>
                          </w:tcPr>
                          <w:p w14:paraId="0212FA25" w14:textId="77777777" w:rsidR="00882004" w:rsidRPr="00501430" w:rsidRDefault="00882004" w:rsidP="007D5EF5">
                            <w:pPr>
                              <w:spacing w:line="240" w:lineRule="exact"/>
                              <w:jc w:val="right"/>
                              <w:rPr>
                                <w:rFonts w:ascii="標楷體" w:eastAsia="標楷體" w:hAnsi="標楷體"/>
                                <w:b/>
                                <w:bCs/>
                                <w:color w:val="000000"/>
                                <w:sz w:val="20"/>
                              </w:rPr>
                            </w:pPr>
                            <w:r w:rsidRPr="00501430">
                              <w:rPr>
                                <w:rFonts w:ascii="標楷體" w:eastAsia="標楷體" w:hAnsi="標楷體"/>
                                <w:b/>
                                <w:bCs/>
                                <w:color w:val="000000"/>
                                <w:sz w:val="20"/>
                              </w:rPr>
                              <w:t>357.05</w:t>
                            </w:r>
                          </w:p>
                        </w:tc>
                      </w:tr>
                      <w:tr w:rsidR="00882004" w:rsidRPr="00501430" w14:paraId="2C5CC8FB" w14:textId="77777777" w:rsidTr="007D5EF5">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1DE3DA1"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1</w:t>
                            </w:r>
                          </w:p>
                        </w:tc>
                        <w:tc>
                          <w:tcPr>
                            <w:tcW w:w="2146" w:type="pct"/>
                            <w:tcBorders>
                              <w:top w:val="nil"/>
                              <w:left w:val="nil"/>
                              <w:bottom w:val="single" w:sz="4" w:space="0" w:color="auto"/>
                              <w:right w:val="single" w:sz="4" w:space="0" w:color="auto"/>
                            </w:tcBorders>
                            <w:shd w:val="clear" w:color="auto" w:fill="auto"/>
                            <w:vAlign w:val="center"/>
                            <w:hideMark/>
                          </w:tcPr>
                          <w:p w14:paraId="55EF1C35"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推動電動大客車保養維修技術人力轉型計畫</w:t>
                            </w:r>
                          </w:p>
                        </w:tc>
                        <w:tc>
                          <w:tcPr>
                            <w:tcW w:w="1742" w:type="pct"/>
                            <w:vMerge w:val="restart"/>
                            <w:tcBorders>
                              <w:top w:val="nil"/>
                              <w:left w:val="nil"/>
                              <w:right w:val="single" w:sz="4" w:space="0" w:color="auto"/>
                            </w:tcBorders>
                            <w:shd w:val="clear" w:color="auto" w:fill="auto"/>
                            <w:vAlign w:val="center"/>
                            <w:hideMark/>
                          </w:tcPr>
                          <w:p w14:paraId="511A0B79"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交通部（公路局）</w:t>
                            </w:r>
                          </w:p>
                        </w:tc>
                        <w:tc>
                          <w:tcPr>
                            <w:tcW w:w="687" w:type="pct"/>
                            <w:tcBorders>
                              <w:top w:val="nil"/>
                              <w:left w:val="nil"/>
                              <w:bottom w:val="single" w:sz="4" w:space="0" w:color="auto"/>
                              <w:right w:val="single" w:sz="4" w:space="0" w:color="auto"/>
                            </w:tcBorders>
                            <w:shd w:val="clear" w:color="auto" w:fill="auto"/>
                            <w:noWrap/>
                            <w:vAlign w:val="center"/>
                            <w:hideMark/>
                          </w:tcPr>
                          <w:p w14:paraId="6F370236"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92.65</w:t>
                            </w:r>
                          </w:p>
                        </w:tc>
                      </w:tr>
                      <w:tr w:rsidR="00882004" w:rsidRPr="00501430" w14:paraId="2F9A83D5" w14:textId="77777777" w:rsidTr="007D5EF5">
                        <w:trPr>
                          <w:trHeight w:val="51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7E97064B"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2</w:t>
                            </w:r>
                          </w:p>
                        </w:tc>
                        <w:tc>
                          <w:tcPr>
                            <w:tcW w:w="2146" w:type="pct"/>
                            <w:tcBorders>
                              <w:top w:val="nil"/>
                              <w:left w:val="nil"/>
                              <w:bottom w:val="single" w:sz="4" w:space="0" w:color="auto"/>
                              <w:right w:val="single" w:sz="4" w:space="0" w:color="auto"/>
                            </w:tcBorders>
                            <w:shd w:val="clear" w:color="auto" w:fill="auto"/>
                            <w:vAlign w:val="center"/>
                            <w:hideMark/>
                          </w:tcPr>
                          <w:p w14:paraId="02D96588"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推動汽車修護技工、汽車檢驗員專業技術轉型訓練計畫</w:t>
                            </w:r>
                          </w:p>
                        </w:tc>
                        <w:tc>
                          <w:tcPr>
                            <w:tcW w:w="1742" w:type="pct"/>
                            <w:vMerge/>
                            <w:tcBorders>
                              <w:left w:val="nil"/>
                              <w:bottom w:val="single" w:sz="4" w:space="0" w:color="auto"/>
                              <w:right w:val="single" w:sz="4" w:space="0" w:color="auto"/>
                            </w:tcBorders>
                            <w:shd w:val="clear" w:color="auto" w:fill="auto"/>
                            <w:hideMark/>
                          </w:tcPr>
                          <w:p w14:paraId="6918D6AA" w14:textId="77777777" w:rsidR="00882004" w:rsidRPr="00501430" w:rsidRDefault="00882004" w:rsidP="007D5EF5">
                            <w:pPr>
                              <w:spacing w:line="240" w:lineRule="exact"/>
                              <w:jc w:val="center"/>
                              <w:rPr>
                                <w:rFonts w:ascii="標楷體" w:eastAsia="標楷體" w:hAnsi="標楷體"/>
                                <w:color w:val="000000"/>
                                <w:sz w:val="20"/>
                              </w:rPr>
                            </w:pPr>
                          </w:p>
                        </w:tc>
                        <w:tc>
                          <w:tcPr>
                            <w:tcW w:w="687" w:type="pct"/>
                            <w:tcBorders>
                              <w:top w:val="nil"/>
                              <w:left w:val="nil"/>
                              <w:bottom w:val="single" w:sz="4" w:space="0" w:color="auto"/>
                              <w:right w:val="single" w:sz="4" w:space="0" w:color="auto"/>
                            </w:tcBorders>
                            <w:shd w:val="clear" w:color="auto" w:fill="auto"/>
                            <w:noWrap/>
                            <w:vAlign w:val="center"/>
                            <w:hideMark/>
                          </w:tcPr>
                          <w:p w14:paraId="78F023CE"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188</w:t>
                            </w:r>
                            <w:r w:rsidRPr="00501430">
                              <w:rPr>
                                <w:rFonts w:ascii="標楷體" w:eastAsia="標楷體" w:hAnsi="標楷體"/>
                                <w:color w:val="000000"/>
                                <w:sz w:val="20"/>
                              </w:rPr>
                              <w:t>.00</w:t>
                            </w:r>
                          </w:p>
                        </w:tc>
                      </w:tr>
                      <w:tr w:rsidR="00882004" w:rsidRPr="00501430" w14:paraId="4162B1FF" w14:textId="77777777" w:rsidTr="007D5EF5">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5C04EBB"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3</w:t>
                            </w:r>
                          </w:p>
                        </w:tc>
                        <w:tc>
                          <w:tcPr>
                            <w:tcW w:w="2146" w:type="pct"/>
                            <w:tcBorders>
                              <w:top w:val="nil"/>
                              <w:left w:val="nil"/>
                              <w:bottom w:val="single" w:sz="4" w:space="0" w:color="auto"/>
                              <w:right w:val="single" w:sz="4" w:space="0" w:color="auto"/>
                            </w:tcBorders>
                            <w:shd w:val="clear" w:color="auto" w:fill="auto"/>
                            <w:vAlign w:val="center"/>
                            <w:hideMark/>
                          </w:tcPr>
                          <w:p w14:paraId="4D99394B"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辦理電動車產業人才投資方案訓練</w:t>
                            </w:r>
                          </w:p>
                        </w:tc>
                        <w:tc>
                          <w:tcPr>
                            <w:tcW w:w="1742" w:type="pct"/>
                            <w:tcBorders>
                              <w:top w:val="nil"/>
                              <w:left w:val="nil"/>
                              <w:bottom w:val="single" w:sz="4" w:space="0" w:color="auto"/>
                              <w:right w:val="single" w:sz="4" w:space="0" w:color="auto"/>
                            </w:tcBorders>
                            <w:shd w:val="clear" w:color="auto" w:fill="auto"/>
                            <w:vAlign w:val="center"/>
                            <w:hideMark/>
                          </w:tcPr>
                          <w:p w14:paraId="0A37D887"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勞動部（勞動力發展署）</w:t>
                            </w:r>
                          </w:p>
                        </w:tc>
                        <w:tc>
                          <w:tcPr>
                            <w:tcW w:w="687" w:type="pct"/>
                            <w:tcBorders>
                              <w:top w:val="nil"/>
                              <w:left w:val="nil"/>
                              <w:bottom w:val="single" w:sz="4" w:space="0" w:color="auto"/>
                              <w:right w:val="single" w:sz="4" w:space="0" w:color="auto"/>
                            </w:tcBorders>
                            <w:shd w:val="clear" w:color="auto" w:fill="auto"/>
                            <w:noWrap/>
                            <w:vAlign w:val="center"/>
                            <w:hideMark/>
                          </w:tcPr>
                          <w:p w14:paraId="1B7A6433"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7</w:t>
                            </w:r>
                            <w:r w:rsidRPr="00501430">
                              <w:rPr>
                                <w:rFonts w:ascii="標楷體" w:eastAsia="標楷體" w:hAnsi="標楷體"/>
                                <w:color w:val="000000"/>
                                <w:sz w:val="20"/>
                              </w:rPr>
                              <w:t>.</w:t>
                            </w:r>
                            <w:r w:rsidRPr="00501430">
                              <w:rPr>
                                <w:rFonts w:ascii="標楷體" w:eastAsia="標楷體" w:hAnsi="標楷體" w:hint="eastAsia"/>
                                <w:color w:val="000000"/>
                                <w:sz w:val="20"/>
                              </w:rPr>
                              <w:t>4</w:t>
                            </w:r>
                            <w:r w:rsidRPr="00501430">
                              <w:rPr>
                                <w:rFonts w:ascii="標楷體" w:eastAsia="標楷體" w:hAnsi="標楷體"/>
                                <w:color w:val="000000"/>
                                <w:sz w:val="20"/>
                              </w:rPr>
                              <w:t>0</w:t>
                            </w:r>
                          </w:p>
                        </w:tc>
                      </w:tr>
                      <w:tr w:rsidR="00882004" w:rsidRPr="00501430" w14:paraId="291B4EBF" w14:textId="77777777" w:rsidTr="007D5EF5">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025369B1"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4</w:t>
                            </w:r>
                          </w:p>
                        </w:tc>
                        <w:tc>
                          <w:tcPr>
                            <w:tcW w:w="2146" w:type="pct"/>
                            <w:tcBorders>
                              <w:top w:val="nil"/>
                              <w:left w:val="nil"/>
                              <w:bottom w:val="single" w:sz="4" w:space="0" w:color="auto"/>
                              <w:right w:val="single" w:sz="4" w:space="0" w:color="auto"/>
                            </w:tcBorders>
                            <w:shd w:val="clear" w:color="auto" w:fill="auto"/>
                            <w:vAlign w:val="center"/>
                            <w:hideMark/>
                          </w:tcPr>
                          <w:p w14:paraId="550A6DE9" w14:textId="77777777" w:rsidR="00882004" w:rsidRPr="00501430" w:rsidRDefault="00882004" w:rsidP="007D5EF5">
                            <w:pPr>
                              <w:spacing w:line="240" w:lineRule="exact"/>
                              <w:jc w:val="both"/>
                              <w:rPr>
                                <w:rFonts w:ascii="標楷體" w:eastAsia="標楷體" w:hAnsi="標楷體"/>
                                <w:color w:val="000000"/>
                                <w:sz w:val="20"/>
                              </w:rPr>
                            </w:pPr>
                            <w:r w:rsidRPr="00501430">
                              <w:rPr>
                                <w:rFonts w:ascii="標楷體" w:eastAsia="標楷體" w:hAnsi="標楷體" w:hint="eastAsia"/>
                                <w:color w:val="000000"/>
                                <w:sz w:val="20"/>
                              </w:rPr>
                              <w:t>持續推動機車行轉型計畫</w:t>
                            </w:r>
                          </w:p>
                        </w:tc>
                        <w:tc>
                          <w:tcPr>
                            <w:tcW w:w="1742" w:type="pct"/>
                            <w:tcBorders>
                              <w:top w:val="nil"/>
                              <w:left w:val="nil"/>
                              <w:bottom w:val="single" w:sz="4" w:space="0" w:color="auto"/>
                              <w:right w:val="single" w:sz="4" w:space="0" w:color="auto"/>
                            </w:tcBorders>
                            <w:shd w:val="clear" w:color="auto" w:fill="auto"/>
                            <w:vAlign w:val="center"/>
                            <w:hideMark/>
                          </w:tcPr>
                          <w:p w14:paraId="0C276FD9" w14:textId="77777777" w:rsidR="00882004" w:rsidRPr="00501430" w:rsidRDefault="00882004" w:rsidP="007D5EF5">
                            <w:pPr>
                              <w:spacing w:line="240" w:lineRule="exact"/>
                              <w:jc w:val="center"/>
                              <w:rPr>
                                <w:rFonts w:ascii="標楷體" w:eastAsia="標楷體" w:hAnsi="標楷體"/>
                                <w:color w:val="000000"/>
                                <w:sz w:val="20"/>
                              </w:rPr>
                            </w:pPr>
                            <w:r w:rsidRPr="00501430">
                              <w:rPr>
                                <w:rFonts w:ascii="標楷體" w:eastAsia="標楷體" w:hAnsi="標楷體" w:hint="eastAsia"/>
                                <w:color w:val="000000"/>
                                <w:sz w:val="20"/>
                              </w:rPr>
                              <w:t>經濟部（產業發展署）</w:t>
                            </w:r>
                          </w:p>
                        </w:tc>
                        <w:tc>
                          <w:tcPr>
                            <w:tcW w:w="687" w:type="pct"/>
                            <w:tcBorders>
                              <w:top w:val="nil"/>
                              <w:left w:val="nil"/>
                              <w:bottom w:val="single" w:sz="4" w:space="0" w:color="auto"/>
                              <w:right w:val="single" w:sz="4" w:space="0" w:color="auto"/>
                            </w:tcBorders>
                            <w:shd w:val="clear" w:color="auto" w:fill="auto"/>
                            <w:noWrap/>
                            <w:vAlign w:val="center"/>
                            <w:hideMark/>
                          </w:tcPr>
                          <w:p w14:paraId="5FFA8709" w14:textId="77777777" w:rsidR="00882004" w:rsidRPr="00501430" w:rsidRDefault="00882004" w:rsidP="007D5EF5">
                            <w:pPr>
                              <w:spacing w:line="240" w:lineRule="exact"/>
                              <w:jc w:val="right"/>
                              <w:rPr>
                                <w:rFonts w:ascii="標楷體" w:eastAsia="標楷體" w:hAnsi="標楷體"/>
                                <w:color w:val="000000"/>
                                <w:sz w:val="20"/>
                              </w:rPr>
                            </w:pPr>
                            <w:r w:rsidRPr="00501430">
                              <w:rPr>
                                <w:rFonts w:ascii="標楷體" w:eastAsia="標楷體" w:hAnsi="標楷體" w:hint="eastAsia"/>
                                <w:color w:val="000000"/>
                                <w:sz w:val="20"/>
                              </w:rPr>
                              <w:t>69</w:t>
                            </w:r>
                            <w:r w:rsidRPr="00501430">
                              <w:rPr>
                                <w:rFonts w:ascii="標楷體" w:eastAsia="標楷體" w:hAnsi="標楷體"/>
                                <w:color w:val="000000"/>
                                <w:sz w:val="20"/>
                              </w:rPr>
                              <w:t>.00</w:t>
                            </w:r>
                          </w:p>
                        </w:tc>
                      </w:tr>
                    </w:tbl>
                    <w:p w14:paraId="17A8AD23" w14:textId="77777777" w:rsidR="00882004" w:rsidRPr="00501430" w:rsidRDefault="00882004" w:rsidP="00882004">
                      <w:pPr>
                        <w:spacing w:line="240" w:lineRule="exact"/>
                        <w:jc w:val="both"/>
                        <w:rPr>
                          <w:rFonts w:ascii="標楷體" w:eastAsia="標楷體" w:hAnsi="標楷體"/>
                          <w:sz w:val="18"/>
                          <w:szCs w:val="18"/>
                        </w:rPr>
                      </w:pPr>
                      <w:proofErr w:type="gramStart"/>
                      <w:r w:rsidRPr="00501430">
                        <w:rPr>
                          <w:rFonts w:ascii="標楷體" w:eastAsia="標楷體" w:hAnsi="標楷體" w:hint="eastAsia"/>
                          <w:sz w:val="18"/>
                          <w:szCs w:val="18"/>
                        </w:rPr>
                        <w:t>註</w:t>
                      </w:r>
                      <w:proofErr w:type="gramEnd"/>
                      <w:r w:rsidRPr="00501430">
                        <w:rPr>
                          <w:rFonts w:ascii="標楷體" w:eastAsia="標楷體" w:hAnsi="標楷體" w:hint="eastAsia"/>
                          <w:sz w:val="18"/>
                          <w:szCs w:val="18"/>
                        </w:rPr>
                        <w:t>：1</w:t>
                      </w:r>
                      <w:r w:rsidRPr="00501430">
                        <w:rPr>
                          <w:rFonts w:ascii="標楷體" w:eastAsia="標楷體" w:hAnsi="標楷體"/>
                          <w:sz w:val="18"/>
                          <w:szCs w:val="18"/>
                        </w:rPr>
                        <w:t>.</w:t>
                      </w:r>
                      <w:r w:rsidRPr="00501430">
                        <w:rPr>
                          <w:rFonts w:ascii="標楷體" w:eastAsia="標楷體" w:hAnsi="標楷體" w:hint="eastAsia"/>
                          <w:sz w:val="18"/>
                          <w:szCs w:val="18"/>
                        </w:rPr>
                        <w:t>上開計畫執行期間為</w:t>
                      </w:r>
                      <w:r w:rsidRPr="00501430">
                        <w:rPr>
                          <w:rFonts w:ascii="標楷體" w:eastAsia="標楷體" w:hAnsi="標楷體"/>
                          <w:sz w:val="18"/>
                          <w:szCs w:val="18"/>
                        </w:rPr>
                        <w:t>112</w:t>
                      </w:r>
                      <w:r w:rsidRPr="00501430">
                        <w:rPr>
                          <w:rFonts w:ascii="標楷體" w:eastAsia="標楷體" w:hAnsi="標楷體" w:hint="eastAsia"/>
                          <w:sz w:val="18"/>
                          <w:szCs w:val="18"/>
                        </w:rPr>
                        <w:t>至1</w:t>
                      </w:r>
                      <w:r w:rsidRPr="00501430">
                        <w:rPr>
                          <w:rFonts w:ascii="標楷體" w:eastAsia="標楷體" w:hAnsi="標楷體"/>
                          <w:sz w:val="18"/>
                          <w:szCs w:val="18"/>
                        </w:rPr>
                        <w:t>19</w:t>
                      </w:r>
                      <w:r w:rsidRPr="00501430">
                        <w:rPr>
                          <w:rFonts w:ascii="標楷體" w:eastAsia="標楷體" w:hAnsi="標楷體" w:hint="eastAsia"/>
                          <w:sz w:val="18"/>
                          <w:szCs w:val="18"/>
                        </w:rPr>
                        <w:t>年度。</w:t>
                      </w:r>
                    </w:p>
                    <w:p w14:paraId="3D06D096" w14:textId="77777777" w:rsidR="00882004" w:rsidRPr="00501430" w:rsidRDefault="00882004" w:rsidP="00882004">
                      <w:pPr>
                        <w:spacing w:line="240" w:lineRule="exact"/>
                        <w:ind w:leftChars="150" w:left="540" w:hangingChars="100" w:hanging="180"/>
                        <w:jc w:val="both"/>
                        <w:rPr>
                          <w:rFonts w:ascii="標楷體" w:eastAsia="標楷體" w:hAnsi="標楷體"/>
                          <w:sz w:val="18"/>
                          <w:szCs w:val="18"/>
                        </w:rPr>
                      </w:pPr>
                      <w:r w:rsidRPr="00501430">
                        <w:rPr>
                          <w:rFonts w:ascii="標楷體" w:eastAsia="標楷體" w:hAnsi="標楷體"/>
                          <w:sz w:val="18"/>
                          <w:szCs w:val="18"/>
                        </w:rPr>
                        <w:t>2.</w:t>
                      </w:r>
                      <w:r w:rsidRPr="00501430">
                        <w:rPr>
                          <w:rFonts w:ascii="標楷體" w:eastAsia="標楷體" w:hAnsi="標楷體" w:hint="eastAsia"/>
                          <w:sz w:val="18"/>
                          <w:szCs w:val="18"/>
                        </w:rPr>
                        <w:t>資料來源：整理自臺灣2050</w:t>
                      </w:r>
                      <w:proofErr w:type="gramStart"/>
                      <w:r w:rsidRPr="00501430">
                        <w:rPr>
                          <w:rFonts w:ascii="標楷體" w:eastAsia="標楷體" w:hAnsi="標楷體" w:hint="eastAsia"/>
                          <w:sz w:val="18"/>
                          <w:szCs w:val="18"/>
                        </w:rPr>
                        <w:t>淨零轉型</w:t>
                      </w:r>
                      <w:proofErr w:type="gramEnd"/>
                      <w:r w:rsidRPr="00501430">
                        <w:rPr>
                          <w:rFonts w:ascii="標楷體" w:eastAsia="標楷體" w:hAnsi="標楷體" w:hint="eastAsia"/>
                          <w:sz w:val="18"/>
                          <w:szCs w:val="18"/>
                        </w:rPr>
                        <w:t>「運具電動化及無碳化」關鍵戰略行動計畫。</w:t>
                      </w:r>
                    </w:p>
                  </w:txbxContent>
                </v:textbox>
                <w10:wrap type="square" anchorx="margin" anchory="margin"/>
              </v:shape>
            </w:pict>
          </mc:Fallback>
        </mc:AlternateContent>
      </w:r>
      <w:r w:rsidRPr="00882004">
        <w:rPr>
          <w:rFonts w:ascii="標楷體" w:eastAsia="標楷體" w:hAnsi="標楷體" w:hint="eastAsia"/>
          <w:bCs/>
          <w:color w:val="000000"/>
          <w:szCs w:val="24"/>
        </w:rPr>
        <w:t>政府為實現2050</w:t>
      </w:r>
      <w:proofErr w:type="gramStart"/>
      <w:r w:rsidRPr="00882004">
        <w:rPr>
          <w:rFonts w:ascii="標楷體" w:eastAsia="標楷體" w:hAnsi="標楷體" w:hint="eastAsia"/>
          <w:bCs/>
          <w:color w:val="000000"/>
          <w:szCs w:val="24"/>
        </w:rPr>
        <w:t>淨零排放</w:t>
      </w:r>
      <w:proofErr w:type="gramEnd"/>
      <w:r w:rsidRPr="00882004">
        <w:rPr>
          <w:rFonts w:ascii="標楷體" w:eastAsia="標楷體" w:hAnsi="標楷體" w:hint="eastAsia"/>
          <w:bCs/>
          <w:color w:val="000000"/>
          <w:szCs w:val="24"/>
        </w:rPr>
        <w:t>目標，於111年發布「臺灣2050</w:t>
      </w:r>
      <w:proofErr w:type="gramStart"/>
      <w:r w:rsidRPr="00882004">
        <w:rPr>
          <w:rFonts w:ascii="標楷體" w:eastAsia="標楷體" w:hAnsi="標楷體" w:hint="eastAsia"/>
          <w:bCs/>
          <w:color w:val="000000"/>
          <w:szCs w:val="24"/>
        </w:rPr>
        <w:t>淨零排放</w:t>
      </w:r>
      <w:proofErr w:type="gramEnd"/>
      <w:r w:rsidRPr="00882004">
        <w:rPr>
          <w:rFonts w:ascii="標楷體" w:eastAsia="標楷體" w:hAnsi="標楷體" w:hint="eastAsia"/>
          <w:bCs/>
          <w:color w:val="000000"/>
          <w:szCs w:val="24"/>
        </w:rPr>
        <w:t>路徑及策略總說明」及「12項關鍵戰略行動計畫」，由交通部主責推動運具電動化及無碳化，並配合所訂2040年市售小客車與機車全面電動化等目標，擬定「提高電動運具數量」、「完善使用環境配套」及「產業技術升級轉型」等3大策略，其中「產業技術升級轉型」策略，係為發展在地電動運具生產、製造與維修量能之技術，包含「保養維修技術人員轉型」等推動路徑。</w:t>
      </w:r>
      <w:proofErr w:type="gramStart"/>
      <w:r w:rsidRPr="00882004">
        <w:rPr>
          <w:rFonts w:ascii="標楷體" w:eastAsia="標楷體" w:hAnsi="標楷體" w:hint="eastAsia"/>
          <w:bCs/>
          <w:color w:val="000000"/>
          <w:szCs w:val="24"/>
        </w:rPr>
        <w:t>鑑</w:t>
      </w:r>
      <w:proofErr w:type="gramEnd"/>
      <w:r w:rsidRPr="00882004">
        <w:rPr>
          <w:rFonts w:ascii="標楷體" w:eastAsia="標楷體" w:hAnsi="標楷體" w:hint="eastAsia"/>
          <w:bCs/>
          <w:color w:val="000000"/>
          <w:szCs w:val="24"/>
        </w:rPr>
        <w:t>於電動車維修聚焦於電池、電機及電控等三電系統，所需技能與傳統燃油車不同，為降低對產業鏈及勞工權益之衝擊，交通部會同</w:t>
      </w:r>
      <w:proofErr w:type="gramStart"/>
      <w:r w:rsidRPr="00882004">
        <w:rPr>
          <w:rFonts w:ascii="標楷體" w:eastAsia="標楷體" w:hAnsi="標楷體" w:hint="eastAsia"/>
          <w:bCs/>
          <w:color w:val="000000"/>
          <w:szCs w:val="24"/>
        </w:rPr>
        <w:t>勞動部及經濟部</w:t>
      </w:r>
      <w:proofErr w:type="gramEnd"/>
      <w:r w:rsidRPr="00882004">
        <w:rPr>
          <w:rFonts w:ascii="標楷體" w:eastAsia="標楷體" w:hAnsi="標楷體" w:hint="eastAsia"/>
          <w:bCs/>
          <w:color w:val="000000"/>
          <w:szCs w:val="24"/>
        </w:rPr>
        <w:t>共同推動技術轉型，預估投入經費約3億5,705萬元（表1</w:t>
      </w:r>
      <w:r>
        <w:rPr>
          <w:rFonts w:ascii="標楷體" w:eastAsia="標楷體" w:hAnsi="標楷體" w:hint="eastAsia"/>
          <w:bCs/>
          <w:color w:val="000000"/>
          <w:szCs w:val="24"/>
        </w:rPr>
        <w:t>9</w:t>
      </w:r>
      <w:r w:rsidRPr="00882004">
        <w:rPr>
          <w:rFonts w:ascii="標楷體" w:eastAsia="標楷體" w:hAnsi="標楷體" w:hint="eastAsia"/>
          <w:bCs/>
          <w:color w:val="000000"/>
          <w:szCs w:val="24"/>
        </w:rPr>
        <w:t>），分別由交通部</w:t>
      </w:r>
      <w:r w:rsidR="00C9575F">
        <w:rPr>
          <w:rFonts w:ascii="標楷體" w:eastAsia="標楷體" w:hAnsi="標楷體" w:hint="eastAsia"/>
          <w:bCs/>
          <w:color w:val="000000"/>
          <w:szCs w:val="24"/>
        </w:rPr>
        <w:t>公路局</w:t>
      </w:r>
      <w:r w:rsidRPr="00882004">
        <w:rPr>
          <w:rFonts w:ascii="標楷體" w:eastAsia="標楷體" w:hAnsi="標楷體" w:hint="eastAsia"/>
          <w:bCs/>
          <w:color w:val="000000"/>
          <w:szCs w:val="24"/>
        </w:rPr>
        <w:t>公路人員訓練所辦理「推動汽車修護技工、汽車檢驗員專業技術轉型訓練計畫」，預計於116至119年完成汽車修護技工5,760人等之培訓為目標，及勞動部勞動力發展署執行「辦理電動車產業人才投資方案訓練」，結合民間訓練單位開設課程，預計補助1,000名在職勞工提升知識與技能。依</w:t>
      </w:r>
      <w:proofErr w:type="gramStart"/>
      <w:r w:rsidRPr="00882004">
        <w:rPr>
          <w:rFonts w:ascii="標楷體" w:eastAsia="標楷體" w:hAnsi="標楷體" w:hint="eastAsia"/>
          <w:bCs/>
          <w:color w:val="000000"/>
          <w:szCs w:val="24"/>
        </w:rPr>
        <w:t>勞動部職類別</w:t>
      </w:r>
      <w:proofErr w:type="gramEnd"/>
      <w:r w:rsidRPr="00882004">
        <w:rPr>
          <w:rFonts w:ascii="標楷體" w:eastAsia="標楷體" w:hAnsi="標楷體" w:hint="eastAsia"/>
          <w:bCs/>
          <w:color w:val="000000"/>
          <w:szCs w:val="24"/>
        </w:rPr>
        <w:t>薪資調查動態查詢平台統計，110至112年工業及服務業（不含鐵路及捷運運輸業）全時受</w:t>
      </w:r>
      <w:proofErr w:type="gramStart"/>
      <w:r w:rsidRPr="00882004">
        <w:rPr>
          <w:rFonts w:ascii="標楷體" w:eastAsia="標楷體" w:hAnsi="標楷體" w:hint="eastAsia"/>
          <w:bCs/>
          <w:color w:val="000000"/>
          <w:szCs w:val="24"/>
        </w:rPr>
        <w:t>僱</w:t>
      </w:r>
      <w:proofErr w:type="gramEnd"/>
      <w:r w:rsidRPr="00882004">
        <w:rPr>
          <w:rFonts w:ascii="標楷體" w:eastAsia="標楷體" w:hAnsi="標楷體" w:hint="eastAsia"/>
          <w:bCs/>
          <w:color w:val="000000"/>
          <w:szCs w:val="24"/>
        </w:rPr>
        <w:t>之車輛（含自行車、機車及汽車）維修人員平均人數</w:t>
      </w:r>
      <w:r w:rsidRPr="00882004">
        <w:rPr>
          <w:rFonts w:ascii="標楷體" w:eastAsia="標楷體" w:hAnsi="標楷體" w:hint="eastAsia"/>
          <w:bCs/>
          <w:color w:val="000000"/>
          <w:szCs w:val="24"/>
        </w:rPr>
        <w:lastRenderedPageBreak/>
        <w:t>為46,294人，上開交通部及勞動部規劃之2項訓練計畫預計於119年完成轉型培訓人數6,760人，僅占車輛維修人員平均人數14.60％，培訓規模恐不足以因應市場轉型所需技術人力。另經濟部產業發展署辦理「持續推動機車行轉型計畫」，截至113年底，舉辦機車行升級轉型案例2案及交流活動3場，對於保養維修人員技能轉型之助益有限，且如何有效協助技術人員具備電動機車保修能力、促成傳統機車行升級轉型等，亦無相關量化指標，不利協助從業人員產業升級及技術轉型。又該「保養維修技術人員轉型」路徑，除衝擊車輛保養維修產業鏈及勞工就業權益外，尚影響相關技職科系之就業前景。依教育部統計處資料，技術型高級中等學校動力</w:t>
      </w:r>
      <w:proofErr w:type="gramStart"/>
      <w:r w:rsidRPr="00882004">
        <w:rPr>
          <w:rFonts w:ascii="標楷體" w:eastAsia="標楷體" w:hAnsi="標楷體" w:hint="eastAsia"/>
          <w:bCs/>
          <w:color w:val="000000"/>
          <w:szCs w:val="24"/>
        </w:rPr>
        <w:t>機械群科中心</w:t>
      </w:r>
      <w:proofErr w:type="gramEnd"/>
      <w:r w:rsidRPr="00882004">
        <w:rPr>
          <w:rFonts w:ascii="標楷體" w:eastAsia="標楷體" w:hAnsi="標楷體" w:hint="eastAsia"/>
          <w:bCs/>
          <w:color w:val="000000"/>
          <w:szCs w:val="24"/>
        </w:rPr>
        <w:t>學校112學年度計82所，其中開設有汽車科、汽車技術學程、汽車或機車修護科者80所，在學學生達12,737人，110至112學年度每年平均畢業人數3,998人，</w:t>
      </w:r>
      <w:proofErr w:type="gramStart"/>
      <w:r w:rsidRPr="00882004">
        <w:rPr>
          <w:rFonts w:ascii="標楷體" w:eastAsia="標楷體" w:hAnsi="標楷體" w:hint="eastAsia"/>
          <w:bCs/>
          <w:color w:val="000000"/>
          <w:szCs w:val="24"/>
        </w:rPr>
        <w:t>惟於技職</w:t>
      </w:r>
      <w:proofErr w:type="gramEnd"/>
      <w:r w:rsidRPr="00882004">
        <w:rPr>
          <w:rFonts w:ascii="標楷體" w:eastAsia="標楷體" w:hAnsi="標楷體" w:hint="eastAsia"/>
          <w:bCs/>
          <w:color w:val="000000"/>
          <w:szCs w:val="24"/>
        </w:rPr>
        <w:t>學生之學習需求及未來就業所需技能，尚乏相關部會</w:t>
      </w:r>
      <w:proofErr w:type="gramStart"/>
      <w:r w:rsidRPr="00882004">
        <w:rPr>
          <w:rFonts w:ascii="標楷體" w:eastAsia="標楷體" w:hAnsi="標楷體" w:hint="eastAsia"/>
          <w:bCs/>
          <w:color w:val="000000"/>
          <w:szCs w:val="24"/>
        </w:rPr>
        <w:t>研提整</w:t>
      </w:r>
      <w:proofErr w:type="gramEnd"/>
      <w:r w:rsidRPr="00882004">
        <w:rPr>
          <w:rFonts w:ascii="標楷體" w:eastAsia="標楷體" w:hAnsi="標楷體" w:hint="eastAsia"/>
          <w:bCs/>
          <w:color w:val="000000"/>
          <w:szCs w:val="24"/>
        </w:rPr>
        <w:t>體性策略；另依技術型高級中等學校動力</w:t>
      </w:r>
      <w:proofErr w:type="gramStart"/>
      <w:r w:rsidRPr="00882004">
        <w:rPr>
          <w:rFonts w:ascii="標楷體" w:eastAsia="標楷體" w:hAnsi="標楷體" w:hint="eastAsia"/>
          <w:bCs/>
          <w:color w:val="000000"/>
          <w:szCs w:val="24"/>
        </w:rPr>
        <w:t>機械群科中心</w:t>
      </w:r>
      <w:proofErr w:type="gramEnd"/>
      <w:r w:rsidRPr="00882004">
        <w:rPr>
          <w:rFonts w:ascii="標楷體" w:eastAsia="標楷體" w:hAnsi="標楷體" w:hint="eastAsia"/>
          <w:bCs/>
          <w:color w:val="000000"/>
          <w:szCs w:val="24"/>
        </w:rPr>
        <w:t>110至112學年度成果報告載述內容，亦顯示現行汽車教學課程與設備資源等無法因應電動車輛發展趨勢，影響教學成效，恐造成技職教育與產業需求脫節。經函請行政院督促交通部偕同勞動部、經濟部妥為評估建置保養維修技術人員轉型訓練量能，並促請教育部就未來電動車產業發展所需，妥為規劃汽車相關技職體系教育資源，以確保維修保養從業人員順利轉型，並強化新興技術人才之培育。</w:t>
      </w:r>
      <w:r w:rsidR="00FB1899" w:rsidRPr="00DB5086">
        <w:rPr>
          <w:rFonts w:ascii="標楷體" w:eastAsia="標楷體" w:hAnsi="標楷體" w:cstheme="minorBidi" w:hint="eastAsia"/>
          <w:szCs w:val="24"/>
        </w:rPr>
        <w:t>據復：</w:t>
      </w:r>
      <w:r w:rsidR="00DB5086" w:rsidRPr="00DB5086">
        <w:rPr>
          <w:rFonts w:ascii="標楷體" w:eastAsia="標楷體" w:hAnsi="標楷體" w:cstheme="minorBidi" w:hint="eastAsia"/>
          <w:szCs w:val="24"/>
        </w:rPr>
        <w:t>交通部、經濟部及勞動部將持續掌握產業技能升級轉型之人力培訓需求，運用資源辦理相關培訓課程，以協助勞工因應產業升級或轉型之需求，並偕同車輛公會及製造商等利害關係人強化車廠輔導責任，協助車行應對轉型挑戰；另教育部國民及</w:t>
      </w:r>
      <w:proofErr w:type="gramStart"/>
      <w:r w:rsidR="00DB5086" w:rsidRPr="00DB5086">
        <w:rPr>
          <w:rFonts w:ascii="標楷體" w:eastAsia="標楷體" w:hAnsi="標楷體" w:cstheme="minorBidi" w:hint="eastAsia"/>
          <w:szCs w:val="24"/>
        </w:rPr>
        <w:t>學前教育署業補助</w:t>
      </w:r>
      <w:proofErr w:type="gramEnd"/>
      <w:r w:rsidR="00DB5086" w:rsidRPr="00DB5086">
        <w:rPr>
          <w:rFonts w:ascii="標楷體" w:eastAsia="標楷體" w:hAnsi="標楷體" w:cstheme="minorBidi" w:hint="eastAsia"/>
          <w:szCs w:val="24"/>
        </w:rPr>
        <w:t>成立新興科技推廣中心等，以推廣新興科技教育，並促進部分高級中學及高級工業職業學校合作發展電動車相關課程。</w:t>
      </w:r>
    </w:p>
    <w:p w14:paraId="066A5D8D" w14:textId="5C7691D6" w:rsidR="007E5ACE" w:rsidRPr="004D7C92" w:rsidRDefault="007E5ACE" w:rsidP="00C63CD0">
      <w:pPr>
        <w:overflowPunct w:val="0"/>
        <w:spacing w:beforeLines="20" w:before="72" w:afterLines="20" w:after="72" w:line="460" w:lineRule="exact"/>
        <w:ind w:firstLineChars="200" w:firstLine="577"/>
        <w:jc w:val="both"/>
        <w:outlineLvl w:val="1"/>
        <w:rPr>
          <w:rFonts w:ascii="標楷體" w:eastAsia="標楷體" w:hAnsi="標楷體"/>
          <w:b/>
          <w:bCs/>
          <w:color w:val="0D0D0D" w:themeColor="text1" w:themeTint="F2"/>
          <w:spacing w:val="4"/>
          <w:sz w:val="28"/>
          <w:szCs w:val="28"/>
        </w:rPr>
      </w:pPr>
      <w:r w:rsidRPr="004D7C92">
        <w:rPr>
          <w:rFonts w:ascii="標楷體" w:eastAsia="標楷體" w:hAnsi="標楷體" w:hint="eastAsia"/>
          <w:b/>
          <w:color w:val="000000" w:themeColor="text1"/>
          <w:spacing w:val="4"/>
          <w:sz w:val="28"/>
          <w:szCs w:val="28"/>
        </w:rPr>
        <w:t>（十</w:t>
      </w:r>
      <w:r w:rsidR="00781889">
        <w:rPr>
          <w:rFonts w:ascii="標楷體" w:eastAsia="標楷體" w:hAnsi="標楷體" w:hint="eastAsia"/>
          <w:b/>
          <w:color w:val="000000" w:themeColor="text1"/>
          <w:spacing w:val="4"/>
          <w:sz w:val="28"/>
          <w:szCs w:val="28"/>
        </w:rPr>
        <w:t>六</w:t>
      </w:r>
      <w:r w:rsidRPr="004D7C92">
        <w:rPr>
          <w:rFonts w:ascii="標楷體" w:eastAsia="標楷體" w:hAnsi="標楷體" w:hint="eastAsia"/>
          <w:b/>
          <w:color w:val="000000" w:themeColor="text1"/>
          <w:spacing w:val="4"/>
          <w:sz w:val="28"/>
          <w:szCs w:val="28"/>
        </w:rPr>
        <w:t>）</w:t>
      </w:r>
      <w:r w:rsidRPr="004D7C92">
        <w:rPr>
          <w:rFonts w:ascii="標楷體" w:eastAsia="標楷體" w:hAnsi="標楷體" w:hint="eastAsia"/>
          <w:b/>
          <w:bCs/>
          <w:color w:val="0D0D0D" w:themeColor="text1" w:themeTint="F2"/>
          <w:spacing w:val="4"/>
          <w:sz w:val="28"/>
          <w:szCs w:val="28"/>
        </w:rPr>
        <w:t xml:space="preserve">　</w:t>
      </w:r>
      <w:r w:rsidR="00420A9F" w:rsidRPr="00420A9F">
        <w:rPr>
          <w:rFonts w:ascii="標楷體" w:eastAsia="標楷體" w:hAnsi="標楷體" w:hint="eastAsia"/>
          <w:b/>
          <w:bCs/>
          <w:color w:val="0D0D0D" w:themeColor="text1" w:themeTint="F2"/>
          <w:spacing w:val="4"/>
          <w:sz w:val="28"/>
          <w:szCs w:val="28"/>
        </w:rPr>
        <w:t>政府為建構具競爭力與永續發展之AI生態系，陸續推動臺灣AI行動等計畫，以促進產業轉型及增進民眾福祉，惟人工智慧基本法尚未完成立法、繁體中文語言模型訓練資料受限、</w:t>
      </w:r>
      <w:proofErr w:type="gramStart"/>
      <w:r w:rsidR="00420A9F" w:rsidRPr="00420A9F">
        <w:rPr>
          <w:rFonts w:ascii="標楷體" w:eastAsia="標楷體" w:hAnsi="標楷體" w:hint="eastAsia"/>
          <w:b/>
          <w:bCs/>
          <w:color w:val="0D0D0D" w:themeColor="text1" w:themeTint="F2"/>
          <w:spacing w:val="4"/>
          <w:sz w:val="28"/>
          <w:szCs w:val="28"/>
        </w:rPr>
        <w:t>政府算力投資</w:t>
      </w:r>
      <w:proofErr w:type="gramEnd"/>
      <w:r w:rsidR="00420A9F" w:rsidRPr="00420A9F">
        <w:rPr>
          <w:rFonts w:ascii="標楷體" w:eastAsia="標楷體" w:hAnsi="標楷體" w:hint="eastAsia"/>
          <w:b/>
          <w:bCs/>
          <w:color w:val="0D0D0D" w:themeColor="text1" w:themeTint="F2"/>
          <w:spacing w:val="4"/>
          <w:sz w:val="28"/>
          <w:szCs w:val="28"/>
        </w:rPr>
        <w:t>與配置策略</w:t>
      </w:r>
      <w:proofErr w:type="gramStart"/>
      <w:r w:rsidR="00420A9F" w:rsidRPr="00420A9F">
        <w:rPr>
          <w:rFonts w:ascii="標楷體" w:eastAsia="標楷體" w:hAnsi="標楷體" w:hint="eastAsia"/>
          <w:b/>
          <w:bCs/>
          <w:color w:val="0D0D0D" w:themeColor="text1" w:themeTint="F2"/>
          <w:spacing w:val="4"/>
          <w:sz w:val="28"/>
          <w:szCs w:val="28"/>
        </w:rPr>
        <w:t>未盡周妥</w:t>
      </w:r>
      <w:proofErr w:type="gramEnd"/>
      <w:r w:rsidR="00420A9F" w:rsidRPr="00420A9F">
        <w:rPr>
          <w:rFonts w:ascii="標楷體" w:eastAsia="標楷體" w:hAnsi="標楷體" w:hint="eastAsia"/>
          <w:b/>
          <w:bCs/>
          <w:color w:val="0D0D0D" w:themeColor="text1" w:themeTint="F2"/>
          <w:spacing w:val="4"/>
          <w:sz w:val="28"/>
          <w:szCs w:val="28"/>
        </w:rPr>
        <w:t>、政府開發AI服務系統尚乏審核管理機制，影響AI應用發展，允宜</w:t>
      </w:r>
      <w:proofErr w:type="gramStart"/>
      <w:r w:rsidR="00420A9F" w:rsidRPr="00420A9F">
        <w:rPr>
          <w:rFonts w:ascii="標楷體" w:eastAsia="標楷體" w:hAnsi="標楷體" w:hint="eastAsia"/>
          <w:b/>
          <w:bCs/>
          <w:color w:val="0D0D0D" w:themeColor="text1" w:themeTint="F2"/>
          <w:spacing w:val="4"/>
          <w:sz w:val="28"/>
          <w:szCs w:val="28"/>
        </w:rPr>
        <w:t>研</w:t>
      </w:r>
      <w:proofErr w:type="gramEnd"/>
      <w:r w:rsidR="00420A9F" w:rsidRPr="00420A9F">
        <w:rPr>
          <w:rFonts w:ascii="標楷體" w:eastAsia="標楷體" w:hAnsi="標楷體" w:hint="eastAsia"/>
          <w:b/>
          <w:bCs/>
          <w:color w:val="0D0D0D" w:themeColor="text1" w:themeTint="F2"/>
          <w:spacing w:val="4"/>
          <w:sz w:val="28"/>
          <w:szCs w:val="28"/>
        </w:rPr>
        <w:t>謀改善。</w:t>
      </w:r>
    </w:p>
    <w:p w14:paraId="6A1BDC2C" w14:textId="77777777" w:rsidR="00B5098C" w:rsidRPr="00B5098C" w:rsidRDefault="00B5098C" w:rsidP="00D67312">
      <w:pPr>
        <w:overflowPunct w:val="0"/>
        <w:adjustRightInd w:val="0"/>
        <w:snapToGrid w:val="0"/>
        <w:spacing w:line="440" w:lineRule="exact"/>
        <w:ind w:firstLineChars="200" w:firstLine="480"/>
        <w:jc w:val="both"/>
        <w:rPr>
          <w:rFonts w:ascii="標楷體" w:eastAsia="標楷體" w:hAnsi="標楷體" w:cs="標楷體"/>
          <w:kern w:val="52"/>
          <w:szCs w:val="32"/>
        </w:rPr>
      </w:pPr>
      <w:r w:rsidRPr="00B5098C">
        <w:rPr>
          <w:rFonts w:ascii="標楷體" w:eastAsia="標楷體" w:hAnsi="標楷體" w:cs="標楷體" w:hint="eastAsia"/>
          <w:kern w:val="52"/>
          <w:szCs w:val="32"/>
        </w:rPr>
        <w:t>政府因應國際推動人工智慧（Artificial Intelligence, AI）發展趨勢，自107年推動「臺灣AI行動計畫」，以AI科技研發及產業應用為主，並於112年</w:t>
      </w:r>
      <w:proofErr w:type="gramStart"/>
      <w:r w:rsidRPr="00B5098C">
        <w:rPr>
          <w:rFonts w:ascii="標楷體" w:eastAsia="標楷體" w:hAnsi="標楷體" w:cs="標楷體" w:hint="eastAsia"/>
          <w:kern w:val="52"/>
          <w:szCs w:val="32"/>
        </w:rPr>
        <w:t>賡</w:t>
      </w:r>
      <w:proofErr w:type="gramEnd"/>
      <w:r w:rsidRPr="00B5098C">
        <w:rPr>
          <w:rFonts w:ascii="標楷體" w:eastAsia="標楷體" w:hAnsi="標楷體" w:cs="標楷體" w:hint="eastAsia"/>
          <w:kern w:val="52"/>
          <w:szCs w:val="32"/>
        </w:rPr>
        <w:t>續提出計畫2.0版，以帶動產業轉型及增進社會福祉為核心價值，推動重點包括培育跨領域AI人才、布局核心技術、中小企業導入AI、強化與AI領先國家合作、推動AI法制與評測制度、持續建置高效能運算資源、回應人文社會議題等，112及</w:t>
      </w:r>
      <w:proofErr w:type="gramStart"/>
      <w:r w:rsidRPr="00B5098C">
        <w:rPr>
          <w:rFonts w:ascii="標楷體" w:eastAsia="標楷體" w:hAnsi="標楷體" w:cs="標楷體" w:hint="eastAsia"/>
          <w:kern w:val="52"/>
          <w:szCs w:val="32"/>
        </w:rPr>
        <w:t>113</w:t>
      </w:r>
      <w:proofErr w:type="gramEnd"/>
      <w:r w:rsidRPr="00B5098C">
        <w:rPr>
          <w:rFonts w:ascii="標楷體" w:eastAsia="標楷體" w:hAnsi="標楷體" w:cs="標楷體" w:hint="eastAsia"/>
          <w:kern w:val="52"/>
          <w:szCs w:val="32"/>
        </w:rPr>
        <w:t>年度合計投入經費143億2,468萬餘元，同時透過「智慧國家方案」推動政府施政措施導入AI應用，提升公共服務效率。經查政府推動人工智慧發展與應用情形，核有下列事項：</w:t>
      </w:r>
    </w:p>
    <w:p w14:paraId="49DA652B" w14:textId="03F95E88" w:rsidR="00B5098C" w:rsidRPr="00B5098C" w:rsidRDefault="00B5098C" w:rsidP="00EA4C35">
      <w:pPr>
        <w:overflowPunct w:val="0"/>
        <w:adjustRightInd w:val="0"/>
        <w:snapToGrid w:val="0"/>
        <w:spacing w:line="420" w:lineRule="exact"/>
        <w:ind w:firstLineChars="450" w:firstLine="1081"/>
        <w:jc w:val="both"/>
        <w:rPr>
          <w:rFonts w:ascii="標楷體" w:eastAsia="標楷體" w:hAnsi="標楷體" w:cs="標楷體"/>
          <w:kern w:val="52"/>
          <w:szCs w:val="32"/>
        </w:rPr>
      </w:pPr>
      <w:r w:rsidRPr="00B5098C">
        <w:rPr>
          <w:rFonts w:ascii="標楷體" w:eastAsia="標楷體" w:hAnsi="標楷體" w:cs="標楷體" w:hint="eastAsia"/>
          <w:b/>
          <w:kern w:val="52"/>
          <w:szCs w:val="32"/>
        </w:rPr>
        <w:t>1.　政府機關及民間企業已積極導入AI應用，惟人工智慧基本法草案尚未完成立法，</w:t>
      </w:r>
      <w:r w:rsidRPr="00B5098C">
        <w:rPr>
          <w:rFonts w:ascii="標楷體" w:eastAsia="標楷體" w:hAnsi="標楷體" w:cs="標楷體" w:hint="eastAsia"/>
          <w:b/>
          <w:kern w:val="52"/>
          <w:szCs w:val="32"/>
        </w:rPr>
        <w:lastRenderedPageBreak/>
        <w:t>影響AI應用衍生相關風險之監管，允宜加速推動立法作業，並督導各目的事業主管機關制定轄管事業應用AI相關規範，以降低AI應用風險：</w:t>
      </w:r>
      <w:r w:rsidRPr="00B5098C">
        <w:rPr>
          <w:rFonts w:ascii="標楷體" w:eastAsia="標楷體" w:hAnsi="標楷體" w:cs="標楷體" w:hint="eastAsia"/>
          <w:kern w:val="52"/>
          <w:szCs w:val="32"/>
        </w:rPr>
        <w:t>政府為提升服務及施政決策之品質，運用大數</w:t>
      </w:r>
      <w:r w:rsidR="00C63CD0" w:rsidRPr="00BD0D1E">
        <w:rPr>
          <w:rFonts w:ascii="標楷體" w:eastAsia="標楷體" w:hAnsi="標楷體"/>
          <w:noProof/>
          <w:color w:val="000000" w:themeColor="text1"/>
          <w:sz w:val="32"/>
          <w:szCs w:val="32"/>
        </w:rPr>
        <mc:AlternateContent>
          <mc:Choice Requires="wps">
            <w:drawing>
              <wp:anchor distT="45720" distB="45720" distL="114300" distR="114300" simplePos="0" relativeHeight="251667456" behindDoc="1" locked="0" layoutInCell="1" allowOverlap="1" wp14:anchorId="7739DDB7" wp14:editId="4B03381C">
                <wp:simplePos x="0" y="0"/>
                <wp:positionH relativeFrom="column">
                  <wp:posOffset>3559175</wp:posOffset>
                </wp:positionH>
                <wp:positionV relativeFrom="page">
                  <wp:posOffset>1699260</wp:posOffset>
                </wp:positionV>
                <wp:extent cx="2742565" cy="1976755"/>
                <wp:effectExtent l="0" t="0" r="0" b="4445"/>
                <wp:wrapSquare wrapText="bothSides"/>
                <wp:docPr id="20083270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2565" cy="1976755"/>
                        </a:xfrm>
                        <a:prstGeom prst="rect">
                          <a:avLst/>
                        </a:prstGeom>
                        <a:noFill/>
                        <a:ln w="9525">
                          <a:noFill/>
                          <a:miter lim="800000"/>
                          <a:headEnd/>
                          <a:tailEnd/>
                        </a:ln>
                      </wps:spPr>
                      <wps:txbx>
                        <w:txbxContent>
                          <w:p w14:paraId="4A46368C" w14:textId="77777777" w:rsidR="00B5098C" w:rsidRDefault="00B5098C" w:rsidP="00B5098C">
                            <w:pPr>
                              <w:spacing w:line="20" w:lineRule="exact"/>
                            </w:pPr>
                          </w:p>
                          <w:tbl>
                            <w:tblPr>
                              <w:tblW w:w="4111" w:type="dxa"/>
                              <w:tblLayout w:type="fixed"/>
                              <w:tblCellMar>
                                <w:left w:w="28" w:type="dxa"/>
                                <w:right w:w="28" w:type="dxa"/>
                              </w:tblCellMar>
                              <w:tblLook w:val="04A0" w:firstRow="1" w:lastRow="0" w:firstColumn="1" w:lastColumn="0" w:noHBand="0" w:noVBand="1"/>
                            </w:tblPr>
                            <w:tblGrid>
                              <w:gridCol w:w="709"/>
                              <w:gridCol w:w="1134"/>
                              <w:gridCol w:w="1134"/>
                              <w:gridCol w:w="1134"/>
                            </w:tblGrid>
                            <w:tr w:rsidR="00B5098C" w:rsidRPr="00B5098C" w14:paraId="7647CE12" w14:textId="77777777" w:rsidTr="000739C5">
                              <w:tc>
                                <w:tcPr>
                                  <w:tcW w:w="4111" w:type="dxa"/>
                                  <w:gridSpan w:val="4"/>
                                  <w:tcBorders>
                                    <w:top w:val="nil"/>
                                    <w:left w:val="nil"/>
                                    <w:bottom w:val="nil"/>
                                    <w:right w:val="nil"/>
                                  </w:tcBorders>
                                  <w:shd w:val="clear" w:color="auto" w:fill="auto"/>
                                  <w:vAlign w:val="bottom"/>
                                  <w:hideMark/>
                                </w:tcPr>
                                <w:p w14:paraId="02A76D75" w14:textId="21DD616A" w:rsidR="00B5098C" w:rsidRPr="00B5098C" w:rsidRDefault="00B5098C" w:rsidP="00B5098C">
                                  <w:pPr>
                                    <w:widowControl/>
                                    <w:spacing w:line="260" w:lineRule="exact"/>
                                    <w:ind w:leftChars="-8" w:left="702" w:hangingChars="300" w:hanging="721"/>
                                    <w:jc w:val="center"/>
                                    <w:rPr>
                                      <w:rFonts w:ascii="標楷體" w:eastAsia="標楷體" w:hAnsi="標楷體" w:cs="Tahoma"/>
                                      <w:b/>
                                      <w:color w:val="000000" w:themeColor="text1"/>
                                      <w:kern w:val="0"/>
                                    </w:rPr>
                                  </w:pPr>
                                  <w:r w:rsidRPr="00B5098C">
                                    <w:rPr>
                                      <w:rFonts w:ascii="標楷體" w:eastAsia="標楷體" w:hAnsi="標楷體" w:cs="Tahoma" w:hint="eastAsia"/>
                                      <w:b/>
                                      <w:color w:val="000000" w:themeColor="text1"/>
                                      <w:kern w:val="0"/>
                                    </w:rPr>
                                    <w:t>表</w:t>
                                  </w:r>
                                  <w:r w:rsidRPr="00B5098C">
                                    <w:rPr>
                                      <w:rFonts w:ascii="標楷體" w:eastAsia="標楷體" w:hAnsi="標楷體" w:cs="Tahoma"/>
                                      <w:b/>
                                      <w:color w:val="000000" w:themeColor="text1"/>
                                      <w:kern w:val="0"/>
                                    </w:rPr>
                                    <w:t>20</w:t>
                                  </w:r>
                                  <w:r w:rsidRPr="00B5098C">
                                    <w:rPr>
                                      <w:rFonts w:ascii="標楷體" w:eastAsia="標楷體" w:hAnsi="標楷體" w:cs="新細明體" w:hint="eastAsia"/>
                                      <w:b/>
                                      <w:bCs/>
                                      <w:color w:val="000000" w:themeColor="text1"/>
                                      <w:kern w:val="0"/>
                                      <w:szCs w:val="24"/>
                                    </w:rPr>
                                    <w:t xml:space="preserve">　</w:t>
                                  </w:r>
                                  <w:r w:rsidRPr="00B5098C">
                                    <w:rPr>
                                      <w:rFonts w:ascii="標楷體" w:eastAsia="標楷體" w:hAnsi="標楷體" w:cs="Tahoma" w:hint="eastAsia"/>
                                      <w:b/>
                                      <w:color w:val="000000" w:themeColor="text1"/>
                                      <w:kern w:val="0"/>
                                    </w:rPr>
                                    <w:t>行政院各部會運</w:t>
                                  </w:r>
                                  <w:r w:rsidRPr="00B5098C">
                                    <w:rPr>
                                      <w:rFonts w:ascii="標楷體" w:eastAsia="標楷體" w:hAnsi="標楷體" w:cs="Tahoma" w:hint="eastAsia"/>
                                      <w:b/>
                                      <w:color w:val="000000" w:themeColor="text1"/>
                                      <w:spacing w:val="-10"/>
                                      <w:kern w:val="0"/>
                                    </w:rPr>
                                    <w:t>用AI或</w:t>
                                  </w:r>
                                  <w:r w:rsidRPr="00B5098C">
                                    <w:rPr>
                                      <w:rFonts w:ascii="標楷體" w:eastAsia="標楷體" w:hAnsi="標楷體" w:cs="Tahoma" w:hint="eastAsia"/>
                                      <w:b/>
                                      <w:color w:val="000000" w:themeColor="text1"/>
                                      <w:kern w:val="0"/>
                                    </w:rPr>
                                    <w:t>大數據</w:t>
                                  </w:r>
                                </w:p>
                                <w:p w14:paraId="6C1ED7C0" w14:textId="77777777" w:rsidR="00B5098C" w:rsidRPr="00B5098C" w:rsidRDefault="00B5098C" w:rsidP="00B5098C">
                                  <w:pPr>
                                    <w:widowControl/>
                                    <w:spacing w:line="260" w:lineRule="exact"/>
                                    <w:ind w:leftChars="274" w:left="658" w:firstLineChars="74" w:firstLine="178"/>
                                    <w:rPr>
                                      <w:rFonts w:ascii="標楷體" w:eastAsia="標楷體" w:hAnsi="標楷體" w:cs="Tahoma"/>
                                      <w:b/>
                                      <w:color w:val="000000" w:themeColor="text1"/>
                                      <w:kern w:val="0"/>
                                      <w:sz w:val="20"/>
                                    </w:rPr>
                                  </w:pPr>
                                  <w:r w:rsidRPr="00B5098C">
                                    <w:rPr>
                                      <w:rFonts w:ascii="標楷體" w:eastAsia="標楷體" w:hAnsi="標楷體" w:cs="Tahoma" w:hint="eastAsia"/>
                                      <w:b/>
                                      <w:color w:val="000000" w:themeColor="text1"/>
                                      <w:kern w:val="0"/>
                                    </w:rPr>
                                    <w:t>之政策措施</w:t>
                                  </w:r>
                                </w:p>
                              </w:tc>
                            </w:tr>
                            <w:tr w:rsidR="00B5098C" w:rsidRPr="00B5098C" w14:paraId="55868C60" w14:textId="77777777" w:rsidTr="000739C5">
                              <w:tc>
                                <w:tcPr>
                                  <w:tcW w:w="4111" w:type="dxa"/>
                                  <w:gridSpan w:val="4"/>
                                  <w:tcBorders>
                                    <w:top w:val="nil"/>
                                    <w:left w:val="nil"/>
                                    <w:bottom w:val="single" w:sz="4" w:space="0" w:color="auto"/>
                                    <w:right w:val="nil"/>
                                  </w:tcBorders>
                                  <w:shd w:val="clear" w:color="auto" w:fill="auto"/>
                                  <w:vAlign w:val="bottom"/>
                                  <w:hideMark/>
                                </w:tcPr>
                                <w:p w14:paraId="3BB979E8" w14:textId="77777777" w:rsidR="00B5098C" w:rsidRPr="00B5098C" w:rsidRDefault="00B5098C" w:rsidP="000739C5">
                                  <w:pPr>
                                    <w:widowControl/>
                                    <w:wordWrap w:val="0"/>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單位：項</w:t>
                                  </w:r>
                                </w:p>
                              </w:tc>
                            </w:tr>
                            <w:tr w:rsidR="00B5098C" w:rsidRPr="00B5098C" w14:paraId="492126DE"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42993" w14:textId="77777777" w:rsidR="00B5098C" w:rsidRPr="00B5098C" w:rsidRDefault="00B5098C" w:rsidP="00693D1C">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7BB90D" w14:textId="77777777" w:rsidR="00B5098C" w:rsidRPr="00B5098C" w:rsidRDefault="00B5098C" w:rsidP="00693D1C">
                                  <w:pPr>
                                    <w:widowControl/>
                                    <w:jc w:val="center"/>
                                    <w:rPr>
                                      <w:rFonts w:ascii="標楷體" w:eastAsia="標楷體" w:hAnsi="標楷體" w:cs="Tahoma"/>
                                      <w:bCs/>
                                      <w:color w:val="000000" w:themeColor="text1"/>
                                      <w:kern w:val="0"/>
                                      <w:sz w:val="20"/>
                                    </w:rPr>
                                  </w:pPr>
                                  <w:r w:rsidRPr="00B5098C">
                                    <w:rPr>
                                      <w:rFonts w:ascii="標楷體" w:eastAsia="標楷體" w:hAnsi="標楷體" w:cs="Tahoma" w:hint="eastAsia"/>
                                      <w:bCs/>
                                      <w:color w:val="000000" w:themeColor="text1"/>
                                      <w:kern w:val="0"/>
                                      <w:sz w:val="20"/>
                                    </w:rPr>
                                    <w:t>合計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720F5" w14:textId="77777777" w:rsidR="00B5098C" w:rsidRPr="00B5098C" w:rsidRDefault="00B5098C" w:rsidP="00693D1C">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A</w:t>
                                  </w:r>
                                  <w:r w:rsidRPr="00B5098C">
                                    <w:rPr>
                                      <w:rFonts w:ascii="標楷體" w:eastAsia="標楷體" w:hAnsi="標楷體" w:cs="Tahoma"/>
                                      <w:color w:val="000000" w:themeColor="text1"/>
                                      <w:kern w:val="0"/>
                                      <w:sz w:val="20"/>
                                    </w:rPr>
                                    <w:t>I</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382CF3" w14:textId="77777777" w:rsidR="00B5098C" w:rsidRPr="00B5098C" w:rsidRDefault="00B5098C" w:rsidP="00693D1C">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大數據</w:t>
                                  </w:r>
                                </w:p>
                              </w:tc>
                            </w:tr>
                            <w:tr w:rsidR="00B5098C" w:rsidRPr="00B5098C" w14:paraId="6000454E"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CDC28"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EF6A547"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2</w:t>
                                  </w:r>
                                  <w:r w:rsidRPr="00B5098C">
                                    <w:rPr>
                                      <w:rFonts w:ascii="標楷體" w:eastAsia="標楷體" w:hAnsi="標楷體" w:cs="Tahoma"/>
                                      <w:b/>
                                      <w:bCs/>
                                      <w:color w:val="000000" w:themeColor="text1"/>
                                      <w:kern w:val="0"/>
                                      <w:sz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72F57DB"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E4A35D6"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w:t>
                                  </w:r>
                                </w:p>
                              </w:tc>
                            </w:tr>
                            <w:tr w:rsidR="00B5098C" w:rsidRPr="00B5098C" w14:paraId="545AE612"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FB721"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9D10EC8"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2</w:t>
                                  </w:r>
                                  <w:r w:rsidRPr="00B5098C">
                                    <w:rPr>
                                      <w:rFonts w:ascii="標楷體" w:eastAsia="標楷體" w:hAnsi="標楷體" w:cs="Tahoma"/>
                                      <w:b/>
                                      <w:bCs/>
                                      <w:color w:val="000000" w:themeColor="text1"/>
                                      <w:kern w:val="0"/>
                                      <w:sz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430E56C"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DE471C"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w:t>
                                  </w:r>
                                </w:p>
                              </w:tc>
                            </w:tr>
                            <w:tr w:rsidR="00B5098C" w:rsidRPr="00B5098C" w14:paraId="6AAFBEF9"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925C5"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12</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16AB941"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4</w:t>
                                  </w:r>
                                  <w:r w:rsidRPr="00B5098C">
                                    <w:rPr>
                                      <w:rFonts w:ascii="標楷體" w:eastAsia="標楷體" w:hAnsi="標楷體" w:cs="Tahoma"/>
                                      <w:b/>
                                      <w:bCs/>
                                      <w:color w:val="000000" w:themeColor="text1"/>
                                      <w:kern w:val="0"/>
                                      <w:sz w:val="20"/>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651BF6A"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2</w:t>
                                  </w:r>
                                  <w:r w:rsidRPr="00B5098C">
                                    <w:rPr>
                                      <w:rFonts w:ascii="標楷體" w:eastAsia="標楷體" w:hAnsi="標楷體" w:cs="Tahoma"/>
                                      <w:color w:val="000000" w:themeColor="text1"/>
                                      <w:kern w:val="0"/>
                                      <w:sz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9292650"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7</w:t>
                                  </w:r>
                                </w:p>
                              </w:tc>
                            </w:tr>
                            <w:tr w:rsidR="00B5098C" w:rsidRPr="00B5098C" w14:paraId="201A8492"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5695"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98C8332"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4</w:t>
                                  </w:r>
                                  <w:r w:rsidRPr="00B5098C">
                                    <w:rPr>
                                      <w:rFonts w:ascii="標楷體" w:eastAsia="標楷體" w:hAnsi="標楷體" w:cs="Tahoma"/>
                                      <w:b/>
                                      <w:bCs/>
                                      <w:color w:val="000000" w:themeColor="text1"/>
                                      <w:kern w:val="0"/>
                                      <w:sz w:val="20"/>
                                    </w:rPr>
                                    <w:t>3</w:t>
                                  </w: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tcPr>
                                <w:p w14:paraId="5E91F2BF"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4</w:t>
                                  </w:r>
                                  <w:r w:rsidRPr="00B5098C">
                                    <w:rPr>
                                      <w:rFonts w:ascii="標楷體" w:eastAsia="標楷體" w:hAnsi="標楷體" w:cs="Tahoma"/>
                                      <w:color w:val="000000" w:themeColor="text1"/>
                                      <w:kern w:val="0"/>
                                      <w:sz w:val="20"/>
                                    </w:rPr>
                                    <w:t>3</w:t>
                                  </w:r>
                                </w:p>
                              </w:tc>
                            </w:tr>
                            <w:tr w:rsidR="00B5098C" w:rsidRPr="00B5098C" w14:paraId="50ABE5F7" w14:textId="77777777" w:rsidTr="000739C5">
                              <w:tc>
                                <w:tcPr>
                                  <w:tcW w:w="4111" w:type="dxa"/>
                                  <w:gridSpan w:val="4"/>
                                  <w:tcBorders>
                                    <w:top w:val="single" w:sz="4" w:space="0" w:color="auto"/>
                                  </w:tcBorders>
                                  <w:shd w:val="clear" w:color="auto" w:fill="auto"/>
                                  <w:vAlign w:val="bottom"/>
                                  <w:hideMark/>
                                </w:tcPr>
                                <w:p w14:paraId="345CA031" w14:textId="77777777" w:rsidR="00B5098C" w:rsidRPr="00B5098C" w:rsidRDefault="00B5098C" w:rsidP="001B0A96">
                                  <w:pPr>
                                    <w:widowControl/>
                                    <w:spacing w:line="200" w:lineRule="exact"/>
                                    <w:ind w:left="540" w:hangingChars="300" w:hanging="540"/>
                                    <w:jc w:val="both"/>
                                    <w:rPr>
                                      <w:rFonts w:ascii="標楷體" w:eastAsia="標楷體" w:hAnsi="標楷體" w:cs="Tahoma"/>
                                      <w:color w:val="000000" w:themeColor="text1"/>
                                      <w:kern w:val="0"/>
                                      <w:sz w:val="18"/>
                                    </w:rPr>
                                  </w:pPr>
                                  <w:proofErr w:type="gramStart"/>
                                  <w:r w:rsidRPr="00B5098C">
                                    <w:rPr>
                                      <w:rFonts w:ascii="標楷體" w:eastAsia="標楷體" w:hAnsi="標楷體" w:cs="Tahoma" w:hint="eastAsia"/>
                                      <w:color w:val="000000" w:themeColor="text1"/>
                                      <w:kern w:val="0"/>
                                      <w:sz w:val="18"/>
                                    </w:rPr>
                                    <w:t>註</w:t>
                                  </w:r>
                                  <w:proofErr w:type="gramEnd"/>
                                  <w:r w:rsidRPr="00B5098C">
                                    <w:rPr>
                                      <w:rFonts w:ascii="標楷體" w:eastAsia="標楷體" w:hAnsi="標楷體" w:cs="Tahoma" w:hint="eastAsia"/>
                                      <w:color w:val="000000" w:themeColor="text1"/>
                                      <w:kern w:val="0"/>
                                      <w:sz w:val="18"/>
                                    </w:rPr>
                                    <w:t>：1</w:t>
                                  </w:r>
                                  <w:r w:rsidRPr="00B5098C">
                                    <w:rPr>
                                      <w:rFonts w:ascii="標楷體" w:eastAsia="標楷體" w:hAnsi="標楷體" w:cs="Tahoma"/>
                                      <w:color w:val="000000" w:themeColor="text1"/>
                                      <w:kern w:val="0"/>
                                      <w:sz w:val="18"/>
                                    </w:rPr>
                                    <w:t>.110</w:t>
                                  </w:r>
                                  <w:r w:rsidRPr="00B5098C">
                                    <w:rPr>
                                      <w:rFonts w:ascii="標楷體" w:eastAsia="標楷體" w:hAnsi="標楷體" w:cs="Tahoma" w:hint="eastAsia"/>
                                      <w:color w:val="000000" w:themeColor="text1"/>
                                      <w:kern w:val="0"/>
                                      <w:sz w:val="18"/>
                                    </w:rPr>
                                    <w:t>至</w:t>
                                  </w:r>
                                  <w:proofErr w:type="gramStart"/>
                                  <w:r w:rsidRPr="00B5098C">
                                    <w:rPr>
                                      <w:rFonts w:ascii="標楷體" w:eastAsia="標楷體" w:hAnsi="標楷體" w:cs="Tahoma" w:hint="eastAsia"/>
                                      <w:color w:val="000000" w:themeColor="text1"/>
                                      <w:kern w:val="0"/>
                                      <w:sz w:val="18"/>
                                    </w:rPr>
                                    <w:t>1</w:t>
                                  </w:r>
                                  <w:r w:rsidRPr="00B5098C">
                                    <w:rPr>
                                      <w:rFonts w:ascii="標楷體" w:eastAsia="標楷體" w:hAnsi="標楷體" w:cs="Tahoma"/>
                                      <w:color w:val="000000" w:themeColor="text1"/>
                                      <w:kern w:val="0"/>
                                      <w:sz w:val="18"/>
                                    </w:rPr>
                                    <w:t>12</w:t>
                                  </w:r>
                                  <w:proofErr w:type="gramEnd"/>
                                  <w:r w:rsidRPr="00B5098C">
                                    <w:rPr>
                                      <w:rFonts w:ascii="標楷體" w:eastAsia="標楷體" w:hAnsi="標楷體" w:cs="Tahoma" w:hint="eastAsia"/>
                                      <w:color w:val="000000" w:themeColor="text1"/>
                                      <w:kern w:val="0"/>
                                      <w:sz w:val="18"/>
                                    </w:rPr>
                                    <w:t>年度應用A</w:t>
                                  </w:r>
                                  <w:r w:rsidRPr="00B5098C">
                                    <w:rPr>
                                      <w:rFonts w:ascii="標楷體" w:eastAsia="標楷體" w:hAnsi="標楷體" w:cs="Tahoma"/>
                                      <w:color w:val="000000" w:themeColor="text1"/>
                                      <w:kern w:val="0"/>
                                      <w:sz w:val="18"/>
                                    </w:rPr>
                                    <w:t>I</w:t>
                                  </w:r>
                                  <w:r w:rsidRPr="00B5098C">
                                    <w:rPr>
                                      <w:rFonts w:ascii="標楷體" w:eastAsia="標楷體" w:hAnsi="標楷體" w:cs="Tahoma" w:hint="eastAsia"/>
                                      <w:color w:val="000000" w:themeColor="text1"/>
                                      <w:kern w:val="0"/>
                                      <w:sz w:val="18"/>
                                    </w:rPr>
                                    <w:t>之政策措施認定係以各部會填列調查表彙整。</w:t>
                                  </w:r>
                                </w:p>
                                <w:p w14:paraId="607A58C2" w14:textId="77777777" w:rsidR="00B5098C" w:rsidRPr="00B5098C" w:rsidRDefault="00B5098C" w:rsidP="001B0A96">
                                  <w:pPr>
                                    <w:widowControl/>
                                    <w:spacing w:line="200" w:lineRule="exact"/>
                                    <w:ind w:leftChars="150" w:left="540" w:hangingChars="100" w:hanging="180"/>
                                    <w:jc w:val="both"/>
                                    <w:rPr>
                                      <w:rFonts w:ascii="標楷體" w:eastAsia="標楷體" w:hAnsi="標楷體" w:cs="Tahoma"/>
                                      <w:color w:val="000000" w:themeColor="text1"/>
                                      <w:kern w:val="0"/>
                                      <w:sz w:val="18"/>
                                    </w:rPr>
                                  </w:pPr>
                                  <w:r w:rsidRPr="00B5098C">
                                    <w:rPr>
                                      <w:rFonts w:ascii="標楷體" w:eastAsia="標楷體" w:hAnsi="標楷體" w:cs="Tahoma" w:hint="eastAsia"/>
                                      <w:color w:val="000000" w:themeColor="text1"/>
                                      <w:kern w:val="0"/>
                                      <w:sz w:val="18"/>
                                    </w:rPr>
                                    <w:t>2.資料來源：整理自行政院智慧國家方案</w:t>
                                  </w:r>
                                  <w:r w:rsidRPr="00B5098C">
                                    <w:rPr>
                                      <w:rFonts w:ascii="標楷體" w:eastAsia="標楷體" w:hAnsi="標楷體" w:cs="Tahoma"/>
                                      <w:color w:val="000000" w:themeColor="text1"/>
                                      <w:kern w:val="0"/>
                                      <w:sz w:val="18"/>
                                    </w:rPr>
                                    <w:t>110</w:t>
                                  </w:r>
                                  <w:r w:rsidRPr="00B5098C">
                                    <w:rPr>
                                      <w:rFonts w:ascii="標楷體" w:eastAsia="標楷體" w:hAnsi="標楷體" w:cs="Tahoma" w:hint="eastAsia"/>
                                      <w:color w:val="000000" w:themeColor="text1"/>
                                      <w:kern w:val="0"/>
                                      <w:sz w:val="18"/>
                                    </w:rPr>
                                    <w:t>至</w:t>
                                  </w:r>
                                  <w:r w:rsidRPr="00B5098C">
                                    <w:rPr>
                                      <w:rFonts w:ascii="標楷體" w:eastAsia="標楷體" w:hAnsi="標楷體" w:cs="Tahoma"/>
                                      <w:color w:val="000000" w:themeColor="text1"/>
                                      <w:kern w:val="0"/>
                                      <w:sz w:val="18"/>
                                    </w:rPr>
                                    <w:t>113</w:t>
                                  </w:r>
                                  <w:r w:rsidRPr="00B5098C">
                                    <w:rPr>
                                      <w:rFonts w:ascii="標楷體" w:eastAsia="標楷體" w:hAnsi="標楷體" w:cs="Tahoma" w:hint="eastAsia"/>
                                      <w:color w:val="000000" w:themeColor="text1"/>
                                      <w:kern w:val="0"/>
                                      <w:sz w:val="18"/>
                                    </w:rPr>
                                    <w:t>年階段性成果報告。</w:t>
                                  </w:r>
                                </w:p>
                              </w:tc>
                            </w:tr>
                          </w:tbl>
                          <w:p w14:paraId="6DA20640" w14:textId="77777777" w:rsidR="00B5098C" w:rsidRPr="00474EF9" w:rsidRDefault="00B5098C" w:rsidP="00B509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39DDB7" id="_x0000_s1070" type="#_x0000_t202" style="position:absolute;left:0;text-align:left;margin-left:280.25pt;margin-top:133.8pt;width:215.95pt;height:155.6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" filled="f" stroked="f">
                <v:textbox>
                  <w:txbxContent>
                    <w:p w14:paraId="4A46368C" w14:textId="77777777" w:rsidR="00B5098C" w:rsidRDefault="00B5098C" w:rsidP="00B5098C">
                      <w:pPr>
                        <w:spacing w:line="20" w:lineRule="exact"/>
                      </w:pPr>
                    </w:p>
                    <w:tbl>
                      <w:tblPr>
                        <w:tblW w:w="4111" w:type="dxa"/>
                        <w:tblLayout w:type="fixed"/>
                        <w:tblCellMar>
                          <w:left w:w="28" w:type="dxa"/>
                          <w:right w:w="28" w:type="dxa"/>
                        </w:tblCellMar>
                        <w:tblLook w:val="04A0" w:firstRow="1" w:lastRow="0" w:firstColumn="1" w:lastColumn="0" w:noHBand="0" w:noVBand="1"/>
                      </w:tblPr>
                      <w:tblGrid>
                        <w:gridCol w:w="709"/>
                        <w:gridCol w:w="1134"/>
                        <w:gridCol w:w="1134"/>
                        <w:gridCol w:w="1134"/>
                      </w:tblGrid>
                      <w:tr w:rsidR="00B5098C" w:rsidRPr="00B5098C" w14:paraId="7647CE12" w14:textId="77777777" w:rsidTr="000739C5">
                        <w:tc>
                          <w:tcPr>
                            <w:tcW w:w="4111" w:type="dxa"/>
                            <w:gridSpan w:val="4"/>
                            <w:tcBorders>
                              <w:top w:val="nil"/>
                              <w:left w:val="nil"/>
                              <w:bottom w:val="nil"/>
                              <w:right w:val="nil"/>
                            </w:tcBorders>
                            <w:shd w:val="clear" w:color="auto" w:fill="auto"/>
                            <w:vAlign w:val="bottom"/>
                            <w:hideMark/>
                          </w:tcPr>
                          <w:p w14:paraId="02A76D75" w14:textId="21DD616A" w:rsidR="00B5098C" w:rsidRPr="00B5098C" w:rsidRDefault="00B5098C" w:rsidP="00B5098C">
                            <w:pPr>
                              <w:widowControl/>
                              <w:spacing w:line="260" w:lineRule="exact"/>
                              <w:ind w:leftChars="-8" w:left="702" w:hangingChars="300" w:hanging="721"/>
                              <w:jc w:val="center"/>
                              <w:rPr>
                                <w:rFonts w:ascii="標楷體" w:eastAsia="標楷體" w:hAnsi="標楷體" w:cs="Tahoma"/>
                                <w:b/>
                                <w:color w:val="000000" w:themeColor="text1"/>
                                <w:kern w:val="0"/>
                              </w:rPr>
                            </w:pPr>
                            <w:r w:rsidRPr="00B5098C">
                              <w:rPr>
                                <w:rFonts w:ascii="標楷體" w:eastAsia="標楷體" w:hAnsi="標楷體" w:cs="Tahoma" w:hint="eastAsia"/>
                                <w:b/>
                                <w:color w:val="000000" w:themeColor="text1"/>
                                <w:kern w:val="0"/>
                              </w:rPr>
                              <w:t>表</w:t>
                            </w:r>
                            <w:r w:rsidRPr="00B5098C">
                              <w:rPr>
                                <w:rFonts w:ascii="標楷體" w:eastAsia="標楷體" w:hAnsi="標楷體" w:cs="Tahoma"/>
                                <w:b/>
                                <w:color w:val="000000" w:themeColor="text1"/>
                                <w:kern w:val="0"/>
                              </w:rPr>
                              <w:t>20</w:t>
                            </w:r>
                            <w:r w:rsidRPr="00B5098C">
                              <w:rPr>
                                <w:rFonts w:ascii="標楷體" w:eastAsia="標楷體" w:hAnsi="標楷體" w:cs="新細明體" w:hint="eastAsia"/>
                                <w:b/>
                                <w:bCs/>
                                <w:color w:val="000000" w:themeColor="text1"/>
                                <w:kern w:val="0"/>
                                <w:szCs w:val="24"/>
                              </w:rPr>
                              <w:t xml:space="preserve">　</w:t>
                            </w:r>
                            <w:r w:rsidRPr="00B5098C">
                              <w:rPr>
                                <w:rFonts w:ascii="標楷體" w:eastAsia="標楷體" w:hAnsi="標楷體" w:cs="Tahoma" w:hint="eastAsia"/>
                                <w:b/>
                                <w:color w:val="000000" w:themeColor="text1"/>
                                <w:kern w:val="0"/>
                              </w:rPr>
                              <w:t>行政院各部會運</w:t>
                            </w:r>
                            <w:r w:rsidRPr="00B5098C">
                              <w:rPr>
                                <w:rFonts w:ascii="標楷體" w:eastAsia="標楷體" w:hAnsi="標楷體" w:cs="Tahoma" w:hint="eastAsia"/>
                                <w:b/>
                                <w:color w:val="000000" w:themeColor="text1"/>
                                <w:spacing w:val="-10"/>
                                <w:kern w:val="0"/>
                              </w:rPr>
                              <w:t>用AI或</w:t>
                            </w:r>
                            <w:r w:rsidRPr="00B5098C">
                              <w:rPr>
                                <w:rFonts w:ascii="標楷體" w:eastAsia="標楷體" w:hAnsi="標楷體" w:cs="Tahoma" w:hint="eastAsia"/>
                                <w:b/>
                                <w:color w:val="000000" w:themeColor="text1"/>
                                <w:kern w:val="0"/>
                              </w:rPr>
                              <w:t>大數據</w:t>
                            </w:r>
                          </w:p>
                          <w:p w14:paraId="6C1ED7C0" w14:textId="77777777" w:rsidR="00B5098C" w:rsidRPr="00B5098C" w:rsidRDefault="00B5098C" w:rsidP="00B5098C">
                            <w:pPr>
                              <w:widowControl/>
                              <w:spacing w:line="260" w:lineRule="exact"/>
                              <w:ind w:leftChars="274" w:left="658" w:firstLineChars="74" w:firstLine="178"/>
                              <w:rPr>
                                <w:rFonts w:ascii="標楷體" w:eastAsia="標楷體" w:hAnsi="標楷體" w:cs="Tahoma"/>
                                <w:b/>
                                <w:color w:val="000000" w:themeColor="text1"/>
                                <w:kern w:val="0"/>
                                <w:sz w:val="20"/>
                              </w:rPr>
                            </w:pPr>
                            <w:r w:rsidRPr="00B5098C">
                              <w:rPr>
                                <w:rFonts w:ascii="標楷體" w:eastAsia="標楷體" w:hAnsi="標楷體" w:cs="Tahoma" w:hint="eastAsia"/>
                                <w:b/>
                                <w:color w:val="000000" w:themeColor="text1"/>
                                <w:kern w:val="0"/>
                              </w:rPr>
                              <w:t>之政策措施</w:t>
                            </w:r>
                          </w:p>
                        </w:tc>
                      </w:tr>
                      <w:tr w:rsidR="00B5098C" w:rsidRPr="00B5098C" w14:paraId="55868C60" w14:textId="77777777" w:rsidTr="000739C5">
                        <w:tc>
                          <w:tcPr>
                            <w:tcW w:w="4111" w:type="dxa"/>
                            <w:gridSpan w:val="4"/>
                            <w:tcBorders>
                              <w:top w:val="nil"/>
                              <w:left w:val="nil"/>
                              <w:bottom w:val="single" w:sz="4" w:space="0" w:color="auto"/>
                              <w:right w:val="nil"/>
                            </w:tcBorders>
                            <w:shd w:val="clear" w:color="auto" w:fill="auto"/>
                            <w:vAlign w:val="bottom"/>
                            <w:hideMark/>
                          </w:tcPr>
                          <w:p w14:paraId="3BB979E8" w14:textId="77777777" w:rsidR="00B5098C" w:rsidRPr="00B5098C" w:rsidRDefault="00B5098C" w:rsidP="000739C5">
                            <w:pPr>
                              <w:widowControl/>
                              <w:wordWrap w:val="0"/>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單位：項</w:t>
                            </w:r>
                          </w:p>
                        </w:tc>
                      </w:tr>
                      <w:tr w:rsidR="00B5098C" w:rsidRPr="00B5098C" w14:paraId="492126DE"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42993" w14:textId="77777777" w:rsidR="00B5098C" w:rsidRPr="00B5098C" w:rsidRDefault="00B5098C" w:rsidP="00693D1C">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7BB90D" w14:textId="77777777" w:rsidR="00B5098C" w:rsidRPr="00B5098C" w:rsidRDefault="00B5098C" w:rsidP="00693D1C">
                            <w:pPr>
                              <w:widowControl/>
                              <w:jc w:val="center"/>
                              <w:rPr>
                                <w:rFonts w:ascii="標楷體" w:eastAsia="標楷體" w:hAnsi="標楷體" w:cs="Tahoma"/>
                                <w:bCs/>
                                <w:color w:val="000000" w:themeColor="text1"/>
                                <w:kern w:val="0"/>
                                <w:sz w:val="20"/>
                              </w:rPr>
                            </w:pPr>
                            <w:r w:rsidRPr="00B5098C">
                              <w:rPr>
                                <w:rFonts w:ascii="標楷體" w:eastAsia="標楷體" w:hAnsi="標楷體" w:cs="Tahoma" w:hint="eastAsia"/>
                                <w:bCs/>
                                <w:color w:val="000000" w:themeColor="text1"/>
                                <w:kern w:val="0"/>
                                <w:sz w:val="20"/>
                              </w:rPr>
                              <w:t>合計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720F5" w14:textId="77777777" w:rsidR="00B5098C" w:rsidRPr="00B5098C" w:rsidRDefault="00B5098C" w:rsidP="00693D1C">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A</w:t>
                            </w:r>
                            <w:r w:rsidRPr="00B5098C">
                              <w:rPr>
                                <w:rFonts w:ascii="標楷體" w:eastAsia="標楷體" w:hAnsi="標楷體" w:cs="Tahoma"/>
                                <w:color w:val="000000" w:themeColor="text1"/>
                                <w:kern w:val="0"/>
                                <w:sz w:val="20"/>
                              </w:rPr>
                              <w:t>I</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382CF3" w14:textId="77777777" w:rsidR="00B5098C" w:rsidRPr="00B5098C" w:rsidRDefault="00B5098C" w:rsidP="00693D1C">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大數據</w:t>
                            </w:r>
                          </w:p>
                        </w:tc>
                      </w:tr>
                      <w:tr w:rsidR="00B5098C" w:rsidRPr="00B5098C" w14:paraId="6000454E"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CDC28"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EF6A547"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2</w:t>
                            </w:r>
                            <w:r w:rsidRPr="00B5098C">
                              <w:rPr>
                                <w:rFonts w:ascii="標楷體" w:eastAsia="標楷體" w:hAnsi="標楷體" w:cs="Tahoma"/>
                                <w:b/>
                                <w:bCs/>
                                <w:color w:val="000000" w:themeColor="text1"/>
                                <w:kern w:val="0"/>
                                <w:sz w:val="20"/>
                              </w:rPr>
                              <w:t>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72F57DB"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E4A35D6"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w:t>
                            </w:r>
                          </w:p>
                        </w:tc>
                      </w:tr>
                      <w:tr w:rsidR="00B5098C" w:rsidRPr="00B5098C" w14:paraId="545AE612"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FB721"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9D10EC8"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2</w:t>
                            </w:r>
                            <w:r w:rsidRPr="00B5098C">
                              <w:rPr>
                                <w:rFonts w:ascii="標楷體" w:eastAsia="標楷體" w:hAnsi="標楷體" w:cs="Tahoma"/>
                                <w:b/>
                                <w:bCs/>
                                <w:color w:val="000000" w:themeColor="text1"/>
                                <w:kern w:val="0"/>
                                <w:sz w:val="20"/>
                              </w:rPr>
                              <w:t>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430E56C"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DE471C"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w:t>
                            </w:r>
                          </w:p>
                        </w:tc>
                      </w:tr>
                      <w:tr w:rsidR="00B5098C" w:rsidRPr="00B5098C" w14:paraId="6AAFBEF9"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925C5"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12</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16AB941"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4</w:t>
                            </w:r>
                            <w:r w:rsidRPr="00B5098C">
                              <w:rPr>
                                <w:rFonts w:ascii="標楷體" w:eastAsia="標楷體" w:hAnsi="標楷體" w:cs="Tahoma"/>
                                <w:b/>
                                <w:bCs/>
                                <w:color w:val="000000" w:themeColor="text1"/>
                                <w:kern w:val="0"/>
                                <w:sz w:val="20"/>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651BF6A"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2</w:t>
                            </w:r>
                            <w:r w:rsidRPr="00B5098C">
                              <w:rPr>
                                <w:rFonts w:ascii="標楷體" w:eastAsia="標楷體" w:hAnsi="標楷體" w:cs="Tahoma"/>
                                <w:color w:val="000000" w:themeColor="text1"/>
                                <w:kern w:val="0"/>
                                <w:sz w:val="20"/>
                              </w:rPr>
                              <w:t>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9292650"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7</w:t>
                            </w:r>
                          </w:p>
                        </w:tc>
                      </w:tr>
                      <w:tr w:rsidR="00B5098C" w:rsidRPr="00B5098C" w14:paraId="201A8492" w14:textId="77777777" w:rsidTr="00160D8D">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5695" w14:textId="77777777" w:rsidR="00B5098C" w:rsidRPr="00B5098C" w:rsidRDefault="00B5098C" w:rsidP="000739C5">
                            <w:pPr>
                              <w:widowControl/>
                              <w:jc w:val="center"/>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1</w:t>
                            </w:r>
                            <w:r w:rsidRPr="00B5098C">
                              <w:rPr>
                                <w:rFonts w:ascii="標楷體" w:eastAsia="標楷體" w:hAnsi="標楷體" w:cs="Tahoma"/>
                                <w:color w:val="000000" w:themeColor="text1"/>
                                <w:kern w:val="0"/>
                                <w:sz w:val="20"/>
                              </w:rPr>
                              <w:t>13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98C8332" w14:textId="77777777" w:rsidR="00B5098C" w:rsidRPr="00B5098C" w:rsidRDefault="00B5098C" w:rsidP="000739C5">
                            <w:pPr>
                              <w:widowControl/>
                              <w:overflowPunct w:val="0"/>
                              <w:jc w:val="right"/>
                              <w:rPr>
                                <w:rFonts w:ascii="標楷體" w:eastAsia="標楷體" w:hAnsi="標楷體" w:cs="Tahoma"/>
                                <w:b/>
                                <w:bCs/>
                                <w:color w:val="000000" w:themeColor="text1"/>
                                <w:kern w:val="0"/>
                                <w:sz w:val="20"/>
                              </w:rPr>
                            </w:pPr>
                            <w:r w:rsidRPr="00B5098C">
                              <w:rPr>
                                <w:rFonts w:ascii="標楷體" w:eastAsia="標楷體" w:hAnsi="標楷體" w:cs="Tahoma" w:hint="eastAsia"/>
                                <w:b/>
                                <w:bCs/>
                                <w:color w:val="000000" w:themeColor="text1"/>
                                <w:kern w:val="0"/>
                                <w:sz w:val="20"/>
                              </w:rPr>
                              <w:t>4</w:t>
                            </w:r>
                            <w:r w:rsidRPr="00B5098C">
                              <w:rPr>
                                <w:rFonts w:ascii="標楷體" w:eastAsia="標楷體" w:hAnsi="標楷體" w:cs="Tahoma"/>
                                <w:b/>
                                <w:bCs/>
                                <w:color w:val="000000" w:themeColor="text1"/>
                                <w:kern w:val="0"/>
                                <w:sz w:val="20"/>
                              </w:rPr>
                              <w:t>3</w:t>
                            </w: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tcPr>
                          <w:p w14:paraId="5E91F2BF" w14:textId="77777777" w:rsidR="00B5098C" w:rsidRPr="00B5098C" w:rsidRDefault="00B5098C" w:rsidP="000739C5">
                            <w:pPr>
                              <w:widowControl/>
                              <w:jc w:val="right"/>
                              <w:rPr>
                                <w:rFonts w:ascii="標楷體" w:eastAsia="標楷體" w:hAnsi="標楷體" w:cs="Tahoma"/>
                                <w:color w:val="000000" w:themeColor="text1"/>
                                <w:kern w:val="0"/>
                                <w:sz w:val="20"/>
                              </w:rPr>
                            </w:pPr>
                            <w:r w:rsidRPr="00B5098C">
                              <w:rPr>
                                <w:rFonts w:ascii="標楷體" w:eastAsia="標楷體" w:hAnsi="標楷體" w:cs="Tahoma" w:hint="eastAsia"/>
                                <w:color w:val="000000" w:themeColor="text1"/>
                                <w:kern w:val="0"/>
                                <w:sz w:val="20"/>
                              </w:rPr>
                              <w:t>4</w:t>
                            </w:r>
                            <w:r w:rsidRPr="00B5098C">
                              <w:rPr>
                                <w:rFonts w:ascii="標楷體" w:eastAsia="標楷體" w:hAnsi="標楷體" w:cs="Tahoma"/>
                                <w:color w:val="000000" w:themeColor="text1"/>
                                <w:kern w:val="0"/>
                                <w:sz w:val="20"/>
                              </w:rPr>
                              <w:t>3</w:t>
                            </w:r>
                          </w:p>
                        </w:tc>
                      </w:tr>
                      <w:tr w:rsidR="00B5098C" w:rsidRPr="00B5098C" w14:paraId="50ABE5F7" w14:textId="77777777" w:rsidTr="000739C5">
                        <w:tc>
                          <w:tcPr>
                            <w:tcW w:w="4111" w:type="dxa"/>
                            <w:gridSpan w:val="4"/>
                            <w:tcBorders>
                              <w:top w:val="single" w:sz="4" w:space="0" w:color="auto"/>
                            </w:tcBorders>
                            <w:shd w:val="clear" w:color="auto" w:fill="auto"/>
                            <w:vAlign w:val="bottom"/>
                            <w:hideMark/>
                          </w:tcPr>
                          <w:p w14:paraId="345CA031" w14:textId="77777777" w:rsidR="00B5098C" w:rsidRPr="00B5098C" w:rsidRDefault="00B5098C" w:rsidP="001B0A96">
                            <w:pPr>
                              <w:widowControl/>
                              <w:spacing w:line="200" w:lineRule="exact"/>
                              <w:ind w:left="540" w:hangingChars="300" w:hanging="540"/>
                              <w:jc w:val="both"/>
                              <w:rPr>
                                <w:rFonts w:ascii="標楷體" w:eastAsia="標楷體" w:hAnsi="標楷體" w:cs="Tahoma"/>
                                <w:color w:val="000000" w:themeColor="text1"/>
                                <w:kern w:val="0"/>
                                <w:sz w:val="18"/>
                              </w:rPr>
                            </w:pPr>
                            <w:proofErr w:type="gramStart"/>
                            <w:r w:rsidRPr="00B5098C">
                              <w:rPr>
                                <w:rFonts w:ascii="標楷體" w:eastAsia="標楷體" w:hAnsi="標楷體" w:cs="Tahoma" w:hint="eastAsia"/>
                                <w:color w:val="000000" w:themeColor="text1"/>
                                <w:kern w:val="0"/>
                                <w:sz w:val="18"/>
                              </w:rPr>
                              <w:t>註</w:t>
                            </w:r>
                            <w:proofErr w:type="gramEnd"/>
                            <w:r w:rsidRPr="00B5098C">
                              <w:rPr>
                                <w:rFonts w:ascii="標楷體" w:eastAsia="標楷體" w:hAnsi="標楷體" w:cs="Tahoma" w:hint="eastAsia"/>
                                <w:color w:val="000000" w:themeColor="text1"/>
                                <w:kern w:val="0"/>
                                <w:sz w:val="18"/>
                              </w:rPr>
                              <w:t>：1</w:t>
                            </w:r>
                            <w:r w:rsidRPr="00B5098C">
                              <w:rPr>
                                <w:rFonts w:ascii="標楷體" w:eastAsia="標楷體" w:hAnsi="標楷體" w:cs="Tahoma"/>
                                <w:color w:val="000000" w:themeColor="text1"/>
                                <w:kern w:val="0"/>
                                <w:sz w:val="18"/>
                              </w:rPr>
                              <w:t>.110</w:t>
                            </w:r>
                            <w:r w:rsidRPr="00B5098C">
                              <w:rPr>
                                <w:rFonts w:ascii="標楷體" w:eastAsia="標楷體" w:hAnsi="標楷體" w:cs="Tahoma" w:hint="eastAsia"/>
                                <w:color w:val="000000" w:themeColor="text1"/>
                                <w:kern w:val="0"/>
                                <w:sz w:val="18"/>
                              </w:rPr>
                              <w:t>至</w:t>
                            </w:r>
                            <w:proofErr w:type="gramStart"/>
                            <w:r w:rsidRPr="00B5098C">
                              <w:rPr>
                                <w:rFonts w:ascii="標楷體" w:eastAsia="標楷體" w:hAnsi="標楷體" w:cs="Tahoma" w:hint="eastAsia"/>
                                <w:color w:val="000000" w:themeColor="text1"/>
                                <w:kern w:val="0"/>
                                <w:sz w:val="18"/>
                              </w:rPr>
                              <w:t>1</w:t>
                            </w:r>
                            <w:r w:rsidRPr="00B5098C">
                              <w:rPr>
                                <w:rFonts w:ascii="標楷體" w:eastAsia="標楷體" w:hAnsi="標楷體" w:cs="Tahoma"/>
                                <w:color w:val="000000" w:themeColor="text1"/>
                                <w:kern w:val="0"/>
                                <w:sz w:val="18"/>
                              </w:rPr>
                              <w:t>12</w:t>
                            </w:r>
                            <w:proofErr w:type="gramEnd"/>
                            <w:r w:rsidRPr="00B5098C">
                              <w:rPr>
                                <w:rFonts w:ascii="標楷體" w:eastAsia="標楷體" w:hAnsi="標楷體" w:cs="Tahoma" w:hint="eastAsia"/>
                                <w:color w:val="000000" w:themeColor="text1"/>
                                <w:kern w:val="0"/>
                                <w:sz w:val="18"/>
                              </w:rPr>
                              <w:t>年度應用A</w:t>
                            </w:r>
                            <w:r w:rsidRPr="00B5098C">
                              <w:rPr>
                                <w:rFonts w:ascii="標楷體" w:eastAsia="標楷體" w:hAnsi="標楷體" w:cs="Tahoma"/>
                                <w:color w:val="000000" w:themeColor="text1"/>
                                <w:kern w:val="0"/>
                                <w:sz w:val="18"/>
                              </w:rPr>
                              <w:t>I</w:t>
                            </w:r>
                            <w:r w:rsidRPr="00B5098C">
                              <w:rPr>
                                <w:rFonts w:ascii="標楷體" w:eastAsia="標楷體" w:hAnsi="標楷體" w:cs="Tahoma" w:hint="eastAsia"/>
                                <w:color w:val="000000" w:themeColor="text1"/>
                                <w:kern w:val="0"/>
                                <w:sz w:val="18"/>
                              </w:rPr>
                              <w:t>之政策措施認定係以各部會填列調查表彙整。</w:t>
                            </w:r>
                          </w:p>
                          <w:p w14:paraId="607A58C2" w14:textId="77777777" w:rsidR="00B5098C" w:rsidRPr="00B5098C" w:rsidRDefault="00B5098C" w:rsidP="001B0A96">
                            <w:pPr>
                              <w:widowControl/>
                              <w:spacing w:line="200" w:lineRule="exact"/>
                              <w:ind w:leftChars="150" w:left="540" w:hangingChars="100" w:hanging="180"/>
                              <w:jc w:val="both"/>
                              <w:rPr>
                                <w:rFonts w:ascii="標楷體" w:eastAsia="標楷體" w:hAnsi="標楷體" w:cs="Tahoma"/>
                                <w:color w:val="000000" w:themeColor="text1"/>
                                <w:kern w:val="0"/>
                                <w:sz w:val="18"/>
                              </w:rPr>
                            </w:pPr>
                            <w:r w:rsidRPr="00B5098C">
                              <w:rPr>
                                <w:rFonts w:ascii="標楷體" w:eastAsia="標楷體" w:hAnsi="標楷體" w:cs="Tahoma" w:hint="eastAsia"/>
                                <w:color w:val="000000" w:themeColor="text1"/>
                                <w:kern w:val="0"/>
                                <w:sz w:val="18"/>
                              </w:rPr>
                              <w:t>2.資料來源：整理自行政院智慧國家方案</w:t>
                            </w:r>
                            <w:r w:rsidRPr="00B5098C">
                              <w:rPr>
                                <w:rFonts w:ascii="標楷體" w:eastAsia="標楷體" w:hAnsi="標楷體" w:cs="Tahoma"/>
                                <w:color w:val="000000" w:themeColor="text1"/>
                                <w:kern w:val="0"/>
                                <w:sz w:val="18"/>
                              </w:rPr>
                              <w:t>110</w:t>
                            </w:r>
                            <w:r w:rsidRPr="00B5098C">
                              <w:rPr>
                                <w:rFonts w:ascii="標楷體" w:eastAsia="標楷體" w:hAnsi="標楷體" w:cs="Tahoma" w:hint="eastAsia"/>
                                <w:color w:val="000000" w:themeColor="text1"/>
                                <w:kern w:val="0"/>
                                <w:sz w:val="18"/>
                              </w:rPr>
                              <w:t>至</w:t>
                            </w:r>
                            <w:r w:rsidRPr="00B5098C">
                              <w:rPr>
                                <w:rFonts w:ascii="標楷體" w:eastAsia="標楷體" w:hAnsi="標楷體" w:cs="Tahoma"/>
                                <w:color w:val="000000" w:themeColor="text1"/>
                                <w:kern w:val="0"/>
                                <w:sz w:val="18"/>
                              </w:rPr>
                              <w:t>113</w:t>
                            </w:r>
                            <w:r w:rsidRPr="00B5098C">
                              <w:rPr>
                                <w:rFonts w:ascii="標楷體" w:eastAsia="標楷體" w:hAnsi="標楷體" w:cs="Tahoma" w:hint="eastAsia"/>
                                <w:color w:val="000000" w:themeColor="text1"/>
                                <w:kern w:val="0"/>
                                <w:sz w:val="18"/>
                              </w:rPr>
                              <w:t>年階段性成果報告。</w:t>
                            </w:r>
                          </w:p>
                        </w:tc>
                      </w:tr>
                    </w:tbl>
                    <w:p w14:paraId="6DA20640" w14:textId="77777777" w:rsidR="00B5098C" w:rsidRPr="00474EF9" w:rsidRDefault="00B5098C" w:rsidP="00B5098C"/>
                  </w:txbxContent>
                </v:textbox>
                <w10:wrap type="square" anchory="page"/>
              </v:shape>
            </w:pict>
          </mc:Fallback>
        </mc:AlternateContent>
      </w:r>
      <w:r w:rsidRPr="00B5098C">
        <w:rPr>
          <w:rFonts w:ascii="標楷體" w:eastAsia="標楷體" w:hAnsi="標楷體" w:cs="標楷體" w:hint="eastAsia"/>
          <w:kern w:val="52"/>
          <w:szCs w:val="32"/>
        </w:rPr>
        <w:t>據結合AI等新興科技，針對各項民生</w:t>
      </w:r>
      <w:proofErr w:type="gramStart"/>
      <w:r w:rsidRPr="00B5098C">
        <w:rPr>
          <w:rFonts w:ascii="標楷體" w:eastAsia="標楷體" w:hAnsi="標楷體" w:cs="標楷體" w:hint="eastAsia"/>
          <w:kern w:val="52"/>
          <w:szCs w:val="32"/>
        </w:rPr>
        <w:t>攸</w:t>
      </w:r>
      <w:proofErr w:type="gramEnd"/>
      <w:r w:rsidRPr="00B5098C">
        <w:rPr>
          <w:rFonts w:ascii="標楷體" w:eastAsia="標楷體" w:hAnsi="標楷體" w:cs="標楷體" w:hint="eastAsia"/>
          <w:kern w:val="52"/>
          <w:szCs w:val="32"/>
        </w:rPr>
        <w:t>關之施政課題，進行跨領域資料分析提供</w:t>
      </w:r>
      <w:proofErr w:type="gramStart"/>
      <w:r w:rsidRPr="00B5098C">
        <w:rPr>
          <w:rFonts w:ascii="標楷體" w:eastAsia="標楷體" w:hAnsi="標楷體" w:cs="標楷體" w:hint="eastAsia"/>
          <w:kern w:val="52"/>
          <w:szCs w:val="32"/>
        </w:rPr>
        <w:t>決策參據</w:t>
      </w:r>
      <w:proofErr w:type="gramEnd"/>
      <w:r w:rsidRPr="00B5098C">
        <w:rPr>
          <w:rFonts w:ascii="標楷體" w:eastAsia="標楷體" w:hAnsi="標楷體" w:cs="標楷體" w:hint="eastAsia"/>
          <w:kern w:val="52"/>
          <w:szCs w:val="32"/>
        </w:rPr>
        <w:t>，據智慧國家方案110至113年度階段性成果報告，各部會已應用大數據或AI辦理129項政策措施</w:t>
      </w:r>
      <w:r w:rsidRPr="00BD0D1E">
        <w:rPr>
          <w:rFonts w:ascii="標楷體" w:eastAsia="標楷體" w:hAnsi="標楷體" w:cs="標楷體" w:hint="eastAsia"/>
          <w:color w:val="000000" w:themeColor="text1"/>
          <w:kern w:val="52"/>
          <w:szCs w:val="32"/>
        </w:rPr>
        <w:t>（表20）；另</w:t>
      </w:r>
      <w:r w:rsidRPr="00B5098C">
        <w:rPr>
          <w:rFonts w:ascii="標楷體" w:eastAsia="標楷體" w:hAnsi="標楷體" w:cs="標楷體" w:hint="eastAsia"/>
          <w:kern w:val="52"/>
          <w:szCs w:val="32"/>
        </w:rPr>
        <w:t>據財團法人人工智慧科技基金會提出之「2023台灣產業AI化大調查」，調查325家企業已超過半數（54.2％）開始使用生成式AI工具，包括導入公司營運流程及個人、部門內使用，足見公、私部門應用AI已相當普遍。經查，截至113年底止，人工智慧基本法（草案）尚在行政院審查中；又行政院為因應AI發展快速，</w:t>
      </w:r>
      <w:proofErr w:type="gramStart"/>
      <w:r w:rsidRPr="00B5098C">
        <w:rPr>
          <w:rFonts w:ascii="標楷體" w:eastAsia="標楷體" w:hAnsi="標楷體" w:cs="標楷體" w:hint="eastAsia"/>
          <w:kern w:val="52"/>
          <w:szCs w:val="32"/>
        </w:rPr>
        <w:t>採</w:t>
      </w:r>
      <w:proofErr w:type="gramEnd"/>
      <w:r w:rsidRPr="00B5098C">
        <w:rPr>
          <w:rFonts w:ascii="標楷體" w:eastAsia="標楷體" w:hAnsi="標楷體" w:cs="標楷體" w:hint="eastAsia"/>
          <w:kern w:val="52"/>
          <w:szCs w:val="32"/>
        </w:rPr>
        <w:t>先指引、後立法之法制策略，截至113年底止，僅有行政院、國家科學及技術委員會（下稱國科會）、金融監督管理委員會（下稱金管會）及衛生福利部（下稱衛福部）食品藥物管理署（下稱食藥署）已就轄管業務或產業發布AI有關指引規範，其餘有關部會</w:t>
      </w:r>
      <w:proofErr w:type="gramStart"/>
      <w:r w:rsidRPr="00B5098C">
        <w:rPr>
          <w:rFonts w:ascii="標楷體" w:eastAsia="標楷體" w:hAnsi="標楷體" w:cs="標楷體" w:hint="eastAsia"/>
          <w:kern w:val="52"/>
          <w:szCs w:val="32"/>
        </w:rPr>
        <w:t>均尚處研</w:t>
      </w:r>
      <w:proofErr w:type="gramEnd"/>
      <w:r w:rsidRPr="00B5098C">
        <w:rPr>
          <w:rFonts w:ascii="標楷體" w:eastAsia="標楷體" w:hAnsi="標楷體" w:cs="標楷體" w:hint="eastAsia"/>
          <w:kern w:val="52"/>
          <w:szCs w:val="32"/>
        </w:rPr>
        <w:t>議階段。有</w:t>
      </w:r>
      <w:proofErr w:type="gramStart"/>
      <w:r w:rsidRPr="00B5098C">
        <w:rPr>
          <w:rFonts w:ascii="標楷體" w:eastAsia="標楷體" w:hAnsi="標楷體" w:cs="標楷體" w:hint="eastAsia"/>
          <w:kern w:val="52"/>
          <w:szCs w:val="32"/>
        </w:rPr>
        <w:t>鑑</w:t>
      </w:r>
      <w:proofErr w:type="gramEnd"/>
      <w:r w:rsidRPr="00B5098C">
        <w:rPr>
          <w:rFonts w:ascii="標楷體" w:eastAsia="標楷體" w:hAnsi="標楷體" w:cs="標楷體" w:hint="eastAsia"/>
          <w:kern w:val="52"/>
          <w:szCs w:val="32"/>
        </w:rPr>
        <w:t>於AI開發及應用常涉及諸多倫理議題，</w:t>
      </w:r>
      <w:proofErr w:type="gramStart"/>
      <w:r w:rsidRPr="00B5098C">
        <w:rPr>
          <w:rFonts w:ascii="標楷體" w:eastAsia="標楷體" w:hAnsi="標楷體" w:cs="標楷體" w:hint="eastAsia"/>
          <w:kern w:val="52"/>
          <w:szCs w:val="32"/>
        </w:rPr>
        <w:t>舉如隱私</w:t>
      </w:r>
      <w:proofErr w:type="gramEnd"/>
      <w:r w:rsidRPr="00B5098C">
        <w:rPr>
          <w:rFonts w:ascii="標楷體" w:eastAsia="標楷體" w:hAnsi="標楷體" w:cs="標楷體" w:hint="eastAsia"/>
          <w:kern w:val="52"/>
          <w:szCs w:val="32"/>
        </w:rPr>
        <w:t>保護、決策透明與公平性等，若缺乏法制化</w:t>
      </w:r>
      <w:proofErr w:type="gramStart"/>
      <w:r w:rsidRPr="00B5098C">
        <w:rPr>
          <w:rFonts w:ascii="標楷體" w:eastAsia="標楷體" w:hAnsi="標楷體" w:cs="標楷體" w:hint="eastAsia"/>
          <w:kern w:val="52"/>
          <w:szCs w:val="32"/>
        </w:rPr>
        <w:t>規</w:t>
      </w:r>
      <w:proofErr w:type="gramEnd"/>
      <w:r w:rsidRPr="00B5098C">
        <w:rPr>
          <w:rFonts w:ascii="標楷體" w:eastAsia="標楷體" w:hAnsi="標楷體" w:cs="標楷體" w:hint="eastAsia"/>
          <w:kern w:val="52"/>
          <w:szCs w:val="32"/>
        </w:rPr>
        <w:t>管機制，恐影響民眾隱私權、平等權之保障及無從對AI使用者不當應用情形追究其相關法律責任。經函請行政院加速人工智慧基本法之立法作業，並督導各目的事業主管機關制定轄管事業應用AI相關規範，以降低AI應用風險。據復：人工智慧基本法（草案）於114年2月26日改由數位發展部（下稱數發部）主政推動法案立法，將於</w:t>
      </w:r>
      <w:r w:rsidR="0046265D">
        <w:rPr>
          <w:rFonts w:ascii="標楷體" w:eastAsia="標楷體" w:hAnsi="標楷體" w:cs="標楷體" w:hint="eastAsia"/>
          <w:kern w:val="52"/>
          <w:szCs w:val="32"/>
        </w:rPr>
        <w:t>行政</w:t>
      </w:r>
      <w:r w:rsidRPr="00B5098C">
        <w:rPr>
          <w:rFonts w:ascii="標楷體" w:eastAsia="標楷體" w:hAnsi="標楷體" w:cs="標楷體" w:hint="eastAsia"/>
          <w:kern w:val="52"/>
          <w:szCs w:val="32"/>
        </w:rPr>
        <w:t>院完成審查後，儘速送立法院審議；另已責成數發部、經濟部、</w:t>
      </w:r>
      <w:proofErr w:type="gramStart"/>
      <w:r w:rsidRPr="00B5098C">
        <w:rPr>
          <w:rFonts w:ascii="標楷體" w:eastAsia="標楷體" w:hAnsi="標楷體" w:cs="標楷體" w:hint="eastAsia"/>
          <w:kern w:val="52"/>
          <w:szCs w:val="32"/>
        </w:rPr>
        <w:t>衛福部</w:t>
      </w:r>
      <w:proofErr w:type="gramEnd"/>
      <w:r w:rsidRPr="00B5098C">
        <w:rPr>
          <w:rFonts w:ascii="標楷體" w:eastAsia="標楷體" w:hAnsi="標楷體" w:cs="標楷體" w:hint="eastAsia"/>
          <w:kern w:val="52"/>
          <w:szCs w:val="32"/>
        </w:rPr>
        <w:t>、交通部、金管會、</w:t>
      </w:r>
      <w:proofErr w:type="gramStart"/>
      <w:r w:rsidRPr="00B5098C">
        <w:rPr>
          <w:rFonts w:ascii="標楷體" w:eastAsia="標楷體" w:hAnsi="標楷體" w:cs="標楷體" w:hint="eastAsia"/>
          <w:kern w:val="52"/>
          <w:szCs w:val="32"/>
        </w:rPr>
        <w:t>勞動部等部會</w:t>
      </w:r>
      <w:proofErr w:type="gramEnd"/>
      <w:r w:rsidRPr="00B5098C">
        <w:rPr>
          <w:rFonts w:ascii="標楷體" w:eastAsia="標楷體" w:hAnsi="標楷體" w:cs="標楷體" w:hint="eastAsia"/>
          <w:kern w:val="52"/>
          <w:szCs w:val="32"/>
        </w:rPr>
        <w:t>，持續滾動檢討轄管法規、指引或業務部分，與AI相關之產業創新、資料利用、勞動權益等議題，辦理法制</w:t>
      </w:r>
      <w:proofErr w:type="gramStart"/>
      <w:r w:rsidRPr="00B5098C">
        <w:rPr>
          <w:rFonts w:ascii="標楷體" w:eastAsia="標楷體" w:hAnsi="標楷體" w:cs="標楷體" w:hint="eastAsia"/>
          <w:kern w:val="52"/>
          <w:szCs w:val="32"/>
        </w:rPr>
        <w:t>研</w:t>
      </w:r>
      <w:proofErr w:type="gramEnd"/>
      <w:r w:rsidRPr="00B5098C">
        <w:rPr>
          <w:rFonts w:ascii="標楷體" w:eastAsia="標楷體" w:hAnsi="標楷體" w:cs="標楷體" w:hint="eastAsia"/>
          <w:kern w:val="52"/>
          <w:szCs w:val="32"/>
        </w:rPr>
        <w:t>定（修）作業。</w:t>
      </w:r>
    </w:p>
    <w:p w14:paraId="7DD4C7FD" w14:textId="6B30F626" w:rsidR="00545313" w:rsidRPr="008B643D" w:rsidRDefault="00B5098C" w:rsidP="008B643D">
      <w:pPr>
        <w:overflowPunct w:val="0"/>
        <w:adjustRightInd w:val="0"/>
        <w:snapToGrid w:val="0"/>
        <w:spacing w:line="432" w:lineRule="exact"/>
        <w:ind w:firstLineChars="450" w:firstLine="1081"/>
        <w:jc w:val="both"/>
        <w:rPr>
          <w:rFonts w:ascii="標楷體" w:eastAsia="標楷體" w:hAnsi="標楷體" w:cstheme="minorBidi"/>
          <w:szCs w:val="24"/>
        </w:rPr>
      </w:pPr>
      <w:r w:rsidRPr="00B5098C">
        <w:rPr>
          <w:rFonts w:ascii="標楷體" w:eastAsia="標楷體" w:hAnsi="標楷體" w:cs="標楷體" w:hint="eastAsia"/>
          <w:b/>
          <w:kern w:val="52"/>
          <w:szCs w:val="32"/>
        </w:rPr>
        <w:t>2.</w:t>
      </w:r>
      <w:r w:rsidRPr="00B5098C">
        <w:rPr>
          <w:rFonts w:ascii="標楷體" w:eastAsia="標楷體" w:hAnsi="標楷體" w:cs="標楷體" w:hint="eastAsia"/>
          <w:kern w:val="52"/>
          <w:szCs w:val="32"/>
        </w:rPr>
        <w:t xml:space="preserve">　</w:t>
      </w:r>
      <w:r w:rsidRPr="00B5098C">
        <w:rPr>
          <w:rFonts w:ascii="標楷體" w:eastAsia="標楷體" w:hAnsi="標楷體" w:hint="eastAsia"/>
          <w:b/>
          <w:snapToGrid w:val="0"/>
          <w:kern w:val="0"/>
          <w:szCs w:val="32"/>
        </w:rPr>
        <w:t>政府推動打造臺灣本土可信任AI對話引擎基礎模型－TAIDE，惟各機關開放資料多未能直接供模型訓練，且原始著作受著作權法規範，資料取得困難，建置供民眾主動上傳訓練資料之平</w:t>
      </w:r>
      <w:proofErr w:type="gramStart"/>
      <w:r w:rsidRPr="00B5098C">
        <w:rPr>
          <w:rFonts w:ascii="標楷體" w:eastAsia="標楷體" w:hAnsi="標楷體" w:hint="eastAsia"/>
          <w:b/>
          <w:snapToGrid w:val="0"/>
          <w:kern w:val="0"/>
          <w:szCs w:val="32"/>
        </w:rPr>
        <w:t>臺</w:t>
      </w:r>
      <w:proofErr w:type="gramEnd"/>
      <w:r w:rsidRPr="00B5098C">
        <w:rPr>
          <w:rFonts w:ascii="標楷體" w:eastAsia="標楷體" w:hAnsi="標楷體" w:hint="eastAsia"/>
          <w:b/>
          <w:snapToGrid w:val="0"/>
          <w:kern w:val="0"/>
          <w:szCs w:val="32"/>
        </w:rPr>
        <w:t>尚無人響應，及面臨開發團隊人力大幅減少，影響主權AI發展：</w:t>
      </w:r>
      <w:r w:rsidRPr="00B5098C">
        <w:rPr>
          <w:rFonts w:ascii="標楷體" w:eastAsia="標楷體" w:hAnsi="標楷體" w:cs="標楷體" w:hint="eastAsia"/>
          <w:kern w:val="52"/>
          <w:szCs w:val="32"/>
        </w:rPr>
        <w:t>政府因應國際大型語言模型訓練資料多以英文為主，中文部分則以簡體中文為</w:t>
      </w:r>
      <w:proofErr w:type="gramStart"/>
      <w:r w:rsidRPr="00B5098C">
        <w:rPr>
          <w:rFonts w:ascii="標楷體" w:eastAsia="標楷體" w:hAnsi="標楷體" w:cs="標楷體" w:hint="eastAsia"/>
          <w:kern w:val="52"/>
          <w:szCs w:val="32"/>
        </w:rPr>
        <w:t>大宗，</w:t>
      </w:r>
      <w:proofErr w:type="gramEnd"/>
      <w:r w:rsidRPr="00B5098C">
        <w:rPr>
          <w:rFonts w:ascii="標楷體" w:eastAsia="標楷體" w:hAnsi="標楷體" w:cs="標楷體" w:hint="eastAsia"/>
          <w:kern w:val="52"/>
          <w:szCs w:val="32"/>
        </w:rPr>
        <w:t>常發生回應內容不符我國文化與價值觀等情，由國科會自112年4月起補助財團法人國家實驗研究院（下稱國研院）4億5,213萬餘元推動打造臺灣本土可信任AI對話引擎基礎模型－TAIDE（Trustworthy AI Dialogue Engine）相關計畫，以建立我國主權AI，保護本國文化並強化自主技術，截至114年3月底止，已開源釋出共6個版本，下載次數達18萬餘次。經查，國際間生成式AI模型之訓練過程，一開始多係</w:t>
      </w:r>
      <w:proofErr w:type="gramStart"/>
      <w:r w:rsidRPr="00B5098C">
        <w:rPr>
          <w:rFonts w:ascii="標楷體" w:eastAsia="標楷體" w:hAnsi="標楷體" w:cs="標楷體" w:hint="eastAsia"/>
          <w:kern w:val="52"/>
          <w:szCs w:val="32"/>
        </w:rPr>
        <w:t>透過網路爬取大量</w:t>
      </w:r>
      <w:proofErr w:type="gramEnd"/>
      <w:r w:rsidRPr="00B5098C">
        <w:rPr>
          <w:rFonts w:ascii="標楷體" w:eastAsia="標楷體" w:hAnsi="標楷體" w:cs="標楷體" w:hint="eastAsia"/>
          <w:kern w:val="52"/>
          <w:szCs w:val="32"/>
        </w:rPr>
        <w:t>公開資料，惟據監察院114年3月調查報告指出，我國政府資料開放平</w:t>
      </w:r>
      <w:proofErr w:type="gramStart"/>
      <w:r w:rsidRPr="00B5098C">
        <w:rPr>
          <w:rFonts w:ascii="標楷體" w:eastAsia="標楷體" w:hAnsi="標楷體" w:cs="標楷體" w:hint="eastAsia"/>
          <w:kern w:val="52"/>
          <w:szCs w:val="32"/>
        </w:rPr>
        <w:t>臺</w:t>
      </w:r>
      <w:proofErr w:type="gramEnd"/>
      <w:r w:rsidRPr="00B5098C">
        <w:rPr>
          <w:rFonts w:ascii="標楷體" w:eastAsia="標楷體" w:hAnsi="標楷體" w:cs="標楷體" w:hint="eastAsia"/>
          <w:kern w:val="52"/>
          <w:szCs w:val="32"/>
        </w:rPr>
        <w:t>網站公開5萬餘筆資料集，以統計資料為</w:t>
      </w:r>
      <w:proofErr w:type="gramStart"/>
      <w:r w:rsidRPr="00B5098C">
        <w:rPr>
          <w:rFonts w:ascii="標楷體" w:eastAsia="標楷體" w:hAnsi="標楷體" w:cs="標楷體" w:hint="eastAsia"/>
          <w:kern w:val="52"/>
          <w:szCs w:val="32"/>
        </w:rPr>
        <w:t>大宗，</w:t>
      </w:r>
      <w:proofErr w:type="gramEnd"/>
      <w:r w:rsidRPr="00B5098C">
        <w:rPr>
          <w:rFonts w:ascii="標楷體" w:eastAsia="標楷體" w:hAnsi="標楷體" w:cs="標楷體" w:hint="eastAsia"/>
          <w:kern w:val="52"/>
          <w:szCs w:val="32"/>
        </w:rPr>
        <w:t>不適合TAIDE模型進行文本生成之訓練，另政府各</w:t>
      </w:r>
      <w:proofErr w:type="gramStart"/>
      <w:r w:rsidRPr="00B5098C">
        <w:rPr>
          <w:rFonts w:ascii="標楷體" w:eastAsia="標楷體" w:hAnsi="標楷體" w:cs="標楷體" w:hint="eastAsia"/>
          <w:kern w:val="52"/>
          <w:szCs w:val="32"/>
        </w:rPr>
        <w:t>機關官網資料</w:t>
      </w:r>
      <w:proofErr w:type="gramEnd"/>
      <w:r w:rsidRPr="00B5098C">
        <w:rPr>
          <w:rFonts w:ascii="標楷體" w:eastAsia="標楷體" w:hAnsi="標楷體" w:cs="標楷體" w:hint="eastAsia"/>
          <w:kern w:val="52"/>
          <w:szCs w:val="32"/>
        </w:rPr>
        <w:t>，僅4個網站宣告以無償、不主張著作權利方式（CC0－</w:t>
      </w:r>
      <w:r w:rsidRPr="00B5098C">
        <w:rPr>
          <w:rFonts w:ascii="標楷體" w:eastAsia="標楷體" w:hAnsi="標楷體" w:cs="標楷體" w:hint="eastAsia"/>
          <w:kern w:val="52"/>
          <w:szCs w:val="32"/>
        </w:rPr>
        <w:lastRenderedPageBreak/>
        <w:t>1.0）提供公眾使用，可由TAIDE開發團隊自行下載作為訓練資料，比率約僅2％，</w:t>
      </w:r>
      <w:proofErr w:type="gramStart"/>
      <w:r w:rsidRPr="00B5098C">
        <w:rPr>
          <w:rFonts w:ascii="標楷體" w:eastAsia="標楷體" w:hAnsi="標楷體" w:cs="標楷體" w:hint="eastAsia"/>
          <w:kern w:val="52"/>
          <w:szCs w:val="32"/>
        </w:rPr>
        <w:t>其餘均為受</w:t>
      </w:r>
      <w:proofErr w:type="gramEnd"/>
      <w:r w:rsidRPr="00B5098C">
        <w:rPr>
          <w:rFonts w:ascii="標楷體" w:eastAsia="標楷體" w:hAnsi="標楷體" w:cs="標楷體" w:hint="eastAsia"/>
          <w:kern w:val="52"/>
          <w:szCs w:val="32"/>
        </w:rPr>
        <w:t>著作權法保護之範圍。</w:t>
      </w:r>
      <w:proofErr w:type="gramStart"/>
      <w:r w:rsidRPr="00B5098C">
        <w:rPr>
          <w:rFonts w:ascii="標楷體" w:eastAsia="標楷體" w:hAnsi="標楷體" w:cs="標楷體" w:hint="eastAsia"/>
          <w:kern w:val="52"/>
          <w:szCs w:val="32"/>
        </w:rPr>
        <w:t>爰</w:t>
      </w:r>
      <w:proofErr w:type="gramEnd"/>
      <w:r w:rsidRPr="00B5098C">
        <w:rPr>
          <w:rFonts w:ascii="標楷體" w:eastAsia="標楷體" w:hAnsi="標楷體" w:cs="標楷體" w:hint="eastAsia"/>
          <w:kern w:val="52"/>
          <w:szCs w:val="32"/>
        </w:rPr>
        <w:t>國研院為蒐集繁體中文模型訓練資料集，</w:t>
      </w:r>
      <w:proofErr w:type="gramStart"/>
      <w:r w:rsidRPr="00B5098C">
        <w:rPr>
          <w:rFonts w:ascii="標楷體" w:eastAsia="標楷體" w:hAnsi="標楷體" w:cs="標楷體" w:hint="eastAsia"/>
          <w:kern w:val="52"/>
          <w:szCs w:val="32"/>
        </w:rPr>
        <w:t>均須個別</w:t>
      </w:r>
      <w:proofErr w:type="gramEnd"/>
      <w:r w:rsidRPr="00B5098C">
        <w:rPr>
          <w:rFonts w:ascii="標楷體" w:eastAsia="標楷體" w:hAnsi="標楷體" w:cs="標楷體" w:hint="eastAsia"/>
          <w:kern w:val="52"/>
          <w:szCs w:val="32"/>
        </w:rPr>
        <w:t>洽商機關取得，且於資料取得後，尚面臨取得之資料集格式不一致、標</w:t>
      </w:r>
      <w:proofErr w:type="gramStart"/>
      <w:r w:rsidRPr="00B5098C">
        <w:rPr>
          <w:rFonts w:ascii="標楷體" w:eastAsia="標楷體" w:hAnsi="標楷體" w:cs="標楷體" w:hint="eastAsia"/>
          <w:kern w:val="52"/>
          <w:szCs w:val="32"/>
        </w:rPr>
        <w:t>註</w:t>
      </w:r>
      <w:proofErr w:type="gramEnd"/>
      <w:r w:rsidRPr="00B5098C">
        <w:rPr>
          <w:rFonts w:ascii="標楷體" w:eastAsia="標楷體" w:hAnsi="標楷體" w:cs="標楷體" w:hint="eastAsia"/>
          <w:kern w:val="52"/>
          <w:szCs w:val="32"/>
        </w:rPr>
        <w:t>不清，或缺乏語言模型適用格式，致資料取得後須再進行格式轉換、資料標準化及資料清洗等前置處理作業，耗費人力及時間。數發部</w:t>
      </w:r>
      <w:proofErr w:type="gramStart"/>
      <w:r w:rsidRPr="00B5098C">
        <w:rPr>
          <w:rFonts w:ascii="標楷體" w:eastAsia="標楷體" w:hAnsi="標楷體" w:cs="標楷體" w:hint="eastAsia"/>
          <w:kern w:val="52"/>
          <w:szCs w:val="32"/>
        </w:rPr>
        <w:t>鑑</w:t>
      </w:r>
      <w:proofErr w:type="gramEnd"/>
      <w:r w:rsidRPr="00B5098C">
        <w:rPr>
          <w:rFonts w:ascii="標楷體" w:eastAsia="標楷體" w:hAnsi="標楷體" w:cs="標楷體" w:hint="eastAsia"/>
          <w:kern w:val="52"/>
          <w:szCs w:val="32"/>
        </w:rPr>
        <w:t>於TAIDE開發團隊取得繁體中文資料授權不易，為降低資料取得成本，及鼓勵政府將資料開放供AI創新應用，已偕同相關部會</w:t>
      </w:r>
      <w:proofErr w:type="gramStart"/>
      <w:r w:rsidRPr="00B5098C">
        <w:rPr>
          <w:rFonts w:ascii="標楷體" w:eastAsia="標楷體" w:hAnsi="標楷體" w:cs="標楷體" w:hint="eastAsia"/>
          <w:kern w:val="52"/>
          <w:szCs w:val="32"/>
        </w:rPr>
        <w:t>研</w:t>
      </w:r>
      <w:proofErr w:type="gramEnd"/>
      <w:r w:rsidRPr="00B5098C">
        <w:rPr>
          <w:rFonts w:ascii="標楷體" w:eastAsia="標楷體" w:hAnsi="標楷體" w:cs="標楷體" w:hint="eastAsia"/>
          <w:kern w:val="52"/>
          <w:szCs w:val="32"/>
        </w:rPr>
        <w:t>議建立臺灣主權AI訓練語料庫與資料集格式範本，及</w:t>
      </w:r>
      <w:proofErr w:type="gramStart"/>
      <w:r w:rsidRPr="00B5098C">
        <w:rPr>
          <w:rFonts w:ascii="標楷體" w:eastAsia="標楷體" w:hAnsi="標楷體" w:cs="標楷體" w:hint="eastAsia"/>
          <w:kern w:val="52"/>
          <w:szCs w:val="32"/>
        </w:rPr>
        <w:t>研</w:t>
      </w:r>
      <w:proofErr w:type="gramEnd"/>
      <w:r w:rsidRPr="00B5098C">
        <w:rPr>
          <w:rFonts w:ascii="標楷體" w:eastAsia="標楷體" w:hAnsi="標楷體" w:cs="標楷體" w:hint="eastAsia"/>
          <w:kern w:val="52"/>
          <w:szCs w:val="32"/>
        </w:rPr>
        <w:t>擬促進資料創新利用發展條例（草案），惟均尚在規劃及草擬階段。</w:t>
      </w:r>
      <w:proofErr w:type="gramStart"/>
      <w:r w:rsidRPr="00B5098C">
        <w:rPr>
          <w:rFonts w:ascii="標楷體" w:eastAsia="標楷體" w:hAnsi="標楷體" w:cs="標楷體" w:hint="eastAsia"/>
          <w:kern w:val="52"/>
          <w:szCs w:val="32"/>
        </w:rPr>
        <w:t>此外，</w:t>
      </w:r>
      <w:proofErr w:type="gramEnd"/>
      <w:r w:rsidRPr="00B5098C">
        <w:rPr>
          <w:rFonts w:ascii="標楷體" w:eastAsia="標楷體" w:hAnsi="標楷體" w:cs="標楷體" w:hint="eastAsia"/>
          <w:kern w:val="52"/>
          <w:szCs w:val="32"/>
        </w:rPr>
        <w:t>經濟部智慧財產局</w:t>
      </w:r>
      <w:r w:rsidR="00420A9F">
        <w:rPr>
          <w:rFonts w:ascii="標楷體" w:eastAsia="標楷體" w:hAnsi="標楷體" w:cs="標楷體" w:hint="eastAsia"/>
          <w:kern w:val="52"/>
          <w:szCs w:val="32"/>
        </w:rPr>
        <w:t>（</w:t>
      </w:r>
      <w:r w:rsidR="00420A9F" w:rsidRPr="00420A9F">
        <w:rPr>
          <w:rFonts w:ascii="標楷體" w:eastAsia="標楷體" w:hAnsi="標楷體" w:cs="標楷體" w:hint="eastAsia"/>
          <w:kern w:val="52"/>
          <w:szCs w:val="32"/>
        </w:rPr>
        <w:t>下稱智財局</w:t>
      </w:r>
      <w:r w:rsidR="00420A9F">
        <w:rPr>
          <w:rFonts w:ascii="標楷體" w:eastAsia="標楷體" w:hAnsi="標楷體" w:cs="標楷體" w:hint="eastAsia"/>
          <w:kern w:val="52"/>
          <w:szCs w:val="32"/>
        </w:rPr>
        <w:t>）</w:t>
      </w:r>
      <w:r w:rsidRPr="00B5098C">
        <w:rPr>
          <w:rFonts w:ascii="標楷體" w:eastAsia="標楷體" w:hAnsi="標楷體" w:cs="標楷體" w:hint="eastAsia"/>
          <w:kern w:val="52"/>
          <w:szCs w:val="32"/>
        </w:rPr>
        <w:t>為因應各種生成式AI工具興起，前於112年6月16日以經</w:t>
      </w:r>
      <w:proofErr w:type="gramStart"/>
      <w:r w:rsidRPr="00B5098C">
        <w:rPr>
          <w:rFonts w:ascii="標楷體" w:eastAsia="標楷體" w:hAnsi="標楷體" w:cs="標楷體" w:hint="eastAsia"/>
          <w:kern w:val="52"/>
          <w:szCs w:val="32"/>
        </w:rPr>
        <w:t>授智字</w:t>
      </w:r>
      <w:proofErr w:type="gramEnd"/>
      <w:r w:rsidRPr="00B5098C">
        <w:rPr>
          <w:rFonts w:ascii="標楷體" w:eastAsia="標楷體" w:hAnsi="標楷體" w:cs="標楷體" w:hint="eastAsia"/>
          <w:kern w:val="52"/>
          <w:szCs w:val="32"/>
        </w:rPr>
        <w:t>第11252800520號函釋，在蒐集資料訓練AI模型階段，訓練資料如受著作權法保護，涉及「重製」原始著作之行為，除有著作權法第44條至第65條合理使用之情形外，應取得著作財產權人之同意或授權，始得為之，致AI所需訓練資料取得困難，仍待經濟部進行著作權法調適，以兼顧著作權人權益及AI應用發展。又國研院為拓展TAIDE模型民間資料來源，於113年10月建置完成機器學習資料上傳平</w:t>
      </w:r>
      <w:proofErr w:type="gramStart"/>
      <w:r w:rsidRPr="00B5098C">
        <w:rPr>
          <w:rFonts w:ascii="標楷體" w:eastAsia="標楷體" w:hAnsi="標楷體" w:cs="標楷體" w:hint="eastAsia"/>
          <w:kern w:val="52"/>
          <w:szCs w:val="32"/>
        </w:rPr>
        <w:t>臺</w:t>
      </w:r>
      <w:proofErr w:type="gramEnd"/>
      <w:r w:rsidRPr="00B5098C">
        <w:rPr>
          <w:rFonts w:ascii="標楷體" w:eastAsia="標楷體" w:hAnsi="標楷體" w:cs="標楷體" w:hint="eastAsia"/>
          <w:kern w:val="52"/>
          <w:szCs w:val="32"/>
        </w:rPr>
        <w:t>，透過民眾自主上傳資料之方式豐富訓練資料量，惟截至114年3月底止，尚無民眾主動上傳資料。另國研院於112年間執行TAIDE模型開發時，仰賴國內研究大型語言模型學者帶領其研究團隊，加入模型訓練工作，共招募6名全職工程師及32名兼任人力，組建資料之蒐集、訓練資料標準之方法及特定議題樣態分析之人員，惟截至114年3月底止，僅餘2名全職工程師及22名兼任人力，開發團隊人力大幅減少，影響TAIDE模型後續資料蒐集及處理效率。經函請行政院督促相關機關積極</w:t>
      </w:r>
      <w:proofErr w:type="gramStart"/>
      <w:r w:rsidRPr="00B5098C">
        <w:rPr>
          <w:rFonts w:ascii="標楷體" w:eastAsia="標楷體" w:hAnsi="標楷體" w:cs="標楷體" w:hint="eastAsia"/>
          <w:kern w:val="52"/>
          <w:szCs w:val="32"/>
        </w:rPr>
        <w:t>研</w:t>
      </w:r>
      <w:proofErr w:type="gramEnd"/>
      <w:r w:rsidRPr="00B5098C">
        <w:rPr>
          <w:rFonts w:ascii="標楷體" w:eastAsia="標楷體" w:hAnsi="標楷體" w:cs="標楷體" w:hint="eastAsia"/>
          <w:kern w:val="52"/>
          <w:szCs w:val="32"/>
        </w:rPr>
        <w:t>謀改善，以提升TAIDE資料蒐集、處理及模型開發與維運效能。</w:t>
      </w:r>
      <w:r w:rsidR="008B643D" w:rsidRPr="008B643D">
        <w:rPr>
          <w:rFonts w:ascii="標楷體" w:eastAsia="標楷體" w:hAnsi="標楷體" w:cstheme="minorBidi" w:hint="eastAsia"/>
          <w:szCs w:val="24"/>
        </w:rPr>
        <w:t>據復：數</w:t>
      </w:r>
      <w:proofErr w:type="gramStart"/>
      <w:r w:rsidR="008B643D" w:rsidRPr="008B643D">
        <w:rPr>
          <w:rFonts w:ascii="標楷體" w:eastAsia="標楷體" w:hAnsi="標楷體" w:cstheme="minorBidi" w:hint="eastAsia"/>
          <w:szCs w:val="24"/>
        </w:rPr>
        <w:t>發部已整理</w:t>
      </w:r>
      <w:proofErr w:type="gramEnd"/>
      <w:r w:rsidR="008B643D" w:rsidRPr="008B643D">
        <w:rPr>
          <w:rFonts w:ascii="標楷體" w:eastAsia="標楷體" w:hAnsi="標楷體" w:cstheme="minorBidi" w:hint="eastAsia"/>
          <w:szCs w:val="24"/>
        </w:rPr>
        <w:t>政府資料開放平</w:t>
      </w:r>
      <w:proofErr w:type="gramStart"/>
      <w:r w:rsidR="008B643D" w:rsidRPr="008B643D">
        <w:rPr>
          <w:rFonts w:ascii="標楷體" w:eastAsia="標楷體" w:hAnsi="標楷體" w:cstheme="minorBidi" w:hint="eastAsia"/>
          <w:szCs w:val="24"/>
        </w:rPr>
        <w:t>臺</w:t>
      </w:r>
      <w:proofErr w:type="gramEnd"/>
      <w:r w:rsidR="008B643D" w:rsidRPr="008B643D">
        <w:rPr>
          <w:rFonts w:ascii="標楷體" w:eastAsia="標楷體" w:hAnsi="標楷體" w:cstheme="minorBidi" w:hint="eastAsia"/>
          <w:szCs w:val="24"/>
        </w:rPr>
        <w:t>可作為TAIDE模型訓練資料清單，送國科會評估運用，及</w:t>
      </w:r>
      <w:proofErr w:type="gramStart"/>
      <w:r w:rsidR="008B643D" w:rsidRPr="008B643D">
        <w:rPr>
          <w:rFonts w:ascii="標楷體" w:eastAsia="標楷體" w:hAnsi="標楷體" w:cstheme="minorBidi" w:hint="eastAsia"/>
          <w:szCs w:val="24"/>
        </w:rPr>
        <w:t>研</w:t>
      </w:r>
      <w:proofErr w:type="gramEnd"/>
      <w:r w:rsidR="008B643D" w:rsidRPr="008B643D">
        <w:rPr>
          <w:rFonts w:ascii="標楷體" w:eastAsia="標楷體" w:hAnsi="標楷體" w:cstheme="minorBidi" w:hint="eastAsia"/>
          <w:szCs w:val="24"/>
        </w:rPr>
        <w:t>擬臺灣主權AI訓練語料授權條款，協助資料提供者與使用者間建立一套可行之授權機制，並</w:t>
      </w:r>
      <w:proofErr w:type="gramStart"/>
      <w:r w:rsidR="008B643D" w:rsidRPr="008B643D">
        <w:rPr>
          <w:rFonts w:ascii="標楷體" w:eastAsia="標楷體" w:hAnsi="標楷體" w:cstheme="minorBidi" w:hint="eastAsia"/>
          <w:szCs w:val="24"/>
        </w:rPr>
        <w:t>研</w:t>
      </w:r>
      <w:proofErr w:type="gramEnd"/>
      <w:r w:rsidR="008B643D" w:rsidRPr="008B643D">
        <w:rPr>
          <w:rFonts w:ascii="標楷體" w:eastAsia="標楷體" w:hAnsi="標楷體" w:cstheme="minorBidi" w:hint="eastAsia"/>
          <w:szCs w:val="24"/>
        </w:rPr>
        <w:t>提建構臺灣主權AI訓練語料庫行動計畫（草案），暨參酌各界建議完成促進資料創新利用發展條例（草案）之調修，提升AI使用資料之可利用性，擴大資料開放與共享；又因各界對生成式AI訓練資料有無著作權法合理使用之適用意見分歧，智財局將持續追蹤國際進展，進行法規調適，以維AI產業發展及創作者權益</w:t>
      </w:r>
      <w:proofErr w:type="gramStart"/>
      <w:r w:rsidR="008B643D" w:rsidRPr="008B643D">
        <w:rPr>
          <w:rFonts w:ascii="標楷體" w:eastAsia="標楷體" w:hAnsi="標楷體" w:cstheme="minorBidi" w:hint="eastAsia"/>
          <w:szCs w:val="24"/>
        </w:rPr>
        <w:t>間之衡平</w:t>
      </w:r>
      <w:proofErr w:type="gramEnd"/>
      <w:r w:rsidR="008B643D" w:rsidRPr="008B643D">
        <w:rPr>
          <w:rFonts w:ascii="標楷體" w:eastAsia="標楷體" w:hAnsi="標楷體" w:cstheme="minorBidi" w:hint="eastAsia"/>
          <w:szCs w:val="24"/>
        </w:rPr>
        <w:t>；另國研院建置之機器學習資料上傳平</w:t>
      </w:r>
      <w:proofErr w:type="gramStart"/>
      <w:r w:rsidR="008B643D" w:rsidRPr="008B643D">
        <w:rPr>
          <w:rFonts w:ascii="標楷體" w:eastAsia="標楷體" w:hAnsi="標楷體" w:cstheme="minorBidi" w:hint="eastAsia"/>
          <w:szCs w:val="24"/>
        </w:rPr>
        <w:t>臺</w:t>
      </w:r>
      <w:proofErr w:type="gramEnd"/>
      <w:r w:rsidR="008B643D" w:rsidRPr="008B643D">
        <w:rPr>
          <w:rFonts w:ascii="標楷體" w:eastAsia="標楷體" w:hAnsi="標楷體" w:cstheme="minorBidi" w:hint="eastAsia"/>
          <w:szCs w:val="24"/>
        </w:rPr>
        <w:t>，將配合模型開發需要，由計畫團隊主動聯繫相關公私部門，以合法取得資料檔案；至有關TAIDE模型開發人力部分，國科會將加強與產學</w:t>
      </w:r>
      <w:proofErr w:type="gramStart"/>
      <w:r w:rsidR="008B643D" w:rsidRPr="008B643D">
        <w:rPr>
          <w:rFonts w:ascii="標楷體" w:eastAsia="標楷體" w:hAnsi="標楷體" w:cstheme="minorBidi" w:hint="eastAsia"/>
          <w:szCs w:val="24"/>
        </w:rPr>
        <w:t>研</w:t>
      </w:r>
      <w:proofErr w:type="gramEnd"/>
      <w:r w:rsidR="008B643D" w:rsidRPr="008B643D">
        <w:rPr>
          <w:rFonts w:ascii="標楷體" w:eastAsia="標楷體" w:hAnsi="標楷體" w:cstheme="minorBidi" w:hint="eastAsia"/>
          <w:szCs w:val="24"/>
        </w:rPr>
        <w:t>單位合作，充實研發量能。</w:t>
      </w:r>
    </w:p>
    <w:p w14:paraId="1040F6EC" w14:textId="49EB79C7" w:rsidR="00F97851" w:rsidRPr="004E7221" w:rsidRDefault="00B5098C" w:rsidP="004E7221">
      <w:pPr>
        <w:overflowPunct w:val="0"/>
        <w:snapToGrid w:val="0"/>
        <w:spacing w:line="460" w:lineRule="exact"/>
        <w:ind w:firstLineChars="450" w:firstLine="1081"/>
        <w:jc w:val="both"/>
        <w:rPr>
          <w:rFonts w:ascii="標楷體" w:eastAsia="標楷體" w:hAnsi="標楷體" w:cstheme="minorBidi"/>
          <w:szCs w:val="24"/>
        </w:rPr>
      </w:pPr>
      <w:r w:rsidRPr="00B5098C">
        <w:rPr>
          <w:rFonts w:ascii="標楷體" w:eastAsia="標楷體" w:hAnsi="標楷體" w:cstheme="minorBidi" w:hint="eastAsia"/>
          <w:b/>
          <w:bCs/>
          <w:color w:val="000000" w:themeColor="text1"/>
          <w:szCs w:val="24"/>
        </w:rPr>
        <w:t>3.</w:t>
      </w:r>
      <w:r w:rsidRPr="00B5098C">
        <w:rPr>
          <w:rFonts w:ascii="標楷體" w:eastAsia="標楷體" w:hAnsi="標楷體" w:cs="標楷體" w:hint="eastAsia"/>
          <w:color w:val="000000" w:themeColor="text1"/>
          <w:kern w:val="52"/>
          <w:szCs w:val="32"/>
        </w:rPr>
        <w:t xml:space="preserve">　</w:t>
      </w:r>
      <w:r w:rsidRPr="00B5098C">
        <w:rPr>
          <w:rFonts w:ascii="標楷體" w:eastAsia="標楷體" w:hAnsi="標楷體" w:cstheme="minorBidi" w:hint="eastAsia"/>
          <w:b/>
          <w:bCs/>
          <w:color w:val="000000" w:themeColor="text1"/>
          <w:szCs w:val="24"/>
        </w:rPr>
        <w:t>政府規劃擴建</w:t>
      </w:r>
      <w:proofErr w:type="gramStart"/>
      <w:r w:rsidRPr="00B5098C">
        <w:rPr>
          <w:rFonts w:ascii="標楷體" w:eastAsia="標楷體" w:hAnsi="標楷體" w:cstheme="minorBidi" w:hint="eastAsia"/>
          <w:b/>
          <w:bCs/>
          <w:color w:val="000000" w:themeColor="text1"/>
          <w:szCs w:val="24"/>
        </w:rPr>
        <w:t>我國算力</w:t>
      </w:r>
      <w:proofErr w:type="gramEnd"/>
      <w:r w:rsidRPr="00B5098C">
        <w:rPr>
          <w:rFonts w:ascii="標楷體" w:eastAsia="標楷體" w:hAnsi="標楷體" w:cstheme="minorBidi" w:hint="eastAsia"/>
          <w:b/>
          <w:bCs/>
          <w:color w:val="000000" w:themeColor="text1"/>
          <w:szCs w:val="24"/>
        </w:rPr>
        <w:t>，</w:t>
      </w:r>
      <w:proofErr w:type="gramStart"/>
      <w:r w:rsidRPr="00B5098C">
        <w:rPr>
          <w:rFonts w:ascii="標楷體" w:eastAsia="標楷體" w:hAnsi="標楷體" w:cstheme="minorBidi" w:hint="eastAsia"/>
          <w:b/>
          <w:bCs/>
          <w:color w:val="000000" w:themeColor="text1"/>
          <w:szCs w:val="24"/>
        </w:rPr>
        <w:t>惟於預評估</w:t>
      </w:r>
      <w:proofErr w:type="gramEnd"/>
      <w:r w:rsidRPr="00B5098C">
        <w:rPr>
          <w:rFonts w:ascii="標楷體" w:eastAsia="標楷體" w:hAnsi="標楷體" w:cstheme="minorBidi" w:hint="eastAsia"/>
          <w:b/>
          <w:bCs/>
          <w:color w:val="000000" w:themeColor="text1"/>
          <w:szCs w:val="24"/>
        </w:rPr>
        <w:t>規劃階段未調查學</w:t>
      </w:r>
      <w:proofErr w:type="gramStart"/>
      <w:r w:rsidRPr="00B5098C">
        <w:rPr>
          <w:rFonts w:ascii="標楷體" w:eastAsia="標楷體" w:hAnsi="標楷體" w:cstheme="minorBidi" w:hint="eastAsia"/>
          <w:b/>
          <w:bCs/>
          <w:color w:val="000000" w:themeColor="text1"/>
          <w:szCs w:val="24"/>
        </w:rPr>
        <w:t>研</w:t>
      </w:r>
      <w:proofErr w:type="gramEnd"/>
      <w:r w:rsidRPr="00B5098C">
        <w:rPr>
          <w:rFonts w:ascii="標楷體" w:eastAsia="標楷體" w:hAnsi="標楷體" w:cstheme="minorBidi" w:hint="eastAsia"/>
          <w:b/>
          <w:bCs/>
          <w:color w:val="000000" w:themeColor="text1"/>
          <w:szCs w:val="24"/>
        </w:rPr>
        <w:t>、創新產業等主要使用者需求，難以精</w:t>
      </w:r>
      <w:proofErr w:type="gramStart"/>
      <w:r w:rsidRPr="00B5098C">
        <w:rPr>
          <w:rFonts w:ascii="標楷體" w:eastAsia="標楷體" w:hAnsi="標楷體" w:cstheme="minorBidi" w:hint="eastAsia"/>
          <w:b/>
          <w:bCs/>
          <w:color w:val="000000" w:themeColor="text1"/>
          <w:szCs w:val="24"/>
        </w:rPr>
        <w:t>準擘劃算力</w:t>
      </w:r>
      <w:proofErr w:type="gramEnd"/>
      <w:r w:rsidRPr="00B5098C">
        <w:rPr>
          <w:rFonts w:ascii="標楷體" w:eastAsia="標楷體" w:hAnsi="標楷體" w:cstheme="minorBidi" w:hint="eastAsia"/>
          <w:b/>
          <w:bCs/>
          <w:color w:val="000000" w:themeColor="text1"/>
          <w:szCs w:val="24"/>
        </w:rPr>
        <w:t>投資與配置策略，</w:t>
      </w:r>
      <w:proofErr w:type="gramStart"/>
      <w:r w:rsidRPr="00B5098C">
        <w:rPr>
          <w:rFonts w:ascii="標楷體" w:eastAsia="標楷體" w:hAnsi="標楷體" w:cstheme="minorBidi" w:hint="eastAsia"/>
          <w:b/>
          <w:bCs/>
          <w:color w:val="000000" w:themeColor="text1"/>
          <w:szCs w:val="24"/>
        </w:rPr>
        <w:t>間有行政院</w:t>
      </w:r>
      <w:proofErr w:type="gramEnd"/>
      <w:r w:rsidRPr="00B5098C">
        <w:rPr>
          <w:rFonts w:ascii="標楷體" w:eastAsia="標楷體" w:hAnsi="標楷體" w:cstheme="minorBidi" w:hint="eastAsia"/>
          <w:b/>
          <w:bCs/>
          <w:color w:val="000000" w:themeColor="text1"/>
          <w:szCs w:val="24"/>
        </w:rPr>
        <w:t>所屬機關（構）自建</w:t>
      </w:r>
      <w:proofErr w:type="gramStart"/>
      <w:r w:rsidRPr="00B5098C">
        <w:rPr>
          <w:rFonts w:ascii="標楷體" w:eastAsia="標楷體" w:hAnsi="標楷體" w:cstheme="minorBidi" w:hint="eastAsia"/>
          <w:b/>
          <w:bCs/>
          <w:color w:val="000000" w:themeColor="text1"/>
          <w:szCs w:val="24"/>
        </w:rPr>
        <w:t>之算力缺乏</w:t>
      </w:r>
      <w:proofErr w:type="gramEnd"/>
      <w:r w:rsidRPr="00B5098C">
        <w:rPr>
          <w:rFonts w:ascii="標楷體" w:eastAsia="標楷體" w:hAnsi="標楷體" w:cstheme="minorBidi" w:hint="eastAsia"/>
          <w:b/>
          <w:bCs/>
          <w:color w:val="000000" w:themeColor="text1"/>
          <w:szCs w:val="24"/>
        </w:rPr>
        <w:t>整合及共享策略，恐影響</w:t>
      </w:r>
      <w:proofErr w:type="gramStart"/>
      <w:r w:rsidRPr="00B5098C">
        <w:rPr>
          <w:rFonts w:ascii="標楷體" w:eastAsia="標楷體" w:hAnsi="標楷體" w:cstheme="minorBidi" w:hint="eastAsia"/>
          <w:b/>
          <w:bCs/>
          <w:color w:val="000000" w:themeColor="text1"/>
          <w:szCs w:val="24"/>
        </w:rPr>
        <w:t>政府算力資源</w:t>
      </w:r>
      <w:proofErr w:type="gramEnd"/>
      <w:r w:rsidRPr="00B5098C">
        <w:rPr>
          <w:rFonts w:ascii="標楷體" w:eastAsia="標楷體" w:hAnsi="標楷體" w:cstheme="minorBidi" w:hint="eastAsia"/>
          <w:b/>
          <w:bCs/>
          <w:color w:val="000000" w:themeColor="text1"/>
          <w:szCs w:val="24"/>
        </w:rPr>
        <w:t>運用效能：</w:t>
      </w:r>
      <w:r w:rsidRPr="00B5098C">
        <w:rPr>
          <w:rFonts w:ascii="標楷體" w:eastAsia="標楷體" w:hAnsi="標楷體" w:cstheme="minorBidi" w:hint="eastAsia"/>
          <w:bCs/>
          <w:szCs w:val="24"/>
        </w:rPr>
        <w:t>經濟合作暨發展組織（</w:t>
      </w:r>
      <w:proofErr w:type="spellStart"/>
      <w:r w:rsidRPr="00B5098C">
        <w:rPr>
          <w:rFonts w:ascii="標楷體" w:eastAsia="標楷體" w:hAnsi="標楷體" w:cstheme="minorBidi"/>
          <w:bCs/>
          <w:szCs w:val="24"/>
        </w:rPr>
        <w:t>Organisation</w:t>
      </w:r>
      <w:proofErr w:type="spellEnd"/>
      <w:r w:rsidRPr="00B5098C">
        <w:rPr>
          <w:rFonts w:ascii="標楷體" w:eastAsia="標楷體" w:hAnsi="標楷體" w:cstheme="minorBidi"/>
          <w:bCs/>
          <w:szCs w:val="24"/>
        </w:rPr>
        <w:t xml:space="preserve"> for Economic Co-operation and Development</w:t>
      </w:r>
      <w:r w:rsidRPr="00B5098C">
        <w:rPr>
          <w:rFonts w:ascii="標楷體" w:eastAsia="標楷體" w:hAnsi="標楷體" w:cstheme="minorBidi" w:hint="eastAsia"/>
          <w:bCs/>
          <w:szCs w:val="24"/>
        </w:rPr>
        <w:t>, OECD）</w:t>
      </w:r>
      <w:r w:rsidRPr="00B5098C">
        <w:rPr>
          <w:rFonts w:ascii="標楷體" w:eastAsia="標楷體" w:hAnsi="標楷體" w:cstheme="minorBidi" w:hint="eastAsia"/>
          <w:bCs/>
          <w:color w:val="000000" w:themeColor="text1"/>
          <w:szCs w:val="24"/>
        </w:rPr>
        <w:t>發布「建立國家級人工智慧運算能力藍圖」報告，旨在協助各國政府建立規劃與評估AI運算資源之政策框架，該報告建議各國政府</w:t>
      </w:r>
      <w:proofErr w:type="gramStart"/>
      <w:r w:rsidRPr="00B5098C">
        <w:rPr>
          <w:rFonts w:ascii="標楷體" w:eastAsia="標楷體" w:hAnsi="標楷體" w:cstheme="minorBidi" w:hint="eastAsia"/>
          <w:bCs/>
          <w:color w:val="000000" w:themeColor="text1"/>
          <w:szCs w:val="24"/>
        </w:rPr>
        <w:t>蒐集算力資源</w:t>
      </w:r>
      <w:proofErr w:type="gramEnd"/>
      <w:r w:rsidRPr="00B5098C">
        <w:rPr>
          <w:rFonts w:ascii="標楷體" w:eastAsia="標楷體" w:hAnsi="標楷體" w:cstheme="minorBidi" w:hint="eastAsia"/>
          <w:bCs/>
          <w:color w:val="000000" w:themeColor="text1"/>
          <w:szCs w:val="24"/>
        </w:rPr>
        <w:t>實際使用情形相關資料及辦理需求調查，據以分析研發、部署或運作等不同AI生命週期所</w:t>
      </w:r>
      <w:proofErr w:type="gramStart"/>
      <w:r w:rsidRPr="00B5098C">
        <w:rPr>
          <w:rFonts w:ascii="標楷體" w:eastAsia="標楷體" w:hAnsi="標楷體" w:cstheme="minorBidi" w:hint="eastAsia"/>
          <w:bCs/>
          <w:color w:val="000000" w:themeColor="text1"/>
          <w:szCs w:val="24"/>
        </w:rPr>
        <w:t>需算力，</w:t>
      </w:r>
      <w:r w:rsidRPr="00B5098C">
        <w:rPr>
          <w:rFonts w:ascii="標楷體" w:eastAsia="標楷體" w:hAnsi="標楷體" w:cstheme="minorBidi" w:hint="eastAsia"/>
          <w:bCs/>
          <w:color w:val="000000" w:themeColor="text1"/>
          <w:szCs w:val="24"/>
        </w:rPr>
        <w:lastRenderedPageBreak/>
        <w:t>俾</w:t>
      </w:r>
      <w:proofErr w:type="gramEnd"/>
      <w:r w:rsidRPr="00B5098C">
        <w:rPr>
          <w:rFonts w:ascii="標楷體" w:eastAsia="標楷體" w:hAnsi="標楷體" w:cstheme="minorBidi" w:hint="eastAsia"/>
          <w:bCs/>
          <w:color w:val="000000" w:themeColor="text1"/>
          <w:szCs w:val="24"/>
        </w:rPr>
        <w:t>利</w:t>
      </w:r>
      <w:proofErr w:type="gramStart"/>
      <w:r w:rsidRPr="00B5098C">
        <w:rPr>
          <w:rFonts w:ascii="標楷體" w:eastAsia="標楷體" w:hAnsi="標楷體" w:cstheme="minorBidi" w:hint="eastAsia"/>
          <w:bCs/>
          <w:color w:val="000000" w:themeColor="text1"/>
          <w:szCs w:val="24"/>
        </w:rPr>
        <w:t>擬定算力投資</w:t>
      </w:r>
      <w:proofErr w:type="gramEnd"/>
      <w:r w:rsidRPr="00B5098C">
        <w:rPr>
          <w:rFonts w:ascii="標楷體" w:eastAsia="標楷體" w:hAnsi="標楷體" w:cstheme="minorBidi" w:hint="eastAsia"/>
          <w:bCs/>
          <w:color w:val="000000" w:themeColor="text1"/>
          <w:szCs w:val="24"/>
        </w:rPr>
        <w:t>與配置相關策略，並倡議整合公私</w:t>
      </w:r>
      <w:proofErr w:type="gramStart"/>
      <w:r w:rsidRPr="00B5098C">
        <w:rPr>
          <w:rFonts w:ascii="標楷體" w:eastAsia="標楷體" w:hAnsi="標楷體" w:cstheme="minorBidi" w:hint="eastAsia"/>
          <w:bCs/>
          <w:color w:val="000000" w:themeColor="text1"/>
          <w:szCs w:val="24"/>
        </w:rPr>
        <w:t>部門算力資源</w:t>
      </w:r>
      <w:proofErr w:type="gramEnd"/>
      <w:r w:rsidRPr="00B5098C">
        <w:rPr>
          <w:rFonts w:ascii="標楷體" w:eastAsia="標楷體" w:hAnsi="標楷體" w:cstheme="minorBidi" w:hint="eastAsia"/>
          <w:bCs/>
          <w:color w:val="000000" w:themeColor="text1"/>
          <w:szCs w:val="24"/>
        </w:rPr>
        <w:t>，建立跨</w:t>
      </w:r>
      <w:proofErr w:type="gramStart"/>
      <w:r w:rsidRPr="00B5098C">
        <w:rPr>
          <w:rFonts w:ascii="標楷體" w:eastAsia="標楷體" w:hAnsi="標楷體" w:cstheme="minorBidi" w:hint="eastAsia"/>
          <w:bCs/>
          <w:color w:val="000000" w:themeColor="text1"/>
          <w:szCs w:val="24"/>
        </w:rPr>
        <w:t>領域算力共享</w:t>
      </w:r>
      <w:proofErr w:type="gramEnd"/>
      <w:r w:rsidRPr="00B5098C">
        <w:rPr>
          <w:rFonts w:ascii="標楷體" w:eastAsia="標楷體" w:hAnsi="標楷體" w:cstheme="minorBidi" w:hint="eastAsia"/>
          <w:bCs/>
          <w:color w:val="000000" w:themeColor="text1"/>
          <w:szCs w:val="24"/>
        </w:rPr>
        <w:t>網絡，減少不同領域間</w:t>
      </w:r>
      <w:proofErr w:type="gramStart"/>
      <w:r w:rsidRPr="00B5098C">
        <w:rPr>
          <w:rFonts w:ascii="標楷體" w:eastAsia="標楷體" w:hAnsi="標楷體" w:cstheme="minorBidi" w:hint="eastAsia"/>
          <w:bCs/>
          <w:color w:val="000000" w:themeColor="text1"/>
          <w:szCs w:val="24"/>
        </w:rPr>
        <w:t>之算力落差</w:t>
      </w:r>
      <w:proofErr w:type="gramEnd"/>
      <w:r w:rsidRPr="00B5098C">
        <w:rPr>
          <w:rFonts w:ascii="標楷體" w:eastAsia="標楷體" w:hAnsi="標楷體" w:cstheme="minorBidi" w:hint="eastAsia"/>
          <w:bCs/>
          <w:color w:val="000000" w:themeColor="text1"/>
          <w:szCs w:val="24"/>
        </w:rPr>
        <w:t>。經查，截至114年2月底止，行政院及所屬計有71個機關（構</w:t>
      </w:r>
      <w:r w:rsidRPr="00B5098C">
        <w:rPr>
          <w:rFonts w:ascii="標楷體" w:eastAsia="標楷體" w:hAnsi="標楷體" w:cstheme="minorBidi"/>
          <w:bCs/>
          <w:color w:val="000000" w:themeColor="text1"/>
          <w:szCs w:val="24"/>
        </w:rPr>
        <w:t>）</w:t>
      </w:r>
      <w:r w:rsidRPr="00B5098C">
        <w:rPr>
          <w:rFonts w:ascii="標楷體" w:eastAsia="標楷體" w:hAnsi="標楷體" w:cstheme="minorBidi" w:hint="eastAsia"/>
          <w:bCs/>
          <w:color w:val="000000" w:themeColor="text1"/>
          <w:szCs w:val="24"/>
        </w:rPr>
        <w:t xml:space="preserve">投入經費62億餘元，建置80.16 </w:t>
      </w:r>
      <w:proofErr w:type="spellStart"/>
      <w:r w:rsidRPr="00B5098C">
        <w:rPr>
          <w:rFonts w:ascii="標楷體" w:eastAsia="標楷體" w:hAnsi="標楷體" w:cstheme="minorBidi" w:hint="eastAsia"/>
          <w:bCs/>
          <w:color w:val="000000" w:themeColor="text1"/>
          <w:szCs w:val="24"/>
        </w:rPr>
        <w:t>PFlops</w:t>
      </w:r>
      <w:proofErr w:type="spellEnd"/>
      <w:r w:rsidRPr="00B5098C">
        <w:rPr>
          <w:rFonts w:ascii="標楷體" w:eastAsia="標楷體" w:hAnsi="標楷體" w:cstheme="minorBidi" w:hint="eastAsia"/>
          <w:bCs/>
          <w:szCs w:val="24"/>
        </w:rPr>
        <w:t>（每秒千萬億次浮點運算次數，Peta Floating-point operations per second</w:t>
      </w:r>
      <w:r w:rsidRPr="00B5098C">
        <w:rPr>
          <w:rFonts w:ascii="標楷體" w:eastAsia="標楷體" w:hAnsi="標楷體" w:cstheme="minorBidi"/>
          <w:bCs/>
          <w:szCs w:val="24"/>
        </w:rPr>
        <w:t xml:space="preserve">, </w:t>
      </w:r>
      <w:proofErr w:type="spellStart"/>
      <w:r w:rsidRPr="00B5098C">
        <w:rPr>
          <w:rFonts w:ascii="標楷體" w:eastAsia="標楷體" w:hAnsi="標楷體" w:cstheme="minorBidi" w:hint="eastAsia"/>
          <w:bCs/>
          <w:szCs w:val="24"/>
        </w:rPr>
        <w:t>PFlops</w:t>
      </w:r>
      <w:proofErr w:type="spellEnd"/>
      <w:r w:rsidRPr="00B5098C">
        <w:rPr>
          <w:rFonts w:ascii="標楷體" w:eastAsia="標楷體" w:hAnsi="標楷體" w:cstheme="minorBidi" w:hint="eastAsia"/>
          <w:bCs/>
          <w:szCs w:val="24"/>
        </w:rPr>
        <w:t>）</w:t>
      </w:r>
      <w:proofErr w:type="gramStart"/>
      <w:r w:rsidRPr="00B5098C">
        <w:rPr>
          <w:rFonts w:ascii="標楷體" w:eastAsia="標楷體" w:hAnsi="標楷體" w:cstheme="minorBidi" w:hint="eastAsia"/>
          <w:bCs/>
          <w:color w:val="000000" w:themeColor="text1"/>
          <w:szCs w:val="24"/>
        </w:rPr>
        <w:t>算力</w:t>
      </w:r>
      <w:proofErr w:type="gramEnd"/>
      <w:r w:rsidRPr="00B5098C">
        <w:rPr>
          <w:rFonts w:ascii="標楷體" w:eastAsia="標楷體" w:hAnsi="標楷體" w:cstheme="minorBidi" w:hint="eastAsia"/>
          <w:bCs/>
          <w:color w:val="000000" w:themeColor="text1"/>
          <w:szCs w:val="24"/>
        </w:rPr>
        <w:t>，以國研院國家高速網路與計算中心（下稱國網中心）最高，交通部中央</w:t>
      </w:r>
      <w:proofErr w:type="gramStart"/>
      <w:r w:rsidRPr="00B5098C">
        <w:rPr>
          <w:rFonts w:ascii="標楷體" w:eastAsia="標楷體" w:hAnsi="標楷體" w:cstheme="minorBidi" w:hint="eastAsia"/>
          <w:bCs/>
          <w:color w:val="000000" w:themeColor="text1"/>
          <w:szCs w:val="24"/>
        </w:rPr>
        <w:t>氣象署次之</w:t>
      </w:r>
      <w:proofErr w:type="gramEnd"/>
      <w:r w:rsidRPr="00B5098C">
        <w:rPr>
          <w:rFonts w:ascii="標楷體" w:eastAsia="標楷體" w:hAnsi="標楷體" w:cstheme="minorBidi" w:hint="eastAsia"/>
          <w:bCs/>
          <w:color w:val="000000" w:themeColor="text1"/>
          <w:szCs w:val="24"/>
        </w:rPr>
        <w:t>，國家中山科學研究院再次之</w:t>
      </w:r>
      <w:r w:rsidRPr="00ED2743">
        <w:rPr>
          <w:rFonts w:ascii="標楷體" w:eastAsia="標楷體" w:hAnsi="標楷體" w:cstheme="minorBidi" w:hint="eastAsia"/>
          <w:bCs/>
          <w:color w:val="000000" w:themeColor="text1"/>
          <w:szCs w:val="24"/>
        </w:rPr>
        <w:t>（表2</w:t>
      </w:r>
      <w:r w:rsidR="00545313" w:rsidRPr="00ED2743">
        <w:rPr>
          <w:rFonts w:ascii="標楷體" w:eastAsia="標楷體" w:hAnsi="標楷體" w:cstheme="minorBidi" w:hint="eastAsia"/>
          <w:bCs/>
          <w:color w:val="000000" w:themeColor="text1"/>
          <w:szCs w:val="24"/>
        </w:rPr>
        <w:t>1</w:t>
      </w:r>
      <w:r w:rsidRPr="00ED2743">
        <w:rPr>
          <w:rFonts w:ascii="標楷體" w:eastAsia="標楷體" w:hAnsi="標楷體" w:cstheme="minorBidi" w:hint="eastAsia"/>
          <w:bCs/>
          <w:color w:val="000000" w:themeColor="text1"/>
          <w:szCs w:val="24"/>
        </w:rPr>
        <w:t>），</w:t>
      </w:r>
      <w:r w:rsidRPr="00B5098C">
        <w:rPr>
          <w:rFonts w:ascii="標楷體" w:eastAsia="標楷體" w:hAnsi="標楷體" w:cstheme="minorBidi" w:hint="eastAsia"/>
          <w:bCs/>
          <w:color w:val="000000" w:themeColor="text1"/>
          <w:szCs w:val="24"/>
        </w:rPr>
        <w:t>其中國網中心及數</w:t>
      </w:r>
      <w:proofErr w:type="gramStart"/>
      <w:r w:rsidRPr="00B5098C">
        <w:rPr>
          <w:rFonts w:ascii="標楷體" w:eastAsia="標楷體" w:hAnsi="標楷體" w:cstheme="minorBidi" w:hint="eastAsia"/>
          <w:bCs/>
          <w:color w:val="000000" w:themeColor="text1"/>
          <w:szCs w:val="24"/>
        </w:rPr>
        <w:t>發部數</w:t>
      </w:r>
      <w:proofErr w:type="gramEnd"/>
      <w:r w:rsidR="008C7FE3" w:rsidRPr="00866851">
        <w:rPr>
          <w:rFonts w:ascii="標楷體" w:eastAsia="標楷體" w:hAnsi="標楷體"/>
          <w:noProof/>
        </w:rPr>
        <mc:AlternateContent>
          <mc:Choice Requires="wps">
            <w:drawing>
              <wp:anchor distT="45720" distB="45720" distL="114300" distR="114300" simplePos="0" relativeHeight="251685888" behindDoc="1" locked="0" layoutInCell="1" allowOverlap="1" wp14:anchorId="22D63B80" wp14:editId="558C692E">
                <wp:simplePos x="0" y="0"/>
                <wp:positionH relativeFrom="margin">
                  <wp:posOffset>1990090</wp:posOffset>
                </wp:positionH>
                <wp:positionV relativeFrom="page">
                  <wp:posOffset>2407920</wp:posOffset>
                </wp:positionV>
                <wp:extent cx="4298950" cy="4048125"/>
                <wp:effectExtent l="0" t="0" r="6350" b="9525"/>
                <wp:wrapTight wrapText="bothSides">
                  <wp:wrapPolygon edited="0">
                    <wp:start x="0" y="0"/>
                    <wp:lineTo x="0" y="21549"/>
                    <wp:lineTo x="21536" y="21549"/>
                    <wp:lineTo x="21536" y="0"/>
                    <wp:lineTo x="0" y="0"/>
                  </wp:wrapPolygon>
                </wp:wrapTight>
                <wp:docPr id="4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4048125"/>
                        </a:xfrm>
                        <a:prstGeom prst="rect">
                          <a:avLst/>
                        </a:prstGeom>
                        <a:solidFill>
                          <a:srgbClr val="FFFFFF"/>
                        </a:solidFill>
                        <a:ln w="9525">
                          <a:noFill/>
                          <a:miter lim="800000"/>
                          <a:headEnd/>
                          <a:tailEnd/>
                        </a:ln>
                      </wps:spPr>
                      <wps:txbx>
                        <w:txbxContent>
                          <w:p w14:paraId="3BB6A565" w14:textId="64113A51" w:rsidR="008915BA" w:rsidRPr="008915BA" w:rsidRDefault="008915BA" w:rsidP="008915BA">
                            <w:pPr>
                              <w:overflowPunct w:val="0"/>
                              <w:spacing w:afterLines="20" w:after="72" w:line="260" w:lineRule="exact"/>
                              <w:ind w:leftChars="-59" w:left="425" w:hangingChars="236" w:hanging="567"/>
                              <w:jc w:val="center"/>
                              <w:rPr>
                                <w:rFonts w:ascii="標楷體" w:eastAsia="標楷體" w:hAnsi="標楷體"/>
                                <w:b/>
                                <w:bCs/>
                                <w:szCs w:val="24"/>
                              </w:rPr>
                            </w:pPr>
                            <w:r w:rsidRPr="008915BA">
                              <w:rPr>
                                <w:rFonts w:ascii="標楷體" w:eastAsia="標楷體" w:hAnsi="標楷體"/>
                                <w:b/>
                                <w:bCs/>
                                <w:szCs w:val="24"/>
                              </w:rPr>
                              <w:t>表</w:t>
                            </w:r>
                            <w:r w:rsidRPr="008915BA">
                              <w:rPr>
                                <w:rFonts w:ascii="標楷體" w:eastAsia="標楷體" w:hAnsi="標楷體" w:hint="eastAsia"/>
                                <w:b/>
                                <w:bCs/>
                                <w:szCs w:val="24"/>
                              </w:rPr>
                              <w:t>2</w:t>
                            </w:r>
                            <w:r w:rsidRPr="008915BA">
                              <w:rPr>
                                <w:rFonts w:ascii="標楷體" w:eastAsia="標楷體" w:hAnsi="標楷體"/>
                                <w:b/>
                                <w:bCs/>
                                <w:szCs w:val="24"/>
                              </w:rPr>
                              <w:t>1</w:t>
                            </w:r>
                            <w:r w:rsidRPr="008915BA">
                              <w:rPr>
                                <w:rFonts w:ascii="標楷體" w:eastAsia="標楷體" w:hAnsi="標楷體" w:hint="eastAsia"/>
                                <w:b/>
                                <w:bCs/>
                                <w:szCs w:val="24"/>
                              </w:rPr>
                              <w:t xml:space="preserve">　行政院所屬機關及轄管公法</w:t>
                            </w:r>
                            <w:proofErr w:type="gramStart"/>
                            <w:r w:rsidRPr="008915BA">
                              <w:rPr>
                                <w:rFonts w:ascii="標楷體" w:eastAsia="標楷體" w:hAnsi="標楷體" w:hint="eastAsia"/>
                                <w:b/>
                                <w:bCs/>
                                <w:szCs w:val="24"/>
                              </w:rPr>
                              <w:t>人</w:t>
                            </w:r>
                            <w:r w:rsidRPr="008915BA">
                              <w:rPr>
                                <w:rFonts w:ascii="標楷體" w:eastAsia="標楷體" w:hAnsi="標楷體"/>
                                <w:b/>
                                <w:bCs/>
                                <w:szCs w:val="24"/>
                              </w:rPr>
                              <w:t>算力</w:t>
                            </w:r>
                            <w:r w:rsidRPr="008915BA">
                              <w:rPr>
                                <w:rFonts w:ascii="標楷體" w:eastAsia="標楷體" w:hAnsi="標楷體" w:hint="eastAsia"/>
                                <w:b/>
                                <w:bCs/>
                                <w:szCs w:val="24"/>
                              </w:rPr>
                              <w:t>資源</w:t>
                            </w:r>
                            <w:proofErr w:type="gramEnd"/>
                            <w:r w:rsidRPr="008915BA">
                              <w:rPr>
                                <w:rFonts w:ascii="標楷體" w:eastAsia="標楷體" w:hAnsi="標楷體" w:hint="eastAsia"/>
                                <w:b/>
                                <w:bCs/>
                                <w:szCs w:val="24"/>
                              </w:rPr>
                              <w:t>超過1</w:t>
                            </w:r>
                            <w:r w:rsidRPr="008915BA">
                              <w:rPr>
                                <w:rFonts w:ascii="標楷體" w:eastAsia="標楷體" w:hAnsi="標楷體"/>
                                <w:b/>
                                <w:szCs w:val="24"/>
                              </w:rPr>
                              <w:t xml:space="preserve"> </w:t>
                            </w:r>
                            <w:proofErr w:type="spellStart"/>
                            <w:r w:rsidRPr="008915BA">
                              <w:rPr>
                                <w:rFonts w:ascii="標楷體" w:eastAsia="標楷體" w:hAnsi="標楷體"/>
                                <w:b/>
                                <w:bCs/>
                                <w:szCs w:val="24"/>
                              </w:rPr>
                              <w:t>PFlops</w:t>
                            </w:r>
                            <w:proofErr w:type="spellEnd"/>
                          </w:p>
                          <w:p w14:paraId="68F3E237" w14:textId="77777777" w:rsidR="008915BA" w:rsidRPr="008915BA" w:rsidRDefault="008915BA" w:rsidP="008915BA">
                            <w:pPr>
                              <w:overflowPunct w:val="0"/>
                              <w:spacing w:afterLines="20" w:after="72" w:line="260" w:lineRule="exact"/>
                              <w:ind w:leftChars="177" w:left="425" w:firstLineChars="143" w:firstLine="344"/>
                              <w:rPr>
                                <w:rFonts w:ascii="標楷體" w:eastAsia="標楷體" w:hAnsi="標楷體"/>
                                <w:b/>
                                <w:bCs/>
                                <w:szCs w:val="24"/>
                              </w:rPr>
                            </w:pPr>
                            <w:r w:rsidRPr="008915BA">
                              <w:rPr>
                                <w:rFonts w:ascii="標楷體" w:eastAsia="標楷體" w:hAnsi="標楷體"/>
                                <w:b/>
                                <w:bCs/>
                                <w:szCs w:val="24"/>
                              </w:rPr>
                              <w:t>情形</w:t>
                            </w:r>
                          </w:p>
                          <w:p w14:paraId="6F3A3F9B" w14:textId="77777777" w:rsidR="008915BA" w:rsidRPr="008915BA" w:rsidRDefault="008915BA" w:rsidP="008915BA">
                            <w:pPr>
                              <w:overflowPunct w:val="0"/>
                              <w:spacing w:line="280" w:lineRule="exact"/>
                              <w:ind w:left="342" w:hangingChars="171" w:hanging="342"/>
                              <w:jc w:val="right"/>
                              <w:rPr>
                                <w:rFonts w:ascii="標楷體" w:eastAsia="標楷體" w:hAnsi="標楷體"/>
                                <w:b/>
                                <w:bCs/>
                                <w:szCs w:val="24"/>
                              </w:rPr>
                            </w:pPr>
                            <w:r w:rsidRPr="008915BA">
                              <w:rPr>
                                <w:rFonts w:ascii="標楷體" w:eastAsia="標楷體" w:hAnsi="標楷體" w:cs="Tahoma" w:hint="eastAsia"/>
                                <w:kern w:val="0"/>
                                <w:sz w:val="20"/>
                              </w:rPr>
                              <w:t>單位：新臺幣百萬元、</w:t>
                            </w:r>
                            <w:proofErr w:type="spellStart"/>
                            <w:r w:rsidRPr="008915BA">
                              <w:rPr>
                                <w:rFonts w:ascii="標楷體" w:eastAsia="標楷體" w:hAnsi="標楷體"/>
                                <w:bCs/>
                                <w:sz w:val="20"/>
                              </w:rPr>
                              <w:t>PFlops</w:t>
                            </w:r>
                            <w:proofErr w:type="spellEnd"/>
                          </w:p>
                          <w:tbl>
                            <w:tblPr>
                              <w:tblStyle w:val="afff"/>
                              <w:tblW w:w="6516" w:type="dxa"/>
                              <w:tblCellMar>
                                <w:left w:w="57" w:type="dxa"/>
                                <w:right w:w="57" w:type="dxa"/>
                              </w:tblCellMar>
                              <w:tblLook w:val="04A0" w:firstRow="1" w:lastRow="0" w:firstColumn="1" w:lastColumn="0" w:noHBand="0" w:noVBand="1"/>
                            </w:tblPr>
                            <w:tblGrid>
                              <w:gridCol w:w="2122"/>
                              <w:gridCol w:w="2268"/>
                              <w:gridCol w:w="996"/>
                              <w:gridCol w:w="1130"/>
                            </w:tblGrid>
                            <w:tr w:rsidR="008915BA" w:rsidRPr="008915BA" w14:paraId="0F4250EA" w14:textId="77777777" w:rsidTr="00E52603">
                              <w:trPr>
                                <w:trHeight w:val="20"/>
                                <w:tblHeader/>
                              </w:trPr>
                              <w:tc>
                                <w:tcPr>
                                  <w:tcW w:w="2122" w:type="dxa"/>
                                  <w:vAlign w:val="center"/>
                                </w:tcPr>
                                <w:p w14:paraId="28A6FF2B"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pacing w:val="-6"/>
                                      <w:sz w:val="20"/>
                                    </w:rPr>
                                    <w:t>建置單位名稱</w:t>
                                  </w:r>
                                </w:p>
                              </w:tc>
                              <w:tc>
                                <w:tcPr>
                                  <w:tcW w:w="2268" w:type="dxa"/>
                                  <w:vAlign w:val="center"/>
                                </w:tcPr>
                                <w:p w14:paraId="2997D0CA"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系統/機器名稱</w:t>
                                  </w:r>
                                </w:p>
                              </w:tc>
                              <w:tc>
                                <w:tcPr>
                                  <w:tcW w:w="996" w:type="dxa"/>
                                  <w:vAlign w:val="center"/>
                                </w:tcPr>
                                <w:p w14:paraId="4031A9C1"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設備</w:t>
                                  </w:r>
                                </w:p>
                                <w:p w14:paraId="4C4A18D2"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經費</w:t>
                                  </w:r>
                                </w:p>
                              </w:tc>
                              <w:tc>
                                <w:tcPr>
                                  <w:tcW w:w="1130" w:type="dxa"/>
                                  <w:vAlign w:val="center"/>
                                </w:tcPr>
                                <w:p w14:paraId="51A7039C"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效能理論值</w:t>
                                  </w:r>
                                </w:p>
                              </w:tc>
                            </w:tr>
                            <w:tr w:rsidR="008915BA" w:rsidRPr="008915BA" w14:paraId="06BBF1ED" w14:textId="77777777" w:rsidTr="00CD7811">
                              <w:trPr>
                                <w:trHeight w:val="20"/>
                                <w:tblHeader/>
                              </w:trPr>
                              <w:tc>
                                <w:tcPr>
                                  <w:tcW w:w="2122" w:type="dxa"/>
                                  <w:vMerge w:val="restart"/>
                                  <w:vAlign w:val="center"/>
                                </w:tcPr>
                                <w:p w14:paraId="7E26E14B" w14:textId="624BEBDD" w:rsidR="008915BA" w:rsidRPr="008915BA" w:rsidRDefault="000A6BBF" w:rsidP="00296ECE">
                                  <w:pPr>
                                    <w:overflowPunct w:val="0"/>
                                    <w:snapToGrid w:val="0"/>
                                    <w:spacing w:line="260" w:lineRule="exact"/>
                                    <w:rPr>
                                      <w:rFonts w:ascii="標楷體" w:eastAsia="標楷體" w:hAnsi="標楷體"/>
                                      <w:bCs/>
                                      <w:sz w:val="20"/>
                                    </w:rPr>
                                  </w:pPr>
                                  <w:r w:rsidRPr="000A6BBF">
                                    <w:rPr>
                                      <w:rFonts w:ascii="標楷體" w:eastAsia="標楷體" w:hAnsi="標楷體" w:hint="eastAsia"/>
                                      <w:bCs/>
                                      <w:sz w:val="20"/>
                                    </w:rPr>
                                    <w:t>財團法人國家實驗研究院國家高速網路與計算中心</w:t>
                                  </w:r>
                                </w:p>
                              </w:tc>
                              <w:tc>
                                <w:tcPr>
                                  <w:tcW w:w="2268" w:type="dxa"/>
                                  <w:vAlign w:val="center"/>
                                </w:tcPr>
                                <w:p w14:paraId="349DF49B" w14:textId="77777777" w:rsidR="008915BA" w:rsidRPr="008915BA" w:rsidRDefault="008915BA" w:rsidP="00AB394D">
                                  <w:pPr>
                                    <w:overflowPunct w:val="0"/>
                                    <w:snapToGrid w:val="0"/>
                                    <w:spacing w:line="260" w:lineRule="exact"/>
                                    <w:jc w:val="center"/>
                                    <w:rPr>
                                      <w:rFonts w:ascii="標楷體" w:eastAsia="標楷體" w:hAnsi="標楷體"/>
                                      <w:b/>
                                      <w:bCs/>
                                      <w:sz w:val="20"/>
                                    </w:rPr>
                                  </w:pPr>
                                  <w:r w:rsidRPr="008915BA">
                                    <w:rPr>
                                      <w:rFonts w:ascii="標楷體" w:eastAsia="標楷體" w:hAnsi="標楷體" w:hint="eastAsia"/>
                                      <w:b/>
                                      <w:bCs/>
                                      <w:sz w:val="20"/>
                                    </w:rPr>
                                    <w:t>合　　計</w:t>
                                  </w:r>
                                </w:p>
                              </w:tc>
                              <w:tc>
                                <w:tcPr>
                                  <w:tcW w:w="996" w:type="dxa"/>
                                  <w:vAlign w:val="center"/>
                                </w:tcPr>
                                <w:p w14:paraId="2ABDA99D"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3</w:t>
                                  </w:r>
                                  <w:r w:rsidRPr="008915BA">
                                    <w:rPr>
                                      <w:rFonts w:ascii="標楷體" w:eastAsia="標楷體" w:hAnsi="標楷體"/>
                                      <w:b/>
                                      <w:bCs/>
                                      <w:sz w:val="20"/>
                                    </w:rPr>
                                    <w:t>,912</w:t>
                                  </w:r>
                                </w:p>
                              </w:tc>
                              <w:tc>
                                <w:tcPr>
                                  <w:tcW w:w="1130" w:type="dxa"/>
                                  <w:vAlign w:val="center"/>
                                </w:tcPr>
                                <w:p w14:paraId="4920B491"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4</w:t>
                                  </w:r>
                                  <w:r w:rsidRPr="008915BA">
                                    <w:rPr>
                                      <w:rFonts w:ascii="標楷體" w:eastAsia="標楷體" w:hAnsi="標楷體"/>
                                      <w:b/>
                                      <w:bCs/>
                                      <w:sz w:val="20"/>
                                    </w:rPr>
                                    <w:t>3.39</w:t>
                                  </w:r>
                                </w:p>
                              </w:tc>
                            </w:tr>
                            <w:tr w:rsidR="008915BA" w:rsidRPr="008915BA" w14:paraId="1CBC4134" w14:textId="77777777" w:rsidTr="00CD7811">
                              <w:trPr>
                                <w:trHeight w:val="20"/>
                              </w:trPr>
                              <w:tc>
                                <w:tcPr>
                                  <w:tcW w:w="2122" w:type="dxa"/>
                                  <w:vMerge/>
                                  <w:vAlign w:val="center"/>
                                </w:tcPr>
                                <w:p w14:paraId="733CBD01"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7C2BBA22"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台灣</w:t>
                                  </w:r>
                                  <w:proofErr w:type="gramStart"/>
                                  <w:r w:rsidRPr="008915BA">
                                    <w:rPr>
                                      <w:rFonts w:ascii="標楷體" w:eastAsia="標楷體" w:hAnsi="標楷體" w:hint="eastAsia"/>
                                      <w:bCs/>
                                      <w:sz w:val="20"/>
                                    </w:rPr>
                                    <w:t>杉</w:t>
                                  </w:r>
                                  <w:proofErr w:type="gramEnd"/>
                                  <w:r w:rsidRPr="008915BA">
                                    <w:rPr>
                                      <w:rFonts w:ascii="標楷體" w:eastAsia="標楷體" w:hAnsi="標楷體" w:hint="eastAsia"/>
                                      <w:bCs/>
                                      <w:sz w:val="20"/>
                                    </w:rPr>
                                    <w:t>二號</w:t>
                                  </w:r>
                                </w:p>
                              </w:tc>
                              <w:tc>
                                <w:tcPr>
                                  <w:tcW w:w="996" w:type="dxa"/>
                                  <w:vAlign w:val="center"/>
                                </w:tcPr>
                                <w:p w14:paraId="3490A46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822</w:t>
                                  </w:r>
                                </w:p>
                              </w:tc>
                              <w:tc>
                                <w:tcPr>
                                  <w:tcW w:w="1130" w:type="dxa"/>
                                  <w:vAlign w:val="center"/>
                                </w:tcPr>
                                <w:p w14:paraId="2C0025F0"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15.21</w:t>
                                  </w:r>
                                </w:p>
                              </w:tc>
                            </w:tr>
                            <w:tr w:rsidR="008915BA" w:rsidRPr="008915BA" w14:paraId="200C2D4C" w14:textId="77777777" w:rsidTr="00CD7811">
                              <w:trPr>
                                <w:trHeight w:val="20"/>
                              </w:trPr>
                              <w:tc>
                                <w:tcPr>
                                  <w:tcW w:w="2122" w:type="dxa"/>
                                  <w:vMerge/>
                                  <w:vAlign w:val="center"/>
                                </w:tcPr>
                                <w:p w14:paraId="7D1E39A2"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0B960293"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台灣</w:t>
                                  </w:r>
                                  <w:proofErr w:type="gramStart"/>
                                  <w:r w:rsidRPr="008915BA">
                                    <w:rPr>
                                      <w:rFonts w:ascii="標楷體" w:eastAsia="標楷體" w:hAnsi="標楷體" w:hint="eastAsia"/>
                                      <w:bCs/>
                                      <w:sz w:val="20"/>
                                    </w:rPr>
                                    <w:t>杉</w:t>
                                  </w:r>
                                  <w:proofErr w:type="gramEnd"/>
                                  <w:r w:rsidRPr="008915BA">
                                    <w:rPr>
                                      <w:rFonts w:ascii="標楷體" w:eastAsia="標楷體" w:hAnsi="標楷體" w:hint="eastAsia"/>
                                      <w:bCs/>
                                      <w:sz w:val="20"/>
                                    </w:rPr>
                                    <w:t>三號</w:t>
                                  </w:r>
                                </w:p>
                              </w:tc>
                              <w:tc>
                                <w:tcPr>
                                  <w:tcW w:w="996" w:type="dxa"/>
                                  <w:vAlign w:val="center"/>
                                </w:tcPr>
                                <w:p w14:paraId="14ED8BA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8</w:t>
                                  </w:r>
                                  <w:r w:rsidRPr="008915BA">
                                    <w:rPr>
                                      <w:rFonts w:ascii="標楷體" w:eastAsia="標楷體" w:hAnsi="標楷體"/>
                                      <w:bCs/>
                                      <w:sz w:val="20"/>
                                    </w:rPr>
                                    <w:t>60</w:t>
                                  </w:r>
                                </w:p>
                              </w:tc>
                              <w:tc>
                                <w:tcPr>
                                  <w:tcW w:w="1130" w:type="dxa"/>
                                  <w:vAlign w:val="center"/>
                                </w:tcPr>
                                <w:p w14:paraId="78138618"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4.35</w:t>
                                  </w:r>
                                </w:p>
                              </w:tc>
                            </w:tr>
                            <w:tr w:rsidR="008915BA" w:rsidRPr="008915BA" w14:paraId="7B3A62DA" w14:textId="77777777" w:rsidTr="00CD7811">
                              <w:trPr>
                                <w:trHeight w:val="20"/>
                              </w:trPr>
                              <w:tc>
                                <w:tcPr>
                                  <w:tcW w:w="2122" w:type="dxa"/>
                                  <w:vMerge/>
                                  <w:vAlign w:val="center"/>
                                </w:tcPr>
                                <w:p w14:paraId="0E3289B7"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43D9E16F" w14:textId="77777777" w:rsidR="008915BA" w:rsidRPr="008915BA" w:rsidRDefault="008915BA" w:rsidP="000069C7">
                                  <w:pPr>
                                    <w:overflowPunct w:val="0"/>
                                    <w:snapToGrid w:val="0"/>
                                    <w:spacing w:line="260" w:lineRule="exact"/>
                                    <w:rPr>
                                      <w:rFonts w:ascii="標楷體" w:eastAsia="標楷體" w:hAnsi="標楷體"/>
                                      <w:bCs/>
                                      <w:sz w:val="20"/>
                                    </w:rPr>
                                  </w:pPr>
                                  <w:r w:rsidRPr="008915BA">
                                    <w:rPr>
                                      <w:rFonts w:ascii="標楷體" w:eastAsia="標楷體" w:hAnsi="標楷體" w:hint="eastAsia"/>
                                      <w:bCs/>
                                      <w:sz w:val="20"/>
                                    </w:rPr>
                                    <w:t>TAIDE 主機</w:t>
                                  </w:r>
                                </w:p>
                              </w:tc>
                              <w:tc>
                                <w:tcPr>
                                  <w:tcW w:w="996" w:type="dxa"/>
                                  <w:vAlign w:val="center"/>
                                </w:tcPr>
                                <w:p w14:paraId="18AA42C2"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110</w:t>
                                  </w:r>
                                </w:p>
                              </w:tc>
                              <w:tc>
                                <w:tcPr>
                                  <w:tcW w:w="1130" w:type="dxa"/>
                                  <w:vAlign w:val="center"/>
                                </w:tcPr>
                                <w:p w14:paraId="56CFC160"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3.83</w:t>
                                  </w:r>
                                </w:p>
                              </w:tc>
                            </w:tr>
                            <w:tr w:rsidR="008915BA" w:rsidRPr="008915BA" w14:paraId="3E614A15" w14:textId="77777777" w:rsidTr="00CD7811">
                              <w:trPr>
                                <w:trHeight w:val="20"/>
                              </w:trPr>
                              <w:tc>
                                <w:tcPr>
                                  <w:tcW w:w="2122" w:type="dxa"/>
                                  <w:vMerge/>
                                  <w:vAlign w:val="center"/>
                                </w:tcPr>
                                <w:p w14:paraId="09EF4361"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3AF88F38" w14:textId="77777777" w:rsidR="008915BA" w:rsidRPr="008915BA" w:rsidRDefault="008915BA" w:rsidP="000069C7">
                                  <w:pPr>
                                    <w:overflowPunct w:val="0"/>
                                    <w:snapToGrid w:val="0"/>
                                    <w:spacing w:line="260" w:lineRule="exact"/>
                                    <w:rPr>
                                      <w:rFonts w:ascii="標楷體" w:eastAsia="標楷體" w:hAnsi="標楷體"/>
                                      <w:bCs/>
                                      <w:sz w:val="20"/>
                                    </w:rPr>
                                  </w:pPr>
                                  <w:proofErr w:type="gramStart"/>
                                  <w:r w:rsidRPr="008915BA">
                                    <w:rPr>
                                      <w:rFonts w:ascii="標楷體" w:eastAsia="標楷體" w:hAnsi="標楷體" w:hint="eastAsia"/>
                                      <w:bCs/>
                                      <w:sz w:val="20"/>
                                    </w:rPr>
                                    <w:t>創進一號</w:t>
                                  </w:r>
                                  <w:proofErr w:type="gramEnd"/>
                                </w:p>
                              </w:tc>
                              <w:tc>
                                <w:tcPr>
                                  <w:tcW w:w="996" w:type="dxa"/>
                                  <w:vAlign w:val="center"/>
                                </w:tcPr>
                                <w:p w14:paraId="6C9B2CE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5</w:t>
                                  </w:r>
                                  <w:r w:rsidRPr="008915BA">
                                    <w:rPr>
                                      <w:rFonts w:ascii="標楷體" w:eastAsia="標楷體" w:hAnsi="標楷體"/>
                                      <w:bCs/>
                                      <w:sz w:val="20"/>
                                    </w:rPr>
                                    <w:t>02</w:t>
                                  </w:r>
                                </w:p>
                              </w:tc>
                              <w:tc>
                                <w:tcPr>
                                  <w:tcW w:w="1130" w:type="dxa"/>
                                  <w:vAlign w:val="center"/>
                                </w:tcPr>
                                <w:p w14:paraId="1816D11F"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4</w:t>
                                  </w:r>
                                </w:p>
                              </w:tc>
                            </w:tr>
                            <w:tr w:rsidR="008915BA" w:rsidRPr="008915BA" w14:paraId="5741798D" w14:textId="77777777" w:rsidTr="00CD7811">
                              <w:trPr>
                                <w:trHeight w:val="20"/>
                              </w:trPr>
                              <w:tc>
                                <w:tcPr>
                                  <w:tcW w:w="2122" w:type="dxa"/>
                                  <w:vMerge/>
                                  <w:vAlign w:val="center"/>
                                </w:tcPr>
                                <w:p w14:paraId="3563EDD5"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55A7D4ED" w14:textId="77777777" w:rsidR="008915BA" w:rsidRPr="008915BA" w:rsidRDefault="008915BA" w:rsidP="000069C7">
                                  <w:pPr>
                                    <w:overflowPunct w:val="0"/>
                                    <w:adjustRightInd w:val="0"/>
                                    <w:snapToGrid w:val="0"/>
                                    <w:spacing w:line="260" w:lineRule="exact"/>
                                    <w:rPr>
                                      <w:rFonts w:ascii="標楷體" w:eastAsia="標楷體" w:hAnsi="標楷體"/>
                                      <w:bCs/>
                                      <w:sz w:val="20"/>
                                    </w:rPr>
                                  </w:pPr>
                                  <w:proofErr w:type="gramStart"/>
                                  <w:r w:rsidRPr="008915BA">
                                    <w:rPr>
                                      <w:rFonts w:ascii="標楷體" w:eastAsia="標楷體" w:hAnsi="標楷體" w:hint="eastAsia"/>
                                      <w:bCs/>
                                      <w:sz w:val="20"/>
                                    </w:rPr>
                                    <w:t>晶創主機</w:t>
                                  </w:r>
                                  <w:proofErr w:type="gramEnd"/>
                                </w:p>
                              </w:tc>
                              <w:tc>
                                <w:tcPr>
                                  <w:tcW w:w="996" w:type="dxa"/>
                                  <w:vAlign w:val="center"/>
                                </w:tcPr>
                                <w:p w14:paraId="22A06C0E"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6</w:t>
                                  </w:r>
                                  <w:r w:rsidRPr="008915BA">
                                    <w:rPr>
                                      <w:rFonts w:ascii="標楷體" w:eastAsia="標楷體" w:hAnsi="標楷體"/>
                                      <w:bCs/>
                                      <w:sz w:val="20"/>
                                    </w:rPr>
                                    <w:t>17</w:t>
                                  </w:r>
                                </w:p>
                              </w:tc>
                              <w:tc>
                                <w:tcPr>
                                  <w:tcW w:w="1130" w:type="dxa"/>
                                  <w:vAlign w:val="center"/>
                                </w:tcPr>
                                <w:p w14:paraId="7F5E1466"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16</w:t>
                                  </w:r>
                                </w:p>
                              </w:tc>
                            </w:tr>
                            <w:tr w:rsidR="008915BA" w:rsidRPr="008915BA" w14:paraId="2C9576B7" w14:textId="77777777" w:rsidTr="0096754B">
                              <w:trPr>
                                <w:trHeight w:val="20"/>
                              </w:trPr>
                              <w:tc>
                                <w:tcPr>
                                  <w:tcW w:w="2122" w:type="dxa"/>
                                  <w:vMerge w:val="restart"/>
                                  <w:vAlign w:val="center"/>
                                </w:tcPr>
                                <w:p w14:paraId="05E0F0AA" w14:textId="77777777" w:rsidR="008915BA" w:rsidRPr="008915BA" w:rsidRDefault="008915BA" w:rsidP="00A16C9C">
                                  <w:pPr>
                                    <w:overflowPunct w:val="0"/>
                                    <w:snapToGrid w:val="0"/>
                                    <w:spacing w:line="260" w:lineRule="exact"/>
                                    <w:jc w:val="center"/>
                                    <w:rPr>
                                      <w:rFonts w:ascii="標楷體" w:eastAsia="標楷體" w:hAnsi="標楷體"/>
                                      <w:bCs/>
                                      <w:sz w:val="20"/>
                                    </w:rPr>
                                  </w:pPr>
                                  <w:r w:rsidRPr="008915BA">
                                    <w:rPr>
                                      <w:rFonts w:ascii="標楷體" w:eastAsia="標楷體" w:hAnsi="標楷體" w:hint="eastAsia"/>
                                      <w:bCs/>
                                      <w:sz w:val="20"/>
                                    </w:rPr>
                                    <w:t>交通部中央氣象署</w:t>
                                  </w:r>
                                </w:p>
                              </w:tc>
                              <w:tc>
                                <w:tcPr>
                                  <w:tcW w:w="2268" w:type="dxa"/>
                                  <w:vAlign w:val="center"/>
                                </w:tcPr>
                                <w:p w14:paraId="217D6674" w14:textId="77777777" w:rsidR="008915BA" w:rsidRPr="008915BA" w:rsidRDefault="008915BA" w:rsidP="00AB394D">
                                  <w:pPr>
                                    <w:overflowPunct w:val="0"/>
                                    <w:adjustRightInd w:val="0"/>
                                    <w:snapToGrid w:val="0"/>
                                    <w:spacing w:line="260" w:lineRule="exact"/>
                                    <w:jc w:val="center"/>
                                    <w:rPr>
                                      <w:rFonts w:ascii="標楷體" w:eastAsia="標楷體" w:hAnsi="標楷體"/>
                                      <w:bCs/>
                                      <w:sz w:val="20"/>
                                    </w:rPr>
                                  </w:pPr>
                                  <w:r w:rsidRPr="008915BA">
                                    <w:rPr>
                                      <w:rFonts w:ascii="標楷體" w:eastAsia="標楷體" w:hAnsi="標楷體" w:hint="eastAsia"/>
                                      <w:b/>
                                      <w:bCs/>
                                      <w:sz w:val="20"/>
                                    </w:rPr>
                                    <w:t>合　　計</w:t>
                                  </w:r>
                                </w:p>
                              </w:tc>
                              <w:tc>
                                <w:tcPr>
                                  <w:tcW w:w="996" w:type="dxa"/>
                                  <w:vAlign w:val="center"/>
                                </w:tcPr>
                                <w:p w14:paraId="62D0288F"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1,</w:t>
                                  </w:r>
                                  <w:r w:rsidRPr="008915BA">
                                    <w:rPr>
                                      <w:rFonts w:ascii="標楷體" w:eastAsia="標楷體" w:hAnsi="標楷體"/>
                                      <w:b/>
                                      <w:bCs/>
                                      <w:sz w:val="20"/>
                                    </w:rPr>
                                    <w:t>000</w:t>
                                  </w:r>
                                </w:p>
                              </w:tc>
                              <w:tc>
                                <w:tcPr>
                                  <w:tcW w:w="1130" w:type="dxa"/>
                                  <w:vAlign w:val="center"/>
                                </w:tcPr>
                                <w:p w14:paraId="66B0ED88"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b/>
                                      <w:bCs/>
                                      <w:sz w:val="20"/>
                                    </w:rPr>
                                    <w:t>21.32</w:t>
                                  </w:r>
                                </w:p>
                              </w:tc>
                            </w:tr>
                            <w:tr w:rsidR="008915BA" w:rsidRPr="008915BA" w14:paraId="1551DA2F" w14:textId="77777777" w:rsidTr="0096754B">
                              <w:trPr>
                                <w:trHeight w:val="20"/>
                              </w:trPr>
                              <w:tc>
                                <w:tcPr>
                                  <w:tcW w:w="2122" w:type="dxa"/>
                                  <w:vMerge/>
                                  <w:vAlign w:val="center"/>
                                </w:tcPr>
                                <w:p w14:paraId="7CF80B11"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52CD7B0B"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PRIMEHPC FX1000</w:t>
                                  </w:r>
                                </w:p>
                              </w:tc>
                              <w:tc>
                                <w:tcPr>
                                  <w:tcW w:w="996" w:type="dxa"/>
                                  <w:vMerge w:val="restart"/>
                                  <w:vAlign w:val="center"/>
                                </w:tcPr>
                                <w:p w14:paraId="2FF6362E"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000</w:t>
                                  </w:r>
                                </w:p>
                              </w:tc>
                              <w:tc>
                                <w:tcPr>
                                  <w:tcW w:w="1130" w:type="dxa"/>
                                  <w:vAlign w:val="center"/>
                                </w:tcPr>
                                <w:p w14:paraId="13894CBE"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19.46</w:t>
                                  </w:r>
                                </w:p>
                              </w:tc>
                            </w:tr>
                            <w:tr w:rsidR="008915BA" w:rsidRPr="008915BA" w14:paraId="30BE28AC" w14:textId="77777777" w:rsidTr="0096754B">
                              <w:trPr>
                                <w:trHeight w:val="20"/>
                              </w:trPr>
                              <w:tc>
                                <w:tcPr>
                                  <w:tcW w:w="2122" w:type="dxa"/>
                                  <w:vMerge/>
                                  <w:vAlign w:val="center"/>
                                </w:tcPr>
                                <w:p w14:paraId="002C09A8"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347B1792"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PRIMERGY GX2570 M6</w:t>
                                  </w:r>
                                </w:p>
                              </w:tc>
                              <w:tc>
                                <w:tcPr>
                                  <w:tcW w:w="996" w:type="dxa"/>
                                  <w:vMerge/>
                                  <w:vAlign w:val="center"/>
                                </w:tcPr>
                                <w:p w14:paraId="714415F4" w14:textId="77777777" w:rsidR="008915BA" w:rsidRPr="008915BA" w:rsidRDefault="008915BA" w:rsidP="000069C7">
                                  <w:pPr>
                                    <w:overflowPunct w:val="0"/>
                                    <w:snapToGrid w:val="0"/>
                                    <w:spacing w:line="260" w:lineRule="exact"/>
                                    <w:jc w:val="right"/>
                                    <w:rPr>
                                      <w:rFonts w:ascii="標楷體" w:eastAsia="標楷體" w:hAnsi="標楷體"/>
                                      <w:bCs/>
                                      <w:sz w:val="20"/>
                                    </w:rPr>
                                  </w:pPr>
                                </w:p>
                              </w:tc>
                              <w:tc>
                                <w:tcPr>
                                  <w:tcW w:w="1130" w:type="dxa"/>
                                  <w:vAlign w:val="center"/>
                                </w:tcPr>
                                <w:p w14:paraId="5C0B18AA"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1.86</w:t>
                                  </w:r>
                                </w:p>
                              </w:tc>
                            </w:tr>
                            <w:tr w:rsidR="008915BA" w:rsidRPr="008915BA" w14:paraId="03CC756D" w14:textId="77777777" w:rsidTr="008E5CD8">
                              <w:trPr>
                                <w:trHeight w:val="20"/>
                              </w:trPr>
                              <w:tc>
                                <w:tcPr>
                                  <w:tcW w:w="2122" w:type="dxa"/>
                                  <w:vMerge w:val="restart"/>
                                  <w:vAlign w:val="center"/>
                                </w:tcPr>
                                <w:p w14:paraId="0A2B0C14" w14:textId="77777777" w:rsidR="008915BA" w:rsidRPr="008915BA" w:rsidRDefault="008915BA" w:rsidP="00A16C9C">
                                  <w:pPr>
                                    <w:overflowPunct w:val="0"/>
                                    <w:snapToGrid w:val="0"/>
                                    <w:spacing w:line="260" w:lineRule="exact"/>
                                    <w:jc w:val="center"/>
                                    <w:rPr>
                                      <w:rFonts w:ascii="標楷體" w:eastAsia="標楷體" w:hAnsi="標楷體"/>
                                      <w:bCs/>
                                      <w:spacing w:val="-12"/>
                                      <w:sz w:val="20"/>
                                    </w:rPr>
                                  </w:pPr>
                                  <w:r w:rsidRPr="008915BA">
                                    <w:rPr>
                                      <w:rFonts w:ascii="標楷體" w:eastAsia="標楷體" w:hAnsi="標楷體" w:hint="eastAsia"/>
                                      <w:bCs/>
                                      <w:sz w:val="20"/>
                                    </w:rPr>
                                    <w:t>國家中山</w:t>
                                  </w:r>
                                  <w:r w:rsidRPr="008915BA">
                                    <w:rPr>
                                      <w:rFonts w:ascii="標楷體" w:eastAsia="標楷體" w:hAnsi="標楷體" w:hint="eastAsia"/>
                                      <w:bCs/>
                                      <w:spacing w:val="-12"/>
                                      <w:sz w:val="20"/>
                                    </w:rPr>
                                    <w:t>科學研究院</w:t>
                                  </w:r>
                                </w:p>
                              </w:tc>
                              <w:tc>
                                <w:tcPr>
                                  <w:tcW w:w="2268" w:type="dxa"/>
                                  <w:vAlign w:val="center"/>
                                </w:tcPr>
                                <w:p w14:paraId="307B1A95" w14:textId="77777777" w:rsidR="008915BA" w:rsidRPr="008915BA" w:rsidRDefault="008915BA" w:rsidP="00AB394D">
                                  <w:pPr>
                                    <w:overflowPunct w:val="0"/>
                                    <w:adjustRightInd w:val="0"/>
                                    <w:snapToGrid w:val="0"/>
                                    <w:spacing w:line="260" w:lineRule="exact"/>
                                    <w:jc w:val="center"/>
                                    <w:rPr>
                                      <w:rFonts w:ascii="標楷體" w:eastAsia="標楷體" w:hAnsi="標楷體"/>
                                      <w:bCs/>
                                      <w:sz w:val="20"/>
                                    </w:rPr>
                                  </w:pPr>
                                  <w:r w:rsidRPr="008915BA">
                                    <w:rPr>
                                      <w:rFonts w:ascii="標楷體" w:eastAsia="標楷體" w:hAnsi="標楷體" w:hint="eastAsia"/>
                                      <w:b/>
                                      <w:bCs/>
                                      <w:sz w:val="20"/>
                                    </w:rPr>
                                    <w:t>合　　計</w:t>
                                  </w:r>
                                </w:p>
                              </w:tc>
                              <w:tc>
                                <w:tcPr>
                                  <w:tcW w:w="996" w:type="dxa"/>
                                  <w:vAlign w:val="center"/>
                                </w:tcPr>
                                <w:p w14:paraId="7DB78C42"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6</w:t>
                                  </w:r>
                                  <w:r w:rsidRPr="008915BA">
                                    <w:rPr>
                                      <w:rFonts w:ascii="標楷體" w:eastAsia="標楷體" w:hAnsi="標楷體"/>
                                      <w:b/>
                                      <w:bCs/>
                                      <w:sz w:val="20"/>
                                    </w:rPr>
                                    <w:t>7</w:t>
                                  </w:r>
                                </w:p>
                              </w:tc>
                              <w:tc>
                                <w:tcPr>
                                  <w:tcW w:w="1130" w:type="dxa"/>
                                  <w:vAlign w:val="center"/>
                                </w:tcPr>
                                <w:p w14:paraId="058CC0C8"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1</w:t>
                                  </w:r>
                                  <w:r w:rsidRPr="008915BA">
                                    <w:rPr>
                                      <w:rFonts w:ascii="標楷體" w:eastAsia="標楷體" w:hAnsi="標楷體"/>
                                      <w:b/>
                                      <w:bCs/>
                                      <w:sz w:val="20"/>
                                    </w:rPr>
                                    <w:t>.82</w:t>
                                  </w:r>
                                </w:p>
                              </w:tc>
                            </w:tr>
                            <w:tr w:rsidR="008915BA" w:rsidRPr="008915BA" w14:paraId="33A970F5" w14:textId="77777777" w:rsidTr="008E5CD8">
                              <w:trPr>
                                <w:trHeight w:val="20"/>
                              </w:trPr>
                              <w:tc>
                                <w:tcPr>
                                  <w:tcW w:w="2122" w:type="dxa"/>
                                  <w:vMerge/>
                                  <w:vAlign w:val="center"/>
                                </w:tcPr>
                                <w:p w14:paraId="55C195FC"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7EA3D802"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H100</w:t>
                                  </w:r>
                                </w:p>
                              </w:tc>
                              <w:tc>
                                <w:tcPr>
                                  <w:tcW w:w="996" w:type="dxa"/>
                                  <w:vAlign w:val="center"/>
                                </w:tcPr>
                                <w:p w14:paraId="6EA2C168"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4</w:t>
                                  </w:r>
                                  <w:r w:rsidRPr="008915BA">
                                    <w:rPr>
                                      <w:rFonts w:ascii="標楷體" w:eastAsia="標楷體" w:hAnsi="標楷體"/>
                                      <w:bCs/>
                                      <w:sz w:val="20"/>
                                    </w:rPr>
                                    <w:t>5</w:t>
                                  </w:r>
                                </w:p>
                              </w:tc>
                              <w:tc>
                                <w:tcPr>
                                  <w:tcW w:w="1130" w:type="dxa"/>
                                  <w:vAlign w:val="center"/>
                                </w:tcPr>
                                <w:p w14:paraId="74E29635"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.60</w:t>
                                  </w:r>
                                </w:p>
                              </w:tc>
                            </w:tr>
                            <w:tr w:rsidR="008915BA" w:rsidRPr="008915BA" w14:paraId="443621D2" w14:textId="77777777" w:rsidTr="008E5CD8">
                              <w:trPr>
                                <w:trHeight w:val="20"/>
                              </w:trPr>
                              <w:tc>
                                <w:tcPr>
                                  <w:tcW w:w="2122" w:type="dxa"/>
                                  <w:vMerge/>
                                  <w:vAlign w:val="center"/>
                                </w:tcPr>
                                <w:p w14:paraId="065F2AAB"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0BF4966D"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RCS高階計算伺服器</w:t>
                                  </w:r>
                                </w:p>
                              </w:tc>
                              <w:tc>
                                <w:tcPr>
                                  <w:tcW w:w="996" w:type="dxa"/>
                                  <w:vAlign w:val="center"/>
                                </w:tcPr>
                                <w:p w14:paraId="413B7ED5"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8</w:t>
                                  </w:r>
                                </w:p>
                              </w:tc>
                              <w:tc>
                                <w:tcPr>
                                  <w:tcW w:w="1130" w:type="dxa"/>
                                  <w:vAlign w:val="center"/>
                                </w:tcPr>
                                <w:p w14:paraId="227D83CD"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0</w:t>
                                  </w:r>
                                  <w:r w:rsidRPr="008915BA">
                                    <w:rPr>
                                      <w:rFonts w:ascii="標楷體" w:eastAsia="標楷體" w:hAnsi="標楷體"/>
                                      <w:bCs/>
                                      <w:sz w:val="20"/>
                                    </w:rPr>
                                    <w:t>.014</w:t>
                                  </w:r>
                                </w:p>
                              </w:tc>
                            </w:tr>
                            <w:tr w:rsidR="008915BA" w:rsidRPr="008915BA" w14:paraId="548B3B50" w14:textId="77777777" w:rsidTr="008E5CD8">
                              <w:trPr>
                                <w:trHeight w:val="20"/>
                              </w:trPr>
                              <w:tc>
                                <w:tcPr>
                                  <w:tcW w:w="2122" w:type="dxa"/>
                                  <w:vMerge/>
                                  <w:vAlign w:val="center"/>
                                </w:tcPr>
                                <w:p w14:paraId="6BBC40AA"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3009AF9F"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影像辨識伺服器</w:t>
                                  </w:r>
                                </w:p>
                              </w:tc>
                              <w:tc>
                                <w:tcPr>
                                  <w:tcW w:w="996" w:type="dxa"/>
                                  <w:vAlign w:val="center"/>
                                </w:tcPr>
                                <w:p w14:paraId="7EA335F5"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5</w:t>
                                  </w:r>
                                </w:p>
                              </w:tc>
                              <w:tc>
                                <w:tcPr>
                                  <w:tcW w:w="1130" w:type="dxa"/>
                                  <w:vAlign w:val="center"/>
                                </w:tcPr>
                                <w:p w14:paraId="5659F7FB"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0</w:t>
                                  </w:r>
                                  <w:r w:rsidRPr="008915BA">
                                    <w:rPr>
                                      <w:rFonts w:ascii="標楷體" w:eastAsia="標楷體" w:hAnsi="標楷體"/>
                                      <w:bCs/>
                                      <w:sz w:val="20"/>
                                    </w:rPr>
                                    <w:t>.022</w:t>
                                  </w:r>
                                </w:p>
                              </w:tc>
                            </w:tr>
                            <w:tr w:rsidR="008915BA" w:rsidRPr="008915BA" w14:paraId="60D87ED9" w14:textId="77777777" w:rsidTr="008E5CD8">
                              <w:trPr>
                                <w:trHeight w:val="20"/>
                              </w:trPr>
                              <w:tc>
                                <w:tcPr>
                                  <w:tcW w:w="2122" w:type="dxa"/>
                                  <w:vMerge/>
                                  <w:vAlign w:val="center"/>
                                </w:tcPr>
                                <w:p w14:paraId="7C6F51D0"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55A28C07"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其他</w:t>
                                  </w:r>
                                </w:p>
                              </w:tc>
                              <w:tc>
                                <w:tcPr>
                                  <w:tcW w:w="996" w:type="dxa"/>
                                  <w:vAlign w:val="center"/>
                                </w:tcPr>
                                <w:p w14:paraId="57E2BEEF"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8</w:t>
                                  </w:r>
                                </w:p>
                              </w:tc>
                              <w:tc>
                                <w:tcPr>
                                  <w:tcW w:w="1130" w:type="dxa"/>
                                  <w:vAlign w:val="center"/>
                                </w:tcPr>
                                <w:p w14:paraId="30C3C13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0</w:t>
                                  </w:r>
                                  <w:r w:rsidRPr="008915BA">
                                    <w:rPr>
                                      <w:rFonts w:ascii="標楷體" w:eastAsia="標楷體" w:hAnsi="標楷體"/>
                                      <w:bCs/>
                                      <w:sz w:val="20"/>
                                    </w:rPr>
                                    <w:t>.18</w:t>
                                  </w:r>
                                </w:p>
                              </w:tc>
                            </w:tr>
                            <w:tr w:rsidR="008915BA" w:rsidRPr="008915BA" w14:paraId="5DFBB4DF" w14:textId="77777777" w:rsidTr="00A32D7B">
                              <w:trPr>
                                <w:trHeight w:val="20"/>
                              </w:trPr>
                              <w:tc>
                                <w:tcPr>
                                  <w:tcW w:w="2122" w:type="dxa"/>
                                  <w:vAlign w:val="center"/>
                                </w:tcPr>
                                <w:p w14:paraId="6C872E2F" w14:textId="7EC06115" w:rsidR="008915BA" w:rsidRPr="008915BA" w:rsidRDefault="00C6696E" w:rsidP="000069C7">
                                  <w:pPr>
                                    <w:overflowPunct w:val="0"/>
                                    <w:snapToGrid w:val="0"/>
                                    <w:spacing w:line="260" w:lineRule="exact"/>
                                    <w:jc w:val="center"/>
                                    <w:rPr>
                                      <w:rFonts w:ascii="標楷體" w:eastAsia="標楷體" w:hAnsi="標楷體"/>
                                      <w:bCs/>
                                      <w:sz w:val="20"/>
                                    </w:rPr>
                                  </w:pPr>
                                  <w:r>
                                    <w:rPr>
                                      <w:rFonts w:ascii="標楷體" w:eastAsia="標楷體" w:hAnsi="標楷體" w:hint="eastAsia"/>
                                      <w:bCs/>
                                      <w:sz w:val="20"/>
                                    </w:rPr>
                                    <w:t>數位發展部</w:t>
                                  </w:r>
                                  <w:r w:rsidR="008915BA" w:rsidRPr="008915BA">
                                    <w:rPr>
                                      <w:rFonts w:ascii="標楷體" w:eastAsia="標楷體" w:hAnsi="標楷體" w:hint="eastAsia"/>
                                      <w:bCs/>
                                      <w:sz w:val="20"/>
                                    </w:rPr>
                                    <w:t>數</w:t>
                                  </w:r>
                                  <w:r w:rsidR="000A6BBF">
                                    <w:rPr>
                                      <w:rFonts w:ascii="標楷體" w:eastAsia="標楷體" w:hAnsi="標楷體" w:hint="eastAsia"/>
                                      <w:bCs/>
                                      <w:sz w:val="20"/>
                                    </w:rPr>
                                    <w:t>位</w:t>
                                  </w:r>
                                  <w:r w:rsidR="008915BA" w:rsidRPr="008915BA">
                                    <w:rPr>
                                      <w:rFonts w:ascii="標楷體" w:eastAsia="標楷體" w:hAnsi="標楷體" w:hint="eastAsia"/>
                                      <w:bCs/>
                                      <w:sz w:val="20"/>
                                    </w:rPr>
                                    <w:t>產</w:t>
                                  </w:r>
                                  <w:r w:rsidR="000A6BBF">
                                    <w:rPr>
                                      <w:rFonts w:ascii="標楷體" w:eastAsia="標楷體" w:hAnsi="標楷體" w:hint="eastAsia"/>
                                      <w:bCs/>
                                      <w:sz w:val="20"/>
                                    </w:rPr>
                                    <w:t>業</w:t>
                                  </w:r>
                                  <w:r w:rsidR="008915BA" w:rsidRPr="008915BA">
                                    <w:rPr>
                                      <w:rFonts w:ascii="標楷體" w:eastAsia="標楷體" w:hAnsi="標楷體" w:hint="eastAsia"/>
                                      <w:bCs/>
                                      <w:sz w:val="20"/>
                                    </w:rPr>
                                    <w:t>署</w:t>
                                  </w:r>
                                </w:p>
                              </w:tc>
                              <w:tc>
                                <w:tcPr>
                                  <w:tcW w:w="2268" w:type="dxa"/>
                                  <w:vAlign w:val="center"/>
                                </w:tcPr>
                                <w:p w14:paraId="1903BBBC" w14:textId="77777777" w:rsidR="008915BA" w:rsidRPr="008915BA" w:rsidRDefault="008915BA" w:rsidP="000069C7">
                                  <w:pPr>
                                    <w:overflowPunct w:val="0"/>
                                    <w:adjustRightInd w:val="0"/>
                                    <w:snapToGrid w:val="0"/>
                                    <w:spacing w:line="260" w:lineRule="exact"/>
                                    <w:rPr>
                                      <w:rFonts w:ascii="標楷體" w:eastAsia="標楷體" w:hAnsi="標楷體"/>
                                      <w:bCs/>
                                      <w:sz w:val="20"/>
                                    </w:rPr>
                                  </w:pPr>
                                  <w:proofErr w:type="gramStart"/>
                                  <w:r w:rsidRPr="008915BA">
                                    <w:rPr>
                                      <w:rFonts w:ascii="標楷體" w:eastAsia="標楷體" w:hAnsi="標楷體" w:hint="eastAsia"/>
                                      <w:bCs/>
                                      <w:sz w:val="20"/>
                                    </w:rPr>
                                    <w:t>公建計畫</w:t>
                                  </w:r>
                                  <w:proofErr w:type="gramEnd"/>
                                  <w:r w:rsidRPr="008915BA">
                                    <w:rPr>
                                      <w:rFonts w:ascii="標楷體" w:eastAsia="標楷體" w:hAnsi="標楷體" w:hint="eastAsia"/>
                                      <w:bCs/>
                                      <w:sz w:val="20"/>
                                    </w:rPr>
                                    <w:t>AI</w:t>
                                  </w:r>
                                  <w:proofErr w:type="gramStart"/>
                                  <w:r w:rsidRPr="008915BA">
                                    <w:rPr>
                                      <w:rFonts w:ascii="標楷體" w:eastAsia="標楷體" w:hAnsi="標楷體" w:hint="eastAsia"/>
                                      <w:bCs/>
                                      <w:sz w:val="20"/>
                                    </w:rPr>
                                    <w:t>算力池</w:t>
                                  </w:r>
                                  <w:proofErr w:type="gramEnd"/>
                                </w:p>
                              </w:tc>
                              <w:tc>
                                <w:tcPr>
                                  <w:tcW w:w="996" w:type="dxa"/>
                                  <w:vAlign w:val="center"/>
                                </w:tcPr>
                                <w:p w14:paraId="3F45DC1C"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50</w:t>
                                  </w:r>
                                </w:p>
                              </w:tc>
                              <w:tc>
                                <w:tcPr>
                                  <w:tcW w:w="1130" w:type="dxa"/>
                                  <w:vAlign w:val="center"/>
                                </w:tcPr>
                                <w:p w14:paraId="7619FC94"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.58</w:t>
                                  </w:r>
                                </w:p>
                              </w:tc>
                            </w:tr>
                            <w:tr w:rsidR="008915BA" w:rsidRPr="008915BA" w14:paraId="66005154" w14:textId="77777777" w:rsidTr="00D934AC">
                              <w:trPr>
                                <w:trHeight w:val="20"/>
                              </w:trPr>
                              <w:tc>
                                <w:tcPr>
                                  <w:tcW w:w="2122" w:type="dxa"/>
                                  <w:vAlign w:val="center"/>
                                </w:tcPr>
                                <w:p w14:paraId="1C56B9A3"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國立陽明交通大學</w:t>
                                  </w:r>
                                </w:p>
                              </w:tc>
                              <w:tc>
                                <w:tcPr>
                                  <w:tcW w:w="2268" w:type="dxa"/>
                                  <w:vAlign w:val="center"/>
                                </w:tcPr>
                                <w:p w14:paraId="461C67E6"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DGX H100</w:t>
                                  </w:r>
                                  <w:r w:rsidRPr="008915BA">
                                    <w:rPr>
                                      <w:rFonts w:ascii="標楷體" w:eastAsia="標楷體" w:hAnsi="標楷體" w:hint="eastAsia"/>
                                      <w:bCs/>
                                      <w:sz w:val="20"/>
                                    </w:rPr>
                                    <w:t>、</w:t>
                                  </w:r>
                                  <w:r w:rsidRPr="008915BA">
                                    <w:rPr>
                                      <w:rFonts w:ascii="標楷體" w:eastAsia="標楷體" w:hAnsi="標楷體"/>
                                      <w:bCs/>
                                      <w:sz w:val="20"/>
                                    </w:rPr>
                                    <w:t>DGX H200</w:t>
                                  </w:r>
                                </w:p>
                              </w:tc>
                              <w:tc>
                                <w:tcPr>
                                  <w:tcW w:w="996" w:type="dxa"/>
                                  <w:vAlign w:val="center"/>
                                </w:tcPr>
                                <w:p w14:paraId="4ACAB98C"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4</w:t>
                                  </w:r>
                                  <w:r w:rsidRPr="008915BA">
                                    <w:rPr>
                                      <w:rFonts w:ascii="標楷體" w:eastAsia="標楷體" w:hAnsi="標楷體"/>
                                      <w:bCs/>
                                      <w:sz w:val="20"/>
                                    </w:rPr>
                                    <w:t>0</w:t>
                                  </w:r>
                                </w:p>
                              </w:tc>
                              <w:tc>
                                <w:tcPr>
                                  <w:tcW w:w="1130" w:type="dxa"/>
                                  <w:vAlign w:val="center"/>
                                </w:tcPr>
                                <w:p w14:paraId="5E3D0547"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36</w:t>
                                  </w:r>
                                </w:p>
                              </w:tc>
                            </w:tr>
                            <w:tr w:rsidR="008915BA" w:rsidRPr="008915BA" w14:paraId="6FDE9C10" w14:textId="77777777" w:rsidTr="0088227A">
                              <w:trPr>
                                <w:trHeight w:val="20"/>
                              </w:trPr>
                              <w:tc>
                                <w:tcPr>
                                  <w:tcW w:w="6516" w:type="dxa"/>
                                  <w:gridSpan w:val="4"/>
                                  <w:tcBorders>
                                    <w:left w:val="nil"/>
                                    <w:bottom w:val="nil"/>
                                    <w:right w:val="nil"/>
                                  </w:tcBorders>
                                </w:tcPr>
                                <w:p w14:paraId="353CE9DE" w14:textId="77777777" w:rsidR="008915BA" w:rsidRPr="008915BA" w:rsidRDefault="008915BA" w:rsidP="003C43DC">
                                  <w:pPr>
                                    <w:overflowPunct w:val="0"/>
                                    <w:snapToGrid w:val="0"/>
                                    <w:spacing w:line="220" w:lineRule="exact"/>
                                    <w:rPr>
                                      <w:rFonts w:ascii="標楷體" w:eastAsia="標楷體" w:hAnsi="標楷體"/>
                                      <w:bCs/>
                                      <w:sz w:val="18"/>
                                      <w:szCs w:val="18"/>
                                    </w:rPr>
                                  </w:pPr>
                                  <w:proofErr w:type="gramStart"/>
                                  <w:r w:rsidRPr="008915BA">
                                    <w:rPr>
                                      <w:rFonts w:ascii="標楷體" w:eastAsia="標楷體" w:hAnsi="標楷體" w:hint="eastAsia"/>
                                      <w:bCs/>
                                      <w:sz w:val="18"/>
                                      <w:szCs w:val="18"/>
                                    </w:rPr>
                                    <w:t>註</w:t>
                                  </w:r>
                                  <w:proofErr w:type="gramEnd"/>
                                  <w:r w:rsidRPr="008915BA">
                                    <w:rPr>
                                      <w:rFonts w:ascii="標楷體" w:eastAsia="標楷體" w:hAnsi="標楷體" w:hint="eastAsia"/>
                                      <w:bCs/>
                                      <w:sz w:val="18"/>
                                      <w:szCs w:val="18"/>
                                    </w:rPr>
                                    <w:t>：1.本表資料統計至114年2月底止。</w:t>
                                  </w:r>
                                </w:p>
                                <w:p w14:paraId="7CE4C821" w14:textId="77777777" w:rsidR="008915BA" w:rsidRPr="008915BA" w:rsidRDefault="008915BA" w:rsidP="003C43DC">
                                  <w:pPr>
                                    <w:overflowPunct w:val="0"/>
                                    <w:snapToGrid w:val="0"/>
                                    <w:spacing w:line="220" w:lineRule="exact"/>
                                    <w:ind w:leftChars="150" w:left="360"/>
                                    <w:jc w:val="both"/>
                                    <w:rPr>
                                      <w:rFonts w:ascii="標楷體" w:eastAsia="標楷體" w:hAnsi="標楷體"/>
                                      <w:bCs/>
                                      <w:sz w:val="18"/>
                                      <w:szCs w:val="18"/>
                                    </w:rPr>
                                  </w:pPr>
                                  <w:r w:rsidRPr="008915BA">
                                    <w:rPr>
                                      <w:rFonts w:ascii="標楷體" w:eastAsia="標楷體" w:hAnsi="標楷體"/>
                                      <w:bCs/>
                                      <w:sz w:val="18"/>
                                      <w:szCs w:val="18"/>
                                    </w:rPr>
                                    <w:t>2.資料來源：整理自</w:t>
                                  </w:r>
                                  <w:r w:rsidRPr="008915BA">
                                    <w:rPr>
                                      <w:rFonts w:ascii="標楷體" w:eastAsia="標楷體" w:hAnsi="標楷體" w:hint="eastAsia"/>
                                      <w:bCs/>
                                      <w:sz w:val="18"/>
                                      <w:szCs w:val="18"/>
                                    </w:rPr>
                                    <w:t>行政</w:t>
                                  </w:r>
                                  <w:r w:rsidRPr="008915BA">
                                    <w:rPr>
                                      <w:rFonts w:ascii="標楷體" w:eastAsia="標楷體" w:hAnsi="標楷體"/>
                                      <w:bCs/>
                                      <w:sz w:val="18"/>
                                      <w:szCs w:val="18"/>
                                    </w:rPr>
                                    <w:t>院及</w:t>
                                  </w:r>
                                  <w:proofErr w:type="gramStart"/>
                                  <w:r w:rsidRPr="008915BA">
                                    <w:rPr>
                                      <w:rFonts w:ascii="標楷體" w:eastAsia="標楷體" w:hAnsi="標楷體"/>
                                      <w:bCs/>
                                      <w:sz w:val="18"/>
                                      <w:szCs w:val="18"/>
                                    </w:rPr>
                                    <w:t>所屬查填</w:t>
                                  </w:r>
                                  <w:r w:rsidRPr="008915BA">
                                    <w:rPr>
                                      <w:rFonts w:ascii="標楷體" w:eastAsia="標楷體" w:hAnsi="標楷體" w:hint="eastAsia"/>
                                      <w:bCs/>
                                      <w:sz w:val="18"/>
                                      <w:szCs w:val="18"/>
                                    </w:rPr>
                                    <w:t>各</w:t>
                                  </w:r>
                                  <w:proofErr w:type="gramEnd"/>
                                  <w:r w:rsidRPr="008915BA">
                                    <w:rPr>
                                      <w:rFonts w:ascii="標楷體" w:eastAsia="標楷體" w:hAnsi="標楷體" w:hint="eastAsia"/>
                                      <w:bCs/>
                                      <w:sz w:val="18"/>
                                      <w:szCs w:val="18"/>
                                    </w:rPr>
                                    <w:t>機關</w:t>
                                  </w:r>
                                  <w:r w:rsidRPr="008915BA">
                                    <w:rPr>
                                      <w:rFonts w:ascii="標楷體" w:eastAsia="標楷體" w:hAnsi="標楷體"/>
                                      <w:bCs/>
                                      <w:sz w:val="18"/>
                                      <w:szCs w:val="18"/>
                                    </w:rPr>
                                    <w:t>之調查表。</w:t>
                                  </w:r>
                                </w:p>
                              </w:tc>
                            </w:tr>
                          </w:tbl>
                          <w:p w14:paraId="4A15F83D" w14:textId="77777777" w:rsidR="008915BA" w:rsidRPr="008915BA" w:rsidRDefault="008915BA" w:rsidP="008915B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63B80" id="_x0000_s1071" type="#_x0000_t202" style="position:absolute;left:0;text-align:left;margin-left:156.7pt;margin-top:189.6pt;width:338.5pt;height:318.75pt;z-index:-251630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" stroked="f">
                <v:textbox>
                  <w:txbxContent>
                    <w:p w14:paraId="3BB6A565" w14:textId="64113A51" w:rsidR="008915BA" w:rsidRPr="008915BA" w:rsidRDefault="008915BA" w:rsidP="008915BA">
                      <w:pPr>
                        <w:overflowPunct w:val="0"/>
                        <w:spacing w:afterLines="20" w:after="72" w:line="260" w:lineRule="exact"/>
                        <w:ind w:leftChars="-59" w:left="425" w:hangingChars="236" w:hanging="567"/>
                        <w:jc w:val="center"/>
                        <w:rPr>
                          <w:rFonts w:ascii="標楷體" w:eastAsia="標楷體" w:hAnsi="標楷體"/>
                          <w:b/>
                          <w:bCs/>
                          <w:szCs w:val="24"/>
                        </w:rPr>
                      </w:pPr>
                      <w:r w:rsidRPr="008915BA">
                        <w:rPr>
                          <w:rFonts w:ascii="標楷體" w:eastAsia="標楷體" w:hAnsi="標楷體"/>
                          <w:b/>
                          <w:bCs/>
                          <w:szCs w:val="24"/>
                        </w:rPr>
                        <w:t>表</w:t>
                      </w:r>
                      <w:r w:rsidRPr="008915BA">
                        <w:rPr>
                          <w:rFonts w:ascii="標楷體" w:eastAsia="標楷體" w:hAnsi="標楷體" w:hint="eastAsia"/>
                          <w:b/>
                          <w:bCs/>
                          <w:szCs w:val="24"/>
                        </w:rPr>
                        <w:t>2</w:t>
                      </w:r>
                      <w:r w:rsidRPr="008915BA">
                        <w:rPr>
                          <w:rFonts w:ascii="標楷體" w:eastAsia="標楷體" w:hAnsi="標楷體"/>
                          <w:b/>
                          <w:bCs/>
                          <w:szCs w:val="24"/>
                        </w:rPr>
                        <w:t>1</w:t>
                      </w:r>
                      <w:r w:rsidRPr="008915BA">
                        <w:rPr>
                          <w:rFonts w:ascii="標楷體" w:eastAsia="標楷體" w:hAnsi="標楷體" w:hint="eastAsia"/>
                          <w:b/>
                          <w:bCs/>
                          <w:szCs w:val="24"/>
                        </w:rPr>
                        <w:t xml:space="preserve">　行政院所屬機關及轄管公法</w:t>
                      </w:r>
                      <w:proofErr w:type="gramStart"/>
                      <w:r w:rsidRPr="008915BA">
                        <w:rPr>
                          <w:rFonts w:ascii="標楷體" w:eastAsia="標楷體" w:hAnsi="標楷體" w:hint="eastAsia"/>
                          <w:b/>
                          <w:bCs/>
                          <w:szCs w:val="24"/>
                        </w:rPr>
                        <w:t>人</w:t>
                      </w:r>
                      <w:r w:rsidRPr="008915BA">
                        <w:rPr>
                          <w:rFonts w:ascii="標楷體" w:eastAsia="標楷體" w:hAnsi="標楷體"/>
                          <w:b/>
                          <w:bCs/>
                          <w:szCs w:val="24"/>
                        </w:rPr>
                        <w:t>算力</w:t>
                      </w:r>
                      <w:r w:rsidRPr="008915BA">
                        <w:rPr>
                          <w:rFonts w:ascii="標楷體" w:eastAsia="標楷體" w:hAnsi="標楷體" w:hint="eastAsia"/>
                          <w:b/>
                          <w:bCs/>
                          <w:szCs w:val="24"/>
                        </w:rPr>
                        <w:t>資源</w:t>
                      </w:r>
                      <w:proofErr w:type="gramEnd"/>
                      <w:r w:rsidRPr="008915BA">
                        <w:rPr>
                          <w:rFonts w:ascii="標楷體" w:eastAsia="標楷體" w:hAnsi="標楷體" w:hint="eastAsia"/>
                          <w:b/>
                          <w:bCs/>
                          <w:szCs w:val="24"/>
                        </w:rPr>
                        <w:t>超過1</w:t>
                      </w:r>
                      <w:r w:rsidRPr="008915BA">
                        <w:rPr>
                          <w:rFonts w:ascii="標楷體" w:eastAsia="標楷體" w:hAnsi="標楷體"/>
                          <w:b/>
                          <w:szCs w:val="24"/>
                        </w:rPr>
                        <w:t xml:space="preserve"> </w:t>
                      </w:r>
                      <w:proofErr w:type="spellStart"/>
                      <w:r w:rsidRPr="008915BA">
                        <w:rPr>
                          <w:rFonts w:ascii="標楷體" w:eastAsia="標楷體" w:hAnsi="標楷體"/>
                          <w:b/>
                          <w:bCs/>
                          <w:szCs w:val="24"/>
                        </w:rPr>
                        <w:t>PFlops</w:t>
                      </w:r>
                      <w:proofErr w:type="spellEnd"/>
                    </w:p>
                    <w:p w14:paraId="68F3E237" w14:textId="77777777" w:rsidR="008915BA" w:rsidRPr="008915BA" w:rsidRDefault="008915BA" w:rsidP="008915BA">
                      <w:pPr>
                        <w:overflowPunct w:val="0"/>
                        <w:spacing w:afterLines="20" w:after="72" w:line="260" w:lineRule="exact"/>
                        <w:ind w:leftChars="177" w:left="425" w:firstLineChars="143" w:firstLine="344"/>
                        <w:rPr>
                          <w:rFonts w:ascii="標楷體" w:eastAsia="標楷體" w:hAnsi="標楷體"/>
                          <w:b/>
                          <w:bCs/>
                          <w:szCs w:val="24"/>
                        </w:rPr>
                      </w:pPr>
                      <w:r w:rsidRPr="008915BA">
                        <w:rPr>
                          <w:rFonts w:ascii="標楷體" w:eastAsia="標楷體" w:hAnsi="標楷體"/>
                          <w:b/>
                          <w:bCs/>
                          <w:szCs w:val="24"/>
                        </w:rPr>
                        <w:t>情形</w:t>
                      </w:r>
                    </w:p>
                    <w:p w14:paraId="6F3A3F9B" w14:textId="77777777" w:rsidR="008915BA" w:rsidRPr="008915BA" w:rsidRDefault="008915BA" w:rsidP="008915BA">
                      <w:pPr>
                        <w:overflowPunct w:val="0"/>
                        <w:spacing w:line="280" w:lineRule="exact"/>
                        <w:ind w:left="342" w:hangingChars="171" w:hanging="342"/>
                        <w:jc w:val="right"/>
                        <w:rPr>
                          <w:rFonts w:ascii="標楷體" w:eastAsia="標楷體" w:hAnsi="標楷體"/>
                          <w:b/>
                          <w:bCs/>
                          <w:szCs w:val="24"/>
                        </w:rPr>
                      </w:pPr>
                      <w:r w:rsidRPr="008915BA">
                        <w:rPr>
                          <w:rFonts w:ascii="標楷體" w:eastAsia="標楷體" w:hAnsi="標楷體" w:cs="Tahoma" w:hint="eastAsia"/>
                          <w:kern w:val="0"/>
                          <w:sz w:val="20"/>
                        </w:rPr>
                        <w:t>單位：新臺幣百萬元、</w:t>
                      </w:r>
                      <w:proofErr w:type="spellStart"/>
                      <w:r w:rsidRPr="008915BA">
                        <w:rPr>
                          <w:rFonts w:ascii="標楷體" w:eastAsia="標楷體" w:hAnsi="標楷體"/>
                          <w:bCs/>
                          <w:sz w:val="20"/>
                        </w:rPr>
                        <w:t>PFlops</w:t>
                      </w:r>
                      <w:proofErr w:type="spellEnd"/>
                    </w:p>
                    <w:tbl>
                      <w:tblPr>
                        <w:tblStyle w:val="afff"/>
                        <w:tblW w:w="6516" w:type="dxa"/>
                        <w:tblCellMar>
                          <w:left w:w="57" w:type="dxa"/>
                          <w:right w:w="57" w:type="dxa"/>
                        </w:tblCellMar>
                        <w:tblLook w:val="04A0" w:firstRow="1" w:lastRow="0" w:firstColumn="1" w:lastColumn="0" w:noHBand="0" w:noVBand="1"/>
                      </w:tblPr>
                      <w:tblGrid>
                        <w:gridCol w:w="2122"/>
                        <w:gridCol w:w="2268"/>
                        <w:gridCol w:w="996"/>
                        <w:gridCol w:w="1130"/>
                      </w:tblGrid>
                      <w:tr w:rsidR="008915BA" w:rsidRPr="008915BA" w14:paraId="0F4250EA" w14:textId="77777777" w:rsidTr="00E52603">
                        <w:trPr>
                          <w:trHeight w:val="20"/>
                          <w:tblHeader/>
                        </w:trPr>
                        <w:tc>
                          <w:tcPr>
                            <w:tcW w:w="2122" w:type="dxa"/>
                            <w:vAlign w:val="center"/>
                          </w:tcPr>
                          <w:p w14:paraId="28A6FF2B"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pacing w:val="-6"/>
                                <w:sz w:val="20"/>
                              </w:rPr>
                              <w:t>建置單位名稱</w:t>
                            </w:r>
                          </w:p>
                        </w:tc>
                        <w:tc>
                          <w:tcPr>
                            <w:tcW w:w="2268" w:type="dxa"/>
                            <w:vAlign w:val="center"/>
                          </w:tcPr>
                          <w:p w14:paraId="2997D0CA"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系統/機器名稱</w:t>
                            </w:r>
                          </w:p>
                        </w:tc>
                        <w:tc>
                          <w:tcPr>
                            <w:tcW w:w="996" w:type="dxa"/>
                            <w:vAlign w:val="center"/>
                          </w:tcPr>
                          <w:p w14:paraId="4031A9C1"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設備</w:t>
                            </w:r>
                          </w:p>
                          <w:p w14:paraId="4C4A18D2"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經費</w:t>
                            </w:r>
                          </w:p>
                        </w:tc>
                        <w:tc>
                          <w:tcPr>
                            <w:tcW w:w="1130" w:type="dxa"/>
                            <w:vAlign w:val="center"/>
                          </w:tcPr>
                          <w:p w14:paraId="51A7039C"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效能理論值</w:t>
                            </w:r>
                          </w:p>
                        </w:tc>
                      </w:tr>
                      <w:tr w:rsidR="008915BA" w:rsidRPr="008915BA" w14:paraId="06BBF1ED" w14:textId="77777777" w:rsidTr="00CD7811">
                        <w:trPr>
                          <w:trHeight w:val="20"/>
                          <w:tblHeader/>
                        </w:trPr>
                        <w:tc>
                          <w:tcPr>
                            <w:tcW w:w="2122" w:type="dxa"/>
                            <w:vMerge w:val="restart"/>
                            <w:vAlign w:val="center"/>
                          </w:tcPr>
                          <w:p w14:paraId="7E26E14B" w14:textId="624BEBDD" w:rsidR="008915BA" w:rsidRPr="008915BA" w:rsidRDefault="000A6BBF" w:rsidP="00296ECE">
                            <w:pPr>
                              <w:overflowPunct w:val="0"/>
                              <w:snapToGrid w:val="0"/>
                              <w:spacing w:line="260" w:lineRule="exact"/>
                              <w:rPr>
                                <w:rFonts w:ascii="標楷體" w:eastAsia="標楷體" w:hAnsi="標楷體"/>
                                <w:bCs/>
                                <w:sz w:val="20"/>
                              </w:rPr>
                            </w:pPr>
                            <w:r w:rsidRPr="000A6BBF">
                              <w:rPr>
                                <w:rFonts w:ascii="標楷體" w:eastAsia="標楷體" w:hAnsi="標楷體" w:hint="eastAsia"/>
                                <w:bCs/>
                                <w:sz w:val="20"/>
                              </w:rPr>
                              <w:t>財團法人國家實驗研究院國家高速網路與計算中心</w:t>
                            </w:r>
                          </w:p>
                        </w:tc>
                        <w:tc>
                          <w:tcPr>
                            <w:tcW w:w="2268" w:type="dxa"/>
                            <w:vAlign w:val="center"/>
                          </w:tcPr>
                          <w:p w14:paraId="349DF49B" w14:textId="77777777" w:rsidR="008915BA" w:rsidRPr="008915BA" w:rsidRDefault="008915BA" w:rsidP="00AB394D">
                            <w:pPr>
                              <w:overflowPunct w:val="0"/>
                              <w:snapToGrid w:val="0"/>
                              <w:spacing w:line="260" w:lineRule="exact"/>
                              <w:jc w:val="center"/>
                              <w:rPr>
                                <w:rFonts w:ascii="標楷體" w:eastAsia="標楷體" w:hAnsi="標楷體"/>
                                <w:b/>
                                <w:bCs/>
                                <w:sz w:val="20"/>
                              </w:rPr>
                            </w:pPr>
                            <w:r w:rsidRPr="008915BA">
                              <w:rPr>
                                <w:rFonts w:ascii="標楷體" w:eastAsia="標楷體" w:hAnsi="標楷體" w:hint="eastAsia"/>
                                <w:b/>
                                <w:bCs/>
                                <w:sz w:val="20"/>
                              </w:rPr>
                              <w:t>合　　計</w:t>
                            </w:r>
                          </w:p>
                        </w:tc>
                        <w:tc>
                          <w:tcPr>
                            <w:tcW w:w="996" w:type="dxa"/>
                            <w:vAlign w:val="center"/>
                          </w:tcPr>
                          <w:p w14:paraId="2ABDA99D"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3</w:t>
                            </w:r>
                            <w:r w:rsidRPr="008915BA">
                              <w:rPr>
                                <w:rFonts w:ascii="標楷體" w:eastAsia="標楷體" w:hAnsi="標楷體"/>
                                <w:b/>
                                <w:bCs/>
                                <w:sz w:val="20"/>
                              </w:rPr>
                              <w:t>,912</w:t>
                            </w:r>
                          </w:p>
                        </w:tc>
                        <w:tc>
                          <w:tcPr>
                            <w:tcW w:w="1130" w:type="dxa"/>
                            <w:vAlign w:val="center"/>
                          </w:tcPr>
                          <w:p w14:paraId="4920B491"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4</w:t>
                            </w:r>
                            <w:r w:rsidRPr="008915BA">
                              <w:rPr>
                                <w:rFonts w:ascii="標楷體" w:eastAsia="標楷體" w:hAnsi="標楷體"/>
                                <w:b/>
                                <w:bCs/>
                                <w:sz w:val="20"/>
                              </w:rPr>
                              <w:t>3.39</w:t>
                            </w:r>
                          </w:p>
                        </w:tc>
                      </w:tr>
                      <w:tr w:rsidR="008915BA" w:rsidRPr="008915BA" w14:paraId="1CBC4134" w14:textId="77777777" w:rsidTr="00CD7811">
                        <w:trPr>
                          <w:trHeight w:val="20"/>
                        </w:trPr>
                        <w:tc>
                          <w:tcPr>
                            <w:tcW w:w="2122" w:type="dxa"/>
                            <w:vMerge/>
                            <w:vAlign w:val="center"/>
                          </w:tcPr>
                          <w:p w14:paraId="733CBD01"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7C2BBA22"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台灣</w:t>
                            </w:r>
                            <w:proofErr w:type="gramStart"/>
                            <w:r w:rsidRPr="008915BA">
                              <w:rPr>
                                <w:rFonts w:ascii="標楷體" w:eastAsia="標楷體" w:hAnsi="標楷體" w:hint="eastAsia"/>
                                <w:bCs/>
                                <w:sz w:val="20"/>
                              </w:rPr>
                              <w:t>杉</w:t>
                            </w:r>
                            <w:proofErr w:type="gramEnd"/>
                            <w:r w:rsidRPr="008915BA">
                              <w:rPr>
                                <w:rFonts w:ascii="標楷體" w:eastAsia="標楷體" w:hAnsi="標楷體" w:hint="eastAsia"/>
                                <w:bCs/>
                                <w:sz w:val="20"/>
                              </w:rPr>
                              <w:t>二號</w:t>
                            </w:r>
                          </w:p>
                        </w:tc>
                        <w:tc>
                          <w:tcPr>
                            <w:tcW w:w="996" w:type="dxa"/>
                            <w:vAlign w:val="center"/>
                          </w:tcPr>
                          <w:p w14:paraId="3490A46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822</w:t>
                            </w:r>
                          </w:p>
                        </w:tc>
                        <w:tc>
                          <w:tcPr>
                            <w:tcW w:w="1130" w:type="dxa"/>
                            <w:vAlign w:val="center"/>
                          </w:tcPr>
                          <w:p w14:paraId="2C0025F0"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15.21</w:t>
                            </w:r>
                          </w:p>
                        </w:tc>
                      </w:tr>
                      <w:tr w:rsidR="008915BA" w:rsidRPr="008915BA" w14:paraId="200C2D4C" w14:textId="77777777" w:rsidTr="00CD7811">
                        <w:trPr>
                          <w:trHeight w:val="20"/>
                        </w:trPr>
                        <w:tc>
                          <w:tcPr>
                            <w:tcW w:w="2122" w:type="dxa"/>
                            <w:vMerge/>
                            <w:vAlign w:val="center"/>
                          </w:tcPr>
                          <w:p w14:paraId="7D1E39A2"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0B960293"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台灣</w:t>
                            </w:r>
                            <w:proofErr w:type="gramStart"/>
                            <w:r w:rsidRPr="008915BA">
                              <w:rPr>
                                <w:rFonts w:ascii="標楷體" w:eastAsia="標楷體" w:hAnsi="標楷體" w:hint="eastAsia"/>
                                <w:bCs/>
                                <w:sz w:val="20"/>
                              </w:rPr>
                              <w:t>杉</w:t>
                            </w:r>
                            <w:proofErr w:type="gramEnd"/>
                            <w:r w:rsidRPr="008915BA">
                              <w:rPr>
                                <w:rFonts w:ascii="標楷體" w:eastAsia="標楷體" w:hAnsi="標楷體" w:hint="eastAsia"/>
                                <w:bCs/>
                                <w:sz w:val="20"/>
                              </w:rPr>
                              <w:t>三號</w:t>
                            </w:r>
                          </w:p>
                        </w:tc>
                        <w:tc>
                          <w:tcPr>
                            <w:tcW w:w="996" w:type="dxa"/>
                            <w:vAlign w:val="center"/>
                          </w:tcPr>
                          <w:p w14:paraId="14ED8BA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8</w:t>
                            </w:r>
                            <w:r w:rsidRPr="008915BA">
                              <w:rPr>
                                <w:rFonts w:ascii="標楷體" w:eastAsia="標楷體" w:hAnsi="標楷體"/>
                                <w:bCs/>
                                <w:sz w:val="20"/>
                              </w:rPr>
                              <w:t>60</w:t>
                            </w:r>
                          </w:p>
                        </w:tc>
                        <w:tc>
                          <w:tcPr>
                            <w:tcW w:w="1130" w:type="dxa"/>
                            <w:vAlign w:val="center"/>
                          </w:tcPr>
                          <w:p w14:paraId="78138618"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4.35</w:t>
                            </w:r>
                          </w:p>
                        </w:tc>
                      </w:tr>
                      <w:tr w:rsidR="008915BA" w:rsidRPr="008915BA" w14:paraId="7B3A62DA" w14:textId="77777777" w:rsidTr="00CD7811">
                        <w:trPr>
                          <w:trHeight w:val="20"/>
                        </w:trPr>
                        <w:tc>
                          <w:tcPr>
                            <w:tcW w:w="2122" w:type="dxa"/>
                            <w:vMerge/>
                            <w:vAlign w:val="center"/>
                          </w:tcPr>
                          <w:p w14:paraId="0E3289B7"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43D9E16F" w14:textId="77777777" w:rsidR="008915BA" w:rsidRPr="008915BA" w:rsidRDefault="008915BA" w:rsidP="000069C7">
                            <w:pPr>
                              <w:overflowPunct w:val="0"/>
                              <w:snapToGrid w:val="0"/>
                              <w:spacing w:line="260" w:lineRule="exact"/>
                              <w:rPr>
                                <w:rFonts w:ascii="標楷體" w:eastAsia="標楷體" w:hAnsi="標楷體"/>
                                <w:bCs/>
                                <w:sz w:val="20"/>
                              </w:rPr>
                            </w:pPr>
                            <w:r w:rsidRPr="008915BA">
                              <w:rPr>
                                <w:rFonts w:ascii="標楷體" w:eastAsia="標楷體" w:hAnsi="標楷體" w:hint="eastAsia"/>
                                <w:bCs/>
                                <w:sz w:val="20"/>
                              </w:rPr>
                              <w:t>TAIDE 主機</w:t>
                            </w:r>
                          </w:p>
                        </w:tc>
                        <w:tc>
                          <w:tcPr>
                            <w:tcW w:w="996" w:type="dxa"/>
                            <w:vAlign w:val="center"/>
                          </w:tcPr>
                          <w:p w14:paraId="18AA42C2"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110</w:t>
                            </w:r>
                          </w:p>
                        </w:tc>
                        <w:tc>
                          <w:tcPr>
                            <w:tcW w:w="1130" w:type="dxa"/>
                            <w:vAlign w:val="center"/>
                          </w:tcPr>
                          <w:p w14:paraId="56CFC160"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3.83</w:t>
                            </w:r>
                          </w:p>
                        </w:tc>
                      </w:tr>
                      <w:tr w:rsidR="008915BA" w:rsidRPr="008915BA" w14:paraId="3E614A15" w14:textId="77777777" w:rsidTr="00CD7811">
                        <w:trPr>
                          <w:trHeight w:val="20"/>
                        </w:trPr>
                        <w:tc>
                          <w:tcPr>
                            <w:tcW w:w="2122" w:type="dxa"/>
                            <w:vMerge/>
                            <w:vAlign w:val="center"/>
                          </w:tcPr>
                          <w:p w14:paraId="09EF4361"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3AF88F38" w14:textId="77777777" w:rsidR="008915BA" w:rsidRPr="008915BA" w:rsidRDefault="008915BA" w:rsidP="000069C7">
                            <w:pPr>
                              <w:overflowPunct w:val="0"/>
                              <w:snapToGrid w:val="0"/>
                              <w:spacing w:line="260" w:lineRule="exact"/>
                              <w:rPr>
                                <w:rFonts w:ascii="標楷體" w:eastAsia="標楷體" w:hAnsi="標楷體"/>
                                <w:bCs/>
                                <w:sz w:val="20"/>
                              </w:rPr>
                            </w:pPr>
                            <w:proofErr w:type="gramStart"/>
                            <w:r w:rsidRPr="008915BA">
                              <w:rPr>
                                <w:rFonts w:ascii="標楷體" w:eastAsia="標楷體" w:hAnsi="標楷體" w:hint="eastAsia"/>
                                <w:bCs/>
                                <w:sz w:val="20"/>
                              </w:rPr>
                              <w:t>創進一號</w:t>
                            </w:r>
                            <w:proofErr w:type="gramEnd"/>
                          </w:p>
                        </w:tc>
                        <w:tc>
                          <w:tcPr>
                            <w:tcW w:w="996" w:type="dxa"/>
                            <w:vAlign w:val="center"/>
                          </w:tcPr>
                          <w:p w14:paraId="6C9B2CE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5</w:t>
                            </w:r>
                            <w:r w:rsidRPr="008915BA">
                              <w:rPr>
                                <w:rFonts w:ascii="標楷體" w:eastAsia="標楷體" w:hAnsi="標楷體"/>
                                <w:bCs/>
                                <w:sz w:val="20"/>
                              </w:rPr>
                              <w:t>02</w:t>
                            </w:r>
                          </w:p>
                        </w:tc>
                        <w:tc>
                          <w:tcPr>
                            <w:tcW w:w="1130" w:type="dxa"/>
                            <w:vAlign w:val="center"/>
                          </w:tcPr>
                          <w:p w14:paraId="1816D11F"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4</w:t>
                            </w:r>
                          </w:p>
                        </w:tc>
                      </w:tr>
                      <w:tr w:rsidR="008915BA" w:rsidRPr="008915BA" w14:paraId="5741798D" w14:textId="77777777" w:rsidTr="00CD7811">
                        <w:trPr>
                          <w:trHeight w:val="20"/>
                        </w:trPr>
                        <w:tc>
                          <w:tcPr>
                            <w:tcW w:w="2122" w:type="dxa"/>
                            <w:vMerge/>
                            <w:vAlign w:val="center"/>
                          </w:tcPr>
                          <w:p w14:paraId="3563EDD5"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55A7D4ED" w14:textId="77777777" w:rsidR="008915BA" w:rsidRPr="008915BA" w:rsidRDefault="008915BA" w:rsidP="000069C7">
                            <w:pPr>
                              <w:overflowPunct w:val="0"/>
                              <w:adjustRightInd w:val="0"/>
                              <w:snapToGrid w:val="0"/>
                              <w:spacing w:line="260" w:lineRule="exact"/>
                              <w:rPr>
                                <w:rFonts w:ascii="標楷體" w:eastAsia="標楷體" w:hAnsi="標楷體"/>
                                <w:bCs/>
                                <w:sz w:val="20"/>
                              </w:rPr>
                            </w:pPr>
                            <w:proofErr w:type="gramStart"/>
                            <w:r w:rsidRPr="008915BA">
                              <w:rPr>
                                <w:rFonts w:ascii="標楷體" w:eastAsia="標楷體" w:hAnsi="標楷體" w:hint="eastAsia"/>
                                <w:bCs/>
                                <w:sz w:val="20"/>
                              </w:rPr>
                              <w:t>晶創主機</w:t>
                            </w:r>
                            <w:proofErr w:type="gramEnd"/>
                          </w:p>
                        </w:tc>
                        <w:tc>
                          <w:tcPr>
                            <w:tcW w:w="996" w:type="dxa"/>
                            <w:vAlign w:val="center"/>
                          </w:tcPr>
                          <w:p w14:paraId="22A06C0E"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6</w:t>
                            </w:r>
                            <w:r w:rsidRPr="008915BA">
                              <w:rPr>
                                <w:rFonts w:ascii="標楷體" w:eastAsia="標楷體" w:hAnsi="標楷體"/>
                                <w:bCs/>
                                <w:sz w:val="20"/>
                              </w:rPr>
                              <w:t>17</w:t>
                            </w:r>
                          </w:p>
                        </w:tc>
                        <w:tc>
                          <w:tcPr>
                            <w:tcW w:w="1130" w:type="dxa"/>
                            <w:vAlign w:val="center"/>
                          </w:tcPr>
                          <w:p w14:paraId="7F5E1466"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16</w:t>
                            </w:r>
                          </w:p>
                        </w:tc>
                      </w:tr>
                      <w:tr w:rsidR="008915BA" w:rsidRPr="008915BA" w14:paraId="2C9576B7" w14:textId="77777777" w:rsidTr="0096754B">
                        <w:trPr>
                          <w:trHeight w:val="20"/>
                        </w:trPr>
                        <w:tc>
                          <w:tcPr>
                            <w:tcW w:w="2122" w:type="dxa"/>
                            <w:vMerge w:val="restart"/>
                            <w:vAlign w:val="center"/>
                          </w:tcPr>
                          <w:p w14:paraId="05E0F0AA" w14:textId="77777777" w:rsidR="008915BA" w:rsidRPr="008915BA" w:rsidRDefault="008915BA" w:rsidP="00A16C9C">
                            <w:pPr>
                              <w:overflowPunct w:val="0"/>
                              <w:snapToGrid w:val="0"/>
                              <w:spacing w:line="260" w:lineRule="exact"/>
                              <w:jc w:val="center"/>
                              <w:rPr>
                                <w:rFonts w:ascii="標楷體" w:eastAsia="標楷體" w:hAnsi="標楷體"/>
                                <w:bCs/>
                                <w:sz w:val="20"/>
                              </w:rPr>
                            </w:pPr>
                            <w:r w:rsidRPr="008915BA">
                              <w:rPr>
                                <w:rFonts w:ascii="標楷體" w:eastAsia="標楷體" w:hAnsi="標楷體" w:hint="eastAsia"/>
                                <w:bCs/>
                                <w:sz w:val="20"/>
                              </w:rPr>
                              <w:t>交通部中央氣象署</w:t>
                            </w:r>
                          </w:p>
                        </w:tc>
                        <w:tc>
                          <w:tcPr>
                            <w:tcW w:w="2268" w:type="dxa"/>
                            <w:vAlign w:val="center"/>
                          </w:tcPr>
                          <w:p w14:paraId="217D6674" w14:textId="77777777" w:rsidR="008915BA" w:rsidRPr="008915BA" w:rsidRDefault="008915BA" w:rsidP="00AB394D">
                            <w:pPr>
                              <w:overflowPunct w:val="0"/>
                              <w:adjustRightInd w:val="0"/>
                              <w:snapToGrid w:val="0"/>
                              <w:spacing w:line="260" w:lineRule="exact"/>
                              <w:jc w:val="center"/>
                              <w:rPr>
                                <w:rFonts w:ascii="標楷體" w:eastAsia="標楷體" w:hAnsi="標楷體"/>
                                <w:bCs/>
                                <w:sz w:val="20"/>
                              </w:rPr>
                            </w:pPr>
                            <w:r w:rsidRPr="008915BA">
                              <w:rPr>
                                <w:rFonts w:ascii="標楷體" w:eastAsia="標楷體" w:hAnsi="標楷體" w:hint="eastAsia"/>
                                <w:b/>
                                <w:bCs/>
                                <w:sz w:val="20"/>
                              </w:rPr>
                              <w:t>合　　計</w:t>
                            </w:r>
                          </w:p>
                        </w:tc>
                        <w:tc>
                          <w:tcPr>
                            <w:tcW w:w="996" w:type="dxa"/>
                            <w:vAlign w:val="center"/>
                          </w:tcPr>
                          <w:p w14:paraId="62D0288F"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1,</w:t>
                            </w:r>
                            <w:r w:rsidRPr="008915BA">
                              <w:rPr>
                                <w:rFonts w:ascii="標楷體" w:eastAsia="標楷體" w:hAnsi="標楷體"/>
                                <w:b/>
                                <w:bCs/>
                                <w:sz w:val="20"/>
                              </w:rPr>
                              <w:t>000</w:t>
                            </w:r>
                          </w:p>
                        </w:tc>
                        <w:tc>
                          <w:tcPr>
                            <w:tcW w:w="1130" w:type="dxa"/>
                            <w:vAlign w:val="center"/>
                          </w:tcPr>
                          <w:p w14:paraId="66B0ED88"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b/>
                                <w:bCs/>
                                <w:sz w:val="20"/>
                              </w:rPr>
                              <w:t>21.32</w:t>
                            </w:r>
                          </w:p>
                        </w:tc>
                      </w:tr>
                      <w:tr w:rsidR="008915BA" w:rsidRPr="008915BA" w14:paraId="1551DA2F" w14:textId="77777777" w:rsidTr="0096754B">
                        <w:trPr>
                          <w:trHeight w:val="20"/>
                        </w:trPr>
                        <w:tc>
                          <w:tcPr>
                            <w:tcW w:w="2122" w:type="dxa"/>
                            <w:vMerge/>
                            <w:vAlign w:val="center"/>
                          </w:tcPr>
                          <w:p w14:paraId="7CF80B11"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52CD7B0B"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PRIMEHPC FX1000</w:t>
                            </w:r>
                          </w:p>
                        </w:tc>
                        <w:tc>
                          <w:tcPr>
                            <w:tcW w:w="996" w:type="dxa"/>
                            <w:vMerge w:val="restart"/>
                            <w:vAlign w:val="center"/>
                          </w:tcPr>
                          <w:p w14:paraId="2FF6362E"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000</w:t>
                            </w:r>
                          </w:p>
                        </w:tc>
                        <w:tc>
                          <w:tcPr>
                            <w:tcW w:w="1130" w:type="dxa"/>
                            <w:vAlign w:val="center"/>
                          </w:tcPr>
                          <w:p w14:paraId="13894CBE"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19.46</w:t>
                            </w:r>
                          </w:p>
                        </w:tc>
                      </w:tr>
                      <w:tr w:rsidR="008915BA" w:rsidRPr="008915BA" w14:paraId="30BE28AC" w14:textId="77777777" w:rsidTr="0096754B">
                        <w:trPr>
                          <w:trHeight w:val="20"/>
                        </w:trPr>
                        <w:tc>
                          <w:tcPr>
                            <w:tcW w:w="2122" w:type="dxa"/>
                            <w:vMerge/>
                            <w:vAlign w:val="center"/>
                          </w:tcPr>
                          <w:p w14:paraId="002C09A8"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347B1792"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PRIMERGY GX2570 M6</w:t>
                            </w:r>
                          </w:p>
                        </w:tc>
                        <w:tc>
                          <w:tcPr>
                            <w:tcW w:w="996" w:type="dxa"/>
                            <w:vMerge/>
                            <w:vAlign w:val="center"/>
                          </w:tcPr>
                          <w:p w14:paraId="714415F4" w14:textId="77777777" w:rsidR="008915BA" w:rsidRPr="008915BA" w:rsidRDefault="008915BA" w:rsidP="000069C7">
                            <w:pPr>
                              <w:overflowPunct w:val="0"/>
                              <w:snapToGrid w:val="0"/>
                              <w:spacing w:line="260" w:lineRule="exact"/>
                              <w:jc w:val="right"/>
                              <w:rPr>
                                <w:rFonts w:ascii="標楷體" w:eastAsia="標楷體" w:hAnsi="標楷體"/>
                                <w:bCs/>
                                <w:sz w:val="20"/>
                              </w:rPr>
                            </w:pPr>
                          </w:p>
                        </w:tc>
                        <w:tc>
                          <w:tcPr>
                            <w:tcW w:w="1130" w:type="dxa"/>
                            <w:vAlign w:val="center"/>
                          </w:tcPr>
                          <w:p w14:paraId="5C0B18AA"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1.86</w:t>
                            </w:r>
                          </w:p>
                        </w:tc>
                      </w:tr>
                      <w:tr w:rsidR="008915BA" w:rsidRPr="008915BA" w14:paraId="03CC756D" w14:textId="77777777" w:rsidTr="008E5CD8">
                        <w:trPr>
                          <w:trHeight w:val="20"/>
                        </w:trPr>
                        <w:tc>
                          <w:tcPr>
                            <w:tcW w:w="2122" w:type="dxa"/>
                            <w:vMerge w:val="restart"/>
                            <w:vAlign w:val="center"/>
                          </w:tcPr>
                          <w:p w14:paraId="0A2B0C14" w14:textId="77777777" w:rsidR="008915BA" w:rsidRPr="008915BA" w:rsidRDefault="008915BA" w:rsidP="00A16C9C">
                            <w:pPr>
                              <w:overflowPunct w:val="0"/>
                              <w:snapToGrid w:val="0"/>
                              <w:spacing w:line="260" w:lineRule="exact"/>
                              <w:jc w:val="center"/>
                              <w:rPr>
                                <w:rFonts w:ascii="標楷體" w:eastAsia="標楷體" w:hAnsi="標楷體"/>
                                <w:bCs/>
                                <w:spacing w:val="-12"/>
                                <w:sz w:val="20"/>
                              </w:rPr>
                            </w:pPr>
                            <w:r w:rsidRPr="008915BA">
                              <w:rPr>
                                <w:rFonts w:ascii="標楷體" w:eastAsia="標楷體" w:hAnsi="標楷體" w:hint="eastAsia"/>
                                <w:bCs/>
                                <w:sz w:val="20"/>
                              </w:rPr>
                              <w:t>國家中山</w:t>
                            </w:r>
                            <w:r w:rsidRPr="008915BA">
                              <w:rPr>
                                <w:rFonts w:ascii="標楷體" w:eastAsia="標楷體" w:hAnsi="標楷體" w:hint="eastAsia"/>
                                <w:bCs/>
                                <w:spacing w:val="-12"/>
                                <w:sz w:val="20"/>
                              </w:rPr>
                              <w:t>科學研究院</w:t>
                            </w:r>
                          </w:p>
                        </w:tc>
                        <w:tc>
                          <w:tcPr>
                            <w:tcW w:w="2268" w:type="dxa"/>
                            <w:vAlign w:val="center"/>
                          </w:tcPr>
                          <w:p w14:paraId="307B1A95" w14:textId="77777777" w:rsidR="008915BA" w:rsidRPr="008915BA" w:rsidRDefault="008915BA" w:rsidP="00AB394D">
                            <w:pPr>
                              <w:overflowPunct w:val="0"/>
                              <w:adjustRightInd w:val="0"/>
                              <w:snapToGrid w:val="0"/>
                              <w:spacing w:line="260" w:lineRule="exact"/>
                              <w:jc w:val="center"/>
                              <w:rPr>
                                <w:rFonts w:ascii="標楷體" w:eastAsia="標楷體" w:hAnsi="標楷體"/>
                                <w:bCs/>
                                <w:sz w:val="20"/>
                              </w:rPr>
                            </w:pPr>
                            <w:r w:rsidRPr="008915BA">
                              <w:rPr>
                                <w:rFonts w:ascii="標楷體" w:eastAsia="標楷體" w:hAnsi="標楷體" w:hint="eastAsia"/>
                                <w:b/>
                                <w:bCs/>
                                <w:sz w:val="20"/>
                              </w:rPr>
                              <w:t>合　　計</w:t>
                            </w:r>
                          </w:p>
                        </w:tc>
                        <w:tc>
                          <w:tcPr>
                            <w:tcW w:w="996" w:type="dxa"/>
                            <w:vAlign w:val="center"/>
                          </w:tcPr>
                          <w:p w14:paraId="7DB78C42"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6</w:t>
                            </w:r>
                            <w:r w:rsidRPr="008915BA">
                              <w:rPr>
                                <w:rFonts w:ascii="標楷體" w:eastAsia="標楷體" w:hAnsi="標楷體"/>
                                <w:b/>
                                <w:bCs/>
                                <w:sz w:val="20"/>
                              </w:rPr>
                              <w:t>7</w:t>
                            </w:r>
                          </w:p>
                        </w:tc>
                        <w:tc>
                          <w:tcPr>
                            <w:tcW w:w="1130" w:type="dxa"/>
                            <w:vAlign w:val="center"/>
                          </w:tcPr>
                          <w:p w14:paraId="058CC0C8" w14:textId="77777777" w:rsidR="008915BA" w:rsidRPr="008915BA" w:rsidRDefault="008915BA" w:rsidP="000069C7">
                            <w:pPr>
                              <w:overflowPunct w:val="0"/>
                              <w:snapToGrid w:val="0"/>
                              <w:spacing w:line="260" w:lineRule="exact"/>
                              <w:jc w:val="right"/>
                              <w:rPr>
                                <w:rFonts w:ascii="標楷體" w:eastAsia="標楷體" w:hAnsi="標楷體"/>
                                <w:b/>
                                <w:bCs/>
                                <w:sz w:val="20"/>
                              </w:rPr>
                            </w:pPr>
                            <w:r w:rsidRPr="008915BA">
                              <w:rPr>
                                <w:rFonts w:ascii="標楷體" w:eastAsia="標楷體" w:hAnsi="標楷體" w:hint="eastAsia"/>
                                <w:b/>
                                <w:bCs/>
                                <w:sz w:val="20"/>
                              </w:rPr>
                              <w:t>1</w:t>
                            </w:r>
                            <w:r w:rsidRPr="008915BA">
                              <w:rPr>
                                <w:rFonts w:ascii="標楷體" w:eastAsia="標楷體" w:hAnsi="標楷體"/>
                                <w:b/>
                                <w:bCs/>
                                <w:sz w:val="20"/>
                              </w:rPr>
                              <w:t>.82</w:t>
                            </w:r>
                          </w:p>
                        </w:tc>
                      </w:tr>
                      <w:tr w:rsidR="008915BA" w:rsidRPr="008915BA" w14:paraId="33A970F5" w14:textId="77777777" w:rsidTr="008E5CD8">
                        <w:trPr>
                          <w:trHeight w:val="20"/>
                        </w:trPr>
                        <w:tc>
                          <w:tcPr>
                            <w:tcW w:w="2122" w:type="dxa"/>
                            <w:vMerge/>
                            <w:vAlign w:val="center"/>
                          </w:tcPr>
                          <w:p w14:paraId="55C195FC"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7EA3D802"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H100</w:t>
                            </w:r>
                          </w:p>
                        </w:tc>
                        <w:tc>
                          <w:tcPr>
                            <w:tcW w:w="996" w:type="dxa"/>
                            <w:vAlign w:val="center"/>
                          </w:tcPr>
                          <w:p w14:paraId="6EA2C168"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4</w:t>
                            </w:r>
                            <w:r w:rsidRPr="008915BA">
                              <w:rPr>
                                <w:rFonts w:ascii="標楷體" w:eastAsia="標楷體" w:hAnsi="標楷體"/>
                                <w:bCs/>
                                <w:sz w:val="20"/>
                              </w:rPr>
                              <w:t>5</w:t>
                            </w:r>
                          </w:p>
                        </w:tc>
                        <w:tc>
                          <w:tcPr>
                            <w:tcW w:w="1130" w:type="dxa"/>
                            <w:vAlign w:val="center"/>
                          </w:tcPr>
                          <w:p w14:paraId="74E29635"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.60</w:t>
                            </w:r>
                          </w:p>
                        </w:tc>
                      </w:tr>
                      <w:tr w:rsidR="008915BA" w:rsidRPr="008915BA" w14:paraId="443621D2" w14:textId="77777777" w:rsidTr="008E5CD8">
                        <w:trPr>
                          <w:trHeight w:val="20"/>
                        </w:trPr>
                        <w:tc>
                          <w:tcPr>
                            <w:tcW w:w="2122" w:type="dxa"/>
                            <w:vMerge/>
                            <w:vAlign w:val="center"/>
                          </w:tcPr>
                          <w:p w14:paraId="065F2AAB"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0BF4966D"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RCS高階計算伺服器</w:t>
                            </w:r>
                          </w:p>
                        </w:tc>
                        <w:tc>
                          <w:tcPr>
                            <w:tcW w:w="996" w:type="dxa"/>
                            <w:vAlign w:val="center"/>
                          </w:tcPr>
                          <w:p w14:paraId="413B7ED5"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8</w:t>
                            </w:r>
                          </w:p>
                        </w:tc>
                        <w:tc>
                          <w:tcPr>
                            <w:tcW w:w="1130" w:type="dxa"/>
                            <w:vAlign w:val="center"/>
                          </w:tcPr>
                          <w:p w14:paraId="227D83CD"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0</w:t>
                            </w:r>
                            <w:r w:rsidRPr="008915BA">
                              <w:rPr>
                                <w:rFonts w:ascii="標楷體" w:eastAsia="標楷體" w:hAnsi="標楷體"/>
                                <w:bCs/>
                                <w:sz w:val="20"/>
                              </w:rPr>
                              <w:t>.014</w:t>
                            </w:r>
                          </w:p>
                        </w:tc>
                      </w:tr>
                      <w:tr w:rsidR="008915BA" w:rsidRPr="008915BA" w14:paraId="548B3B50" w14:textId="77777777" w:rsidTr="008E5CD8">
                        <w:trPr>
                          <w:trHeight w:val="20"/>
                        </w:trPr>
                        <w:tc>
                          <w:tcPr>
                            <w:tcW w:w="2122" w:type="dxa"/>
                            <w:vMerge/>
                            <w:vAlign w:val="center"/>
                          </w:tcPr>
                          <w:p w14:paraId="6BBC40AA"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3009AF9F"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影像辨識伺服器</w:t>
                            </w:r>
                          </w:p>
                        </w:tc>
                        <w:tc>
                          <w:tcPr>
                            <w:tcW w:w="996" w:type="dxa"/>
                            <w:vAlign w:val="center"/>
                          </w:tcPr>
                          <w:p w14:paraId="7EA335F5"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5</w:t>
                            </w:r>
                          </w:p>
                        </w:tc>
                        <w:tc>
                          <w:tcPr>
                            <w:tcW w:w="1130" w:type="dxa"/>
                            <w:vAlign w:val="center"/>
                          </w:tcPr>
                          <w:p w14:paraId="5659F7FB"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0</w:t>
                            </w:r>
                            <w:r w:rsidRPr="008915BA">
                              <w:rPr>
                                <w:rFonts w:ascii="標楷體" w:eastAsia="標楷體" w:hAnsi="標楷體"/>
                                <w:bCs/>
                                <w:sz w:val="20"/>
                              </w:rPr>
                              <w:t>.022</w:t>
                            </w:r>
                          </w:p>
                        </w:tc>
                      </w:tr>
                      <w:tr w:rsidR="008915BA" w:rsidRPr="008915BA" w14:paraId="60D87ED9" w14:textId="77777777" w:rsidTr="008E5CD8">
                        <w:trPr>
                          <w:trHeight w:val="20"/>
                        </w:trPr>
                        <w:tc>
                          <w:tcPr>
                            <w:tcW w:w="2122" w:type="dxa"/>
                            <w:vMerge/>
                            <w:vAlign w:val="center"/>
                          </w:tcPr>
                          <w:p w14:paraId="7C6F51D0" w14:textId="77777777" w:rsidR="008915BA" w:rsidRPr="008915BA" w:rsidRDefault="008915BA" w:rsidP="000069C7">
                            <w:pPr>
                              <w:overflowPunct w:val="0"/>
                              <w:snapToGrid w:val="0"/>
                              <w:spacing w:line="260" w:lineRule="exact"/>
                              <w:jc w:val="center"/>
                              <w:rPr>
                                <w:rFonts w:ascii="標楷體" w:eastAsia="標楷體" w:hAnsi="標楷體"/>
                                <w:bCs/>
                                <w:sz w:val="20"/>
                              </w:rPr>
                            </w:pPr>
                          </w:p>
                        </w:tc>
                        <w:tc>
                          <w:tcPr>
                            <w:tcW w:w="2268" w:type="dxa"/>
                            <w:vAlign w:val="center"/>
                          </w:tcPr>
                          <w:p w14:paraId="55A28C07"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hint="eastAsia"/>
                                <w:bCs/>
                                <w:sz w:val="20"/>
                              </w:rPr>
                              <w:t>其他</w:t>
                            </w:r>
                          </w:p>
                        </w:tc>
                        <w:tc>
                          <w:tcPr>
                            <w:tcW w:w="996" w:type="dxa"/>
                            <w:vAlign w:val="center"/>
                          </w:tcPr>
                          <w:p w14:paraId="57E2BEEF"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8</w:t>
                            </w:r>
                          </w:p>
                        </w:tc>
                        <w:tc>
                          <w:tcPr>
                            <w:tcW w:w="1130" w:type="dxa"/>
                            <w:vAlign w:val="center"/>
                          </w:tcPr>
                          <w:p w14:paraId="30C3C139"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0</w:t>
                            </w:r>
                            <w:r w:rsidRPr="008915BA">
                              <w:rPr>
                                <w:rFonts w:ascii="標楷體" w:eastAsia="標楷體" w:hAnsi="標楷體"/>
                                <w:bCs/>
                                <w:sz w:val="20"/>
                              </w:rPr>
                              <w:t>.18</w:t>
                            </w:r>
                          </w:p>
                        </w:tc>
                      </w:tr>
                      <w:tr w:rsidR="008915BA" w:rsidRPr="008915BA" w14:paraId="5DFBB4DF" w14:textId="77777777" w:rsidTr="00A32D7B">
                        <w:trPr>
                          <w:trHeight w:val="20"/>
                        </w:trPr>
                        <w:tc>
                          <w:tcPr>
                            <w:tcW w:w="2122" w:type="dxa"/>
                            <w:vAlign w:val="center"/>
                          </w:tcPr>
                          <w:p w14:paraId="6C872E2F" w14:textId="7EC06115" w:rsidR="008915BA" w:rsidRPr="008915BA" w:rsidRDefault="00C6696E" w:rsidP="000069C7">
                            <w:pPr>
                              <w:overflowPunct w:val="0"/>
                              <w:snapToGrid w:val="0"/>
                              <w:spacing w:line="260" w:lineRule="exact"/>
                              <w:jc w:val="center"/>
                              <w:rPr>
                                <w:rFonts w:ascii="標楷體" w:eastAsia="標楷體" w:hAnsi="標楷體"/>
                                <w:bCs/>
                                <w:sz w:val="20"/>
                              </w:rPr>
                            </w:pPr>
                            <w:r>
                              <w:rPr>
                                <w:rFonts w:ascii="標楷體" w:eastAsia="標楷體" w:hAnsi="標楷體" w:hint="eastAsia"/>
                                <w:bCs/>
                                <w:sz w:val="20"/>
                              </w:rPr>
                              <w:t>數位發展部</w:t>
                            </w:r>
                            <w:r w:rsidR="008915BA" w:rsidRPr="008915BA">
                              <w:rPr>
                                <w:rFonts w:ascii="標楷體" w:eastAsia="標楷體" w:hAnsi="標楷體" w:hint="eastAsia"/>
                                <w:bCs/>
                                <w:sz w:val="20"/>
                              </w:rPr>
                              <w:t>數</w:t>
                            </w:r>
                            <w:r w:rsidR="000A6BBF">
                              <w:rPr>
                                <w:rFonts w:ascii="標楷體" w:eastAsia="標楷體" w:hAnsi="標楷體" w:hint="eastAsia"/>
                                <w:bCs/>
                                <w:sz w:val="20"/>
                              </w:rPr>
                              <w:t>位</w:t>
                            </w:r>
                            <w:r w:rsidR="008915BA" w:rsidRPr="008915BA">
                              <w:rPr>
                                <w:rFonts w:ascii="標楷體" w:eastAsia="標楷體" w:hAnsi="標楷體" w:hint="eastAsia"/>
                                <w:bCs/>
                                <w:sz w:val="20"/>
                              </w:rPr>
                              <w:t>產</w:t>
                            </w:r>
                            <w:r w:rsidR="000A6BBF">
                              <w:rPr>
                                <w:rFonts w:ascii="標楷體" w:eastAsia="標楷體" w:hAnsi="標楷體" w:hint="eastAsia"/>
                                <w:bCs/>
                                <w:sz w:val="20"/>
                              </w:rPr>
                              <w:t>業</w:t>
                            </w:r>
                            <w:r w:rsidR="008915BA" w:rsidRPr="008915BA">
                              <w:rPr>
                                <w:rFonts w:ascii="標楷體" w:eastAsia="標楷體" w:hAnsi="標楷體" w:hint="eastAsia"/>
                                <w:bCs/>
                                <w:sz w:val="20"/>
                              </w:rPr>
                              <w:t>署</w:t>
                            </w:r>
                          </w:p>
                        </w:tc>
                        <w:tc>
                          <w:tcPr>
                            <w:tcW w:w="2268" w:type="dxa"/>
                            <w:vAlign w:val="center"/>
                          </w:tcPr>
                          <w:p w14:paraId="1903BBBC" w14:textId="77777777" w:rsidR="008915BA" w:rsidRPr="008915BA" w:rsidRDefault="008915BA" w:rsidP="000069C7">
                            <w:pPr>
                              <w:overflowPunct w:val="0"/>
                              <w:adjustRightInd w:val="0"/>
                              <w:snapToGrid w:val="0"/>
                              <w:spacing w:line="260" w:lineRule="exact"/>
                              <w:rPr>
                                <w:rFonts w:ascii="標楷體" w:eastAsia="標楷體" w:hAnsi="標楷體"/>
                                <w:bCs/>
                                <w:sz w:val="20"/>
                              </w:rPr>
                            </w:pPr>
                            <w:proofErr w:type="gramStart"/>
                            <w:r w:rsidRPr="008915BA">
                              <w:rPr>
                                <w:rFonts w:ascii="標楷體" w:eastAsia="標楷體" w:hAnsi="標楷體" w:hint="eastAsia"/>
                                <w:bCs/>
                                <w:sz w:val="20"/>
                              </w:rPr>
                              <w:t>公建計畫</w:t>
                            </w:r>
                            <w:proofErr w:type="gramEnd"/>
                            <w:r w:rsidRPr="008915BA">
                              <w:rPr>
                                <w:rFonts w:ascii="標楷體" w:eastAsia="標楷體" w:hAnsi="標楷體" w:hint="eastAsia"/>
                                <w:bCs/>
                                <w:sz w:val="20"/>
                              </w:rPr>
                              <w:t>AI</w:t>
                            </w:r>
                            <w:proofErr w:type="gramStart"/>
                            <w:r w:rsidRPr="008915BA">
                              <w:rPr>
                                <w:rFonts w:ascii="標楷體" w:eastAsia="標楷體" w:hAnsi="標楷體" w:hint="eastAsia"/>
                                <w:bCs/>
                                <w:sz w:val="20"/>
                              </w:rPr>
                              <w:t>算力池</w:t>
                            </w:r>
                            <w:proofErr w:type="gramEnd"/>
                          </w:p>
                        </w:tc>
                        <w:tc>
                          <w:tcPr>
                            <w:tcW w:w="996" w:type="dxa"/>
                            <w:vAlign w:val="center"/>
                          </w:tcPr>
                          <w:p w14:paraId="3F45DC1C"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bCs/>
                                <w:sz w:val="20"/>
                              </w:rPr>
                              <w:t>50</w:t>
                            </w:r>
                          </w:p>
                        </w:tc>
                        <w:tc>
                          <w:tcPr>
                            <w:tcW w:w="1130" w:type="dxa"/>
                            <w:vAlign w:val="center"/>
                          </w:tcPr>
                          <w:p w14:paraId="7619FC94"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.58</w:t>
                            </w:r>
                          </w:p>
                        </w:tc>
                      </w:tr>
                      <w:tr w:rsidR="008915BA" w:rsidRPr="008915BA" w14:paraId="66005154" w14:textId="77777777" w:rsidTr="00D934AC">
                        <w:trPr>
                          <w:trHeight w:val="20"/>
                        </w:trPr>
                        <w:tc>
                          <w:tcPr>
                            <w:tcW w:w="2122" w:type="dxa"/>
                            <w:vAlign w:val="center"/>
                          </w:tcPr>
                          <w:p w14:paraId="1C56B9A3" w14:textId="77777777" w:rsidR="008915BA" w:rsidRPr="008915BA" w:rsidRDefault="008915BA" w:rsidP="003C43DC">
                            <w:pPr>
                              <w:overflowPunct w:val="0"/>
                              <w:snapToGrid w:val="0"/>
                              <w:spacing w:line="220" w:lineRule="exact"/>
                              <w:jc w:val="center"/>
                              <w:rPr>
                                <w:rFonts w:ascii="標楷體" w:eastAsia="標楷體" w:hAnsi="標楷體"/>
                                <w:bCs/>
                                <w:sz w:val="20"/>
                              </w:rPr>
                            </w:pPr>
                            <w:r w:rsidRPr="008915BA">
                              <w:rPr>
                                <w:rFonts w:ascii="標楷體" w:eastAsia="標楷體" w:hAnsi="標楷體" w:hint="eastAsia"/>
                                <w:bCs/>
                                <w:sz w:val="20"/>
                              </w:rPr>
                              <w:t>國立陽明交通大學</w:t>
                            </w:r>
                          </w:p>
                        </w:tc>
                        <w:tc>
                          <w:tcPr>
                            <w:tcW w:w="2268" w:type="dxa"/>
                            <w:vAlign w:val="center"/>
                          </w:tcPr>
                          <w:p w14:paraId="461C67E6" w14:textId="77777777" w:rsidR="008915BA" w:rsidRPr="008915BA" w:rsidRDefault="008915BA" w:rsidP="000069C7">
                            <w:pPr>
                              <w:overflowPunct w:val="0"/>
                              <w:adjustRightInd w:val="0"/>
                              <w:snapToGrid w:val="0"/>
                              <w:spacing w:line="260" w:lineRule="exact"/>
                              <w:rPr>
                                <w:rFonts w:ascii="標楷體" w:eastAsia="標楷體" w:hAnsi="標楷體"/>
                                <w:bCs/>
                                <w:sz w:val="20"/>
                              </w:rPr>
                            </w:pPr>
                            <w:r w:rsidRPr="008915BA">
                              <w:rPr>
                                <w:rFonts w:ascii="標楷體" w:eastAsia="標楷體" w:hAnsi="標楷體"/>
                                <w:bCs/>
                                <w:sz w:val="20"/>
                              </w:rPr>
                              <w:t>DGX H100</w:t>
                            </w:r>
                            <w:r w:rsidRPr="008915BA">
                              <w:rPr>
                                <w:rFonts w:ascii="標楷體" w:eastAsia="標楷體" w:hAnsi="標楷體" w:hint="eastAsia"/>
                                <w:bCs/>
                                <w:sz w:val="20"/>
                              </w:rPr>
                              <w:t>、</w:t>
                            </w:r>
                            <w:r w:rsidRPr="008915BA">
                              <w:rPr>
                                <w:rFonts w:ascii="標楷體" w:eastAsia="標楷體" w:hAnsi="標楷體"/>
                                <w:bCs/>
                                <w:sz w:val="20"/>
                              </w:rPr>
                              <w:t>DGX H200</w:t>
                            </w:r>
                          </w:p>
                        </w:tc>
                        <w:tc>
                          <w:tcPr>
                            <w:tcW w:w="996" w:type="dxa"/>
                            <w:vAlign w:val="center"/>
                          </w:tcPr>
                          <w:p w14:paraId="4ACAB98C"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4</w:t>
                            </w:r>
                            <w:r w:rsidRPr="008915BA">
                              <w:rPr>
                                <w:rFonts w:ascii="標楷體" w:eastAsia="標楷體" w:hAnsi="標楷體"/>
                                <w:bCs/>
                                <w:sz w:val="20"/>
                              </w:rPr>
                              <w:t>0</w:t>
                            </w:r>
                          </w:p>
                        </w:tc>
                        <w:tc>
                          <w:tcPr>
                            <w:tcW w:w="1130" w:type="dxa"/>
                            <w:vAlign w:val="center"/>
                          </w:tcPr>
                          <w:p w14:paraId="5E3D0547" w14:textId="77777777" w:rsidR="008915BA" w:rsidRPr="008915BA" w:rsidRDefault="008915BA" w:rsidP="000069C7">
                            <w:pPr>
                              <w:overflowPunct w:val="0"/>
                              <w:snapToGrid w:val="0"/>
                              <w:spacing w:line="260" w:lineRule="exact"/>
                              <w:jc w:val="right"/>
                              <w:rPr>
                                <w:rFonts w:ascii="標楷體" w:eastAsia="標楷體" w:hAnsi="標楷體"/>
                                <w:bCs/>
                                <w:sz w:val="20"/>
                              </w:rPr>
                            </w:pPr>
                            <w:r w:rsidRPr="008915BA">
                              <w:rPr>
                                <w:rFonts w:ascii="標楷體" w:eastAsia="標楷體" w:hAnsi="標楷體" w:hint="eastAsia"/>
                                <w:bCs/>
                                <w:sz w:val="20"/>
                              </w:rPr>
                              <w:t>1.</w:t>
                            </w:r>
                            <w:r w:rsidRPr="008915BA">
                              <w:rPr>
                                <w:rFonts w:ascii="標楷體" w:eastAsia="標楷體" w:hAnsi="標楷體"/>
                                <w:bCs/>
                                <w:sz w:val="20"/>
                              </w:rPr>
                              <w:t>36</w:t>
                            </w:r>
                          </w:p>
                        </w:tc>
                      </w:tr>
                      <w:tr w:rsidR="008915BA" w:rsidRPr="008915BA" w14:paraId="6FDE9C10" w14:textId="77777777" w:rsidTr="0088227A">
                        <w:trPr>
                          <w:trHeight w:val="20"/>
                        </w:trPr>
                        <w:tc>
                          <w:tcPr>
                            <w:tcW w:w="6516" w:type="dxa"/>
                            <w:gridSpan w:val="4"/>
                            <w:tcBorders>
                              <w:left w:val="nil"/>
                              <w:bottom w:val="nil"/>
                              <w:right w:val="nil"/>
                            </w:tcBorders>
                          </w:tcPr>
                          <w:p w14:paraId="353CE9DE" w14:textId="77777777" w:rsidR="008915BA" w:rsidRPr="008915BA" w:rsidRDefault="008915BA" w:rsidP="003C43DC">
                            <w:pPr>
                              <w:overflowPunct w:val="0"/>
                              <w:snapToGrid w:val="0"/>
                              <w:spacing w:line="220" w:lineRule="exact"/>
                              <w:rPr>
                                <w:rFonts w:ascii="標楷體" w:eastAsia="標楷體" w:hAnsi="標楷體"/>
                                <w:bCs/>
                                <w:sz w:val="18"/>
                                <w:szCs w:val="18"/>
                              </w:rPr>
                            </w:pPr>
                            <w:proofErr w:type="gramStart"/>
                            <w:r w:rsidRPr="008915BA">
                              <w:rPr>
                                <w:rFonts w:ascii="標楷體" w:eastAsia="標楷體" w:hAnsi="標楷體" w:hint="eastAsia"/>
                                <w:bCs/>
                                <w:sz w:val="18"/>
                                <w:szCs w:val="18"/>
                              </w:rPr>
                              <w:t>註</w:t>
                            </w:r>
                            <w:proofErr w:type="gramEnd"/>
                            <w:r w:rsidRPr="008915BA">
                              <w:rPr>
                                <w:rFonts w:ascii="標楷體" w:eastAsia="標楷體" w:hAnsi="標楷體" w:hint="eastAsia"/>
                                <w:bCs/>
                                <w:sz w:val="18"/>
                                <w:szCs w:val="18"/>
                              </w:rPr>
                              <w:t>：1.本表資料統計至114年2月底止。</w:t>
                            </w:r>
                          </w:p>
                          <w:p w14:paraId="7CE4C821" w14:textId="77777777" w:rsidR="008915BA" w:rsidRPr="008915BA" w:rsidRDefault="008915BA" w:rsidP="003C43DC">
                            <w:pPr>
                              <w:overflowPunct w:val="0"/>
                              <w:snapToGrid w:val="0"/>
                              <w:spacing w:line="220" w:lineRule="exact"/>
                              <w:ind w:leftChars="150" w:left="360"/>
                              <w:jc w:val="both"/>
                              <w:rPr>
                                <w:rFonts w:ascii="標楷體" w:eastAsia="標楷體" w:hAnsi="標楷體"/>
                                <w:bCs/>
                                <w:sz w:val="18"/>
                                <w:szCs w:val="18"/>
                              </w:rPr>
                            </w:pPr>
                            <w:r w:rsidRPr="008915BA">
                              <w:rPr>
                                <w:rFonts w:ascii="標楷體" w:eastAsia="標楷體" w:hAnsi="標楷體"/>
                                <w:bCs/>
                                <w:sz w:val="18"/>
                                <w:szCs w:val="18"/>
                              </w:rPr>
                              <w:t>2.資料來源：整理自</w:t>
                            </w:r>
                            <w:r w:rsidRPr="008915BA">
                              <w:rPr>
                                <w:rFonts w:ascii="標楷體" w:eastAsia="標楷體" w:hAnsi="標楷體" w:hint="eastAsia"/>
                                <w:bCs/>
                                <w:sz w:val="18"/>
                                <w:szCs w:val="18"/>
                              </w:rPr>
                              <w:t>行政</w:t>
                            </w:r>
                            <w:r w:rsidRPr="008915BA">
                              <w:rPr>
                                <w:rFonts w:ascii="標楷體" w:eastAsia="標楷體" w:hAnsi="標楷體"/>
                                <w:bCs/>
                                <w:sz w:val="18"/>
                                <w:szCs w:val="18"/>
                              </w:rPr>
                              <w:t>院及</w:t>
                            </w:r>
                            <w:proofErr w:type="gramStart"/>
                            <w:r w:rsidRPr="008915BA">
                              <w:rPr>
                                <w:rFonts w:ascii="標楷體" w:eastAsia="標楷體" w:hAnsi="標楷體"/>
                                <w:bCs/>
                                <w:sz w:val="18"/>
                                <w:szCs w:val="18"/>
                              </w:rPr>
                              <w:t>所屬查填</w:t>
                            </w:r>
                            <w:r w:rsidRPr="008915BA">
                              <w:rPr>
                                <w:rFonts w:ascii="標楷體" w:eastAsia="標楷體" w:hAnsi="標楷體" w:hint="eastAsia"/>
                                <w:bCs/>
                                <w:sz w:val="18"/>
                                <w:szCs w:val="18"/>
                              </w:rPr>
                              <w:t>各</w:t>
                            </w:r>
                            <w:proofErr w:type="gramEnd"/>
                            <w:r w:rsidRPr="008915BA">
                              <w:rPr>
                                <w:rFonts w:ascii="標楷體" w:eastAsia="標楷體" w:hAnsi="標楷體" w:hint="eastAsia"/>
                                <w:bCs/>
                                <w:sz w:val="18"/>
                                <w:szCs w:val="18"/>
                              </w:rPr>
                              <w:t>機關</w:t>
                            </w:r>
                            <w:r w:rsidRPr="008915BA">
                              <w:rPr>
                                <w:rFonts w:ascii="標楷體" w:eastAsia="標楷體" w:hAnsi="標楷體"/>
                                <w:bCs/>
                                <w:sz w:val="18"/>
                                <w:szCs w:val="18"/>
                              </w:rPr>
                              <w:t>之調查表。</w:t>
                            </w:r>
                          </w:p>
                        </w:tc>
                      </w:tr>
                    </w:tbl>
                    <w:p w14:paraId="4A15F83D" w14:textId="77777777" w:rsidR="008915BA" w:rsidRPr="008915BA" w:rsidRDefault="008915BA" w:rsidP="008915BA"/>
                  </w:txbxContent>
                </v:textbox>
                <w10:wrap type="tight" anchorx="margin" anchory="page"/>
              </v:shape>
            </w:pict>
          </mc:Fallback>
        </mc:AlternateContent>
      </w:r>
      <w:r w:rsidRPr="00B5098C">
        <w:rPr>
          <w:rFonts w:ascii="標楷體" w:eastAsia="標楷體" w:hAnsi="標楷體" w:cstheme="minorBidi" w:hint="eastAsia"/>
          <w:bCs/>
          <w:color w:val="000000" w:themeColor="text1"/>
          <w:szCs w:val="24"/>
        </w:rPr>
        <w:t>位產業署（下稱數產署）建置之</w:t>
      </w:r>
      <w:proofErr w:type="gramStart"/>
      <w:r w:rsidRPr="00B5098C">
        <w:rPr>
          <w:rFonts w:ascii="標楷體" w:eastAsia="標楷體" w:hAnsi="標楷體" w:cstheme="minorBidi" w:hint="eastAsia"/>
          <w:bCs/>
          <w:color w:val="000000" w:themeColor="text1"/>
          <w:szCs w:val="24"/>
        </w:rPr>
        <w:t>算力屬公共算力</w:t>
      </w:r>
      <w:proofErr w:type="gramEnd"/>
      <w:r w:rsidRPr="00B5098C">
        <w:rPr>
          <w:rFonts w:ascii="標楷體" w:eastAsia="標楷體" w:hAnsi="標楷體" w:cstheme="minorBidi" w:hint="eastAsia"/>
          <w:bCs/>
          <w:color w:val="000000" w:themeColor="text1"/>
          <w:szCs w:val="24"/>
        </w:rPr>
        <w:t>，提供外界申請使用，惟</w:t>
      </w:r>
      <w:proofErr w:type="gramStart"/>
      <w:r w:rsidRPr="00B5098C">
        <w:rPr>
          <w:rFonts w:ascii="標楷體" w:eastAsia="標楷體" w:hAnsi="標楷體" w:cstheme="minorBidi" w:hint="eastAsia"/>
          <w:bCs/>
          <w:color w:val="000000" w:themeColor="text1"/>
          <w:szCs w:val="24"/>
        </w:rPr>
        <w:t>於算力</w:t>
      </w:r>
      <w:proofErr w:type="gramEnd"/>
      <w:r w:rsidRPr="00B5098C">
        <w:rPr>
          <w:rFonts w:ascii="標楷體" w:eastAsia="標楷體" w:hAnsi="標楷體" w:cstheme="minorBidi" w:hint="eastAsia"/>
          <w:bCs/>
          <w:color w:val="000000" w:themeColor="text1"/>
          <w:szCs w:val="24"/>
        </w:rPr>
        <w:t>規劃階段，</w:t>
      </w:r>
      <w:proofErr w:type="gramStart"/>
      <w:r w:rsidRPr="00B5098C">
        <w:rPr>
          <w:rFonts w:ascii="標楷體" w:eastAsia="標楷體" w:hAnsi="標楷體" w:cstheme="minorBidi" w:hint="eastAsia"/>
          <w:bCs/>
          <w:color w:val="000000" w:themeColor="text1"/>
          <w:szCs w:val="24"/>
        </w:rPr>
        <w:t>均未辦理</w:t>
      </w:r>
      <w:proofErr w:type="gramEnd"/>
      <w:r w:rsidRPr="00B5098C">
        <w:rPr>
          <w:rFonts w:ascii="標楷體" w:eastAsia="標楷體" w:hAnsi="標楷體" w:cstheme="minorBidi" w:hint="eastAsia"/>
          <w:bCs/>
          <w:color w:val="000000" w:themeColor="text1"/>
          <w:szCs w:val="24"/>
        </w:rPr>
        <w:t>需求調查；</w:t>
      </w:r>
      <w:r w:rsidRPr="00B5098C">
        <w:rPr>
          <w:rFonts w:ascii="標楷體" w:eastAsia="標楷體" w:hAnsi="標楷體" w:cstheme="minorBidi" w:hint="eastAsia"/>
          <w:bCs/>
          <w:szCs w:val="24"/>
        </w:rPr>
        <w:t>餘</w:t>
      </w:r>
      <w:r w:rsidRPr="00B5098C">
        <w:rPr>
          <w:rFonts w:ascii="標楷體" w:eastAsia="標楷體" w:hAnsi="標楷體" w:cstheme="minorBidi"/>
          <w:bCs/>
          <w:szCs w:val="24"/>
        </w:rPr>
        <w:t>69個</w:t>
      </w:r>
      <w:r w:rsidRPr="00B5098C">
        <w:rPr>
          <w:rFonts w:ascii="標楷體" w:eastAsia="標楷體" w:hAnsi="標楷體" w:cstheme="minorBidi" w:hint="eastAsia"/>
          <w:bCs/>
          <w:szCs w:val="24"/>
        </w:rPr>
        <w:t>機關（構）建置</w:t>
      </w:r>
      <w:proofErr w:type="gramStart"/>
      <w:r w:rsidRPr="00B5098C">
        <w:rPr>
          <w:rFonts w:ascii="標楷體" w:eastAsia="標楷體" w:hAnsi="標楷體" w:cstheme="minorBidi" w:hint="eastAsia"/>
          <w:bCs/>
          <w:szCs w:val="24"/>
        </w:rPr>
        <w:t>自用算力中</w:t>
      </w:r>
      <w:proofErr w:type="gramEnd"/>
      <w:r w:rsidRPr="00B5098C">
        <w:rPr>
          <w:rFonts w:ascii="標楷體" w:eastAsia="標楷體" w:hAnsi="標楷體" w:cstheme="minorBidi" w:hint="eastAsia"/>
          <w:bCs/>
          <w:szCs w:val="24"/>
        </w:rPr>
        <w:t>，高達</w:t>
      </w:r>
      <w:r w:rsidRPr="00B5098C">
        <w:rPr>
          <w:rFonts w:ascii="標楷體" w:eastAsia="標楷體" w:hAnsi="標楷體" w:cstheme="minorBidi"/>
          <w:bCs/>
          <w:szCs w:val="24"/>
        </w:rPr>
        <w:t>68個</w:t>
      </w:r>
      <w:r w:rsidRPr="00B5098C">
        <w:rPr>
          <w:rFonts w:ascii="標楷體" w:eastAsia="標楷體" w:hAnsi="標楷體" w:cstheme="minorBidi" w:hint="eastAsia"/>
          <w:bCs/>
          <w:szCs w:val="24"/>
        </w:rPr>
        <w:t>機關（構）（占比</w:t>
      </w:r>
      <w:r w:rsidRPr="00B5098C">
        <w:rPr>
          <w:rFonts w:ascii="標楷體" w:eastAsia="標楷體" w:hAnsi="標楷體" w:cstheme="minorBidi"/>
          <w:bCs/>
          <w:szCs w:val="24"/>
        </w:rPr>
        <w:t>98.55％）</w:t>
      </w:r>
      <w:proofErr w:type="gramStart"/>
      <w:r w:rsidRPr="00B5098C">
        <w:rPr>
          <w:rFonts w:ascii="標楷體" w:eastAsia="標楷體" w:hAnsi="標楷體" w:cstheme="minorBidi" w:hint="eastAsia"/>
          <w:bCs/>
          <w:szCs w:val="24"/>
        </w:rPr>
        <w:t>算力均</w:t>
      </w:r>
      <w:proofErr w:type="gramEnd"/>
      <w:r w:rsidRPr="00B5098C">
        <w:rPr>
          <w:rFonts w:ascii="標楷體" w:eastAsia="標楷體" w:hAnsi="標楷體" w:cstheme="minorBidi" w:hint="eastAsia"/>
          <w:bCs/>
          <w:szCs w:val="24"/>
        </w:rPr>
        <w:t>不及</w:t>
      </w:r>
      <w:r w:rsidRPr="00B5098C">
        <w:rPr>
          <w:rFonts w:ascii="標楷體" w:eastAsia="標楷體" w:hAnsi="標楷體" w:cstheme="minorBidi"/>
          <w:bCs/>
          <w:szCs w:val="24"/>
        </w:rPr>
        <w:t xml:space="preserve">5 </w:t>
      </w:r>
      <w:proofErr w:type="spellStart"/>
      <w:r w:rsidRPr="00B5098C">
        <w:rPr>
          <w:rFonts w:ascii="標楷體" w:eastAsia="標楷體" w:hAnsi="標楷體" w:cstheme="minorBidi"/>
          <w:bCs/>
          <w:szCs w:val="24"/>
        </w:rPr>
        <w:t>PFlops</w:t>
      </w:r>
      <w:proofErr w:type="spellEnd"/>
      <w:r w:rsidRPr="00B5098C">
        <w:rPr>
          <w:rFonts w:ascii="標楷體" w:eastAsia="標楷體" w:hAnsi="標楷體" w:cstheme="minorBidi" w:hint="eastAsia"/>
          <w:bCs/>
          <w:szCs w:val="24"/>
        </w:rPr>
        <w:t>，最低僅</w:t>
      </w:r>
      <w:r w:rsidRPr="00B5098C">
        <w:rPr>
          <w:rFonts w:ascii="標楷體" w:eastAsia="標楷體" w:hAnsi="標楷體" w:cstheme="minorBidi"/>
          <w:bCs/>
          <w:szCs w:val="24"/>
        </w:rPr>
        <w:t xml:space="preserve">0.001 </w:t>
      </w:r>
      <w:proofErr w:type="spellStart"/>
      <w:r w:rsidRPr="00B5098C">
        <w:rPr>
          <w:rFonts w:ascii="標楷體" w:eastAsia="標楷體" w:hAnsi="標楷體" w:cstheme="minorBidi"/>
          <w:bCs/>
          <w:szCs w:val="24"/>
        </w:rPr>
        <w:t>PFlops</w:t>
      </w:r>
      <w:proofErr w:type="spellEnd"/>
      <w:r w:rsidRPr="00B5098C">
        <w:rPr>
          <w:rFonts w:ascii="標楷體" w:eastAsia="標楷體" w:hAnsi="標楷體" w:cstheme="minorBidi" w:hint="eastAsia"/>
          <w:bCs/>
          <w:color w:val="000000" w:themeColor="text1"/>
          <w:szCs w:val="24"/>
        </w:rPr>
        <w:t>，且因中央部會尚未</w:t>
      </w:r>
      <w:proofErr w:type="gramStart"/>
      <w:r w:rsidRPr="00B5098C">
        <w:rPr>
          <w:rFonts w:ascii="標楷體" w:eastAsia="標楷體" w:hAnsi="標楷體" w:cstheme="minorBidi" w:hint="eastAsia"/>
          <w:bCs/>
          <w:color w:val="000000" w:themeColor="text1"/>
          <w:szCs w:val="24"/>
        </w:rPr>
        <w:t>建立算力整合</w:t>
      </w:r>
      <w:proofErr w:type="gramEnd"/>
      <w:r w:rsidRPr="00B5098C">
        <w:rPr>
          <w:rFonts w:ascii="標楷體" w:eastAsia="標楷體" w:hAnsi="標楷體" w:cstheme="minorBidi" w:hint="eastAsia"/>
          <w:bCs/>
          <w:color w:val="000000" w:themeColor="text1"/>
          <w:szCs w:val="24"/>
        </w:rPr>
        <w:t>共享機制，</w:t>
      </w:r>
      <w:proofErr w:type="gramStart"/>
      <w:r w:rsidRPr="00B5098C">
        <w:rPr>
          <w:rFonts w:ascii="標楷體" w:eastAsia="標楷體" w:hAnsi="標楷體" w:cstheme="minorBidi" w:hint="eastAsia"/>
          <w:bCs/>
          <w:color w:val="000000" w:themeColor="text1"/>
          <w:szCs w:val="24"/>
        </w:rPr>
        <w:t>不利算力彈性</w:t>
      </w:r>
      <w:proofErr w:type="gramEnd"/>
      <w:r w:rsidRPr="00B5098C">
        <w:rPr>
          <w:rFonts w:ascii="標楷體" w:eastAsia="標楷體" w:hAnsi="標楷體" w:cstheme="minorBidi" w:hint="eastAsia"/>
          <w:bCs/>
          <w:color w:val="000000" w:themeColor="text1"/>
          <w:szCs w:val="24"/>
        </w:rPr>
        <w:t>調度，易衍生單一機關遇</w:t>
      </w:r>
      <w:proofErr w:type="gramStart"/>
      <w:r w:rsidRPr="00B5098C">
        <w:rPr>
          <w:rFonts w:ascii="標楷體" w:eastAsia="標楷體" w:hAnsi="標楷體" w:cstheme="minorBidi" w:hint="eastAsia"/>
          <w:bCs/>
          <w:color w:val="000000" w:themeColor="text1"/>
          <w:szCs w:val="24"/>
        </w:rPr>
        <w:t>有算力高峰</w:t>
      </w:r>
      <w:proofErr w:type="gramEnd"/>
      <w:r w:rsidRPr="00B5098C">
        <w:rPr>
          <w:rFonts w:ascii="標楷體" w:eastAsia="標楷體" w:hAnsi="標楷體" w:cstheme="minorBidi" w:hint="eastAsia"/>
          <w:bCs/>
          <w:color w:val="000000" w:themeColor="text1"/>
          <w:szCs w:val="24"/>
        </w:rPr>
        <w:t>或</w:t>
      </w:r>
      <w:proofErr w:type="gramStart"/>
      <w:r w:rsidRPr="00B5098C">
        <w:rPr>
          <w:rFonts w:ascii="標楷體" w:eastAsia="標楷體" w:hAnsi="標楷體" w:cstheme="minorBidi" w:hint="eastAsia"/>
          <w:bCs/>
          <w:color w:val="000000" w:themeColor="text1"/>
          <w:szCs w:val="24"/>
        </w:rPr>
        <w:t>突發算力需求</w:t>
      </w:r>
      <w:proofErr w:type="gramEnd"/>
      <w:r w:rsidRPr="00B5098C">
        <w:rPr>
          <w:rFonts w:ascii="標楷體" w:eastAsia="標楷體" w:hAnsi="標楷體" w:cstheme="minorBidi" w:hint="eastAsia"/>
          <w:bCs/>
          <w:color w:val="000000" w:themeColor="text1"/>
          <w:szCs w:val="24"/>
        </w:rPr>
        <w:t>，其他機關無法支援情事。經函請行政院參酌OECD「建立國家級人工智慧運算能力藍圖」報告之相關建議內容，辦理</w:t>
      </w:r>
      <w:proofErr w:type="gramStart"/>
      <w:r w:rsidRPr="00B5098C">
        <w:rPr>
          <w:rFonts w:ascii="標楷體" w:eastAsia="標楷體" w:hAnsi="標楷體" w:cstheme="minorBidi" w:hint="eastAsia"/>
          <w:bCs/>
          <w:color w:val="000000" w:themeColor="text1"/>
          <w:szCs w:val="24"/>
        </w:rPr>
        <w:t>我國算力需求</w:t>
      </w:r>
      <w:proofErr w:type="gramEnd"/>
      <w:r w:rsidRPr="00B5098C">
        <w:rPr>
          <w:rFonts w:ascii="標楷體" w:eastAsia="標楷體" w:hAnsi="標楷體" w:cstheme="minorBidi" w:hint="eastAsia"/>
          <w:bCs/>
          <w:color w:val="000000" w:themeColor="text1"/>
          <w:szCs w:val="24"/>
        </w:rPr>
        <w:t>評估與投資規劃，並朝向整合與共享發展，以提升</w:t>
      </w:r>
      <w:proofErr w:type="gramStart"/>
      <w:r w:rsidRPr="00B5098C">
        <w:rPr>
          <w:rFonts w:ascii="標楷體" w:eastAsia="標楷體" w:hAnsi="標楷體" w:cstheme="minorBidi" w:hint="eastAsia"/>
          <w:bCs/>
          <w:color w:val="000000" w:themeColor="text1"/>
          <w:szCs w:val="24"/>
        </w:rPr>
        <w:t>政府算力資源</w:t>
      </w:r>
      <w:proofErr w:type="gramEnd"/>
      <w:r w:rsidRPr="00B5098C">
        <w:rPr>
          <w:rFonts w:ascii="標楷體" w:eastAsia="標楷體" w:hAnsi="標楷體" w:cstheme="minorBidi" w:hint="eastAsia"/>
          <w:bCs/>
          <w:color w:val="000000" w:themeColor="text1"/>
          <w:szCs w:val="24"/>
        </w:rPr>
        <w:t>運用效率。</w:t>
      </w:r>
      <w:r w:rsidR="00EB7720" w:rsidRPr="004E7221">
        <w:rPr>
          <w:rFonts w:ascii="標楷體" w:eastAsia="標楷體" w:hAnsi="標楷體" w:cstheme="minorBidi" w:hint="eastAsia"/>
          <w:szCs w:val="24"/>
        </w:rPr>
        <w:t>據復：</w:t>
      </w:r>
      <w:r w:rsidR="004E7221" w:rsidRPr="004E7221">
        <w:rPr>
          <w:rFonts w:ascii="標楷體" w:eastAsia="標楷體" w:hAnsi="標楷體" w:cstheme="minorBidi" w:hint="eastAsia"/>
          <w:szCs w:val="24"/>
        </w:rPr>
        <w:t>國科會將持續規劃建置大型高速運算主機，提供</w:t>
      </w:r>
      <w:proofErr w:type="gramStart"/>
      <w:r w:rsidR="004E7221" w:rsidRPr="004E7221">
        <w:rPr>
          <w:rFonts w:ascii="標楷體" w:eastAsia="標楷體" w:hAnsi="標楷體" w:cstheme="minorBidi" w:hint="eastAsia"/>
          <w:szCs w:val="24"/>
        </w:rPr>
        <w:t>共用型算力資源</w:t>
      </w:r>
      <w:proofErr w:type="gramEnd"/>
      <w:r w:rsidR="004E7221" w:rsidRPr="004E7221">
        <w:rPr>
          <w:rFonts w:ascii="標楷體" w:eastAsia="標楷體" w:hAnsi="標楷體" w:cstheme="minorBidi" w:hint="eastAsia"/>
          <w:szCs w:val="24"/>
        </w:rPr>
        <w:t>與雲端環境，並視國內外技術發展趨勢及使用需求動態調整，及推動</w:t>
      </w:r>
      <w:proofErr w:type="gramStart"/>
      <w:r w:rsidR="004E7221" w:rsidRPr="004E7221">
        <w:rPr>
          <w:rFonts w:ascii="標楷體" w:eastAsia="標楷體" w:hAnsi="標楷體" w:cstheme="minorBidi" w:hint="eastAsia"/>
          <w:szCs w:val="24"/>
        </w:rPr>
        <w:t>公私算力資源</w:t>
      </w:r>
      <w:proofErr w:type="gramEnd"/>
      <w:r w:rsidR="004E7221" w:rsidRPr="004E7221">
        <w:rPr>
          <w:rFonts w:ascii="標楷體" w:eastAsia="標楷體" w:hAnsi="標楷體" w:cstheme="minorBidi" w:hint="eastAsia"/>
          <w:szCs w:val="24"/>
        </w:rPr>
        <w:t>合作計畫，由國網中心自114年5月起聯合國內公私部門指標</w:t>
      </w:r>
      <w:proofErr w:type="gramStart"/>
      <w:r w:rsidR="004E7221" w:rsidRPr="004E7221">
        <w:rPr>
          <w:rFonts w:ascii="標楷體" w:eastAsia="標楷體" w:hAnsi="標楷體" w:cstheme="minorBidi" w:hint="eastAsia"/>
          <w:szCs w:val="24"/>
        </w:rPr>
        <w:t>性算力</w:t>
      </w:r>
      <w:proofErr w:type="gramEnd"/>
      <w:r w:rsidR="004E7221" w:rsidRPr="004E7221">
        <w:rPr>
          <w:rFonts w:ascii="標楷體" w:eastAsia="標楷體" w:hAnsi="標楷體" w:cstheme="minorBidi" w:hint="eastAsia"/>
          <w:szCs w:val="24"/>
        </w:rPr>
        <w:t>提供者與應用單位成立「</w:t>
      </w:r>
      <w:proofErr w:type="gramStart"/>
      <w:r w:rsidR="004E7221" w:rsidRPr="004E7221">
        <w:rPr>
          <w:rFonts w:ascii="標楷體" w:eastAsia="標楷體" w:hAnsi="標楷體" w:cstheme="minorBidi" w:hint="eastAsia"/>
          <w:szCs w:val="24"/>
        </w:rPr>
        <w:t>臺灣算力聯盟</w:t>
      </w:r>
      <w:proofErr w:type="gramEnd"/>
      <w:r w:rsidR="004E7221" w:rsidRPr="004E7221">
        <w:rPr>
          <w:rFonts w:ascii="標楷體" w:eastAsia="標楷體" w:hAnsi="標楷體" w:cstheme="minorBidi" w:hint="eastAsia"/>
          <w:szCs w:val="24"/>
        </w:rPr>
        <w:t>」，</w:t>
      </w:r>
      <w:proofErr w:type="gramStart"/>
      <w:r w:rsidR="004E7221" w:rsidRPr="004E7221">
        <w:rPr>
          <w:rFonts w:ascii="標楷體" w:eastAsia="標楷體" w:hAnsi="標楷體" w:cstheme="minorBidi" w:hint="eastAsia"/>
          <w:szCs w:val="24"/>
        </w:rPr>
        <w:t>促進算力資源</w:t>
      </w:r>
      <w:proofErr w:type="gramEnd"/>
      <w:r w:rsidR="004E7221" w:rsidRPr="004E7221">
        <w:rPr>
          <w:rFonts w:ascii="標楷體" w:eastAsia="標楷體" w:hAnsi="標楷體" w:cstheme="minorBidi" w:hint="eastAsia"/>
          <w:szCs w:val="24"/>
        </w:rPr>
        <w:t>共享與媒合，以提升國家</w:t>
      </w:r>
      <w:proofErr w:type="gramStart"/>
      <w:r w:rsidR="004E7221" w:rsidRPr="004E7221">
        <w:rPr>
          <w:rFonts w:ascii="標楷體" w:eastAsia="標楷體" w:hAnsi="標楷體" w:cstheme="minorBidi" w:hint="eastAsia"/>
          <w:szCs w:val="24"/>
        </w:rPr>
        <w:t>整體算力資源</w:t>
      </w:r>
      <w:proofErr w:type="gramEnd"/>
      <w:r w:rsidR="004E7221" w:rsidRPr="004E7221">
        <w:rPr>
          <w:rFonts w:ascii="標楷體" w:eastAsia="標楷體" w:hAnsi="標楷體" w:cstheme="minorBidi" w:hint="eastAsia"/>
          <w:szCs w:val="24"/>
        </w:rPr>
        <w:t>建置效益。</w:t>
      </w:r>
    </w:p>
    <w:p w14:paraId="42B64C98" w14:textId="581A1F57" w:rsidR="00357D5A" w:rsidRPr="00361B19" w:rsidRDefault="00B5098C" w:rsidP="00361B19">
      <w:pPr>
        <w:overflowPunct w:val="0"/>
        <w:adjustRightInd w:val="0"/>
        <w:snapToGrid w:val="0"/>
        <w:spacing w:line="414" w:lineRule="exact"/>
        <w:ind w:firstLineChars="450" w:firstLine="1081"/>
        <w:jc w:val="both"/>
        <w:rPr>
          <w:rFonts w:ascii="標楷體" w:eastAsia="標楷體" w:hAnsi="標楷體" w:cstheme="minorBidi"/>
          <w:szCs w:val="24"/>
        </w:rPr>
      </w:pPr>
      <w:r w:rsidRPr="00B5098C">
        <w:rPr>
          <w:rFonts w:ascii="標楷體" w:eastAsia="標楷體" w:hAnsi="標楷體" w:cs="標楷體"/>
          <w:b/>
          <w:bCs/>
          <w:kern w:val="52"/>
          <w:szCs w:val="32"/>
        </w:rPr>
        <w:t>4</w:t>
      </w:r>
      <w:r w:rsidRPr="00B5098C">
        <w:rPr>
          <w:rFonts w:ascii="標楷體" w:eastAsia="標楷體" w:hAnsi="標楷體" w:cs="標楷體" w:hint="eastAsia"/>
          <w:b/>
          <w:bCs/>
          <w:kern w:val="52"/>
          <w:szCs w:val="32"/>
        </w:rPr>
        <w:t>.</w:t>
      </w:r>
      <w:r w:rsidRPr="00B5098C">
        <w:rPr>
          <w:rFonts w:ascii="標楷體" w:eastAsia="標楷體" w:hAnsi="標楷體" w:cs="標楷體" w:hint="eastAsia"/>
          <w:b/>
          <w:bCs/>
          <w:color w:val="4BACC6" w:themeColor="accent5"/>
          <w:kern w:val="52"/>
          <w:szCs w:val="32"/>
        </w:rPr>
        <w:t xml:space="preserve">　</w:t>
      </w:r>
      <w:r w:rsidRPr="00B5098C">
        <w:rPr>
          <w:rFonts w:ascii="標楷體" w:eastAsia="標楷體" w:hAnsi="標楷體" w:cs="標楷體" w:hint="eastAsia"/>
          <w:b/>
          <w:bCs/>
          <w:kern w:val="52"/>
          <w:szCs w:val="32"/>
        </w:rPr>
        <w:t>穩定電力供給係發展AI重要之基礎環境，公私部門持續投資建置高效能運算主機及資料中心，其電力需求與集中布建所衍生之區域供電壓力，允宜</w:t>
      </w:r>
      <w:proofErr w:type="gramStart"/>
      <w:r w:rsidRPr="00B5098C">
        <w:rPr>
          <w:rFonts w:ascii="標楷體" w:eastAsia="標楷體" w:hAnsi="標楷體" w:cs="標楷體" w:hint="eastAsia"/>
          <w:b/>
          <w:bCs/>
          <w:kern w:val="52"/>
          <w:szCs w:val="32"/>
        </w:rPr>
        <w:t>研</w:t>
      </w:r>
      <w:proofErr w:type="gramEnd"/>
      <w:r w:rsidRPr="00B5098C">
        <w:rPr>
          <w:rFonts w:ascii="標楷體" w:eastAsia="標楷體" w:hAnsi="標楷體" w:cs="標楷體" w:hint="eastAsia"/>
          <w:b/>
          <w:bCs/>
          <w:kern w:val="52"/>
          <w:szCs w:val="32"/>
        </w:rPr>
        <w:t>議加強跨部門溝通機制，確保電力供給能穩定滿足AI及數位基礎設施發展需求：</w:t>
      </w:r>
      <w:r w:rsidRPr="00B5098C">
        <w:rPr>
          <w:rFonts w:ascii="標楷體" w:eastAsia="標楷體" w:hAnsi="標楷體" w:cs="標楷體" w:hint="eastAsia"/>
          <w:bCs/>
          <w:kern w:val="52"/>
          <w:szCs w:val="32"/>
        </w:rPr>
        <w:t>依國際能源總署（</w:t>
      </w:r>
      <w:r w:rsidRPr="00B5098C">
        <w:rPr>
          <w:rFonts w:ascii="標楷體" w:eastAsia="標楷體" w:hAnsi="標楷體" w:cs="標楷體"/>
          <w:bCs/>
          <w:kern w:val="52"/>
          <w:szCs w:val="32"/>
        </w:rPr>
        <w:t xml:space="preserve">International Energy Agency, </w:t>
      </w:r>
      <w:r w:rsidRPr="00B5098C">
        <w:rPr>
          <w:rFonts w:ascii="標楷體" w:eastAsia="標楷體" w:hAnsi="標楷體" w:cs="標楷體" w:hint="eastAsia"/>
          <w:bCs/>
          <w:kern w:val="52"/>
          <w:szCs w:val="32"/>
        </w:rPr>
        <w:t>IEA）「能源與人工智慧」國際會議提出第一項原則為「沒有能源就沒有AI，特別是電力」政府需為AI、資料中心和數位基礎設施提供穩定電力，並確保資料中心和AI有助於電力部門安全轉型，及加強與利害關係人之溝通，又未來電力需求將大幅增加，對電網造成壓力，</w:t>
      </w:r>
      <w:proofErr w:type="gramStart"/>
      <w:r w:rsidRPr="00B5098C">
        <w:rPr>
          <w:rFonts w:ascii="標楷體" w:eastAsia="標楷體" w:hAnsi="標楷體" w:cs="標楷體" w:hint="eastAsia"/>
          <w:bCs/>
          <w:kern w:val="52"/>
          <w:szCs w:val="32"/>
        </w:rPr>
        <w:t>宜</w:t>
      </w:r>
      <w:r w:rsidRPr="00B5098C">
        <w:rPr>
          <w:rFonts w:ascii="標楷體" w:eastAsia="標楷體" w:hAnsi="標楷體" w:cs="標楷體" w:hint="eastAsia"/>
          <w:bCs/>
          <w:kern w:val="52"/>
          <w:szCs w:val="32"/>
        </w:rPr>
        <w:lastRenderedPageBreak/>
        <w:t>預為</w:t>
      </w:r>
      <w:proofErr w:type="gramEnd"/>
      <w:r w:rsidRPr="00B5098C">
        <w:rPr>
          <w:rFonts w:ascii="標楷體" w:eastAsia="標楷體" w:hAnsi="標楷體" w:cs="標楷體" w:hint="eastAsia"/>
          <w:bCs/>
          <w:kern w:val="52"/>
          <w:szCs w:val="32"/>
        </w:rPr>
        <w:t>因應。經查，國網中心高效能運算主機111至113年度</w:t>
      </w:r>
      <w:proofErr w:type="gramStart"/>
      <w:r w:rsidRPr="00B5098C">
        <w:rPr>
          <w:rFonts w:ascii="標楷體" w:eastAsia="標楷體" w:hAnsi="標楷體" w:cs="標楷體" w:hint="eastAsia"/>
          <w:bCs/>
          <w:kern w:val="52"/>
          <w:szCs w:val="32"/>
        </w:rPr>
        <w:t>算力值</w:t>
      </w:r>
      <w:proofErr w:type="gramEnd"/>
      <w:r w:rsidRPr="00B5098C">
        <w:rPr>
          <w:rFonts w:ascii="標楷體" w:eastAsia="標楷體" w:hAnsi="標楷體" w:cs="標楷體" w:hint="eastAsia"/>
          <w:bCs/>
          <w:kern w:val="52"/>
          <w:szCs w:val="32"/>
        </w:rPr>
        <w:t>合計分別為21.64</w:t>
      </w:r>
      <w:r w:rsidRPr="00B5098C">
        <w:rPr>
          <w:rFonts w:ascii="標楷體" w:eastAsia="標楷體" w:hAnsi="標楷體" w:cs="標楷體"/>
          <w:bCs/>
          <w:kern w:val="52"/>
          <w:szCs w:val="32"/>
        </w:rPr>
        <w:t xml:space="preserve"> </w:t>
      </w:r>
      <w:proofErr w:type="spellStart"/>
      <w:r w:rsidRPr="00B5098C">
        <w:rPr>
          <w:rFonts w:ascii="標楷體" w:eastAsia="標楷體" w:hAnsi="標楷體" w:cs="標楷體" w:hint="eastAsia"/>
          <w:bCs/>
          <w:kern w:val="52"/>
          <w:szCs w:val="32"/>
        </w:rPr>
        <w:t>PFlops</w:t>
      </w:r>
      <w:proofErr w:type="spellEnd"/>
      <w:r w:rsidRPr="00B5098C">
        <w:rPr>
          <w:rFonts w:ascii="標楷體" w:eastAsia="標楷體" w:hAnsi="標楷體" w:cs="標楷體" w:hint="eastAsia"/>
          <w:bCs/>
          <w:kern w:val="52"/>
          <w:szCs w:val="32"/>
        </w:rPr>
        <w:t>、25.64</w:t>
      </w:r>
      <w:r w:rsidRPr="00B5098C">
        <w:rPr>
          <w:rFonts w:ascii="標楷體" w:eastAsia="標楷體" w:hAnsi="標楷體" w:cs="標楷體"/>
          <w:bCs/>
          <w:kern w:val="52"/>
          <w:szCs w:val="32"/>
        </w:rPr>
        <w:t xml:space="preserve"> </w:t>
      </w:r>
      <w:proofErr w:type="spellStart"/>
      <w:r w:rsidRPr="00B5098C">
        <w:rPr>
          <w:rFonts w:ascii="標楷體" w:eastAsia="標楷體" w:hAnsi="標楷體" w:cs="標楷體" w:hint="eastAsia"/>
          <w:bCs/>
          <w:kern w:val="52"/>
          <w:szCs w:val="32"/>
        </w:rPr>
        <w:t>PFlops</w:t>
      </w:r>
      <w:proofErr w:type="spellEnd"/>
      <w:r w:rsidRPr="00B5098C">
        <w:rPr>
          <w:rFonts w:ascii="標楷體" w:eastAsia="標楷體" w:hAnsi="標楷體" w:cs="標楷體" w:hint="eastAsia"/>
          <w:bCs/>
          <w:kern w:val="52"/>
          <w:szCs w:val="32"/>
        </w:rPr>
        <w:t>、45.47</w:t>
      </w:r>
      <w:r w:rsidRPr="00B5098C">
        <w:rPr>
          <w:rFonts w:ascii="標楷體" w:eastAsia="標楷體" w:hAnsi="標楷體" w:cs="標楷體"/>
          <w:bCs/>
          <w:kern w:val="52"/>
          <w:szCs w:val="32"/>
        </w:rPr>
        <w:t xml:space="preserve"> </w:t>
      </w:r>
      <w:proofErr w:type="spellStart"/>
      <w:r w:rsidRPr="00B5098C">
        <w:rPr>
          <w:rFonts w:ascii="標楷體" w:eastAsia="標楷體" w:hAnsi="標楷體" w:cs="標楷體" w:hint="eastAsia"/>
          <w:bCs/>
          <w:kern w:val="52"/>
          <w:szCs w:val="32"/>
        </w:rPr>
        <w:t>PFlops</w:t>
      </w:r>
      <w:proofErr w:type="spellEnd"/>
      <w:r w:rsidRPr="00B5098C">
        <w:rPr>
          <w:rFonts w:ascii="標楷體" w:eastAsia="標楷體" w:hAnsi="標楷體" w:cs="標楷體" w:hint="eastAsia"/>
          <w:bCs/>
          <w:kern w:val="52"/>
          <w:szCs w:val="32"/>
        </w:rPr>
        <w:t>，同期使用電力分別為998萬</w:t>
      </w:r>
      <w:r w:rsidR="00C92467" w:rsidRPr="00B5098C">
        <w:rPr>
          <w:rFonts w:ascii="標楷體" w:eastAsia="標楷體" w:hAnsi="標楷體" w:cs="標楷體"/>
          <w:b/>
          <w:bCs/>
          <w:noProof/>
          <w:kern w:val="52"/>
          <w:szCs w:val="32"/>
        </w:rPr>
        <mc:AlternateContent>
          <mc:Choice Requires="wps">
            <w:drawing>
              <wp:anchor distT="45720" distB="45720" distL="114300" distR="114300" simplePos="0" relativeHeight="251687936" behindDoc="1" locked="0" layoutInCell="1" allowOverlap="1" wp14:anchorId="192E4949" wp14:editId="06ABEFD8">
                <wp:simplePos x="0" y="0"/>
                <wp:positionH relativeFrom="margin">
                  <wp:posOffset>2886075</wp:posOffset>
                </wp:positionH>
                <wp:positionV relativeFrom="page">
                  <wp:posOffset>1524000</wp:posOffset>
                </wp:positionV>
                <wp:extent cx="3302000" cy="2705100"/>
                <wp:effectExtent l="0" t="0" r="0" b="0"/>
                <wp:wrapTight wrapText="bothSides">
                  <wp:wrapPolygon edited="0">
                    <wp:start x="0" y="0"/>
                    <wp:lineTo x="0" y="21448"/>
                    <wp:lineTo x="21434" y="21448"/>
                    <wp:lineTo x="21434" y="0"/>
                    <wp:lineTo x="0" y="0"/>
                  </wp:wrapPolygon>
                </wp:wrapTight>
                <wp:docPr id="4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0" cy="2705100"/>
                        </a:xfrm>
                        <a:prstGeom prst="rect">
                          <a:avLst/>
                        </a:prstGeom>
                        <a:solidFill>
                          <a:srgbClr val="FFFFFF"/>
                        </a:solidFill>
                        <a:ln w="9525">
                          <a:noFill/>
                          <a:miter lim="800000"/>
                          <a:headEnd/>
                          <a:tailEnd/>
                        </a:ln>
                      </wps:spPr>
                      <wps:txbx>
                        <w:txbxContent>
                          <w:p w14:paraId="689EEEEE" w14:textId="0804C100" w:rsidR="00C92467" w:rsidRPr="00D046A9" w:rsidRDefault="00C92467" w:rsidP="000A6BBF">
                            <w:pPr>
                              <w:ind w:left="781" w:hangingChars="325" w:hanging="781"/>
                            </w:pPr>
                            <w:r w:rsidRPr="00C70A83">
                              <w:rPr>
                                <w:rFonts w:ascii="標楷體" w:eastAsia="標楷體" w:hAnsi="標楷體"/>
                                <w:b/>
                                <w:bCs/>
                                <w:color w:val="000000" w:themeColor="text1"/>
                                <w:szCs w:val="24"/>
                              </w:rPr>
                              <w:t xml:space="preserve">表22 </w:t>
                            </w:r>
                            <w:r>
                              <w:rPr>
                                <w:rFonts w:ascii="標楷體" w:eastAsia="標楷體" w:hAnsi="標楷體"/>
                                <w:b/>
                                <w:bCs/>
                                <w:szCs w:val="24"/>
                              </w:rPr>
                              <w:t xml:space="preserve"> </w:t>
                            </w:r>
                            <w:r w:rsidR="00361B19" w:rsidRPr="00361B19">
                              <w:rPr>
                                <w:rFonts w:ascii="標楷體" w:eastAsia="標楷體" w:hAnsi="標楷體" w:hint="eastAsia"/>
                                <w:b/>
                                <w:bCs/>
                                <w:szCs w:val="24"/>
                              </w:rPr>
                              <w:t>財團法人國家實驗研究院</w:t>
                            </w:r>
                            <w:r w:rsidRPr="00D046A9">
                              <w:rPr>
                                <w:rFonts w:ascii="標楷體" w:eastAsia="標楷體" w:hAnsi="標楷體"/>
                                <w:b/>
                                <w:bCs/>
                                <w:szCs w:val="24"/>
                              </w:rPr>
                              <w:t>國</w:t>
                            </w:r>
                            <w:r w:rsidR="000A6BBF">
                              <w:rPr>
                                <w:rFonts w:ascii="標楷體" w:eastAsia="標楷體" w:hAnsi="標楷體" w:hint="eastAsia"/>
                                <w:b/>
                                <w:bCs/>
                                <w:szCs w:val="24"/>
                              </w:rPr>
                              <w:t>家高速</w:t>
                            </w:r>
                            <w:r w:rsidRPr="00D046A9">
                              <w:rPr>
                                <w:rFonts w:ascii="標楷體" w:eastAsia="標楷體" w:hAnsi="標楷體"/>
                                <w:b/>
                                <w:bCs/>
                                <w:szCs w:val="24"/>
                              </w:rPr>
                              <w:t>網</w:t>
                            </w:r>
                            <w:r w:rsidR="000A6BBF">
                              <w:rPr>
                                <w:rFonts w:ascii="標楷體" w:eastAsia="標楷體" w:hAnsi="標楷體" w:hint="eastAsia"/>
                                <w:b/>
                                <w:bCs/>
                                <w:szCs w:val="24"/>
                              </w:rPr>
                              <w:t>路與計算</w:t>
                            </w:r>
                            <w:r w:rsidRPr="00D046A9">
                              <w:rPr>
                                <w:rFonts w:ascii="標楷體" w:eastAsia="標楷體" w:hAnsi="標楷體"/>
                                <w:b/>
                                <w:bCs/>
                                <w:szCs w:val="24"/>
                              </w:rPr>
                              <w:t>中心各高效能運算主機</w:t>
                            </w:r>
                            <w:r w:rsidRPr="00D046A9">
                              <w:rPr>
                                <w:rFonts w:ascii="標楷體" w:eastAsia="標楷體" w:hAnsi="標楷體" w:hint="eastAsia"/>
                                <w:b/>
                                <w:bCs/>
                                <w:szCs w:val="24"/>
                              </w:rPr>
                              <w:t>用電情形</w:t>
                            </w:r>
                          </w:p>
                          <w:p w14:paraId="3441070A" w14:textId="77777777" w:rsidR="00C92467" w:rsidRPr="006418E3" w:rsidRDefault="00C92467" w:rsidP="00C92467">
                            <w:pPr>
                              <w:jc w:val="right"/>
                              <w:rPr>
                                <w:rFonts w:ascii="標楷體" w:eastAsia="標楷體" w:hAnsi="標楷體"/>
                                <w:sz w:val="20"/>
                              </w:rPr>
                            </w:pPr>
                            <w:r w:rsidRPr="006418E3">
                              <w:rPr>
                                <w:rFonts w:ascii="標楷體" w:eastAsia="標楷體" w:hAnsi="標楷體" w:hint="eastAsia"/>
                                <w:sz w:val="20"/>
                              </w:rPr>
                              <w:t>單位：度</w:t>
                            </w:r>
                          </w:p>
                          <w:tbl>
                            <w:tblPr>
                              <w:tblW w:w="4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6"/>
                              <w:gridCol w:w="1228"/>
                              <w:gridCol w:w="1229"/>
                              <w:gridCol w:w="1229"/>
                            </w:tblGrid>
                            <w:tr w:rsidR="00C92467" w:rsidRPr="00D046A9" w14:paraId="238EC07C" w14:textId="77777777" w:rsidTr="000147BE">
                              <w:trPr>
                                <w:trHeight w:val="20"/>
                                <w:tblHeader/>
                              </w:trPr>
                              <w:tc>
                                <w:tcPr>
                                  <w:tcW w:w="1276" w:type="dxa"/>
                                  <w:shd w:val="clear" w:color="auto" w:fill="auto"/>
                                  <w:vAlign w:val="center"/>
                                  <w:hideMark/>
                                </w:tcPr>
                                <w:p w14:paraId="3DB7D7A9"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主機名稱</w:t>
                                  </w:r>
                                </w:p>
                              </w:tc>
                              <w:tc>
                                <w:tcPr>
                                  <w:tcW w:w="1228" w:type="dxa"/>
                                  <w:shd w:val="clear" w:color="auto" w:fill="auto"/>
                                  <w:vAlign w:val="center"/>
                                  <w:hideMark/>
                                </w:tcPr>
                                <w:p w14:paraId="50D93DBE" w14:textId="77777777" w:rsidR="00C92467" w:rsidRDefault="00C92467" w:rsidP="00B4136B">
                                  <w:pPr>
                                    <w:widowControl/>
                                    <w:spacing w:line="20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color w:val="000000"/>
                                      <w:kern w:val="0"/>
                                      <w:sz w:val="20"/>
                                    </w:rPr>
                                    <w:t>111</w:t>
                                  </w:r>
                                  <w:proofErr w:type="gramEnd"/>
                                  <w:r w:rsidRPr="00D046A9">
                                    <w:rPr>
                                      <w:rFonts w:ascii="標楷體" w:eastAsia="標楷體" w:hAnsi="標楷體" w:cs="新細明體" w:hint="eastAsia"/>
                                      <w:color w:val="000000"/>
                                      <w:kern w:val="0"/>
                                      <w:sz w:val="20"/>
                                    </w:rPr>
                                    <w:t>年度</w:t>
                                  </w:r>
                                </w:p>
                                <w:p w14:paraId="39228993" w14:textId="77777777" w:rsidR="00C92467" w:rsidRPr="00D046A9" w:rsidRDefault="00C92467" w:rsidP="00B4136B">
                                  <w:pPr>
                                    <w:widowControl/>
                                    <w:spacing w:line="20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用電量</w:t>
                                  </w:r>
                                </w:p>
                              </w:tc>
                              <w:tc>
                                <w:tcPr>
                                  <w:tcW w:w="1229" w:type="dxa"/>
                                  <w:shd w:val="clear" w:color="auto" w:fill="auto"/>
                                  <w:vAlign w:val="center"/>
                                  <w:hideMark/>
                                </w:tcPr>
                                <w:p w14:paraId="7D04A749" w14:textId="77777777" w:rsidR="00C92467" w:rsidRDefault="00C92467" w:rsidP="00B4136B">
                                  <w:pPr>
                                    <w:widowControl/>
                                    <w:spacing w:line="20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color w:val="000000"/>
                                      <w:kern w:val="0"/>
                                      <w:sz w:val="20"/>
                                    </w:rPr>
                                    <w:t>112</w:t>
                                  </w:r>
                                  <w:proofErr w:type="gramEnd"/>
                                  <w:r w:rsidRPr="00D046A9">
                                    <w:rPr>
                                      <w:rFonts w:ascii="標楷體" w:eastAsia="標楷體" w:hAnsi="標楷體" w:cs="新細明體" w:hint="eastAsia"/>
                                      <w:color w:val="000000"/>
                                      <w:kern w:val="0"/>
                                      <w:sz w:val="20"/>
                                    </w:rPr>
                                    <w:t>年度</w:t>
                                  </w:r>
                                </w:p>
                                <w:p w14:paraId="3692A863" w14:textId="77777777" w:rsidR="00C92467" w:rsidRPr="00D046A9" w:rsidRDefault="00C92467" w:rsidP="00B4136B">
                                  <w:pPr>
                                    <w:widowControl/>
                                    <w:spacing w:line="20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用電量</w:t>
                                  </w:r>
                                </w:p>
                              </w:tc>
                              <w:tc>
                                <w:tcPr>
                                  <w:tcW w:w="1229" w:type="dxa"/>
                                  <w:shd w:val="clear" w:color="auto" w:fill="auto"/>
                                  <w:vAlign w:val="center"/>
                                  <w:hideMark/>
                                </w:tcPr>
                                <w:p w14:paraId="3352A406" w14:textId="77777777" w:rsidR="00C92467" w:rsidRDefault="00C92467" w:rsidP="00B4136B">
                                  <w:pPr>
                                    <w:widowControl/>
                                    <w:spacing w:line="20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color w:val="000000"/>
                                      <w:kern w:val="0"/>
                                      <w:sz w:val="20"/>
                                    </w:rPr>
                                    <w:t>113</w:t>
                                  </w:r>
                                  <w:proofErr w:type="gramEnd"/>
                                  <w:r w:rsidRPr="00D046A9">
                                    <w:rPr>
                                      <w:rFonts w:ascii="標楷體" w:eastAsia="標楷體" w:hAnsi="標楷體" w:cs="新細明體" w:hint="eastAsia"/>
                                      <w:color w:val="000000"/>
                                      <w:kern w:val="0"/>
                                      <w:sz w:val="20"/>
                                    </w:rPr>
                                    <w:t>年度</w:t>
                                  </w:r>
                                </w:p>
                                <w:p w14:paraId="046B4DA7" w14:textId="77777777" w:rsidR="00C92467" w:rsidRPr="00D046A9" w:rsidRDefault="00C92467" w:rsidP="00B4136B">
                                  <w:pPr>
                                    <w:widowControl/>
                                    <w:spacing w:line="20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用電量</w:t>
                                  </w:r>
                                </w:p>
                              </w:tc>
                            </w:tr>
                            <w:tr w:rsidR="00C92467" w:rsidRPr="00D046A9" w14:paraId="13477F9C" w14:textId="77777777" w:rsidTr="000147BE">
                              <w:trPr>
                                <w:trHeight w:val="20"/>
                              </w:trPr>
                              <w:tc>
                                <w:tcPr>
                                  <w:tcW w:w="1276" w:type="dxa"/>
                                  <w:shd w:val="clear" w:color="auto" w:fill="auto"/>
                                  <w:vAlign w:val="center"/>
                                  <w:hideMark/>
                                </w:tcPr>
                                <w:p w14:paraId="367B0D18" w14:textId="77777777" w:rsidR="00C92467" w:rsidRPr="00D046A9" w:rsidRDefault="00C92467" w:rsidP="006418E3">
                                  <w:pPr>
                                    <w:widowControl/>
                                    <w:spacing w:line="280" w:lineRule="exact"/>
                                    <w:jc w:val="center"/>
                                    <w:rPr>
                                      <w:rFonts w:ascii="標楷體" w:eastAsia="標楷體" w:hAnsi="標楷體" w:cs="新細明體"/>
                                      <w:b/>
                                      <w:bCs/>
                                      <w:color w:val="000000"/>
                                      <w:kern w:val="0"/>
                                      <w:sz w:val="20"/>
                                    </w:rPr>
                                  </w:pPr>
                                  <w:r w:rsidRPr="00350C83">
                                    <w:rPr>
                                      <w:rFonts w:ascii="標楷體" w:eastAsia="標楷體" w:hAnsi="標楷體" w:cs="新細明體" w:hint="eastAsia"/>
                                      <w:b/>
                                      <w:bCs/>
                                      <w:color w:val="000000"/>
                                      <w:spacing w:val="160"/>
                                      <w:kern w:val="0"/>
                                      <w:sz w:val="20"/>
                                      <w:fitText w:val="720" w:id="-715493632"/>
                                    </w:rPr>
                                    <w:t>合</w:t>
                                  </w:r>
                                  <w:r w:rsidRPr="00350C83">
                                    <w:rPr>
                                      <w:rFonts w:ascii="標楷體" w:eastAsia="標楷體" w:hAnsi="標楷體" w:cs="新細明體" w:hint="eastAsia"/>
                                      <w:b/>
                                      <w:bCs/>
                                      <w:color w:val="000000"/>
                                      <w:kern w:val="0"/>
                                      <w:sz w:val="20"/>
                                      <w:fitText w:val="720" w:id="-715493632"/>
                                    </w:rPr>
                                    <w:t>計</w:t>
                                  </w:r>
                                </w:p>
                              </w:tc>
                              <w:tc>
                                <w:tcPr>
                                  <w:tcW w:w="1228" w:type="dxa"/>
                                  <w:shd w:val="clear" w:color="auto" w:fill="auto"/>
                                  <w:vAlign w:val="center"/>
                                  <w:hideMark/>
                                </w:tcPr>
                                <w:p w14:paraId="29B22677" w14:textId="77777777" w:rsidR="00C92467" w:rsidRPr="00D046A9" w:rsidRDefault="00C92467" w:rsidP="006418E3">
                                  <w:pPr>
                                    <w:widowControl/>
                                    <w:spacing w:line="280" w:lineRule="exact"/>
                                    <w:jc w:val="right"/>
                                    <w:rPr>
                                      <w:rFonts w:ascii="標楷體" w:eastAsia="標楷體" w:hAnsi="標楷體" w:cs="新細明體"/>
                                      <w:b/>
                                      <w:color w:val="000000"/>
                                      <w:kern w:val="0"/>
                                      <w:sz w:val="20"/>
                                    </w:rPr>
                                  </w:pPr>
                                  <w:r w:rsidRPr="00D046A9">
                                    <w:rPr>
                                      <w:rFonts w:ascii="標楷體" w:eastAsia="標楷體" w:hAnsi="標楷體" w:cs="新細明體"/>
                                      <w:b/>
                                      <w:color w:val="000000"/>
                                      <w:kern w:val="0"/>
                                      <w:sz w:val="20"/>
                                    </w:rPr>
                                    <w:t>9,986,400</w:t>
                                  </w:r>
                                </w:p>
                              </w:tc>
                              <w:tc>
                                <w:tcPr>
                                  <w:tcW w:w="1229" w:type="dxa"/>
                                  <w:shd w:val="clear" w:color="auto" w:fill="auto"/>
                                  <w:vAlign w:val="center"/>
                                  <w:hideMark/>
                                </w:tcPr>
                                <w:p w14:paraId="327A676B" w14:textId="77777777" w:rsidR="00C92467" w:rsidRPr="00D046A9" w:rsidRDefault="00C92467" w:rsidP="006418E3">
                                  <w:pPr>
                                    <w:widowControl/>
                                    <w:spacing w:line="280" w:lineRule="exact"/>
                                    <w:jc w:val="right"/>
                                    <w:rPr>
                                      <w:rFonts w:ascii="標楷體" w:eastAsia="標楷體" w:hAnsi="標楷體" w:cs="新細明體"/>
                                      <w:b/>
                                      <w:color w:val="000000"/>
                                      <w:kern w:val="0"/>
                                      <w:sz w:val="20"/>
                                    </w:rPr>
                                  </w:pPr>
                                  <w:r w:rsidRPr="00D046A9">
                                    <w:rPr>
                                      <w:rFonts w:ascii="標楷體" w:eastAsia="標楷體" w:hAnsi="標楷體" w:cs="新細明體"/>
                                      <w:b/>
                                      <w:color w:val="000000"/>
                                      <w:kern w:val="0"/>
                                      <w:sz w:val="20"/>
                                    </w:rPr>
                                    <w:t>11,199,875</w:t>
                                  </w:r>
                                </w:p>
                              </w:tc>
                              <w:tc>
                                <w:tcPr>
                                  <w:tcW w:w="1229" w:type="dxa"/>
                                  <w:shd w:val="clear" w:color="auto" w:fill="auto"/>
                                  <w:vAlign w:val="center"/>
                                  <w:hideMark/>
                                </w:tcPr>
                                <w:p w14:paraId="1CDE3297" w14:textId="77777777" w:rsidR="00C92467" w:rsidRPr="00D046A9" w:rsidRDefault="00C92467" w:rsidP="006418E3">
                                  <w:pPr>
                                    <w:widowControl/>
                                    <w:spacing w:line="280" w:lineRule="exact"/>
                                    <w:jc w:val="right"/>
                                    <w:rPr>
                                      <w:rFonts w:ascii="標楷體" w:eastAsia="標楷體" w:hAnsi="標楷體" w:cs="新細明體"/>
                                      <w:b/>
                                      <w:color w:val="000000"/>
                                      <w:kern w:val="0"/>
                                      <w:sz w:val="20"/>
                                    </w:rPr>
                                  </w:pPr>
                                  <w:r w:rsidRPr="00D046A9">
                                    <w:rPr>
                                      <w:rFonts w:ascii="標楷體" w:eastAsia="標楷體" w:hAnsi="標楷體" w:cs="新細明體"/>
                                      <w:b/>
                                      <w:color w:val="000000"/>
                                      <w:kern w:val="0"/>
                                      <w:sz w:val="20"/>
                                    </w:rPr>
                                    <w:t>16,172,046</w:t>
                                  </w:r>
                                </w:p>
                              </w:tc>
                            </w:tr>
                            <w:tr w:rsidR="00C92467" w:rsidRPr="00D046A9" w14:paraId="78E5A6F9" w14:textId="77777777" w:rsidTr="000147BE">
                              <w:trPr>
                                <w:trHeight w:val="20"/>
                              </w:trPr>
                              <w:tc>
                                <w:tcPr>
                                  <w:tcW w:w="1276" w:type="dxa"/>
                                  <w:shd w:val="clear" w:color="auto" w:fill="auto"/>
                                  <w:vAlign w:val="center"/>
                                  <w:hideMark/>
                                </w:tcPr>
                                <w:p w14:paraId="38F7325A"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台灣</w:t>
                                  </w:r>
                                  <w:proofErr w:type="gramStart"/>
                                  <w:r w:rsidRPr="00D046A9">
                                    <w:rPr>
                                      <w:rFonts w:ascii="標楷體" w:eastAsia="標楷體" w:hAnsi="標楷體" w:cs="新細明體" w:hint="eastAsia"/>
                                      <w:color w:val="000000"/>
                                      <w:kern w:val="0"/>
                                      <w:sz w:val="20"/>
                                    </w:rPr>
                                    <w:t>杉</w:t>
                                  </w:r>
                                  <w:proofErr w:type="gramEnd"/>
                                  <w:r w:rsidRPr="00D046A9">
                                    <w:rPr>
                                      <w:rFonts w:ascii="標楷體" w:eastAsia="標楷體" w:hAnsi="標楷體" w:cs="新細明體" w:hint="eastAsia"/>
                                      <w:color w:val="000000"/>
                                      <w:kern w:val="0"/>
                                      <w:sz w:val="20"/>
                                    </w:rPr>
                                    <w:t>一號</w:t>
                                  </w:r>
                                </w:p>
                              </w:tc>
                              <w:tc>
                                <w:tcPr>
                                  <w:tcW w:w="1228" w:type="dxa"/>
                                  <w:shd w:val="clear" w:color="auto" w:fill="auto"/>
                                  <w:vAlign w:val="center"/>
                                  <w:hideMark/>
                                </w:tcPr>
                                <w:p w14:paraId="7E5386C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2,190,000</w:t>
                                  </w:r>
                                </w:p>
                              </w:tc>
                              <w:tc>
                                <w:tcPr>
                                  <w:tcW w:w="1229" w:type="dxa"/>
                                  <w:shd w:val="clear" w:color="auto" w:fill="auto"/>
                                  <w:vAlign w:val="center"/>
                                  <w:hideMark/>
                                </w:tcPr>
                                <w:p w14:paraId="65656EB5"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2,452,800</w:t>
                                  </w:r>
                                </w:p>
                              </w:tc>
                              <w:tc>
                                <w:tcPr>
                                  <w:tcW w:w="1229" w:type="dxa"/>
                                  <w:shd w:val="clear" w:color="auto" w:fill="auto"/>
                                  <w:vAlign w:val="center"/>
                                  <w:hideMark/>
                                </w:tcPr>
                                <w:p w14:paraId="7F54F27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546,000</w:t>
                                  </w:r>
                                </w:p>
                              </w:tc>
                            </w:tr>
                            <w:tr w:rsidR="00C92467" w:rsidRPr="00D046A9" w14:paraId="0022C42A" w14:textId="77777777" w:rsidTr="000147BE">
                              <w:trPr>
                                <w:trHeight w:val="20"/>
                              </w:trPr>
                              <w:tc>
                                <w:tcPr>
                                  <w:tcW w:w="1276" w:type="dxa"/>
                                  <w:shd w:val="clear" w:color="auto" w:fill="auto"/>
                                  <w:vAlign w:val="center"/>
                                  <w:hideMark/>
                                </w:tcPr>
                                <w:p w14:paraId="1D439B11"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台灣</w:t>
                                  </w:r>
                                  <w:proofErr w:type="gramStart"/>
                                  <w:r w:rsidRPr="00D046A9">
                                    <w:rPr>
                                      <w:rFonts w:ascii="標楷體" w:eastAsia="標楷體" w:hAnsi="標楷體" w:cs="新細明體" w:hint="eastAsia"/>
                                      <w:color w:val="000000"/>
                                      <w:kern w:val="0"/>
                                      <w:sz w:val="20"/>
                                    </w:rPr>
                                    <w:t>杉</w:t>
                                  </w:r>
                                  <w:proofErr w:type="gramEnd"/>
                                  <w:r w:rsidRPr="00D046A9">
                                    <w:rPr>
                                      <w:rFonts w:ascii="標楷體" w:eastAsia="標楷體" w:hAnsi="標楷體" w:cs="新細明體" w:hint="eastAsia"/>
                                      <w:color w:val="000000"/>
                                      <w:kern w:val="0"/>
                                      <w:sz w:val="20"/>
                                    </w:rPr>
                                    <w:t>二號</w:t>
                                  </w:r>
                                </w:p>
                              </w:tc>
                              <w:tc>
                                <w:tcPr>
                                  <w:tcW w:w="1228" w:type="dxa"/>
                                  <w:shd w:val="clear" w:color="auto" w:fill="auto"/>
                                  <w:vAlign w:val="center"/>
                                  <w:hideMark/>
                                </w:tcPr>
                                <w:p w14:paraId="45A09159"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2,890,800</w:t>
                                  </w:r>
                                </w:p>
                              </w:tc>
                              <w:tc>
                                <w:tcPr>
                                  <w:tcW w:w="1229" w:type="dxa"/>
                                  <w:shd w:val="clear" w:color="auto" w:fill="auto"/>
                                  <w:vAlign w:val="center"/>
                                  <w:hideMark/>
                                </w:tcPr>
                                <w:p w14:paraId="3BF4E9A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2,978,400</w:t>
                                  </w:r>
                                </w:p>
                              </w:tc>
                              <w:tc>
                                <w:tcPr>
                                  <w:tcW w:w="1229" w:type="dxa"/>
                                  <w:shd w:val="clear" w:color="auto" w:fill="auto"/>
                                  <w:vAlign w:val="center"/>
                                  <w:hideMark/>
                                </w:tcPr>
                                <w:p w14:paraId="3DB5BD0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3,066,000</w:t>
                                  </w:r>
                                </w:p>
                              </w:tc>
                            </w:tr>
                            <w:tr w:rsidR="00C92467" w:rsidRPr="00D046A9" w14:paraId="23501F2F" w14:textId="77777777" w:rsidTr="000147BE">
                              <w:trPr>
                                <w:trHeight w:val="20"/>
                              </w:trPr>
                              <w:tc>
                                <w:tcPr>
                                  <w:tcW w:w="1276" w:type="dxa"/>
                                  <w:shd w:val="clear" w:color="auto" w:fill="auto"/>
                                  <w:vAlign w:val="center"/>
                                  <w:hideMark/>
                                </w:tcPr>
                                <w:p w14:paraId="50CC3F52"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台灣</w:t>
                                  </w:r>
                                  <w:proofErr w:type="gramStart"/>
                                  <w:r w:rsidRPr="00D046A9">
                                    <w:rPr>
                                      <w:rFonts w:ascii="標楷體" w:eastAsia="標楷體" w:hAnsi="標楷體" w:cs="新細明體" w:hint="eastAsia"/>
                                      <w:color w:val="000000"/>
                                      <w:kern w:val="0"/>
                                      <w:sz w:val="20"/>
                                    </w:rPr>
                                    <w:t>杉</w:t>
                                  </w:r>
                                  <w:proofErr w:type="gramEnd"/>
                                  <w:r w:rsidRPr="00D046A9">
                                    <w:rPr>
                                      <w:rFonts w:ascii="標楷體" w:eastAsia="標楷體" w:hAnsi="標楷體" w:cs="新細明體" w:hint="eastAsia"/>
                                      <w:color w:val="000000"/>
                                      <w:kern w:val="0"/>
                                      <w:sz w:val="20"/>
                                    </w:rPr>
                                    <w:t>三號</w:t>
                                  </w:r>
                                </w:p>
                              </w:tc>
                              <w:tc>
                                <w:tcPr>
                                  <w:tcW w:w="1228" w:type="dxa"/>
                                  <w:shd w:val="clear" w:color="auto" w:fill="auto"/>
                                  <w:vAlign w:val="center"/>
                                  <w:hideMark/>
                                </w:tcPr>
                                <w:p w14:paraId="46A6123E"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4,905,600</w:t>
                                  </w:r>
                                </w:p>
                              </w:tc>
                              <w:tc>
                                <w:tcPr>
                                  <w:tcW w:w="1229" w:type="dxa"/>
                                  <w:shd w:val="clear" w:color="auto" w:fill="auto"/>
                                  <w:vAlign w:val="center"/>
                                  <w:hideMark/>
                                </w:tcPr>
                                <w:p w14:paraId="6C16BA8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4,818,000</w:t>
                                  </w:r>
                                </w:p>
                              </w:tc>
                              <w:tc>
                                <w:tcPr>
                                  <w:tcW w:w="1229" w:type="dxa"/>
                                  <w:shd w:val="clear" w:color="auto" w:fill="auto"/>
                                  <w:vAlign w:val="center"/>
                                  <w:hideMark/>
                                </w:tcPr>
                                <w:p w14:paraId="3EFDA282"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4,861,800</w:t>
                                  </w:r>
                                </w:p>
                              </w:tc>
                            </w:tr>
                            <w:tr w:rsidR="00C92467" w:rsidRPr="00D046A9" w14:paraId="4B069B94" w14:textId="77777777" w:rsidTr="000147BE">
                              <w:trPr>
                                <w:trHeight w:val="20"/>
                              </w:trPr>
                              <w:tc>
                                <w:tcPr>
                                  <w:tcW w:w="1276" w:type="dxa"/>
                                  <w:shd w:val="clear" w:color="auto" w:fill="auto"/>
                                  <w:vAlign w:val="center"/>
                                  <w:hideMark/>
                                </w:tcPr>
                                <w:p w14:paraId="53C90C44"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hint="eastAsia"/>
                                      <w:color w:val="000000"/>
                                      <w:kern w:val="0"/>
                                      <w:sz w:val="20"/>
                                    </w:rPr>
                                    <w:t>創進一號</w:t>
                                  </w:r>
                                  <w:proofErr w:type="gramEnd"/>
                                </w:p>
                              </w:tc>
                              <w:tc>
                                <w:tcPr>
                                  <w:tcW w:w="1228" w:type="dxa"/>
                                  <w:shd w:val="clear" w:color="auto" w:fill="auto"/>
                                  <w:vAlign w:val="center"/>
                                  <w:hideMark/>
                                </w:tcPr>
                                <w:p w14:paraId="62E85D66"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shd w:val="clear" w:color="auto" w:fill="auto"/>
                                  <w:vAlign w:val="center"/>
                                  <w:hideMark/>
                                </w:tcPr>
                                <w:p w14:paraId="075403F3"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950,675</w:t>
                                  </w:r>
                                </w:p>
                              </w:tc>
                              <w:tc>
                                <w:tcPr>
                                  <w:tcW w:w="1229" w:type="dxa"/>
                                  <w:shd w:val="clear" w:color="auto" w:fill="auto"/>
                                  <w:vAlign w:val="center"/>
                                  <w:hideMark/>
                                </w:tcPr>
                                <w:p w14:paraId="3D28385A"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5,858,646</w:t>
                                  </w:r>
                                </w:p>
                              </w:tc>
                            </w:tr>
                            <w:tr w:rsidR="00C92467" w:rsidRPr="00D046A9" w14:paraId="17C60683" w14:textId="77777777" w:rsidTr="000147BE">
                              <w:trPr>
                                <w:trHeight w:val="20"/>
                              </w:trPr>
                              <w:tc>
                                <w:tcPr>
                                  <w:tcW w:w="1276" w:type="dxa"/>
                                  <w:shd w:val="clear" w:color="auto" w:fill="auto"/>
                                  <w:vAlign w:val="center"/>
                                  <w:hideMark/>
                                </w:tcPr>
                                <w:p w14:paraId="578B5029"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hint="eastAsia"/>
                                      <w:color w:val="000000"/>
                                      <w:kern w:val="0"/>
                                      <w:sz w:val="20"/>
                                    </w:rPr>
                                    <w:t>晶創主機</w:t>
                                  </w:r>
                                  <w:proofErr w:type="gramEnd"/>
                                </w:p>
                              </w:tc>
                              <w:tc>
                                <w:tcPr>
                                  <w:tcW w:w="1228" w:type="dxa"/>
                                  <w:shd w:val="clear" w:color="auto" w:fill="auto"/>
                                  <w:vAlign w:val="center"/>
                                  <w:hideMark/>
                                </w:tcPr>
                                <w:p w14:paraId="168F151B"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shd w:val="clear" w:color="auto" w:fill="auto"/>
                                  <w:vAlign w:val="center"/>
                                  <w:hideMark/>
                                </w:tcPr>
                                <w:p w14:paraId="0A2968FB"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shd w:val="clear" w:color="auto" w:fill="auto"/>
                                  <w:vAlign w:val="center"/>
                                  <w:hideMark/>
                                </w:tcPr>
                                <w:p w14:paraId="71AD133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1,314,000</w:t>
                                  </w:r>
                                </w:p>
                              </w:tc>
                            </w:tr>
                            <w:tr w:rsidR="00C92467" w:rsidRPr="00D046A9" w14:paraId="5346CCD8" w14:textId="77777777" w:rsidTr="000147BE">
                              <w:trPr>
                                <w:trHeight w:val="20"/>
                              </w:trPr>
                              <w:tc>
                                <w:tcPr>
                                  <w:tcW w:w="1276" w:type="dxa"/>
                                  <w:tcBorders>
                                    <w:bottom w:val="single" w:sz="4" w:space="0" w:color="auto"/>
                                  </w:tcBorders>
                                  <w:shd w:val="clear" w:color="auto" w:fill="auto"/>
                                  <w:vAlign w:val="center"/>
                                  <w:hideMark/>
                                </w:tcPr>
                                <w:p w14:paraId="22F47CA0"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TAIDE</w:t>
                                  </w:r>
                                  <w:r w:rsidRPr="00D046A9">
                                    <w:rPr>
                                      <w:rFonts w:ascii="標楷體" w:eastAsia="標楷體" w:hAnsi="標楷體" w:cs="新細明體" w:hint="eastAsia"/>
                                      <w:color w:val="000000"/>
                                      <w:kern w:val="0"/>
                                      <w:sz w:val="20"/>
                                    </w:rPr>
                                    <w:t>主機</w:t>
                                  </w:r>
                                </w:p>
                              </w:tc>
                              <w:tc>
                                <w:tcPr>
                                  <w:tcW w:w="1228" w:type="dxa"/>
                                  <w:tcBorders>
                                    <w:bottom w:val="single" w:sz="4" w:space="0" w:color="auto"/>
                                  </w:tcBorders>
                                  <w:shd w:val="clear" w:color="auto" w:fill="auto"/>
                                  <w:vAlign w:val="center"/>
                                  <w:hideMark/>
                                </w:tcPr>
                                <w:p w14:paraId="185DBFF9"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tcBorders>
                                    <w:bottom w:val="single" w:sz="4" w:space="0" w:color="auto"/>
                                  </w:tcBorders>
                                  <w:shd w:val="clear" w:color="auto" w:fill="auto"/>
                                  <w:vAlign w:val="center"/>
                                  <w:hideMark/>
                                </w:tcPr>
                                <w:p w14:paraId="5F9A6F9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tcBorders>
                                    <w:bottom w:val="single" w:sz="4" w:space="0" w:color="auto"/>
                                  </w:tcBorders>
                                  <w:shd w:val="clear" w:color="auto" w:fill="auto"/>
                                  <w:vAlign w:val="center"/>
                                  <w:hideMark/>
                                </w:tcPr>
                                <w:p w14:paraId="42B9217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525,600</w:t>
                                  </w:r>
                                </w:p>
                              </w:tc>
                            </w:tr>
                            <w:tr w:rsidR="00C92467" w:rsidRPr="00D046A9" w14:paraId="36AD156A" w14:textId="77777777" w:rsidTr="000147BE">
                              <w:trPr>
                                <w:trHeight w:val="324"/>
                              </w:trPr>
                              <w:tc>
                                <w:tcPr>
                                  <w:tcW w:w="4962" w:type="dxa"/>
                                  <w:gridSpan w:val="4"/>
                                  <w:tcBorders>
                                    <w:left w:val="nil"/>
                                    <w:bottom w:val="nil"/>
                                    <w:right w:val="nil"/>
                                  </w:tcBorders>
                                </w:tcPr>
                                <w:p w14:paraId="5E2D4DCA" w14:textId="77777777" w:rsidR="00C92467" w:rsidRDefault="00C92467" w:rsidP="00350C83">
                                  <w:pPr>
                                    <w:widowControl/>
                                    <w:spacing w:line="260" w:lineRule="exact"/>
                                    <w:jc w:val="both"/>
                                    <w:rPr>
                                      <w:rFonts w:ascii="標楷體" w:eastAsia="標楷體" w:hAnsi="標楷體" w:cs="新細明體"/>
                                      <w:color w:val="000000"/>
                                      <w:kern w:val="0"/>
                                      <w:sz w:val="18"/>
                                      <w:szCs w:val="18"/>
                                    </w:rPr>
                                  </w:pPr>
                                  <w:proofErr w:type="gramStart"/>
                                  <w:r w:rsidRPr="00D046A9">
                                    <w:rPr>
                                      <w:rFonts w:ascii="標楷體" w:eastAsia="標楷體" w:hAnsi="標楷體" w:cs="新細明體" w:hint="eastAsia"/>
                                      <w:color w:val="000000"/>
                                      <w:kern w:val="0"/>
                                      <w:sz w:val="18"/>
                                      <w:szCs w:val="18"/>
                                    </w:rPr>
                                    <w:t>註</w:t>
                                  </w:r>
                                  <w:proofErr w:type="gramEnd"/>
                                  <w:r w:rsidRPr="00D046A9">
                                    <w:rPr>
                                      <w:rFonts w:ascii="標楷體" w:eastAsia="標楷體" w:hAnsi="標楷體" w:cs="新細明體" w:hint="eastAsia"/>
                                      <w:color w:val="000000"/>
                                      <w:kern w:val="0"/>
                                      <w:sz w:val="18"/>
                                      <w:szCs w:val="18"/>
                                    </w:rPr>
                                    <w:t>：1.台灣</w:t>
                                  </w:r>
                                  <w:proofErr w:type="gramStart"/>
                                  <w:r w:rsidRPr="00D046A9">
                                    <w:rPr>
                                      <w:rFonts w:ascii="標楷體" w:eastAsia="標楷體" w:hAnsi="標楷體" w:cs="新細明體" w:hint="eastAsia"/>
                                      <w:color w:val="000000"/>
                                      <w:kern w:val="0"/>
                                      <w:sz w:val="18"/>
                                      <w:szCs w:val="18"/>
                                    </w:rPr>
                                    <w:t>杉</w:t>
                                  </w:r>
                                  <w:proofErr w:type="gramEnd"/>
                                  <w:r w:rsidRPr="00D046A9">
                                    <w:rPr>
                                      <w:rFonts w:ascii="標楷體" w:eastAsia="標楷體" w:hAnsi="標楷體" w:cs="新細明體" w:hint="eastAsia"/>
                                      <w:color w:val="000000"/>
                                      <w:kern w:val="0"/>
                                      <w:sz w:val="18"/>
                                      <w:szCs w:val="18"/>
                                    </w:rPr>
                                    <w:t>一號主機於113年3月31日終止服務。</w:t>
                                  </w:r>
                                </w:p>
                                <w:p w14:paraId="0B0E17A0" w14:textId="77777777" w:rsidR="00C92467" w:rsidRPr="00D046A9" w:rsidRDefault="00C92467" w:rsidP="00350C83">
                                  <w:pPr>
                                    <w:widowControl/>
                                    <w:spacing w:line="260" w:lineRule="exact"/>
                                    <w:ind w:leftChars="150" w:left="360"/>
                                    <w:jc w:val="both"/>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18"/>
                                      <w:szCs w:val="18"/>
                                    </w:rPr>
                                    <w:t>2.資料來源：整理自</w:t>
                                  </w:r>
                                  <w:r w:rsidRPr="00B64A59">
                                    <w:rPr>
                                      <w:rFonts w:ascii="標楷體" w:eastAsia="標楷體" w:hAnsi="標楷體" w:cs="新細明體" w:hint="eastAsia"/>
                                      <w:color w:val="000000"/>
                                      <w:kern w:val="0"/>
                                      <w:sz w:val="18"/>
                                      <w:szCs w:val="18"/>
                                    </w:rPr>
                                    <w:t>國家科學及技術委員會</w:t>
                                  </w:r>
                                  <w:r w:rsidRPr="00D046A9">
                                    <w:rPr>
                                      <w:rFonts w:ascii="標楷體" w:eastAsia="標楷體" w:hAnsi="標楷體" w:cs="新細明體" w:hint="eastAsia"/>
                                      <w:color w:val="000000"/>
                                      <w:kern w:val="0"/>
                                      <w:sz w:val="18"/>
                                      <w:szCs w:val="18"/>
                                    </w:rPr>
                                    <w:t>提供資料。</w:t>
                                  </w:r>
                                </w:p>
                              </w:tc>
                            </w:tr>
                          </w:tbl>
                          <w:p w14:paraId="291B5781" w14:textId="77777777" w:rsidR="00C92467" w:rsidRPr="006418E3" w:rsidRDefault="00C92467" w:rsidP="00C9246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2E4949" id="_x0000_s1072" type="#_x0000_t202" style="position:absolute;left:0;text-align:left;margin-left:227.25pt;margin-top:120pt;width:260pt;height:213pt;z-index:-251628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" stroked="f">
                <v:textbox>
                  <w:txbxContent>
                    <w:p w14:paraId="689EEEEE" w14:textId="0804C100" w:rsidR="00C92467" w:rsidRPr="00D046A9" w:rsidRDefault="00C92467" w:rsidP="000A6BBF">
                      <w:pPr>
                        <w:ind w:left="781" w:hangingChars="325" w:hanging="781"/>
                      </w:pPr>
                      <w:r w:rsidRPr="00C70A83">
                        <w:rPr>
                          <w:rFonts w:ascii="標楷體" w:eastAsia="標楷體" w:hAnsi="標楷體"/>
                          <w:b/>
                          <w:bCs/>
                          <w:color w:val="000000" w:themeColor="text1"/>
                          <w:szCs w:val="24"/>
                        </w:rPr>
                        <w:t xml:space="preserve">表22 </w:t>
                      </w:r>
                      <w:r>
                        <w:rPr>
                          <w:rFonts w:ascii="標楷體" w:eastAsia="標楷體" w:hAnsi="標楷體"/>
                          <w:b/>
                          <w:bCs/>
                          <w:szCs w:val="24"/>
                        </w:rPr>
                        <w:t xml:space="preserve"> </w:t>
                      </w:r>
                      <w:r w:rsidR="00361B19" w:rsidRPr="00361B19">
                        <w:rPr>
                          <w:rFonts w:ascii="標楷體" w:eastAsia="標楷體" w:hAnsi="標楷體" w:hint="eastAsia"/>
                          <w:b/>
                          <w:bCs/>
                          <w:szCs w:val="24"/>
                        </w:rPr>
                        <w:t>財團法人國家實驗研究院</w:t>
                      </w:r>
                      <w:r w:rsidRPr="00D046A9">
                        <w:rPr>
                          <w:rFonts w:ascii="標楷體" w:eastAsia="標楷體" w:hAnsi="標楷體"/>
                          <w:b/>
                          <w:bCs/>
                          <w:szCs w:val="24"/>
                        </w:rPr>
                        <w:t>國</w:t>
                      </w:r>
                      <w:r w:rsidR="000A6BBF">
                        <w:rPr>
                          <w:rFonts w:ascii="標楷體" w:eastAsia="標楷體" w:hAnsi="標楷體" w:hint="eastAsia"/>
                          <w:b/>
                          <w:bCs/>
                          <w:szCs w:val="24"/>
                        </w:rPr>
                        <w:t>家高速</w:t>
                      </w:r>
                      <w:r w:rsidRPr="00D046A9">
                        <w:rPr>
                          <w:rFonts w:ascii="標楷體" w:eastAsia="標楷體" w:hAnsi="標楷體"/>
                          <w:b/>
                          <w:bCs/>
                          <w:szCs w:val="24"/>
                        </w:rPr>
                        <w:t>網</w:t>
                      </w:r>
                      <w:r w:rsidR="000A6BBF">
                        <w:rPr>
                          <w:rFonts w:ascii="標楷體" w:eastAsia="標楷體" w:hAnsi="標楷體" w:hint="eastAsia"/>
                          <w:b/>
                          <w:bCs/>
                          <w:szCs w:val="24"/>
                        </w:rPr>
                        <w:t>路與計算</w:t>
                      </w:r>
                      <w:r w:rsidRPr="00D046A9">
                        <w:rPr>
                          <w:rFonts w:ascii="標楷體" w:eastAsia="標楷體" w:hAnsi="標楷體"/>
                          <w:b/>
                          <w:bCs/>
                          <w:szCs w:val="24"/>
                        </w:rPr>
                        <w:t>中心各高效能運算主機</w:t>
                      </w:r>
                      <w:r w:rsidRPr="00D046A9">
                        <w:rPr>
                          <w:rFonts w:ascii="標楷體" w:eastAsia="標楷體" w:hAnsi="標楷體" w:hint="eastAsia"/>
                          <w:b/>
                          <w:bCs/>
                          <w:szCs w:val="24"/>
                        </w:rPr>
                        <w:t>用電情形</w:t>
                      </w:r>
                    </w:p>
                    <w:p w14:paraId="3441070A" w14:textId="77777777" w:rsidR="00C92467" w:rsidRPr="006418E3" w:rsidRDefault="00C92467" w:rsidP="00C92467">
                      <w:pPr>
                        <w:jc w:val="right"/>
                        <w:rPr>
                          <w:rFonts w:ascii="標楷體" w:eastAsia="標楷體" w:hAnsi="標楷體"/>
                          <w:sz w:val="20"/>
                        </w:rPr>
                      </w:pPr>
                      <w:r w:rsidRPr="006418E3">
                        <w:rPr>
                          <w:rFonts w:ascii="標楷體" w:eastAsia="標楷體" w:hAnsi="標楷體" w:hint="eastAsia"/>
                          <w:sz w:val="20"/>
                        </w:rPr>
                        <w:t>單位：度</w:t>
                      </w:r>
                    </w:p>
                    <w:tbl>
                      <w:tblPr>
                        <w:tblW w:w="4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6"/>
                        <w:gridCol w:w="1228"/>
                        <w:gridCol w:w="1229"/>
                        <w:gridCol w:w="1229"/>
                      </w:tblGrid>
                      <w:tr w:rsidR="00C92467" w:rsidRPr="00D046A9" w14:paraId="238EC07C" w14:textId="77777777" w:rsidTr="000147BE">
                        <w:trPr>
                          <w:trHeight w:val="20"/>
                          <w:tblHeader/>
                        </w:trPr>
                        <w:tc>
                          <w:tcPr>
                            <w:tcW w:w="1276" w:type="dxa"/>
                            <w:shd w:val="clear" w:color="auto" w:fill="auto"/>
                            <w:vAlign w:val="center"/>
                            <w:hideMark/>
                          </w:tcPr>
                          <w:p w14:paraId="3DB7D7A9"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主機名稱</w:t>
                            </w:r>
                          </w:p>
                        </w:tc>
                        <w:tc>
                          <w:tcPr>
                            <w:tcW w:w="1228" w:type="dxa"/>
                            <w:shd w:val="clear" w:color="auto" w:fill="auto"/>
                            <w:vAlign w:val="center"/>
                            <w:hideMark/>
                          </w:tcPr>
                          <w:p w14:paraId="50D93DBE" w14:textId="77777777" w:rsidR="00C92467" w:rsidRDefault="00C92467" w:rsidP="00B4136B">
                            <w:pPr>
                              <w:widowControl/>
                              <w:spacing w:line="20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color w:val="000000"/>
                                <w:kern w:val="0"/>
                                <w:sz w:val="20"/>
                              </w:rPr>
                              <w:t>111</w:t>
                            </w:r>
                            <w:proofErr w:type="gramEnd"/>
                            <w:r w:rsidRPr="00D046A9">
                              <w:rPr>
                                <w:rFonts w:ascii="標楷體" w:eastAsia="標楷體" w:hAnsi="標楷體" w:cs="新細明體" w:hint="eastAsia"/>
                                <w:color w:val="000000"/>
                                <w:kern w:val="0"/>
                                <w:sz w:val="20"/>
                              </w:rPr>
                              <w:t>年度</w:t>
                            </w:r>
                          </w:p>
                          <w:p w14:paraId="39228993" w14:textId="77777777" w:rsidR="00C92467" w:rsidRPr="00D046A9" w:rsidRDefault="00C92467" w:rsidP="00B4136B">
                            <w:pPr>
                              <w:widowControl/>
                              <w:spacing w:line="20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用電量</w:t>
                            </w:r>
                          </w:p>
                        </w:tc>
                        <w:tc>
                          <w:tcPr>
                            <w:tcW w:w="1229" w:type="dxa"/>
                            <w:shd w:val="clear" w:color="auto" w:fill="auto"/>
                            <w:vAlign w:val="center"/>
                            <w:hideMark/>
                          </w:tcPr>
                          <w:p w14:paraId="7D04A749" w14:textId="77777777" w:rsidR="00C92467" w:rsidRDefault="00C92467" w:rsidP="00B4136B">
                            <w:pPr>
                              <w:widowControl/>
                              <w:spacing w:line="20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color w:val="000000"/>
                                <w:kern w:val="0"/>
                                <w:sz w:val="20"/>
                              </w:rPr>
                              <w:t>112</w:t>
                            </w:r>
                            <w:proofErr w:type="gramEnd"/>
                            <w:r w:rsidRPr="00D046A9">
                              <w:rPr>
                                <w:rFonts w:ascii="標楷體" w:eastAsia="標楷體" w:hAnsi="標楷體" w:cs="新細明體" w:hint="eastAsia"/>
                                <w:color w:val="000000"/>
                                <w:kern w:val="0"/>
                                <w:sz w:val="20"/>
                              </w:rPr>
                              <w:t>年度</w:t>
                            </w:r>
                          </w:p>
                          <w:p w14:paraId="3692A863" w14:textId="77777777" w:rsidR="00C92467" w:rsidRPr="00D046A9" w:rsidRDefault="00C92467" w:rsidP="00B4136B">
                            <w:pPr>
                              <w:widowControl/>
                              <w:spacing w:line="20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用電量</w:t>
                            </w:r>
                          </w:p>
                        </w:tc>
                        <w:tc>
                          <w:tcPr>
                            <w:tcW w:w="1229" w:type="dxa"/>
                            <w:shd w:val="clear" w:color="auto" w:fill="auto"/>
                            <w:vAlign w:val="center"/>
                            <w:hideMark/>
                          </w:tcPr>
                          <w:p w14:paraId="3352A406" w14:textId="77777777" w:rsidR="00C92467" w:rsidRDefault="00C92467" w:rsidP="00B4136B">
                            <w:pPr>
                              <w:widowControl/>
                              <w:spacing w:line="20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color w:val="000000"/>
                                <w:kern w:val="0"/>
                                <w:sz w:val="20"/>
                              </w:rPr>
                              <w:t>113</w:t>
                            </w:r>
                            <w:proofErr w:type="gramEnd"/>
                            <w:r w:rsidRPr="00D046A9">
                              <w:rPr>
                                <w:rFonts w:ascii="標楷體" w:eastAsia="標楷體" w:hAnsi="標楷體" w:cs="新細明體" w:hint="eastAsia"/>
                                <w:color w:val="000000"/>
                                <w:kern w:val="0"/>
                                <w:sz w:val="20"/>
                              </w:rPr>
                              <w:t>年度</w:t>
                            </w:r>
                          </w:p>
                          <w:p w14:paraId="046B4DA7" w14:textId="77777777" w:rsidR="00C92467" w:rsidRPr="00D046A9" w:rsidRDefault="00C92467" w:rsidP="00B4136B">
                            <w:pPr>
                              <w:widowControl/>
                              <w:spacing w:line="20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用電量</w:t>
                            </w:r>
                          </w:p>
                        </w:tc>
                      </w:tr>
                      <w:tr w:rsidR="00C92467" w:rsidRPr="00D046A9" w14:paraId="13477F9C" w14:textId="77777777" w:rsidTr="000147BE">
                        <w:trPr>
                          <w:trHeight w:val="20"/>
                        </w:trPr>
                        <w:tc>
                          <w:tcPr>
                            <w:tcW w:w="1276" w:type="dxa"/>
                            <w:shd w:val="clear" w:color="auto" w:fill="auto"/>
                            <w:vAlign w:val="center"/>
                            <w:hideMark/>
                          </w:tcPr>
                          <w:p w14:paraId="367B0D18" w14:textId="77777777" w:rsidR="00C92467" w:rsidRPr="00D046A9" w:rsidRDefault="00C92467" w:rsidP="006418E3">
                            <w:pPr>
                              <w:widowControl/>
                              <w:spacing w:line="280" w:lineRule="exact"/>
                              <w:jc w:val="center"/>
                              <w:rPr>
                                <w:rFonts w:ascii="標楷體" w:eastAsia="標楷體" w:hAnsi="標楷體" w:cs="新細明體"/>
                                <w:b/>
                                <w:bCs/>
                                <w:color w:val="000000"/>
                                <w:kern w:val="0"/>
                                <w:sz w:val="20"/>
                              </w:rPr>
                            </w:pPr>
                            <w:r w:rsidRPr="00350C83">
                              <w:rPr>
                                <w:rFonts w:ascii="標楷體" w:eastAsia="標楷體" w:hAnsi="標楷體" w:cs="新細明體" w:hint="eastAsia"/>
                                <w:b/>
                                <w:bCs/>
                                <w:color w:val="000000"/>
                                <w:spacing w:val="160"/>
                                <w:kern w:val="0"/>
                                <w:sz w:val="20"/>
                                <w:fitText w:val="720" w:id="-715493632"/>
                              </w:rPr>
                              <w:t>合</w:t>
                            </w:r>
                            <w:r w:rsidRPr="00350C83">
                              <w:rPr>
                                <w:rFonts w:ascii="標楷體" w:eastAsia="標楷體" w:hAnsi="標楷體" w:cs="新細明體" w:hint="eastAsia"/>
                                <w:b/>
                                <w:bCs/>
                                <w:color w:val="000000"/>
                                <w:kern w:val="0"/>
                                <w:sz w:val="20"/>
                                <w:fitText w:val="720" w:id="-715493632"/>
                              </w:rPr>
                              <w:t>計</w:t>
                            </w:r>
                          </w:p>
                        </w:tc>
                        <w:tc>
                          <w:tcPr>
                            <w:tcW w:w="1228" w:type="dxa"/>
                            <w:shd w:val="clear" w:color="auto" w:fill="auto"/>
                            <w:vAlign w:val="center"/>
                            <w:hideMark/>
                          </w:tcPr>
                          <w:p w14:paraId="29B22677" w14:textId="77777777" w:rsidR="00C92467" w:rsidRPr="00D046A9" w:rsidRDefault="00C92467" w:rsidP="006418E3">
                            <w:pPr>
                              <w:widowControl/>
                              <w:spacing w:line="280" w:lineRule="exact"/>
                              <w:jc w:val="right"/>
                              <w:rPr>
                                <w:rFonts w:ascii="標楷體" w:eastAsia="標楷體" w:hAnsi="標楷體" w:cs="新細明體"/>
                                <w:b/>
                                <w:color w:val="000000"/>
                                <w:kern w:val="0"/>
                                <w:sz w:val="20"/>
                              </w:rPr>
                            </w:pPr>
                            <w:r w:rsidRPr="00D046A9">
                              <w:rPr>
                                <w:rFonts w:ascii="標楷體" w:eastAsia="標楷體" w:hAnsi="標楷體" w:cs="新細明體"/>
                                <w:b/>
                                <w:color w:val="000000"/>
                                <w:kern w:val="0"/>
                                <w:sz w:val="20"/>
                              </w:rPr>
                              <w:t>9,986,400</w:t>
                            </w:r>
                          </w:p>
                        </w:tc>
                        <w:tc>
                          <w:tcPr>
                            <w:tcW w:w="1229" w:type="dxa"/>
                            <w:shd w:val="clear" w:color="auto" w:fill="auto"/>
                            <w:vAlign w:val="center"/>
                            <w:hideMark/>
                          </w:tcPr>
                          <w:p w14:paraId="327A676B" w14:textId="77777777" w:rsidR="00C92467" w:rsidRPr="00D046A9" w:rsidRDefault="00C92467" w:rsidP="006418E3">
                            <w:pPr>
                              <w:widowControl/>
                              <w:spacing w:line="280" w:lineRule="exact"/>
                              <w:jc w:val="right"/>
                              <w:rPr>
                                <w:rFonts w:ascii="標楷體" w:eastAsia="標楷體" w:hAnsi="標楷體" w:cs="新細明體"/>
                                <w:b/>
                                <w:color w:val="000000"/>
                                <w:kern w:val="0"/>
                                <w:sz w:val="20"/>
                              </w:rPr>
                            </w:pPr>
                            <w:r w:rsidRPr="00D046A9">
                              <w:rPr>
                                <w:rFonts w:ascii="標楷體" w:eastAsia="標楷體" w:hAnsi="標楷體" w:cs="新細明體"/>
                                <w:b/>
                                <w:color w:val="000000"/>
                                <w:kern w:val="0"/>
                                <w:sz w:val="20"/>
                              </w:rPr>
                              <w:t>11,199,875</w:t>
                            </w:r>
                          </w:p>
                        </w:tc>
                        <w:tc>
                          <w:tcPr>
                            <w:tcW w:w="1229" w:type="dxa"/>
                            <w:shd w:val="clear" w:color="auto" w:fill="auto"/>
                            <w:vAlign w:val="center"/>
                            <w:hideMark/>
                          </w:tcPr>
                          <w:p w14:paraId="1CDE3297" w14:textId="77777777" w:rsidR="00C92467" w:rsidRPr="00D046A9" w:rsidRDefault="00C92467" w:rsidP="006418E3">
                            <w:pPr>
                              <w:widowControl/>
                              <w:spacing w:line="280" w:lineRule="exact"/>
                              <w:jc w:val="right"/>
                              <w:rPr>
                                <w:rFonts w:ascii="標楷體" w:eastAsia="標楷體" w:hAnsi="標楷體" w:cs="新細明體"/>
                                <w:b/>
                                <w:color w:val="000000"/>
                                <w:kern w:val="0"/>
                                <w:sz w:val="20"/>
                              </w:rPr>
                            </w:pPr>
                            <w:r w:rsidRPr="00D046A9">
                              <w:rPr>
                                <w:rFonts w:ascii="標楷體" w:eastAsia="標楷體" w:hAnsi="標楷體" w:cs="新細明體"/>
                                <w:b/>
                                <w:color w:val="000000"/>
                                <w:kern w:val="0"/>
                                <w:sz w:val="20"/>
                              </w:rPr>
                              <w:t>16,172,046</w:t>
                            </w:r>
                          </w:p>
                        </w:tc>
                      </w:tr>
                      <w:tr w:rsidR="00C92467" w:rsidRPr="00D046A9" w14:paraId="78E5A6F9" w14:textId="77777777" w:rsidTr="000147BE">
                        <w:trPr>
                          <w:trHeight w:val="20"/>
                        </w:trPr>
                        <w:tc>
                          <w:tcPr>
                            <w:tcW w:w="1276" w:type="dxa"/>
                            <w:shd w:val="clear" w:color="auto" w:fill="auto"/>
                            <w:vAlign w:val="center"/>
                            <w:hideMark/>
                          </w:tcPr>
                          <w:p w14:paraId="38F7325A"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台灣</w:t>
                            </w:r>
                            <w:proofErr w:type="gramStart"/>
                            <w:r w:rsidRPr="00D046A9">
                              <w:rPr>
                                <w:rFonts w:ascii="標楷體" w:eastAsia="標楷體" w:hAnsi="標楷體" w:cs="新細明體" w:hint="eastAsia"/>
                                <w:color w:val="000000"/>
                                <w:kern w:val="0"/>
                                <w:sz w:val="20"/>
                              </w:rPr>
                              <w:t>杉</w:t>
                            </w:r>
                            <w:proofErr w:type="gramEnd"/>
                            <w:r w:rsidRPr="00D046A9">
                              <w:rPr>
                                <w:rFonts w:ascii="標楷體" w:eastAsia="標楷體" w:hAnsi="標楷體" w:cs="新細明體" w:hint="eastAsia"/>
                                <w:color w:val="000000"/>
                                <w:kern w:val="0"/>
                                <w:sz w:val="20"/>
                              </w:rPr>
                              <w:t>一號</w:t>
                            </w:r>
                          </w:p>
                        </w:tc>
                        <w:tc>
                          <w:tcPr>
                            <w:tcW w:w="1228" w:type="dxa"/>
                            <w:shd w:val="clear" w:color="auto" w:fill="auto"/>
                            <w:vAlign w:val="center"/>
                            <w:hideMark/>
                          </w:tcPr>
                          <w:p w14:paraId="7E5386C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2,190,000</w:t>
                            </w:r>
                          </w:p>
                        </w:tc>
                        <w:tc>
                          <w:tcPr>
                            <w:tcW w:w="1229" w:type="dxa"/>
                            <w:shd w:val="clear" w:color="auto" w:fill="auto"/>
                            <w:vAlign w:val="center"/>
                            <w:hideMark/>
                          </w:tcPr>
                          <w:p w14:paraId="65656EB5"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2,452,800</w:t>
                            </w:r>
                          </w:p>
                        </w:tc>
                        <w:tc>
                          <w:tcPr>
                            <w:tcW w:w="1229" w:type="dxa"/>
                            <w:shd w:val="clear" w:color="auto" w:fill="auto"/>
                            <w:vAlign w:val="center"/>
                            <w:hideMark/>
                          </w:tcPr>
                          <w:p w14:paraId="7F54F27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546,000</w:t>
                            </w:r>
                          </w:p>
                        </w:tc>
                      </w:tr>
                      <w:tr w:rsidR="00C92467" w:rsidRPr="00D046A9" w14:paraId="0022C42A" w14:textId="77777777" w:rsidTr="000147BE">
                        <w:trPr>
                          <w:trHeight w:val="20"/>
                        </w:trPr>
                        <w:tc>
                          <w:tcPr>
                            <w:tcW w:w="1276" w:type="dxa"/>
                            <w:shd w:val="clear" w:color="auto" w:fill="auto"/>
                            <w:vAlign w:val="center"/>
                            <w:hideMark/>
                          </w:tcPr>
                          <w:p w14:paraId="1D439B11"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台灣</w:t>
                            </w:r>
                            <w:proofErr w:type="gramStart"/>
                            <w:r w:rsidRPr="00D046A9">
                              <w:rPr>
                                <w:rFonts w:ascii="標楷體" w:eastAsia="標楷體" w:hAnsi="標楷體" w:cs="新細明體" w:hint="eastAsia"/>
                                <w:color w:val="000000"/>
                                <w:kern w:val="0"/>
                                <w:sz w:val="20"/>
                              </w:rPr>
                              <w:t>杉</w:t>
                            </w:r>
                            <w:proofErr w:type="gramEnd"/>
                            <w:r w:rsidRPr="00D046A9">
                              <w:rPr>
                                <w:rFonts w:ascii="標楷體" w:eastAsia="標楷體" w:hAnsi="標楷體" w:cs="新細明體" w:hint="eastAsia"/>
                                <w:color w:val="000000"/>
                                <w:kern w:val="0"/>
                                <w:sz w:val="20"/>
                              </w:rPr>
                              <w:t>二號</w:t>
                            </w:r>
                          </w:p>
                        </w:tc>
                        <w:tc>
                          <w:tcPr>
                            <w:tcW w:w="1228" w:type="dxa"/>
                            <w:shd w:val="clear" w:color="auto" w:fill="auto"/>
                            <w:vAlign w:val="center"/>
                            <w:hideMark/>
                          </w:tcPr>
                          <w:p w14:paraId="45A09159"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2,890,800</w:t>
                            </w:r>
                          </w:p>
                        </w:tc>
                        <w:tc>
                          <w:tcPr>
                            <w:tcW w:w="1229" w:type="dxa"/>
                            <w:shd w:val="clear" w:color="auto" w:fill="auto"/>
                            <w:vAlign w:val="center"/>
                            <w:hideMark/>
                          </w:tcPr>
                          <w:p w14:paraId="3BF4E9A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2,978,400</w:t>
                            </w:r>
                          </w:p>
                        </w:tc>
                        <w:tc>
                          <w:tcPr>
                            <w:tcW w:w="1229" w:type="dxa"/>
                            <w:shd w:val="clear" w:color="auto" w:fill="auto"/>
                            <w:vAlign w:val="center"/>
                            <w:hideMark/>
                          </w:tcPr>
                          <w:p w14:paraId="3DB5BD0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3,066,000</w:t>
                            </w:r>
                          </w:p>
                        </w:tc>
                      </w:tr>
                      <w:tr w:rsidR="00C92467" w:rsidRPr="00D046A9" w14:paraId="23501F2F" w14:textId="77777777" w:rsidTr="000147BE">
                        <w:trPr>
                          <w:trHeight w:val="20"/>
                        </w:trPr>
                        <w:tc>
                          <w:tcPr>
                            <w:tcW w:w="1276" w:type="dxa"/>
                            <w:shd w:val="clear" w:color="auto" w:fill="auto"/>
                            <w:vAlign w:val="center"/>
                            <w:hideMark/>
                          </w:tcPr>
                          <w:p w14:paraId="50CC3F52"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20"/>
                              </w:rPr>
                              <w:t>台灣</w:t>
                            </w:r>
                            <w:proofErr w:type="gramStart"/>
                            <w:r w:rsidRPr="00D046A9">
                              <w:rPr>
                                <w:rFonts w:ascii="標楷體" w:eastAsia="標楷體" w:hAnsi="標楷體" w:cs="新細明體" w:hint="eastAsia"/>
                                <w:color w:val="000000"/>
                                <w:kern w:val="0"/>
                                <w:sz w:val="20"/>
                              </w:rPr>
                              <w:t>杉</w:t>
                            </w:r>
                            <w:proofErr w:type="gramEnd"/>
                            <w:r w:rsidRPr="00D046A9">
                              <w:rPr>
                                <w:rFonts w:ascii="標楷體" w:eastAsia="標楷體" w:hAnsi="標楷體" w:cs="新細明體" w:hint="eastAsia"/>
                                <w:color w:val="000000"/>
                                <w:kern w:val="0"/>
                                <w:sz w:val="20"/>
                              </w:rPr>
                              <w:t>三號</w:t>
                            </w:r>
                          </w:p>
                        </w:tc>
                        <w:tc>
                          <w:tcPr>
                            <w:tcW w:w="1228" w:type="dxa"/>
                            <w:shd w:val="clear" w:color="auto" w:fill="auto"/>
                            <w:vAlign w:val="center"/>
                            <w:hideMark/>
                          </w:tcPr>
                          <w:p w14:paraId="46A6123E"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4,905,600</w:t>
                            </w:r>
                          </w:p>
                        </w:tc>
                        <w:tc>
                          <w:tcPr>
                            <w:tcW w:w="1229" w:type="dxa"/>
                            <w:shd w:val="clear" w:color="auto" w:fill="auto"/>
                            <w:vAlign w:val="center"/>
                            <w:hideMark/>
                          </w:tcPr>
                          <w:p w14:paraId="6C16BA8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4,818,000</w:t>
                            </w:r>
                          </w:p>
                        </w:tc>
                        <w:tc>
                          <w:tcPr>
                            <w:tcW w:w="1229" w:type="dxa"/>
                            <w:shd w:val="clear" w:color="auto" w:fill="auto"/>
                            <w:vAlign w:val="center"/>
                            <w:hideMark/>
                          </w:tcPr>
                          <w:p w14:paraId="3EFDA282"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4,861,800</w:t>
                            </w:r>
                          </w:p>
                        </w:tc>
                      </w:tr>
                      <w:tr w:rsidR="00C92467" w:rsidRPr="00D046A9" w14:paraId="4B069B94" w14:textId="77777777" w:rsidTr="000147BE">
                        <w:trPr>
                          <w:trHeight w:val="20"/>
                        </w:trPr>
                        <w:tc>
                          <w:tcPr>
                            <w:tcW w:w="1276" w:type="dxa"/>
                            <w:shd w:val="clear" w:color="auto" w:fill="auto"/>
                            <w:vAlign w:val="center"/>
                            <w:hideMark/>
                          </w:tcPr>
                          <w:p w14:paraId="53C90C44"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hint="eastAsia"/>
                                <w:color w:val="000000"/>
                                <w:kern w:val="0"/>
                                <w:sz w:val="20"/>
                              </w:rPr>
                              <w:t>創進一號</w:t>
                            </w:r>
                            <w:proofErr w:type="gramEnd"/>
                          </w:p>
                        </w:tc>
                        <w:tc>
                          <w:tcPr>
                            <w:tcW w:w="1228" w:type="dxa"/>
                            <w:shd w:val="clear" w:color="auto" w:fill="auto"/>
                            <w:vAlign w:val="center"/>
                            <w:hideMark/>
                          </w:tcPr>
                          <w:p w14:paraId="62E85D66"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shd w:val="clear" w:color="auto" w:fill="auto"/>
                            <w:vAlign w:val="center"/>
                            <w:hideMark/>
                          </w:tcPr>
                          <w:p w14:paraId="075403F3"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950,675</w:t>
                            </w:r>
                          </w:p>
                        </w:tc>
                        <w:tc>
                          <w:tcPr>
                            <w:tcW w:w="1229" w:type="dxa"/>
                            <w:shd w:val="clear" w:color="auto" w:fill="auto"/>
                            <w:vAlign w:val="center"/>
                            <w:hideMark/>
                          </w:tcPr>
                          <w:p w14:paraId="3D28385A"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5,858,646</w:t>
                            </w:r>
                          </w:p>
                        </w:tc>
                      </w:tr>
                      <w:tr w:rsidR="00C92467" w:rsidRPr="00D046A9" w14:paraId="17C60683" w14:textId="77777777" w:rsidTr="000147BE">
                        <w:trPr>
                          <w:trHeight w:val="20"/>
                        </w:trPr>
                        <w:tc>
                          <w:tcPr>
                            <w:tcW w:w="1276" w:type="dxa"/>
                            <w:shd w:val="clear" w:color="auto" w:fill="auto"/>
                            <w:vAlign w:val="center"/>
                            <w:hideMark/>
                          </w:tcPr>
                          <w:p w14:paraId="578B5029"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proofErr w:type="gramStart"/>
                            <w:r w:rsidRPr="00D046A9">
                              <w:rPr>
                                <w:rFonts w:ascii="標楷體" w:eastAsia="標楷體" w:hAnsi="標楷體" w:cs="新細明體" w:hint="eastAsia"/>
                                <w:color w:val="000000"/>
                                <w:kern w:val="0"/>
                                <w:sz w:val="20"/>
                              </w:rPr>
                              <w:t>晶創主機</w:t>
                            </w:r>
                            <w:proofErr w:type="gramEnd"/>
                          </w:p>
                        </w:tc>
                        <w:tc>
                          <w:tcPr>
                            <w:tcW w:w="1228" w:type="dxa"/>
                            <w:shd w:val="clear" w:color="auto" w:fill="auto"/>
                            <w:vAlign w:val="center"/>
                            <w:hideMark/>
                          </w:tcPr>
                          <w:p w14:paraId="168F151B"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shd w:val="clear" w:color="auto" w:fill="auto"/>
                            <w:vAlign w:val="center"/>
                            <w:hideMark/>
                          </w:tcPr>
                          <w:p w14:paraId="0A2968FB"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shd w:val="clear" w:color="auto" w:fill="auto"/>
                            <w:vAlign w:val="center"/>
                            <w:hideMark/>
                          </w:tcPr>
                          <w:p w14:paraId="71AD1330"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1,314,000</w:t>
                            </w:r>
                          </w:p>
                        </w:tc>
                      </w:tr>
                      <w:tr w:rsidR="00C92467" w:rsidRPr="00D046A9" w14:paraId="5346CCD8" w14:textId="77777777" w:rsidTr="000147BE">
                        <w:trPr>
                          <w:trHeight w:val="20"/>
                        </w:trPr>
                        <w:tc>
                          <w:tcPr>
                            <w:tcW w:w="1276" w:type="dxa"/>
                            <w:tcBorders>
                              <w:bottom w:val="single" w:sz="4" w:space="0" w:color="auto"/>
                            </w:tcBorders>
                            <w:shd w:val="clear" w:color="auto" w:fill="auto"/>
                            <w:vAlign w:val="center"/>
                            <w:hideMark/>
                          </w:tcPr>
                          <w:p w14:paraId="22F47CA0" w14:textId="77777777" w:rsidR="00C92467" w:rsidRPr="00D046A9" w:rsidRDefault="00C92467" w:rsidP="006418E3">
                            <w:pPr>
                              <w:widowControl/>
                              <w:spacing w:line="280" w:lineRule="exact"/>
                              <w:jc w:val="center"/>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TAIDE</w:t>
                            </w:r>
                            <w:r w:rsidRPr="00D046A9">
                              <w:rPr>
                                <w:rFonts w:ascii="標楷體" w:eastAsia="標楷體" w:hAnsi="標楷體" w:cs="新細明體" w:hint="eastAsia"/>
                                <w:color w:val="000000"/>
                                <w:kern w:val="0"/>
                                <w:sz w:val="20"/>
                              </w:rPr>
                              <w:t>主機</w:t>
                            </w:r>
                          </w:p>
                        </w:tc>
                        <w:tc>
                          <w:tcPr>
                            <w:tcW w:w="1228" w:type="dxa"/>
                            <w:tcBorders>
                              <w:bottom w:val="single" w:sz="4" w:space="0" w:color="auto"/>
                            </w:tcBorders>
                            <w:shd w:val="clear" w:color="auto" w:fill="auto"/>
                            <w:vAlign w:val="center"/>
                            <w:hideMark/>
                          </w:tcPr>
                          <w:p w14:paraId="185DBFF9"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tcBorders>
                              <w:bottom w:val="single" w:sz="4" w:space="0" w:color="auto"/>
                            </w:tcBorders>
                            <w:shd w:val="clear" w:color="auto" w:fill="auto"/>
                            <w:vAlign w:val="center"/>
                            <w:hideMark/>
                          </w:tcPr>
                          <w:p w14:paraId="5F9A6F9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229" w:type="dxa"/>
                            <w:tcBorders>
                              <w:bottom w:val="single" w:sz="4" w:space="0" w:color="auto"/>
                            </w:tcBorders>
                            <w:shd w:val="clear" w:color="auto" w:fill="auto"/>
                            <w:vAlign w:val="center"/>
                            <w:hideMark/>
                          </w:tcPr>
                          <w:p w14:paraId="42B9217F" w14:textId="77777777" w:rsidR="00C92467" w:rsidRPr="00D046A9" w:rsidRDefault="00C92467" w:rsidP="006418E3">
                            <w:pPr>
                              <w:widowControl/>
                              <w:spacing w:line="280" w:lineRule="exact"/>
                              <w:jc w:val="right"/>
                              <w:rPr>
                                <w:rFonts w:ascii="標楷體" w:eastAsia="標楷體" w:hAnsi="標楷體" w:cs="新細明體"/>
                                <w:color w:val="000000"/>
                                <w:kern w:val="0"/>
                                <w:sz w:val="20"/>
                              </w:rPr>
                            </w:pPr>
                            <w:r w:rsidRPr="00D046A9">
                              <w:rPr>
                                <w:rFonts w:ascii="標楷體" w:eastAsia="標楷體" w:hAnsi="標楷體" w:cs="新細明體"/>
                                <w:color w:val="000000"/>
                                <w:kern w:val="0"/>
                                <w:sz w:val="20"/>
                              </w:rPr>
                              <w:t>525,600</w:t>
                            </w:r>
                          </w:p>
                        </w:tc>
                      </w:tr>
                      <w:tr w:rsidR="00C92467" w:rsidRPr="00D046A9" w14:paraId="36AD156A" w14:textId="77777777" w:rsidTr="000147BE">
                        <w:trPr>
                          <w:trHeight w:val="324"/>
                        </w:trPr>
                        <w:tc>
                          <w:tcPr>
                            <w:tcW w:w="4962" w:type="dxa"/>
                            <w:gridSpan w:val="4"/>
                            <w:tcBorders>
                              <w:left w:val="nil"/>
                              <w:bottom w:val="nil"/>
                              <w:right w:val="nil"/>
                            </w:tcBorders>
                          </w:tcPr>
                          <w:p w14:paraId="5E2D4DCA" w14:textId="77777777" w:rsidR="00C92467" w:rsidRDefault="00C92467" w:rsidP="00350C83">
                            <w:pPr>
                              <w:widowControl/>
                              <w:spacing w:line="260" w:lineRule="exact"/>
                              <w:jc w:val="both"/>
                              <w:rPr>
                                <w:rFonts w:ascii="標楷體" w:eastAsia="標楷體" w:hAnsi="標楷體" w:cs="新細明體"/>
                                <w:color w:val="000000"/>
                                <w:kern w:val="0"/>
                                <w:sz w:val="18"/>
                                <w:szCs w:val="18"/>
                              </w:rPr>
                            </w:pPr>
                            <w:proofErr w:type="gramStart"/>
                            <w:r w:rsidRPr="00D046A9">
                              <w:rPr>
                                <w:rFonts w:ascii="標楷體" w:eastAsia="標楷體" w:hAnsi="標楷體" w:cs="新細明體" w:hint="eastAsia"/>
                                <w:color w:val="000000"/>
                                <w:kern w:val="0"/>
                                <w:sz w:val="18"/>
                                <w:szCs w:val="18"/>
                              </w:rPr>
                              <w:t>註</w:t>
                            </w:r>
                            <w:proofErr w:type="gramEnd"/>
                            <w:r w:rsidRPr="00D046A9">
                              <w:rPr>
                                <w:rFonts w:ascii="標楷體" w:eastAsia="標楷體" w:hAnsi="標楷體" w:cs="新細明體" w:hint="eastAsia"/>
                                <w:color w:val="000000"/>
                                <w:kern w:val="0"/>
                                <w:sz w:val="18"/>
                                <w:szCs w:val="18"/>
                              </w:rPr>
                              <w:t>：1.台灣</w:t>
                            </w:r>
                            <w:proofErr w:type="gramStart"/>
                            <w:r w:rsidRPr="00D046A9">
                              <w:rPr>
                                <w:rFonts w:ascii="標楷體" w:eastAsia="標楷體" w:hAnsi="標楷體" w:cs="新細明體" w:hint="eastAsia"/>
                                <w:color w:val="000000"/>
                                <w:kern w:val="0"/>
                                <w:sz w:val="18"/>
                                <w:szCs w:val="18"/>
                              </w:rPr>
                              <w:t>杉</w:t>
                            </w:r>
                            <w:proofErr w:type="gramEnd"/>
                            <w:r w:rsidRPr="00D046A9">
                              <w:rPr>
                                <w:rFonts w:ascii="標楷體" w:eastAsia="標楷體" w:hAnsi="標楷體" w:cs="新細明體" w:hint="eastAsia"/>
                                <w:color w:val="000000"/>
                                <w:kern w:val="0"/>
                                <w:sz w:val="18"/>
                                <w:szCs w:val="18"/>
                              </w:rPr>
                              <w:t>一號主機於113年3月31日終止服務。</w:t>
                            </w:r>
                          </w:p>
                          <w:p w14:paraId="0B0E17A0" w14:textId="77777777" w:rsidR="00C92467" w:rsidRPr="00D046A9" w:rsidRDefault="00C92467" w:rsidP="00350C83">
                            <w:pPr>
                              <w:widowControl/>
                              <w:spacing w:line="260" w:lineRule="exact"/>
                              <w:ind w:leftChars="150" w:left="360"/>
                              <w:jc w:val="both"/>
                              <w:rPr>
                                <w:rFonts w:ascii="標楷體" w:eastAsia="標楷體" w:hAnsi="標楷體" w:cs="新細明體"/>
                                <w:color w:val="000000"/>
                                <w:kern w:val="0"/>
                                <w:sz w:val="20"/>
                              </w:rPr>
                            </w:pPr>
                            <w:r w:rsidRPr="00D046A9">
                              <w:rPr>
                                <w:rFonts w:ascii="標楷體" w:eastAsia="標楷體" w:hAnsi="標楷體" w:cs="新細明體" w:hint="eastAsia"/>
                                <w:color w:val="000000"/>
                                <w:kern w:val="0"/>
                                <w:sz w:val="18"/>
                                <w:szCs w:val="18"/>
                              </w:rPr>
                              <w:t>2.資料來源：整理自</w:t>
                            </w:r>
                            <w:r w:rsidRPr="00B64A59">
                              <w:rPr>
                                <w:rFonts w:ascii="標楷體" w:eastAsia="標楷體" w:hAnsi="標楷體" w:cs="新細明體" w:hint="eastAsia"/>
                                <w:color w:val="000000"/>
                                <w:kern w:val="0"/>
                                <w:sz w:val="18"/>
                                <w:szCs w:val="18"/>
                              </w:rPr>
                              <w:t>國家科學及技術委員會</w:t>
                            </w:r>
                            <w:r w:rsidRPr="00D046A9">
                              <w:rPr>
                                <w:rFonts w:ascii="標楷體" w:eastAsia="標楷體" w:hAnsi="標楷體" w:cs="新細明體" w:hint="eastAsia"/>
                                <w:color w:val="000000"/>
                                <w:kern w:val="0"/>
                                <w:sz w:val="18"/>
                                <w:szCs w:val="18"/>
                              </w:rPr>
                              <w:t>提供資料。</w:t>
                            </w:r>
                          </w:p>
                        </w:tc>
                      </w:tr>
                    </w:tbl>
                    <w:p w14:paraId="291B5781" w14:textId="77777777" w:rsidR="00C92467" w:rsidRPr="006418E3" w:rsidRDefault="00C92467" w:rsidP="00C92467"/>
                  </w:txbxContent>
                </v:textbox>
                <w10:wrap type="tight" anchorx="margin" anchory="page"/>
              </v:shape>
            </w:pict>
          </mc:Fallback>
        </mc:AlternateContent>
      </w:r>
      <w:proofErr w:type="gramStart"/>
      <w:r w:rsidRPr="00B5098C">
        <w:rPr>
          <w:rFonts w:ascii="標楷體" w:eastAsia="標楷體" w:hAnsi="標楷體" w:cs="標楷體" w:hint="eastAsia"/>
          <w:bCs/>
          <w:kern w:val="52"/>
          <w:szCs w:val="32"/>
        </w:rPr>
        <w:t>餘度</w:t>
      </w:r>
      <w:proofErr w:type="gramEnd"/>
      <w:r w:rsidRPr="00B5098C">
        <w:rPr>
          <w:rFonts w:ascii="標楷體" w:eastAsia="標楷體" w:hAnsi="標楷體" w:cs="標楷體" w:hint="eastAsia"/>
          <w:bCs/>
          <w:kern w:val="52"/>
          <w:szCs w:val="32"/>
        </w:rPr>
        <w:t>、1,119萬餘度、1,617萬餘度，顯示</w:t>
      </w:r>
      <w:proofErr w:type="gramStart"/>
      <w:r w:rsidRPr="00B5098C">
        <w:rPr>
          <w:rFonts w:ascii="標楷體" w:eastAsia="標楷體" w:hAnsi="標楷體" w:cs="標楷體" w:hint="eastAsia"/>
          <w:bCs/>
          <w:kern w:val="52"/>
          <w:szCs w:val="32"/>
        </w:rPr>
        <w:t>隨著算力持續</w:t>
      </w:r>
      <w:proofErr w:type="gramEnd"/>
      <w:r w:rsidRPr="00B5098C">
        <w:rPr>
          <w:rFonts w:ascii="標楷體" w:eastAsia="標楷體" w:hAnsi="標楷體" w:cs="標楷體" w:hint="eastAsia"/>
          <w:bCs/>
          <w:kern w:val="52"/>
          <w:szCs w:val="32"/>
        </w:rPr>
        <w:t>成長，用電需求亦呈現逐年上升趨勢</w:t>
      </w:r>
      <w:r w:rsidRPr="00C70A83">
        <w:rPr>
          <w:rFonts w:ascii="標楷體" w:eastAsia="標楷體" w:hAnsi="標楷體" w:cs="標楷體" w:hint="eastAsia"/>
          <w:bCs/>
          <w:color w:val="000000" w:themeColor="text1"/>
          <w:kern w:val="52"/>
          <w:szCs w:val="32"/>
        </w:rPr>
        <w:t>（表</w:t>
      </w:r>
      <w:r w:rsidR="00C70A83" w:rsidRPr="00C70A83">
        <w:rPr>
          <w:rFonts w:ascii="標楷體" w:eastAsia="標楷體" w:hAnsi="標楷體" w:cs="標楷體" w:hint="eastAsia"/>
          <w:bCs/>
          <w:color w:val="000000" w:themeColor="text1"/>
          <w:kern w:val="52"/>
          <w:szCs w:val="32"/>
        </w:rPr>
        <w:t>22</w:t>
      </w:r>
      <w:r w:rsidRPr="00C70A83">
        <w:rPr>
          <w:rFonts w:ascii="標楷體" w:eastAsia="標楷體" w:hAnsi="標楷體" w:cs="標楷體" w:hint="eastAsia"/>
          <w:bCs/>
          <w:color w:val="000000" w:themeColor="text1"/>
          <w:kern w:val="52"/>
          <w:szCs w:val="32"/>
        </w:rPr>
        <w:t>）。另</w:t>
      </w:r>
      <w:r w:rsidRPr="00B5098C">
        <w:rPr>
          <w:rFonts w:ascii="標楷體" w:eastAsia="標楷體" w:hAnsi="標楷體" w:cs="標楷體" w:hint="eastAsia"/>
          <w:bCs/>
          <w:kern w:val="52"/>
          <w:szCs w:val="32"/>
        </w:rPr>
        <w:t>中央研究院、行政院及所屬114及</w:t>
      </w:r>
      <w:proofErr w:type="gramStart"/>
      <w:r w:rsidRPr="00B5098C">
        <w:rPr>
          <w:rFonts w:ascii="標楷體" w:eastAsia="標楷體" w:hAnsi="標楷體" w:cs="標楷體" w:hint="eastAsia"/>
          <w:bCs/>
          <w:kern w:val="52"/>
          <w:szCs w:val="32"/>
        </w:rPr>
        <w:t>115</w:t>
      </w:r>
      <w:proofErr w:type="gramEnd"/>
      <w:r w:rsidRPr="00B5098C">
        <w:rPr>
          <w:rFonts w:ascii="標楷體" w:eastAsia="標楷體" w:hAnsi="標楷體" w:cs="標楷體" w:hint="eastAsia"/>
          <w:bCs/>
          <w:kern w:val="52"/>
          <w:szCs w:val="32"/>
        </w:rPr>
        <w:t xml:space="preserve">年度預計編列74億餘元增建210 </w:t>
      </w:r>
      <w:proofErr w:type="spellStart"/>
      <w:r w:rsidRPr="00B5098C">
        <w:rPr>
          <w:rFonts w:ascii="標楷體" w:eastAsia="標楷體" w:hAnsi="標楷體" w:cs="標楷體" w:hint="eastAsia"/>
          <w:bCs/>
          <w:kern w:val="52"/>
          <w:szCs w:val="32"/>
        </w:rPr>
        <w:t>PFlops</w:t>
      </w:r>
      <w:proofErr w:type="spellEnd"/>
      <w:proofErr w:type="gramStart"/>
      <w:r w:rsidRPr="00B5098C">
        <w:rPr>
          <w:rFonts w:ascii="標楷體" w:eastAsia="標楷體" w:hAnsi="標楷體" w:cs="標楷體" w:hint="eastAsia"/>
          <w:bCs/>
          <w:kern w:val="52"/>
          <w:szCs w:val="32"/>
        </w:rPr>
        <w:t>算力</w:t>
      </w:r>
      <w:proofErr w:type="gramEnd"/>
      <w:r w:rsidRPr="00B5098C">
        <w:rPr>
          <w:rFonts w:ascii="標楷體" w:eastAsia="標楷體" w:hAnsi="標楷體" w:cs="標楷體" w:hint="eastAsia"/>
          <w:bCs/>
          <w:kern w:val="52"/>
          <w:szCs w:val="32"/>
        </w:rPr>
        <w:t>，國科會亦規劃透過「晶片驅動臺灣產業創新方案」及「大南方新矽谷推動方案」建置高速效能運算主機，預計</w:t>
      </w:r>
      <w:proofErr w:type="gramStart"/>
      <w:r w:rsidRPr="00B5098C">
        <w:rPr>
          <w:rFonts w:ascii="標楷體" w:eastAsia="標楷體" w:hAnsi="標楷體" w:cs="標楷體" w:hint="eastAsia"/>
          <w:bCs/>
          <w:kern w:val="52"/>
          <w:szCs w:val="32"/>
        </w:rPr>
        <w:t>118年算力建置</w:t>
      </w:r>
      <w:proofErr w:type="gramEnd"/>
      <w:r w:rsidRPr="00B5098C">
        <w:rPr>
          <w:rFonts w:ascii="標楷體" w:eastAsia="標楷體" w:hAnsi="標楷體" w:cs="標楷體" w:hint="eastAsia"/>
          <w:bCs/>
          <w:kern w:val="52"/>
          <w:szCs w:val="32"/>
        </w:rPr>
        <w:t>目標為480</w:t>
      </w:r>
      <w:r w:rsidRPr="00B5098C">
        <w:rPr>
          <w:rFonts w:ascii="標楷體" w:eastAsia="標楷體" w:hAnsi="標楷體" w:cs="標楷體"/>
          <w:bCs/>
          <w:kern w:val="52"/>
          <w:szCs w:val="32"/>
        </w:rPr>
        <w:t xml:space="preserve"> </w:t>
      </w:r>
      <w:proofErr w:type="spellStart"/>
      <w:r w:rsidRPr="00B5098C">
        <w:rPr>
          <w:rFonts w:ascii="標楷體" w:eastAsia="標楷體" w:hAnsi="標楷體" w:cs="標楷體" w:hint="eastAsia"/>
          <w:bCs/>
          <w:kern w:val="52"/>
          <w:szCs w:val="32"/>
        </w:rPr>
        <w:t>PFlops</w:t>
      </w:r>
      <w:proofErr w:type="spellEnd"/>
      <w:r w:rsidRPr="00B5098C">
        <w:rPr>
          <w:rFonts w:ascii="標楷體" w:eastAsia="標楷體" w:hAnsi="標楷體" w:cs="標楷體" w:hint="eastAsia"/>
          <w:bCs/>
          <w:kern w:val="52"/>
          <w:szCs w:val="32"/>
        </w:rPr>
        <w:t>，為該會113年</w:t>
      </w:r>
      <w:proofErr w:type="gramStart"/>
      <w:r w:rsidRPr="00B5098C">
        <w:rPr>
          <w:rFonts w:ascii="標楷體" w:eastAsia="標楷體" w:hAnsi="標楷體" w:cs="標楷體" w:hint="eastAsia"/>
          <w:bCs/>
          <w:kern w:val="52"/>
          <w:szCs w:val="32"/>
        </w:rPr>
        <w:t>算力值</w:t>
      </w:r>
      <w:proofErr w:type="gramEnd"/>
      <w:r w:rsidRPr="00B5098C">
        <w:rPr>
          <w:rFonts w:ascii="標楷體" w:eastAsia="標楷體" w:hAnsi="標楷體" w:cs="標楷體" w:hint="eastAsia"/>
          <w:bCs/>
          <w:kern w:val="52"/>
          <w:szCs w:val="32"/>
        </w:rPr>
        <w:t>之10倍；</w:t>
      </w:r>
      <w:proofErr w:type="gramStart"/>
      <w:r w:rsidRPr="00B5098C">
        <w:rPr>
          <w:rFonts w:ascii="標楷體" w:eastAsia="標楷體" w:hAnsi="標楷體" w:cs="標楷體" w:hint="eastAsia"/>
          <w:bCs/>
          <w:kern w:val="52"/>
          <w:szCs w:val="32"/>
        </w:rPr>
        <w:t>至私部門</w:t>
      </w:r>
      <w:proofErr w:type="gramEnd"/>
      <w:r w:rsidRPr="00B5098C">
        <w:rPr>
          <w:rFonts w:ascii="標楷體" w:eastAsia="標楷體" w:hAnsi="標楷體" w:cs="標楷體" w:hint="eastAsia"/>
          <w:bCs/>
          <w:kern w:val="52"/>
          <w:szCs w:val="32"/>
        </w:rPr>
        <w:t>部分，國際大廠微軟、</w:t>
      </w:r>
      <w:proofErr w:type="gramStart"/>
      <w:r w:rsidRPr="00B5098C">
        <w:rPr>
          <w:rFonts w:ascii="標楷體" w:eastAsia="標楷體" w:hAnsi="標楷體" w:cs="標楷體" w:hint="eastAsia"/>
          <w:bCs/>
          <w:kern w:val="52"/>
          <w:szCs w:val="32"/>
        </w:rPr>
        <w:t>輝達及</w:t>
      </w:r>
      <w:proofErr w:type="gramEnd"/>
      <w:r w:rsidRPr="00B5098C">
        <w:rPr>
          <w:rFonts w:ascii="標楷體" w:eastAsia="標楷體" w:hAnsi="標楷體" w:cs="標楷體" w:hint="eastAsia"/>
          <w:bCs/>
          <w:kern w:val="52"/>
          <w:szCs w:val="32"/>
        </w:rPr>
        <w:t>民間企業日月光、鴻海</w:t>
      </w:r>
      <w:proofErr w:type="gramStart"/>
      <w:r w:rsidRPr="00B5098C">
        <w:rPr>
          <w:rFonts w:ascii="標楷體" w:eastAsia="標楷體" w:hAnsi="標楷體" w:cs="標楷體" w:hint="eastAsia"/>
          <w:bCs/>
          <w:kern w:val="52"/>
          <w:szCs w:val="32"/>
        </w:rPr>
        <w:t>等均已宣布</w:t>
      </w:r>
      <w:proofErr w:type="gramEnd"/>
      <w:r w:rsidRPr="00B5098C">
        <w:rPr>
          <w:rFonts w:ascii="標楷體" w:eastAsia="標楷體" w:hAnsi="標楷體" w:cs="標楷體" w:hint="eastAsia"/>
          <w:bCs/>
          <w:kern w:val="52"/>
          <w:szCs w:val="32"/>
        </w:rPr>
        <w:t>在我國建置資料中心或規劃相關投資。</w:t>
      </w:r>
      <w:proofErr w:type="gramStart"/>
      <w:r w:rsidRPr="00B5098C">
        <w:rPr>
          <w:rFonts w:ascii="標楷體" w:eastAsia="標楷體" w:hAnsi="標楷體" w:cs="標楷體" w:hint="eastAsia"/>
          <w:bCs/>
          <w:kern w:val="52"/>
          <w:szCs w:val="32"/>
        </w:rPr>
        <w:t>次據經濟部</w:t>
      </w:r>
      <w:proofErr w:type="gramEnd"/>
      <w:r w:rsidRPr="00B5098C">
        <w:rPr>
          <w:rFonts w:ascii="標楷體" w:eastAsia="標楷體" w:hAnsi="標楷體" w:cs="標楷體" w:hint="eastAsia"/>
          <w:bCs/>
          <w:kern w:val="52"/>
          <w:szCs w:val="32"/>
        </w:rPr>
        <w:t>「</w:t>
      </w:r>
      <w:proofErr w:type="gramStart"/>
      <w:r w:rsidRPr="00B5098C">
        <w:rPr>
          <w:rFonts w:ascii="標楷體" w:eastAsia="標楷體" w:hAnsi="標楷體" w:cs="標楷體" w:hint="eastAsia"/>
          <w:bCs/>
          <w:kern w:val="52"/>
          <w:szCs w:val="32"/>
        </w:rPr>
        <w:t>112</w:t>
      </w:r>
      <w:proofErr w:type="gramEnd"/>
      <w:r w:rsidRPr="00B5098C">
        <w:rPr>
          <w:rFonts w:ascii="標楷體" w:eastAsia="標楷體" w:hAnsi="標楷體" w:cs="標楷體" w:hint="eastAsia"/>
          <w:bCs/>
          <w:kern w:val="52"/>
          <w:szCs w:val="32"/>
        </w:rPr>
        <w:t>年度全國電力資源供需報告」揭示，AI科技用電需求預估至</w:t>
      </w:r>
      <w:r w:rsidRPr="00B5098C">
        <w:rPr>
          <w:rFonts w:ascii="標楷體" w:eastAsia="標楷體" w:hAnsi="標楷體" w:cs="標楷體"/>
          <w:bCs/>
          <w:kern w:val="52"/>
          <w:szCs w:val="32"/>
        </w:rPr>
        <w:t>117年約增加200萬</w:t>
      </w:r>
      <w:proofErr w:type="gramStart"/>
      <w:r w:rsidRPr="00B5098C">
        <w:rPr>
          <w:rFonts w:ascii="標楷體" w:eastAsia="標楷體" w:hAnsi="標楷體" w:cs="標楷體" w:hint="eastAsia"/>
          <w:bCs/>
          <w:kern w:val="52"/>
          <w:szCs w:val="32"/>
        </w:rPr>
        <w:t>瓩</w:t>
      </w:r>
      <w:proofErr w:type="gramEnd"/>
      <w:r w:rsidRPr="00B5098C">
        <w:rPr>
          <w:rFonts w:ascii="標楷體" w:eastAsia="標楷體" w:hAnsi="標楷體" w:cs="標楷體" w:hint="eastAsia"/>
          <w:bCs/>
          <w:kern w:val="52"/>
          <w:szCs w:val="32"/>
        </w:rPr>
        <w:t>，較</w:t>
      </w:r>
      <w:r w:rsidRPr="00B5098C">
        <w:rPr>
          <w:rFonts w:ascii="標楷體" w:eastAsia="標楷體" w:hAnsi="標楷體" w:cs="標楷體"/>
          <w:bCs/>
          <w:kern w:val="52"/>
          <w:szCs w:val="32"/>
        </w:rPr>
        <w:t>112年成長約8倍</w:t>
      </w:r>
      <w:r w:rsidRPr="00B5098C">
        <w:rPr>
          <w:rFonts w:ascii="標楷體" w:eastAsia="標楷體" w:hAnsi="標楷體" w:cs="標楷體" w:hint="eastAsia"/>
          <w:bCs/>
          <w:kern w:val="52"/>
          <w:szCs w:val="32"/>
        </w:rPr>
        <w:t>，其後在AI穩定應用趨勢下，預估113至122年全國電力需求年均成長率約為2.8％，需要新機組、電網（變電所）更新與儲能系統之建設，以確保供電穩定、滿足用電需求。又台灣電力公司113年8月對外說明，為兼顧電力系統穩定與安全，已管制資料中心之用電計畫，引導高科技產業往中南部發展，避免桃園以北電網負載過度。</w:t>
      </w:r>
      <w:proofErr w:type="gramStart"/>
      <w:r w:rsidRPr="00B5098C">
        <w:rPr>
          <w:rFonts w:ascii="標楷體" w:eastAsia="標楷體" w:hAnsi="標楷體" w:cs="標楷體" w:hint="eastAsia"/>
          <w:bCs/>
          <w:kern w:val="52"/>
          <w:szCs w:val="32"/>
        </w:rPr>
        <w:t>鑑</w:t>
      </w:r>
      <w:proofErr w:type="gramEnd"/>
      <w:r w:rsidRPr="00B5098C">
        <w:rPr>
          <w:rFonts w:ascii="標楷體" w:eastAsia="標楷體" w:hAnsi="標楷體" w:cs="標楷體" w:hint="eastAsia"/>
          <w:bCs/>
          <w:kern w:val="52"/>
          <w:szCs w:val="32"/>
        </w:rPr>
        <w:t>於數位服務和AI快速發展，公私部門持續投資建置高效能運算主機及資料中心，其電力需求與集中布建所衍生之區域供電壓力</w:t>
      </w:r>
      <w:r w:rsidR="00080E1D">
        <w:rPr>
          <w:rFonts w:ascii="標楷體" w:eastAsia="標楷體" w:hAnsi="標楷體" w:cs="標楷體" w:hint="eastAsia"/>
          <w:bCs/>
          <w:kern w:val="52"/>
          <w:szCs w:val="32"/>
        </w:rPr>
        <w:t>，</w:t>
      </w:r>
      <w:r w:rsidRPr="00B5098C">
        <w:rPr>
          <w:rFonts w:ascii="標楷體" w:eastAsia="標楷體" w:hAnsi="標楷體" w:cs="標楷體" w:hint="eastAsia"/>
          <w:kern w:val="52"/>
          <w:szCs w:val="32"/>
        </w:rPr>
        <w:t>經函請</w:t>
      </w:r>
      <w:r w:rsidRPr="00B5098C">
        <w:rPr>
          <w:rFonts w:ascii="標楷體" w:eastAsia="標楷體" w:hAnsi="標楷體" w:cs="標楷體" w:hint="eastAsia"/>
          <w:bCs/>
          <w:kern w:val="52"/>
          <w:szCs w:val="32"/>
        </w:rPr>
        <w:t>行政院</w:t>
      </w:r>
      <w:proofErr w:type="gramStart"/>
      <w:r w:rsidRPr="00B5098C">
        <w:rPr>
          <w:rFonts w:ascii="標楷體" w:eastAsia="標楷體" w:hAnsi="標楷體" w:cs="標楷體" w:hint="eastAsia"/>
          <w:bCs/>
          <w:kern w:val="52"/>
          <w:szCs w:val="32"/>
        </w:rPr>
        <w:t>研</w:t>
      </w:r>
      <w:proofErr w:type="gramEnd"/>
      <w:r w:rsidRPr="00B5098C">
        <w:rPr>
          <w:rFonts w:ascii="標楷體" w:eastAsia="標楷體" w:hAnsi="標楷體" w:cs="標楷體" w:hint="eastAsia"/>
          <w:bCs/>
          <w:kern w:val="52"/>
          <w:szCs w:val="32"/>
        </w:rPr>
        <w:t>議建立相關產官學</w:t>
      </w:r>
      <w:proofErr w:type="gramStart"/>
      <w:r w:rsidRPr="00B5098C">
        <w:rPr>
          <w:rFonts w:ascii="標楷體" w:eastAsia="標楷體" w:hAnsi="標楷體" w:cs="標楷體" w:hint="eastAsia"/>
          <w:bCs/>
          <w:kern w:val="52"/>
          <w:szCs w:val="32"/>
        </w:rPr>
        <w:t>研</w:t>
      </w:r>
      <w:proofErr w:type="gramEnd"/>
      <w:r w:rsidRPr="00B5098C">
        <w:rPr>
          <w:rFonts w:ascii="標楷體" w:eastAsia="標楷體" w:hAnsi="標楷體" w:cs="標楷體" w:hint="eastAsia"/>
          <w:bCs/>
          <w:kern w:val="52"/>
          <w:szCs w:val="32"/>
        </w:rPr>
        <w:t>之跨部門溝通機制，取得能源供需平衡，確保電力足以供應AI及數位基礎設施發展需求。</w:t>
      </w:r>
      <w:r w:rsidR="00C70A83" w:rsidRPr="00CA70B8">
        <w:rPr>
          <w:rFonts w:ascii="標楷體" w:eastAsia="標楷體" w:hAnsi="標楷體" w:cstheme="minorBidi" w:hint="eastAsia"/>
          <w:szCs w:val="24"/>
        </w:rPr>
        <w:t>據復：</w:t>
      </w:r>
      <w:r w:rsidR="00CA70B8" w:rsidRPr="00CA70B8">
        <w:rPr>
          <w:rFonts w:ascii="標楷體" w:eastAsia="標楷體" w:hAnsi="標楷體" w:cstheme="minorBidi" w:hint="eastAsia"/>
          <w:szCs w:val="24"/>
        </w:rPr>
        <w:t>經濟部透過電力可靠度審議會，建立跨部門及產官學</w:t>
      </w:r>
      <w:proofErr w:type="gramStart"/>
      <w:r w:rsidR="00CA70B8" w:rsidRPr="00CA70B8">
        <w:rPr>
          <w:rFonts w:ascii="標楷體" w:eastAsia="標楷體" w:hAnsi="標楷體" w:cstheme="minorBidi" w:hint="eastAsia"/>
          <w:szCs w:val="24"/>
        </w:rPr>
        <w:t>研</w:t>
      </w:r>
      <w:proofErr w:type="gramEnd"/>
      <w:r w:rsidR="00CA70B8" w:rsidRPr="00CA70B8">
        <w:rPr>
          <w:rFonts w:ascii="標楷體" w:eastAsia="標楷體" w:hAnsi="標楷體" w:cstheme="minorBidi" w:hint="eastAsia"/>
          <w:szCs w:val="24"/>
        </w:rPr>
        <w:t>代表溝通機制，確認我國整體用電需求，已將AI用電納入電力供需規劃，預計121年累計新增燃氣機組供電量大於除役機組，並持續引導用電量高之資料中心至中南部地區設廠，確保穩定供電及減少區域發用電量落差。</w:t>
      </w:r>
    </w:p>
    <w:p w14:paraId="03C106A0" w14:textId="08FF3E7C" w:rsidR="003C7964" w:rsidRPr="003C7964" w:rsidRDefault="00B5098C" w:rsidP="0061079F">
      <w:pPr>
        <w:overflowPunct w:val="0"/>
        <w:adjustRightInd w:val="0"/>
        <w:snapToGrid w:val="0"/>
        <w:spacing w:line="450" w:lineRule="exact"/>
        <w:ind w:firstLineChars="450" w:firstLine="1081"/>
        <w:jc w:val="both"/>
        <w:rPr>
          <w:rFonts w:ascii="標楷體" w:eastAsia="標楷體" w:hAnsi="標楷體" w:cstheme="minorBidi"/>
          <w:szCs w:val="24"/>
        </w:rPr>
      </w:pPr>
      <w:r w:rsidRPr="00B5098C">
        <w:rPr>
          <w:rFonts w:ascii="標楷體" w:eastAsia="標楷體" w:hAnsi="標楷體" w:hint="eastAsia"/>
          <w:b/>
          <w:kern w:val="0"/>
          <w:szCs w:val="24"/>
        </w:rPr>
        <w:t>5.</w:t>
      </w:r>
      <w:r w:rsidRPr="00B5098C">
        <w:rPr>
          <w:rFonts w:ascii="標楷體" w:eastAsia="標楷體" w:hAnsi="標楷體" w:hint="eastAsia"/>
          <w:b/>
          <w:bCs/>
          <w:szCs w:val="24"/>
        </w:rPr>
        <w:t xml:space="preserve">　政府推動AI治理，允宜參考國際組織開發可信賴AI評估清單與事件報告框架之作法，</w:t>
      </w:r>
      <w:proofErr w:type="gramStart"/>
      <w:r w:rsidRPr="00B5098C">
        <w:rPr>
          <w:rFonts w:ascii="標楷體" w:eastAsia="標楷體" w:hAnsi="標楷體" w:hint="eastAsia"/>
          <w:b/>
          <w:bCs/>
          <w:szCs w:val="24"/>
        </w:rPr>
        <w:t>研</w:t>
      </w:r>
      <w:proofErr w:type="gramEnd"/>
      <w:r w:rsidRPr="00B5098C">
        <w:rPr>
          <w:rFonts w:ascii="標楷體" w:eastAsia="標楷體" w:hAnsi="標楷體" w:hint="eastAsia"/>
          <w:b/>
          <w:bCs/>
          <w:szCs w:val="24"/>
        </w:rPr>
        <w:t>議建立AI事件資料庫、整合可信賴AI檢核工具，以促進AI風險識別並完善可信賴AI環境：</w:t>
      </w:r>
      <w:r w:rsidRPr="00B5098C">
        <w:rPr>
          <w:rFonts w:ascii="標楷體" w:eastAsia="標楷體" w:hAnsi="標楷體" w:hint="eastAsia"/>
          <w:bCs/>
          <w:szCs w:val="24"/>
        </w:rPr>
        <w:t>歐洲聯盟執行委員會（下稱歐盟執委會）發布「可信賴人工智慧評估清單</w:t>
      </w:r>
      <w:r w:rsidR="00F917EC" w:rsidRPr="00B5098C">
        <w:rPr>
          <w:rFonts w:ascii="標楷體" w:eastAsia="標楷體" w:hAnsi="標楷體" w:hint="eastAsia"/>
          <w:bCs/>
          <w:szCs w:val="24"/>
        </w:rPr>
        <w:t>」</w:t>
      </w:r>
      <w:r w:rsidRPr="00B5098C">
        <w:rPr>
          <w:rFonts w:ascii="標楷體" w:eastAsia="標楷體" w:hAnsi="標楷體" w:hint="eastAsia"/>
          <w:bCs/>
          <w:szCs w:val="24"/>
        </w:rPr>
        <w:t>（ALTAI），係由獨立AI專家小組制定之自我評估工具，旨在協助組織助開發、部署或使用AI系統，並評估其AI系統是否符合七大要求</w:t>
      </w:r>
      <w:r w:rsidRPr="000140A1">
        <w:rPr>
          <w:rFonts w:ascii="標楷體" w:eastAsia="標楷體" w:hAnsi="標楷體" w:hint="eastAsia"/>
          <w:bCs/>
          <w:color w:val="000000" w:themeColor="text1"/>
          <w:szCs w:val="24"/>
        </w:rPr>
        <w:t>（圖1</w:t>
      </w:r>
      <w:r w:rsidR="009B0882">
        <w:rPr>
          <w:rFonts w:ascii="標楷體" w:eastAsia="標楷體" w:hAnsi="標楷體" w:hint="eastAsia"/>
          <w:bCs/>
          <w:color w:val="000000" w:themeColor="text1"/>
          <w:szCs w:val="24"/>
        </w:rPr>
        <w:t>2</w:t>
      </w:r>
      <w:r w:rsidRPr="000140A1">
        <w:rPr>
          <w:rFonts w:ascii="標楷體" w:eastAsia="標楷體" w:hAnsi="標楷體" w:hint="eastAsia"/>
          <w:bCs/>
          <w:color w:val="000000" w:themeColor="text1"/>
          <w:szCs w:val="24"/>
        </w:rPr>
        <w:t>）</w:t>
      </w:r>
      <w:r w:rsidRPr="00B5098C">
        <w:rPr>
          <w:rFonts w:ascii="標楷體" w:eastAsia="標楷體" w:hAnsi="標楷體" w:hint="eastAsia"/>
          <w:bCs/>
          <w:szCs w:val="24"/>
        </w:rPr>
        <w:t>。另隨著AI應用</w:t>
      </w:r>
      <w:proofErr w:type="gramStart"/>
      <w:r w:rsidRPr="00B5098C">
        <w:rPr>
          <w:rFonts w:ascii="標楷體" w:eastAsia="標楷體" w:hAnsi="標楷體" w:hint="eastAsia"/>
          <w:bCs/>
          <w:szCs w:val="24"/>
        </w:rPr>
        <w:t>普及，</w:t>
      </w:r>
      <w:proofErr w:type="gramEnd"/>
      <w:r w:rsidRPr="00B5098C">
        <w:rPr>
          <w:rFonts w:ascii="標楷體" w:eastAsia="標楷體" w:hAnsi="標楷體" w:hint="eastAsia"/>
          <w:bCs/>
          <w:szCs w:val="24"/>
        </w:rPr>
        <w:t>如何因應AI事件亦為各方關切議題，美國麻省理工學院（</w:t>
      </w:r>
      <w:r w:rsidRPr="00B5098C">
        <w:rPr>
          <w:rFonts w:ascii="標楷體" w:eastAsia="標楷體" w:hAnsi="標楷體"/>
          <w:bCs/>
          <w:szCs w:val="24"/>
        </w:rPr>
        <w:t>Massachusetts Institute of Technology, MIT</w:t>
      </w:r>
      <w:r w:rsidRPr="00B5098C">
        <w:rPr>
          <w:rFonts w:ascii="標楷體" w:eastAsia="標楷體" w:hAnsi="標楷體" w:hint="eastAsia"/>
          <w:bCs/>
          <w:szCs w:val="24"/>
        </w:rPr>
        <w:t>）系統化整理與分析AI潛在風險，匯集成「AI風險儲存庫」，已收錄1,600餘項風險資料，供利害關係人瞭解與管理AI衍生之危害，OECD亦發布「AI事件通報共通框架」，提供各國採用一套共通且可按各自國內政策及法律調整之方法，協助政策制定者由已識別AI事件中汲取經驗，進而發展安全、可靠</w:t>
      </w:r>
      <w:r w:rsidR="00C24B73" w:rsidRPr="00B5098C">
        <w:rPr>
          <w:rFonts w:ascii="標楷體" w:eastAsia="標楷體" w:hAnsi="標楷體"/>
          <w:bCs/>
          <w:noProof/>
          <w:szCs w:val="24"/>
        </w:rPr>
        <w:lastRenderedPageBreak/>
        <mc:AlternateContent>
          <mc:Choice Requires="wps">
            <w:drawing>
              <wp:anchor distT="45720" distB="45720" distL="114300" distR="114300" simplePos="0" relativeHeight="251688960" behindDoc="0" locked="0" layoutInCell="1" allowOverlap="1" wp14:anchorId="56837801" wp14:editId="0D1CD4B0">
                <wp:simplePos x="0" y="0"/>
                <wp:positionH relativeFrom="margin">
                  <wp:posOffset>3475990</wp:posOffset>
                </wp:positionH>
                <wp:positionV relativeFrom="paragraph">
                  <wp:posOffset>83185</wp:posOffset>
                </wp:positionV>
                <wp:extent cx="2811145" cy="3246755"/>
                <wp:effectExtent l="0" t="0" r="8255" b="3175"/>
                <wp:wrapSquare wrapText="bothSides"/>
                <wp:docPr id="2008327061" name="文字方塊 2008327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3246755"/>
                        </a:xfrm>
                        <a:prstGeom prst="rect">
                          <a:avLst/>
                        </a:prstGeom>
                        <a:solidFill>
                          <a:srgbClr val="FFFFFF"/>
                        </a:solidFill>
                        <a:ln w="9525">
                          <a:noFill/>
                          <a:miter lim="800000"/>
                          <a:headEnd/>
                          <a:tailEnd/>
                        </a:ln>
                      </wps:spPr>
                      <wps:txbx>
                        <w:txbxContent>
                          <w:p w14:paraId="4C3ACEA2" w14:textId="77777777" w:rsidR="00C24B73" w:rsidRDefault="00C24B73" w:rsidP="00C24B73">
                            <w:pPr>
                              <w:pStyle w:val="Web"/>
                              <w:spacing w:before="0" w:beforeAutospacing="0" w:after="0" w:afterAutospacing="0"/>
                              <w:ind w:left="765" w:hanging="765"/>
                              <w:jc w:val="both"/>
                            </w:pPr>
                            <w:r w:rsidRPr="000140A1">
                              <w:rPr>
                                <w:rFonts w:ascii="標楷體" w:eastAsia="標楷體" w:hAnsi="標楷體" w:hint="eastAsia"/>
                                <w:b/>
                                <w:bCs/>
                                <w:color w:val="000000" w:themeColor="text1"/>
                                <w:kern w:val="2"/>
                              </w:rPr>
                              <w:t>圖1</w:t>
                            </w:r>
                            <w:r>
                              <w:rPr>
                                <w:rFonts w:ascii="標楷體" w:eastAsia="標楷體" w:hAnsi="標楷體"/>
                                <w:b/>
                                <w:bCs/>
                                <w:color w:val="000000" w:themeColor="text1"/>
                                <w:kern w:val="2"/>
                              </w:rPr>
                              <w:t>2</w:t>
                            </w:r>
                            <w:r>
                              <w:rPr>
                                <w:rFonts w:ascii="標楷體" w:eastAsia="標楷體" w:hAnsi="標楷體" w:hint="eastAsia"/>
                                <w:b/>
                                <w:bCs/>
                                <w:color w:val="000000"/>
                                <w:kern w:val="2"/>
                              </w:rPr>
                              <w:t xml:space="preserve">　</w:t>
                            </w:r>
                            <w:r w:rsidRPr="005B4534">
                              <w:rPr>
                                <w:rFonts w:ascii="標楷體" w:eastAsia="標楷體" w:hAnsi="標楷體" w:hint="eastAsia"/>
                                <w:b/>
                                <w:bCs/>
                                <w:color w:val="000000"/>
                                <w:kern w:val="2"/>
                              </w:rPr>
                              <w:t>歐洲聯盟執行委員會</w:t>
                            </w:r>
                            <w:r>
                              <w:rPr>
                                <w:rFonts w:ascii="標楷體" w:eastAsia="標楷體" w:hAnsi="標楷體" w:hint="eastAsia"/>
                                <w:b/>
                                <w:bCs/>
                                <w:color w:val="000000"/>
                                <w:kern w:val="2"/>
                              </w:rPr>
                              <w:t>可信賴人工智慧七大核心要求</w:t>
                            </w:r>
                          </w:p>
                          <w:p w14:paraId="0715F7F8" w14:textId="77777777" w:rsidR="00C24B73" w:rsidRDefault="00C24B73" w:rsidP="00C24B73">
                            <w:r>
                              <w:rPr>
                                <w:noProof/>
                                <w:kern w:val="0"/>
                                <w:sz w:val="20"/>
                              </w:rPr>
                              <w:drawing>
                                <wp:inline distT="0" distB="0" distL="0" distR="0" wp14:anchorId="72EFF2FC" wp14:editId="7A49A8A7">
                                  <wp:extent cx="2590800" cy="2490805"/>
                                  <wp:effectExtent l="0" t="0" r="0" b="5080"/>
                                  <wp:docPr id="2008327062" name="圖片 200832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593072" cy="2492989"/>
                                          </a:xfrm>
                                          <a:prstGeom prst="rect">
                                            <a:avLst/>
                                          </a:prstGeom>
                                          <a:noFill/>
                                          <a:ln>
                                            <a:noFill/>
                                          </a:ln>
                                        </pic:spPr>
                                      </pic:pic>
                                    </a:graphicData>
                                  </a:graphic>
                                </wp:inline>
                              </w:drawing>
                            </w:r>
                          </w:p>
                          <w:p w14:paraId="70D693C5" w14:textId="77777777" w:rsidR="00C24B73" w:rsidRDefault="00C24B73" w:rsidP="00C24B73">
                            <w:pPr>
                              <w:rPr>
                                <w:rFonts w:ascii="標楷體" w:eastAsia="標楷體" w:hAnsi="標楷體"/>
                                <w:sz w:val="18"/>
                              </w:rPr>
                            </w:pPr>
                            <w:r>
                              <w:rPr>
                                <w:rFonts w:ascii="標楷體" w:eastAsia="標楷體" w:hAnsi="標楷體" w:hint="eastAsia"/>
                                <w:sz w:val="18"/>
                              </w:rPr>
                              <w:t>資料來源：整理自</w:t>
                            </w:r>
                            <w:r w:rsidRPr="005B4534">
                              <w:rPr>
                                <w:rFonts w:ascii="標楷體" w:eastAsia="標楷體" w:hAnsi="標楷體" w:hint="eastAsia"/>
                                <w:sz w:val="18"/>
                              </w:rPr>
                              <w:t>歐洲聯盟執行委員會</w:t>
                            </w:r>
                            <w:r>
                              <w:rPr>
                                <w:rFonts w:ascii="標楷體" w:eastAsia="標楷體" w:hAnsi="標楷體" w:hint="eastAsia"/>
                                <w:sz w:val="18"/>
                              </w:rPr>
                              <w:t>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837801" id="文字方塊 2008327061" o:spid="_x0000_s1073" type="#_x0000_t202" style="position:absolute;left:0;text-align:left;margin-left:273.7pt;margin-top:6.55pt;width:221.35pt;height:25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" stroked="f">
                <v:textbox>
                  <w:txbxContent>
                    <w:p w14:paraId="4C3ACEA2" w14:textId="77777777" w:rsidR="00C24B73" w:rsidRDefault="00C24B73" w:rsidP="00C24B73">
                      <w:pPr>
                        <w:pStyle w:val="Web"/>
                        <w:spacing w:before="0" w:beforeAutospacing="0" w:after="0" w:afterAutospacing="0"/>
                        <w:ind w:left="765" w:hanging="765"/>
                        <w:jc w:val="both"/>
                      </w:pPr>
                      <w:r w:rsidRPr="000140A1">
                        <w:rPr>
                          <w:rFonts w:ascii="標楷體" w:eastAsia="標楷體" w:hAnsi="標楷體" w:hint="eastAsia"/>
                          <w:b/>
                          <w:bCs/>
                          <w:color w:val="000000" w:themeColor="text1"/>
                          <w:kern w:val="2"/>
                        </w:rPr>
                        <w:t>圖1</w:t>
                      </w:r>
                      <w:r>
                        <w:rPr>
                          <w:rFonts w:ascii="標楷體" w:eastAsia="標楷體" w:hAnsi="標楷體"/>
                          <w:b/>
                          <w:bCs/>
                          <w:color w:val="000000" w:themeColor="text1"/>
                          <w:kern w:val="2"/>
                        </w:rPr>
                        <w:t>2</w:t>
                      </w:r>
                      <w:r>
                        <w:rPr>
                          <w:rFonts w:ascii="標楷體" w:eastAsia="標楷體" w:hAnsi="標楷體" w:hint="eastAsia"/>
                          <w:b/>
                          <w:bCs/>
                          <w:color w:val="000000"/>
                          <w:kern w:val="2"/>
                        </w:rPr>
                        <w:t xml:space="preserve">　</w:t>
                      </w:r>
                      <w:r w:rsidRPr="005B4534">
                        <w:rPr>
                          <w:rFonts w:ascii="標楷體" w:eastAsia="標楷體" w:hAnsi="標楷體" w:hint="eastAsia"/>
                          <w:b/>
                          <w:bCs/>
                          <w:color w:val="000000"/>
                          <w:kern w:val="2"/>
                        </w:rPr>
                        <w:t>歐洲聯盟執行委員會</w:t>
                      </w:r>
                      <w:r>
                        <w:rPr>
                          <w:rFonts w:ascii="標楷體" w:eastAsia="標楷體" w:hAnsi="標楷體" w:hint="eastAsia"/>
                          <w:b/>
                          <w:bCs/>
                          <w:color w:val="000000"/>
                          <w:kern w:val="2"/>
                        </w:rPr>
                        <w:t>可信賴人工智慧七大核心要求</w:t>
                      </w:r>
                    </w:p>
                    <w:p w14:paraId="0715F7F8" w14:textId="77777777" w:rsidR="00C24B73" w:rsidRDefault="00C24B73" w:rsidP="00C24B73">
                      <w:r>
                        <w:rPr>
                          <w:noProof/>
                          <w:kern w:val="0"/>
                          <w:sz w:val="20"/>
                        </w:rPr>
                        <w:drawing>
                          <wp:inline distT="0" distB="0" distL="0" distR="0" wp14:anchorId="72EFF2FC" wp14:editId="7A49A8A7">
                            <wp:extent cx="2590800" cy="2490805"/>
                            <wp:effectExtent l="0" t="0" r="0" b="5080"/>
                            <wp:docPr id="2008327062" name="圖片 200832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593072" cy="2492989"/>
                                    </a:xfrm>
                                    <a:prstGeom prst="rect">
                                      <a:avLst/>
                                    </a:prstGeom>
                                    <a:noFill/>
                                    <a:ln>
                                      <a:noFill/>
                                    </a:ln>
                                  </pic:spPr>
                                </pic:pic>
                              </a:graphicData>
                            </a:graphic>
                          </wp:inline>
                        </w:drawing>
                      </w:r>
                    </w:p>
                    <w:p w14:paraId="70D693C5" w14:textId="77777777" w:rsidR="00C24B73" w:rsidRDefault="00C24B73" w:rsidP="00C24B73">
                      <w:pPr>
                        <w:rPr>
                          <w:rFonts w:ascii="標楷體" w:eastAsia="標楷體" w:hAnsi="標楷體"/>
                          <w:sz w:val="18"/>
                        </w:rPr>
                      </w:pPr>
                      <w:r>
                        <w:rPr>
                          <w:rFonts w:ascii="標楷體" w:eastAsia="標楷體" w:hAnsi="標楷體" w:hint="eastAsia"/>
                          <w:sz w:val="18"/>
                        </w:rPr>
                        <w:t>資料來源：整理自</w:t>
                      </w:r>
                      <w:r w:rsidRPr="005B4534">
                        <w:rPr>
                          <w:rFonts w:ascii="標楷體" w:eastAsia="標楷體" w:hAnsi="標楷體" w:hint="eastAsia"/>
                          <w:sz w:val="18"/>
                        </w:rPr>
                        <w:t>歐洲聯盟執行委員會</w:t>
                      </w:r>
                      <w:r>
                        <w:rPr>
                          <w:rFonts w:ascii="標楷體" w:eastAsia="標楷體" w:hAnsi="標楷體" w:hint="eastAsia"/>
                          <w:sz w:val="18"/>
                        </w:rPr>
                        <w:t>網站資料。</w:t>
                      </w:r>
                    </w:p>
                  </w:txbxContent>
                </v:textbox>
                <w10:wrap type="square" anchorx="margin"/>
              </v:shape>
            </w:pict>
          </mc:Fallback>
        </mc:AlternateContent>
      </w:r>
      <w:r w:rsidRPr="00B5098C">
        <w:rPr>
          <w:rFonts w:ascii="標楷體" w:eastAsia="標楷體" w:hAnsi="標楷體" w:hint="eastAsia"/>
          <w:bCs/>
          <w:szCs w:val="24"/>
        </w:rPr>
        <w:t>及可信賴之AI。可信賴AI係指人工智慧系統在其生命週期各階段遵守一系列倫理原則及技術要求，經查，人工智慧基本法（草案）已擬訂我國AI研究與應用之倫理原則，於完成立法前，國科會、數發部、</w:t>
      </w:r>
      <w:proofErr w:type="gramStart"/>
      <w:r w:rsidRPr="00B5098C">
        <w:rPr>
          <w:rFonts w:ascii="標楷體" w:eastAsia="標楷體" w:hAnsi="標楷體" w:hint="eastAsia"/>
          <w:bCs/>
          <w:szCs w:val="24"/>
        </w:rPr>
        <w:t>數產署</w:t>
      </w:r>
      <w:proofErr w:type="gramEnd"/>
      <w:r w:rsidRPr="00B5098C">
        <w:rPr>
          <w:rFonts w:ascii="標楷體" w:eastAsia="標楷體" w:hAnsi="標楷體" w:hint="eastAsia"/>
          <w:bCs/>
          <w:szCs w:val="24"/>
        </w:rPr>
        <w:t>等機關已將倫理準則，各自轉化為具體可操作之評估表及檢核清單，惟分別僅適用於回應國家重要挑戰AI研究計畫之16組團隊、AI產業實戰應用人才淬煉計畫之業者、公部門。次查，自112年8月起，行政院責成各部會就主管業務涉及AI議題，蒐集</w:t>
      </w:r>
      <w:proofErr w:type="gramStart"/>
      <w:r w:rsidRPr="00B5098C">
        <w:rPr>
          <w:rFonts w:ascii="標楷體" w:eastAsia="標楷體" w:hAnsi="標楷體" w:hint="eastAsia"/>
          <w:bCs/>
          <w:szCs w:val="24"/>
        </w:rPr>
        <w:t>研</w:t>
      </w:r>
      <w:proofErr w:type="gramEnd"/>
      <w:r w:rsidRPr="00B5098C">
        <w:rPr>
          <w:rFonts w:ascii="標楷體" w:eastAsia="標楷體" w:hAnsi="標楷體" w:hint="eastAsia"/>
          <w:bCs/>
          <w:szCs w:val="24"/>
        </w:rPr>
        <w:t>析國內外規範及相關資料，據以辦理相關法規調適作業，惟各部會尚無一致性分析框架，無法有效整合與共享跨領域資訊。</w:t>
      </w:r>
      <w:r w:rsidR="0061079F" w:rsidRPr="0061079F">
        <w:rPr>
          <w:rFonts w:ascii="標楷體" w:eastAsia="標楷體" w:hAnsi="標楷體" w:hint="eastAsia"/>
          <w:szCs w:val="24"/>
        </w:rPr>
        <w:t>經函請行政院參考OECD、MIT之作法，</w:t>
      </w:r>
      <w:proofErr w:type="gramStart"/>
      <w:r w:rsidR="0061079F" w:rsidRPr="0061079F">
        <w:rPr>
          <w:rFonts w:ascii="標楷體" w:eastAsia="標楷體" w:hAnsi="標楷體" w:hint="eastAsia"/>
          <w:szCs w:val="24"/>
        </w:rPr>
        <w:t>研</w:t>
      </w:r>
      <w:proofErr w:type="gramEnd"/>
      <w:r w:rsidR="0061079F" w:rsidRPr="0061079F">
        <w:rPr>
          <w:rFonts w:ascii="標楷體" w:eastAsia="標楷體" w:hAnsi="標楷體" w:hint="eastAsia"/>
          <w:szCs w:val="24"/>
        </w:rPr>
        <w:t>議建立國內外AI事件資料庫，供各界瞭解AI相關之風險；暨參考國際組織所訂之可信賴AI評估清單，結合我國人工智慧基本法（草案）之核心倫理原則，</w:t>
      </w:r>
      <w:proofErr w:type="gramStart"/>
      <w:r w:rsidR="0061079F" w:rsidRPr="0061079F">
        <w:rPr>
          <w:rFonts w:ascii="標楷體" w:eastAsia="標楷體" w:hAnsi="標楷體" w:hint="eastAsia"/>
          <w:szCs w:val="24"/>
        </w:rPr>
        <w:t>綜整國科會</w:t>
      </w:r>
      <w:proofErr w:type="gramEnd"/>
      <w:r w:rsidR="0061079F" w:rsidRPr="0061079F">
        <w:rPr>
          <w:rFonts w:ascii="標楷體" w:eastAsia="標楷體" w:hAnsi="標楷體" w:hint="eastAsia"/>
          <w:szCs w:val="24"/>
        </w:rPr>
        <w:t>、數發部、</w:t>
      </w:r>
      <w:proofErr w:type="gramStart"/>
      <w:r w:rsidR="0061079F" w:rsidRPr="0061079F">
        <w:rPr>
          <w:rFonts w:ascii="標楷體" w:eastAsia="標楷體" w:hAnsi="標楷體" w:hint="eastAsia"/>
          <w:szCs w:val="24"/>
        </w:rPr>
        <w:t>數產署</w:t>
      </w:r>
      <w:proofErr w:type="gramEnd"/>
      <w:r w:rsidR="0061079F" w:rsidRPr="0061079F">
        <w:rPr>
          <w:rFonts w:ascii="標楷體" w:eastAsia="標楷體" w:hAnsi="標楷體" w:hint="eastAsia"/>
          <w:szCs w:val="24"/>
        </w:rPr>
        <w:t>已訂定之評估表或檢核清單，建立適合我國可信賴AI發展之共同性檢核工具，引導公私部門在AI發展與應用各階段進行風險管理與自我檢視，完善我國可信賴AI發展環境。</w:t>
      </w:r>
    </w:p>
    <w:p w14:paraId="0B60D45B" w14:textId="687B601D" w:rsidR="00F30035" w:rsidRPr="00B5098C" w:rsidRDefault="00B5098C" w:rsidP="0096011F">
      <w:pPr>
        <w:overflowPunct w:val="0"/>
        <w:adjustRightInd w:val="0"/>
        <w:snapToGrid w:val="0"/>
        <w:spacing w:line="420" w:lineRule="exact"/>
        <w:ind w:firstLineChars="450" w:firstLine="1081"/>
        <w:jc w:val="both"/>
        <w:rPr>
          <w:rFonts w:ascii="標楷體" w:eastAsia="標楷體" w:hAnsi="標楷體"/>
          <w:snapToGrid w:val="0"/>
          <w:kern w:val="0"/>
          <w:szCs w:val="24"/>
        </w:rPr>
      </w:pPr>
      <w:r w:rsidRPr="00B5098C">
        <w:rPr>
          <w:rFonts w:ascii="標楷體" w:eastAsia="標楷體" w:hAnsi="標楷體" w:cs="標楷體" w:hint="eastAsia"/>
          <w:b/>
          <w:bCs/>
          <w:kern w:val="52"/>
          <w:szCs w:val="32"/>
        </w:rPr>
        <w:t>6.　政府機關運用AI新興科技有助提升政府服務及施政決策，惟應用AI資訊透明度不足，民眾尚無法完整</w:t>
      </w:r>
      <w:proofErr w:type="gramStart"/>
      <w:r w:rsidRPr="00B5098C">
        <w:rPr>
          <w:rFonts w:ascii="標楷體" w:eastAsia="標楷體" w:hAnsi="標楷體" w:cs="標楷體" w:hint="eastAsia"/>
          <w:b/>
          <w:bCs/>
          <w:kern w:val="52"/>
          <w:szCs w:val="32"/>
        </w:rPr>
        <w:t>暸</w:t>
      </w:r>
      <w:proofErr w:type="gramEnd"/>
      <w:r w:rsidRPr="00B5098C">
        <w:rPr>
          <w:rFonts w:ascii="標楷體" w:eastAsia="標楷體" w:hAnsi="標楷體" w:cs="標楷體" w:hint="eastAsia"/>
          <w:b/>
          <w:bCs/>
          <w:kern w:val="52"/>
          <w:szCs w:val="32"/>
        </w:rPr>
        <w:t>解政府機關應用AI情形、開發AI服務系統尚乏審核管理機制，致有不同機關開發功能類同之AI系統情事：</w:t>
      </w:r>
      <w:r w:rsidRPr="00B5098C">
        <w:rPr>
          <w:rFonts w:ascii="標楷體" w:eastAsia="標楷體" w:hAnsi="標楷體" w:cs="標楷體" w:hint="eastAsia"/>
          <w:kern w:val="52"/>
          <w:szCs w:val="32"/>
        </w:rPr>
        <w:t>美國聯邦政府頒布第13960號「促進聯</w:t>
      </w:r>
      <w:r w:rsidRPr="00B5098C">
        <w:rPr>
          <w:rFonts w:ascii="標楷體" w:eastAsia="標楷體" w:hAnsi="標楷體" w:hint="eastAsia"/>
          <w:color w:val="000000" w:themeColor="text1"/>
        </w:rPr>
        <w:t>邦政府使用可信任之人工智慧」行政命令，規範公布聯邦政府所屬機關（構）AI應用情形清單，各聯邦機關（構）亦須於</w:t>
      </w:r>
      <w:proofErr w:type="gramStart"/>
      <w:r w:rsidRPr="00B5098C">
        <w:rPr>
          <w:rFonts w:ascii="標楷體" w:eastAsia="標楷體" w:hAnsi="標楷體" w:hint="eastAsia"/>
          <w:color w:val="000000" w:themeColor="text1"/>
        </w:rPr>
        <w:t>其官網公開</w:t>
      </w:r>
      <w:proofErr w:type="gramEnd"/>
      <w:r w:rsidRPr="00B5098C">
        <w:rPr>
          <w:rFonts w:ascii="標楷體" w:eastAsia="標楷體" w:hAnsi="標楷體" w:hint="eastAsia"/>
          <w:color w:val="000000" w:themeColor="text1"/>
        </w:rPr>
        <w:t>AI應用情形，於政府部門應用AI及自動化決策時，引入透明機制，確保民眾瞭解政府應用AI範疇，以及AI決策背後之理由與邏輯，避免AI應用發生重大侵權或濫用情事，以提升民眾對政府應用AI之信任感。經查，行政院推動智慧國家方案，為改善政府數位施政效能及為民服務品質，規範各部會於114年底前每年至少完成1項應用大數據或AI之政策措施，並每年於階段性成果報告揭露各部會</w:t>
      </w:r>
      <w:r w:rsidRPr="00B5098C">
        <w:rPr>
          <w:rFonts w:ascii="標楷體" w:eastAsia="標楷體" w:hAnsi="標楷體"/>
          <w:color w:val="000000" w:themeColor="text1"/>
        </w:rPr>
        <w:t>大數據與</w:t>
      </w:r>
      <w:r w:rsidRPr="00B5098C">
        <w:rPr>
          <w:rFonts w:ascii="標楷體" w:eastAsia="標楷體" w:hAnsi="標楷體" w:hint="eastAsia"/>
          <w:color w:val="000000" w:themeColor="text1"/>
        </w:rPr>
        <w:t>AI應用情形，</w:t>
      </w:r>
      <w:proofErr w:type="gramStart"/>
      <w:r w:rsidRPr="00B5098C">
        <w:rPr>
          <w:rFonts w:ascii="標楷體" w:eastAsia="標楷體" w:hAnsi="標楷體" w:hint="eastAsia"/>
          <w:color w:val="000000" w:themeColor="text1"/>
        </w:rPr>
        <w:t>惟所彙</w:t>
      </w:r>
      <w:proofErr w:type="gramEnd"/>
      <w:r w:rsidRPr="00B5098C">
        <w:rPr>
          <w:rFonts w:ascii="標楷體" w:eastAsia="標楷體" w:hAnsi="標楷體" w:hint="eastAsia"/>
          <w:color w:val="000000" w:themeColor="text1"/>
        </w:rPr>
        <w:t>整推動成果，未將外交部、國防部、教育部等1</w:t>
      </w:r>
      <w:r w:rsidRPr="00B5098C">
        <w:rPr>
          <w:rFonts w:ascii="標楷體" w:eastAsia="標楷體" w:hAnsi="標楷體"/>
          <w:color w:val="000000" w:themeColor="text1"/>
        </w:rPr>
        <w:t>0個機關</w:t>
      </w:r>
      <w:r w:rsidRPr="00B5098C">
        <w:rPr>
          <w:rFonts w:ascii="標楷體" w:eastAsia="標楷體" w:hAnsi="標楷體" w:hint="eastAsia"/>
          <w:color w:val="000000" w:themeColor="text1"/>
        </w:rPr>
        <w:t>A</w:t>
      </w:r>
      <w:r w:rsidRPr="00B5098C">
        <w:rPr>
          <w:rFonts w:ascii="標楷體" w:eastAsia="標楷體" w:hAnsi="標楷體"/>
          <w:color w:val="000000" w:themeColor="text1"/>
        </w:rPr>
        <w:t>I應用案例納入，不利民眾完整</w:t>
      </w:r>
      <w:proofErr w:type="gramStart"/>
      <w:r w:rsidRPr="00B5098C">
        <w:rPr>
          <w:rFonts w:ascii="標楷體" w:eastAsia="標楷體" w:hAnsi="標楷體" w:hint="eastAsia"/>
        </w:rPr>
        <w:t>暸</w:t>
      </w:r>
      <w:proofErr w:type="gramEnd"/>
      <w:r w:rsidRPr="00B5098C">
        <w:rPr>
          <w:rFonts w:ascii="標楷體" w:eastAsia="標楷體" w:hAnsi="標楷體"/>
          <w:color w:val="000000" w:themeColor="text1"/>
        </w:rPr>
        <w:t>解政府機關應用</w:t>
      </w:r>
      <w:r w:rsidRPr="00B5098C">
        <w:rPr>
          <w:rFonts w:ascii="標楷體" w:eastAsia="標楷體" w:hAnsi="標楷體" w:hint="eastAsia"/>
          <w:color w:val="000000" w:themeColor="text1"/>
        </w:rPr>
        <w:t>A</w:t>
      </w:r>
      <w:r w:rsidRPr="00B5098C">
        <w:rPr>
          <w:rFonts w:ascii="標楷體" w:eastAsia="標楷體" w:hAnsi="標楷體"/>
          <w:color w:val="000000" w:themeColor="text1"/>
        </w:rPr>
        <w:t>I情形；次查</w:t>
      </w:r>
      <w:r w:rsidR="001206F5">
        <w:rPr>
          <w:rFonts w:ascii="標楷體" w:eastAsia="標楷體" w:hAnsi="標楷體" w:hint="eastAsia"/>
          <w:color w:val="000000" w:themeColor="text1"/>
        </w:rPr>
        <w:t>，</w:t>
      </w:r>
      <w:r w:rsidRPr="00B5098C">
        <w:rPr>
          <w:rFonts w:ascii="標楷體" w:eastAsia="標楷體" w:hAnsi="標楷體"/>
          <w:color w:val="000000" w:themeColor="text1"/>
        </w:rPr>
        <w:t>各機關</w:t>
      </w:r>
      <w:r w:rsidRPr="00B5098C">
        <w:rPr>
          <w:rFonts w:ascii="標楷體" w:eastAsia="標楷體" w:hAnsi="標楷體" w:hint="eastAsia"/>
          <w:color w:val="000000" w:themeColor="text1"/>
        </w:rPr>
        <w:t>A</w:t>
      </w:r>
      <w:r w:rsidRPr="00B5098C">
        <w:rPr>
          <w:rFonts w:ascii="標楷體" w:eastAsia="標楷體" w:hAnsi="標楷體"/>
          <w:color w:val="000000" w:themeColor="text1"/>
        </w:rPr>
        <w:t>I應用案例，發現</w:t>
      </w:r>
      <w:r w:rsidRPr="00B5098C">
        <w:rPr>
          <w:rFonts w:ascii="標楷體" w:eastAsia="標楷體" w:hAnsi="標楷體" w:hint="eastAsia"/>
          <w:color w:val="000000" w:themeColor="text1"/>
        </w:rPr>
        <w:t>交通部運輸研究所、勞動部勞動職業安全衛生研究所及台灣中油公司於110至112年間，分別建置「國道客運駕駛疲勞偵測模型」、「職業駕駛之不安全行為預警系統」及「油罐車</w:t>
      </w:r>
      <w:proofErr w:type="gramStart"/>
      <w:r w:rsidRPr="00B5098C">
        <w:rPr>
          <w:rFonts w:ascii="標楷體" w:eastAsia="標楷體" w:hAnsi="標楷體" w:hint="eastAsia"/>
          <w:color w:val="000000" w:themeColor="text1"/>
        </w:rPr>
        <w:t>電子化物聯管理</w:t>
      </w:r>
      <w:proofErr w:type="gramEnd"/>
      <w:r w:rsidRPr="00B5098C">
        <w:rPr>
          <w:rFonts w:ascii="標楷體" w:eastAsia="標楷體" w:hAnsi="標楷體" w:hint="eastAsia"/>
          <w:color w:val="000000" w:themeColor="text1"/>
        </w:rPr>
        <w:t>系統」，皆以應用AI影像辨識技術，研發疲勞駕駛預警系統或模型；環境部化學物質管理署建置「食品安全高風險異常廠商偵測模型」，</w:t>
      </w:r>
      <w:proofErr w:type="gramStart"/>
      <w:r w:rsidRPr="00B5098C">
        <w:rPr>
          <w:rFonts w:ascii="標楷體" w:eastAsia="標楷體" w:hAnsi="標楷體" w:hint="eastAsia"/>
          <w:color w:val="000000" w:themeColor="text1"/>
        </w:rPr>
        <w:t>食藥署</w:t>
      </w:r>
      <w:proofErr w:type="gramEnd"/>
      <w:r w:rsidRPr="00B5098C">
        <w:rPr>
          <w:rFonts w:ascii="標楷體" w:eastAsia="標楷體" w:hAnsi="標楷體" w:hint="eastAsia"/>
          <w:color w:val="000000" w:themeColor="text1"/>
        </w:rPr>
        <w:t>食品安全管理系統亦有</w:t>
      </w:r>
      <w:proofErr w:type="gramStart"/>
      <w:r w:rsidRPr="00B5098C">
        <w:rPr>
          <w:rFonts w:ascii="標楷體" w:eastAsia="標楷體" w:hAnsi="標楷體" w:hint="eastAsia"/>
          <w:color w:val="000000" w:themeColor="text1"/>
        </w:rPr>
        <w:t>篩濾高</w:t>
      </w:r>
      <w:proofErr w:type="gramEnd"/>
      <w:r w:rsidRPr="00B5098C">
        <w:rPr>
          <w:rFonts w:ascii="標楷體" w:eastAsia="標楷體" w:hAnsi="標楷體" w:hint="eastAsia"/>
          <w:color w:val="000000" w:themeColor="text1"/>
        </w:rPr>
        <w:t>風險廠商類同功能等，顯示政府機關開發</w:t>
      </w:r>
      <w:proofErr w:type="spellStart"/>
      <w:r w:rsidRPr="00B5098C">
        <w:rPr>
          <w:rFonts w:ascii="標楷體" w:eastAsia="標楷體" w:hAnsi="標楷體" w:hint="eastAsia"/>
          <w:color w:val="000000" w:themeColor="text1"/>
        </w:rPr>
        <w:t>A</w:t>
      </w:r>
      <w:r w:rsidRPr="00B5098C">
        <w:rPr>
          <w:rFonts w:ascii="標楷體" w:eastAsia="標楷體" w:hAnsi="標楷體"/>
          <w:color w:val="000000" w:themeColor="text1"/>
        </w:rPr>
        <w:t>I</w:t>
      </w:r>
      <w:proofErr w:type="spellEnd"/>
      <w:r w:rsidRPr="00B5098C">
        <w:rPr>
          <w:rFonts w:ascii="標楷體" w:eastAsia="標楷體" w:hAnsi="標楷體"/>
          <w:color w:val="000000" w:themeColor="text1"/>
        </w:rPr>
        <w:t>服務系統</w:t>
      </w:r>
      <w:proofErr w:type="gramStart"/>
      <w:r w:rsidRPr="00B5098C">
        <w:rPr>
          <w:rFonts w:ascii="標楷體" w:eastAsia="標楷體" w:hAnsi="標楷體" w:hint="eastAsia"/>
          <w:color w:val="000000" w:themeColor="text1"/>
        </w:rPr>
        <w:t>因乏跨機關</w:t>
      </w:r>
      <w:proofErr w:type="gramEnd"/>
      <w:r w:rsidRPr="00B5098C">
        <w:rPr>
          <w:rFonts w:ascii="標楷體" w:eastAsia="標楷體" w:hAnsi="標楷體" w:hint="eastAsia"/>
          <w:color w:val="000000" w:themeColor="text1"/>
        </w:rPr>
        <w:t>審核管</w:t>
      </w:r>
      <w:r w:rsidRPr="00B5098C">
        <w:rPr>
          <w:rFonts w:ascii="標楷體" w:eastAsia="標楷體" w:hAnsi="標楷體" w:hint="eastAsia"/>
          <w:color w:val="000000" w:themeColor="text1"/>
        </w:rPr>
        <w:lastRenderedPageBreak/>
        <w:t>理機制，致有不同機關開發功能類同之AI系統情事</w:t>
      </w:r>
      <w:r w:rsidR="009A4916">
        <w:rPr>
          <w:rFonts w:ascii="標楷體" w:eastAsia="標楷體" w:hAnsi="標楷體" w:hint="eastAsia"/>
          <w:color w:val="000000" w:themeColor="text1"/>
        </w:rPr>
        <w:t>，</w:t>
      </w:r>
      <w:r w:rsidRPr="00B5098C">
        <w:rPr>
          <w:rFonts w:ascii="標楷體" w:eastAsia="標楷體" w:hAnsi="標楷體" w:hint="eastAsia"/>
          <w:color w:val="000000" w:themeColor="text1"/>
        </w:rPr>
        <w:t>經函請行政院督促權責機關</w:t>
      </w:r>
      <w:proofErr w:type="gramStart"/>
      <w:r w:rsidRPr="00B5098C">
        <w:rPr>
          <w:rFonts w:ascii="標楷體" w:eastAsia="標楷體" w:hAnsi="標楷體" w:hint="eastAsia"/>
          <w:snapToGrid w:val="0"/>
          <w:kern w:val="0"/>
          <w:szCs w:val="24"/>
        </w:rPr>
        <w:t>研</w:t>
      </w:r>
      <w:proofErr w:type="gramEnd"/>
      <w:r w:rsidRPr="00B5098C">
        <w:rPr>
          <w:rFonts w:ascii="標楷體" w:eastAsia="標楷體" w:hAnsi="標楷體" w:hint="eastAsia"/>
          <w:snapToGrid w:val="0"/>
          <w:kern w:val="0"/>
          <w:szCs w:val="24"/>
        </w:rPr>
        <w:t>謀改善。</w:t>
      </w:r>
      <w:r w:rsidR="00370739" w:rsidRPr="0061079F">
        <w:rPr>
          <w:rFonts w:ascii="標楷體" w:eastAsia="標楷體" w:hAnsi="標楷體" w:cstheme="minorBidi" w:hint="eastAsia"/>
          <w:szCs w:val="24"/>
        </w:rPr>
        <w:t>據復：</w:t>
      </w:r>
      <w:r w:rsidR="0061079F" w:rsidRPr="0061079F">
        <w:rPr>
          <w:rFonts w:ascii="標楷體" w:eastAsia="標楷體" w:hAnsi="標楷體" w:cstheme="minorBidi" w:hint="eastAsia"/>
          <w:szCs w:val="24"/>
        </w:rPr>
        <w:t>數</w:t>
      </w:r>
      <w:proofErr w:type="gramStart"/>
      <w:r w:rsidR="0061079F" w:rsidRPr="0061079F">
        <w:rPr>
          <w:rFonts w:ascii="標楷體" w:eastAsia="標楷體" w:hAnsi="標楷體" w:cstheme="minorBidi" w:hint="eastAsia"/>
          <w:szCs w:val="24"/>
        </w:rPr>
        <w:t>發部已於</w:t>
      </w:r>
      <w:proofErr w:type="gramEnd"/>
      <w:r w:rsidR="0061079F" w:rsidRPr="0061079F">
        <w:rPr>
          <w:rFonts w:ascii="標楷體" w:eastAsia="標楷體" w:hAnsi="標楷體" w:cstheme="minorBidi" w:hint="eastAsia"/>
          <w:szCs w:val="24"/>
        </w:rPr>
        <w:t>114年4月21日函文調查中央及地方政府AI應用情形，刻正彙整資料及</w:t>
      </w:r>
      <w:proofErr w:type="gramStart"/>
      <w:r w:rsidR="0061079F" w:rsidRPr="0061079F">
        <w:rPr>
          <w:rFonts w:ascii="標楷體" w:eastAsia="標楷體" w:hAnsi="標楷體" w:cstheme="minorBidi" w:hint="eastAsia"/>
          <w:szCs w:val="24"/>
        </w:rPr>
        <w:t>研</w:t>
      </w:r>
      <w:proofErr w:type="gramEnd"/>
      <w:r w:rsidR="0061079F" w:rsidRPr="0061079F">
        <w:rPr>
          <w:rFonts w:ascii="標楷體" w:eastAsia="標楷體" w:hAnsi="標楷體" w:cstheme="minorBidi" w:hint="eastAsia"/>
          <w:szCs w:val="24"/>
        </w:rPr>
        <w:t>議政府應用AI之資訊揭露作法</w:t>
      </w:r>
      <w:r w:rsidRPr="00B5098C">
        <w:rPr>
          <w:rFonts w:ascii="標楷體" w:eastAsia="標楷體" w:hAnsi="標楷體" w:hint="eastAsia"/>
          <w:snapToGrid w:val="0"/>
          <w:kern w:val="0"/>
          <w:szCs w:val="24"/>
        </w:rPr>
        <w:t>；已</w:t>
      </w:r>
      <w:proofErr w:type="gramStart"/>
      <w:r w:rsidRPr="00B5098C">
        <w:rPr>
          <w:rFonts w:ascii="標楷體" w:eastAsia="標楷體" w:hAnsi="標楷體" w:hint="eastAsia"/>
          <w:snapToGrid w:val="0"/>
          <w:kern w:val="0"/>
          <w:szCs w:val="24"/>
        </w:rPr>
        <w:t>請數發部於</w:t>
      </w:r>
      <w:proofErr w:type="gramEnd"/>
      <w:r w:rsidRPr="00B5098C">
        <w:rPr>
          <w:rFonts w:ascii="標楷體" w:eastAsia="標楷體" w:hAnsi="標楷體" w:hint="eastAsia"/>
          <w:snapToGrid w:val="0"/>
          <w:kern w:val="0"/>
          <w:szCs w:val="24"/>
        </w:rPr>
        <w:t>會同審核機關中長程計畫時，留意不同</w:t>
      </w:r>
      <w:proofErr w:type="gramStart"/>
      <w:r w:rsidRPr="00B5098C">
        <w:rPr>
          <w:rFonts w:ascii="標楷體" w:eastAsia="標楷體" w:hAnsi="標楷體" w:hint="eastAsia"/>
          <w:snapToGrid w:val="0"/>
          <w:kern w:val="0"/>
          <w:szCs w:val="24"/>
        </w:rPr>
        <w:t>機關間有無</w:t>
      </w:r>
      <w:proofErr w:type="gramEnd"/>
      <w:r w:rsidRPr="00B5098C">
        <w:rPr>
          <w:rFonts w:ascii="標楷體" w:eastAsia="標楷體" w:hAnsi="標楷體" w:hint="eastAsia"/>
          <w:snapToGrid w:val="0"/>
          <w:kern w:val="0"/>
          <w:szCs w:val="24"/>
        </w:rPr>
        <w:t>開發功能類同之AI系統，適時提出整合或共享模型與資料集之建議，以落實政府機關AI服務系統開發之管理審核</w:t>
      </w:r>
      <w:r w:rsidRPr="00B5098C">
        <w:rPr>
          <w:rFonts w:ascii="標楷體" w:eastAsia="標楷體" w:hAnsi="標楷體"/>
          <w:snapToGrid w:val="0"/>
          <w:kern w:val="0"/>
          <w:szCs w:val="24"/>
        </w:rPr>
        <w:t>。</w:t>
      </w:r>
    </w:p>
    <w:p w14:paraId="071E3F57" w14:textId="4D64C6E4" w:rsidR="003E7F03" w:rsidRPr="00B5098C" w:rsidRDefault="00B5098C" w:rsidP="003C7964">
      <w:pPr>
        <w:overflowPunct w:val="0"/>
        <w:spacing w:line="406" w:lineRule="exact"/>
        <w:ind w:firstLineChars="450" w:firstLine="1081"/>
        <w:jc w:val="both"/>
        <w:rPr>
          <w:rFonts w:ascii="標楷體" w:eastAsia="標楷體" w:hAnsi="標楷體" w:cs="DFKaiShu-SB-Estd-BF"/>
          <w:b/>
          <w:kern w:val="0"/>
          <w:sz w:val="32"/>
          <w:szCs w:val="32"/>
        </w:rPr>
      </w:pPr>
      <w:r w:rsidRPr="00B5098C">
        <w:rPr>
          <w:rFonts w:ascii="標楷體" w:eastAsia="標楷體" w:hAnsi="標楷體" w:hint="eastAsia"/>
          <w:b/>
          <w:kern w:val="0"/>
          <w:szCs w:val="24"/>
        </w:rPr>
        <w:t>7.</w:t>
      </w:r>
      <w:r w:rsidRPr="00B5098C">
        <w:rPr>
          <w:rFonts w:ascii="標楷體" w:eastAsia="標楷體" w:hAnsi="標楷體" w:hint="eastAsia"/>
          <w:b/>
          <w:bCs/>
          <w:szCs w:val="24"/>
        </w:rPr>
        <w:t xml:space="preserve">　數</w:t>
      </w:r>
      <w:proofErr w:type="gramStart"/>
      <w:r w:rsidRPr="00B5098C">
        <w:rPr>
          <w:rFonts w:ascii="標楷體" w:eastAsia="標楷體" w:hAnsi="標楷體" w:hint="eastAsia"/>
          <w:b/>
          <w:bCs/>
          <w:szCs w:val="24"/>
        </w:rPr>
        <w:t>發部已於</w:t>
      </w:r>
      <w:proofErr w:type="gramEnd"/>
      <w:r w:rsidRPr="00B5098C">
        <w:rPr>
          <w:rFonts w:ascii="標楷體" w:eastAsia="標楷體" w:hAnsi="標楷體" w:hint="eastAsia"/>
          <w:b/>
          <w:bCs/>
          <w:szCs w:val="24"/>
        </w:rPr>
        <w:t>113</w:t>
      </w:r>
      <w:proofErr w:type="gramStart"/>
      <w:r w:rsidRPr="00B5098C">
        <w:rPr>
          <w:rFonts w:ascii="標楷體" w:eastAsia="標楷體" w:hAnsi="標楷體" w:hint="eastAsia"/>
          <w:b/>
          <w:bCs/>
          <w:szCs w:val="24"/>
        </w:rPr>
        <w:t>年底函頒公</w:t>
      </w:r>
      <w:proofErr w:type="gramEnd"/>
      <w:r w:rsidRPr="00B5098C">
        <w:rPr>
          <w:rFonts w:ascii="標楷體" w:eastAsia="標楷體" w:hAnsi="標楷體" w:hint="eastAsia"/>
          <w:b/>
          <w:bCs/>
          <w:szCs w:val="24"/>
        </w:rPr>
        <w:t>部門人工智慧應用參考手冊，供各機關建置AI服務系統參考，允宜督促各機關開發中或計畫開發之AI服務系統參照手冊規範辦理評估與建置作業，並建立諮詢輔導機制，以降低AI應用風險：</w:t>
      </w:r>
      <w:r w:rsidRPr="00B5098C">
        <w:rPr>
          <w:rFonts w:ascii="標楷體" w:eastAsia="標楷體" w:hAnsi="標楷體" w:hint="eastAsia"/>
          <w:bCs/>
          <w:szCs w:val="24"/>
        </w:rPr>
        <w:t>數</w:t>
      </w:r>
      <w:proofErr w:type="gramStart"/>
      <w:r w:rsidRPr="00B5098C">
        <w:rPr>
          <w:rFonts w:ascii="標楷體" w:eastAsia="標楷體" w:hAnsi="標楷體" w:hint="eastAsia"/>
          <w:bCs/>
          <w:szCs w:val="24"/>
        </w:rPr>
        <w:t>發部為協助</w:t>
      </w:r>
      <w:proofErr w:type="gramEnd"/>
      <w:r w:rsidRPr="00B5098C">
        <w:rPr>
          <w:rFonts w:ascii="標楷體" w:eastAsia="標楷體" w:hAnsi="標楷體" w:hint="eastAsia"/>
          <w:bCs/>
          <w:szCs w:val="24"/>
        </w:rPr>
        <w:t>各機關善用人工智慧技術解決業務痛點，於113年12月31日</w:t>
      </w:r>
      <w:proofErr w:type="gramStart"/>
      <w:r w:rsidRPr="00B5098C">
        <w:rPr>
          <w:rFonts w:ascii="標楷體" w:eastAsia="標楷體" w:hAnsi="標楷體" w:hint="eastAsia"/>
          <w:bCs/>
          <w:szCs w:val="24"/>
        </w:rPr>
        <w:t>函頒「</w:t>
      </w:r>
      <w:proofErr w:type="gramEnd"/>
      <w:r w:rsidRPr="00B5098C">
        <w:rPr>
          <w:rFonts w:ascii="標楷體" w:eastAsia="標楷體" w:hAnsi="標楷體" w:hint="eastAsia"/>
          <w:bCs/>
          <w:szCs w:val="24"/>
        </w:rPr>
        <w:t>公部門人工智慧應用參考手冊（草案）」，並試行1年，該手冊內容建議，各機關於建置AI服務前，應先瞭解AI之助益與限制，並評估相關服務應用AI之適用性及資料準備情形；執行AI專案時，應從資料蒐集準備、AI模型訓練與迭代、AI模型部署與監控等三階段確保專案進行；系統營運階段時，應</w:t>
      </w:r>
      <w:proofErr w:type="gramStart"/>
      <w:r w:rsidRPr="00B5098C">
        <w:rPr>
          <w:rFonts w:ascii="標楷體" w:eastAsia="標楷體" w:hAnsi="標楷體" w:hint="eastAsia"/>
          <w:bCs/>
          <w:szCs w:val="24"/>
        </w:rPr>
        <w:t>注意資安</w:t>
      </w:r>
      <w:proofErr w:type="gramEnd"/>
      <w:r w:rsidRPr="00B5098C">
        <w:rPr>
          <w:rFonts w:ascii="標楷體" w:eastAsia="標楷體" w:hAnsi="標楷體" w:hint="eastAsia"/>
          <w:bCs/>
          <w:szCs w:val="24"/>
        </w:rPr>
        <w:t>、倫理、系統風險等議題，並於各階段設計檢核清單供各機關評估使用。經查，</w:t>
      </w:r>
      <w:r w:rsidRPr="00B5098C">
        <w:rPr>
          <w:rFonts w:ascii="標楷體" w:eastAsia="標楷體" w:hAnsi="標楷體"/>
          <w:bCs/>
          <w:szCs w:val="24"/>
        </w:rPr>
        <w:t>AI</w:t>
      </w:r>
      <w:r w:rsidRPr="00B5098C">
        <w:rPr>
          <w:rFonts w:ascii="標楷體" w:eastAsia="標楷體" w:hAnsi="標楷體" w:hint="eastAsia"/>
          <w:bCs/>
          <w:szCs w:val="24"/>
        </w:rPr>
        <w:t>服務系統與一般資訊系統最大差異在於</w:t>
      </w:r>
      <w:r w:rsidRPr="00B5098C">
        <w:rPr>
          <w:rFonts w:ascii="標楷體" w:eastAsia="標楷體" w:hAnsi="標楷體"/>
          <w:bCs/>
          <w:szCs w:val="24"/>
        </w:rPr>
        <w:t>AI</w:t>
      </w:r>
      <w:r w:rsidRPr="00B5098C">
        <w:rPr>
          <w:rFonts w:ascii="標楷體" w:eastAsia="標楷體" w:hAnsi="標楷體" w:hint="eastAsia"/>
          <w:bCs/>
          <w:szCs w:val="24"/>
        </w:rPr>
        <w:t>服務系統需要進行大量測試與調整，並且須同時考量模型效能、準確性及實務應用情境等多面向因素。由於</w:t>
      </w:r>
      <w:r w:rsidRPr="00B5098C">
        <w:rPr>
          <w:rFonts w:ascii="標楷體" w:eastAsia="標楷體" w:hAnsi="標楷體"/>
          <w:bCs/>
          <w:szCs w:val="24"/>
        </w:rPr>
        <w:t>AI</w:t>
      </w:r>
      <w:r w:rsidRPr="00B5098C">
        <w:rPr>
          <w:rFonts w:ascii="標楷體" w:eastAsia="標楷體" w:hAnsi="標楷體" w:hint="eastAsia"/>
          <w:bCs/>
          <w:szCs w:val="24"/>
        </w:rPr>
        <w:t>技術涉及不同學科之專業知識，且技術發展快速，使得</w:t>
      </w:r>
      <w:r w:rsidRPr="00B5098C">
        <w:rPr>
          <w:rFonts w:ascii="標楷體" w:eastAsia="標楷體" w:hAnsi="標楷體"/>
          <w:bCs/>
          <w:szCs w:val="24"/>
        </w:rPr>
        <w:t>AI</w:t>
      </w:r>
      <w:r w:rsidRPr="00B5098C">
        <w:rPr>
          <w:rFonts w:ascii="標楷體" w:eastAsia="標楷體" w:hAnsi="標楷體" w:hint="eastAsia"/>
          <w:bCs/>
          <w:szCs w:val="24"/>
        </w:rPr>
        <w:t>服務系統在開發過程中具有較高之不確定性風險，可能需採用敏捷開發方法，以因應需求變化並及時調整，數發</w:t>
      </w:r>
      <w:proofErr w:type="gramStart"/>
      <w:r w:rsidRPr="00B5098C">
        <w:rPr>
          <w:rFonts w:ascii="標楷體" w:eastAsia="標楷體" w:hAnsi="標楷體" w:hint="eastAsia"/>
          <w:bCs/>
          <w:szCs w:val="24"/>
        </w:rPr>
        <w:t>部雖已函頒</w:t>
      </w:r>
      <w:proofErr w:type="gramEnd"/>
      <w:r w:rsidRPr="00B5098C">
        <w:rPr>
          <w:rFonts w:ascii="標楷體" w:eastAsia="標楷體" w:hAnsi="標楷體"/>
          <w:bCs/>
          <w:szCs w:val="24"/>
        </w:rPr>
        <w:t>AI</w:t>
      </w:r>
      <w:r w:rsidRPr="00B5098C">
        <w:rPr>
          <w:rFonts w:ascii="標楷體" w:eastAsia="標楷體" w:hAnsi="標楷體" w:hint="eastAsia"/>
          <w:bCs/>
          <w:szCs w:val="24"/>
        </w:rPr>
        <w:t>應用參考手冊供各機關參考，惟尚無相關諮詢輔導機制，以適時協助政府機關解決執行</w:t>
      </w:r>
      <w:r w:rsidRPr="00B5098C">
        <w:rPr>
          <w:rFonts w:ascii="標楷體" w:eastAsia="標楷體" w:hAnsi="標楷體"/>
          <w:bCs/>
          <w:szCs w:val="24"/>
        </w:rPr>
        <w:t>AI</w:t>
      </w:r>
      <w:r w:rsidRPr="00B5098C">
        <w:rPr>
          <w:rFonts w:ascii="標楷體" w:eastAsia="標楷體" w:hAnsi="標楷體" w:hint="eastAsia"/>
          <w:bCs/>
          <w:szCs w:val="24"/>
        </w:rPr>
        <w:t>服務系統開發過程中遭遇之困難；又未盤點清查各機關開發中或計畫開發之AI服務系統，尚難掌握各機關有無確實依照手冊相關規範執行AI服務系統開發及營運管理作業，且對於各機關試行手冊後回饋意見之處理尚無明確辦理時程，倘手冊規範有</w:t>
      </w:r>
      <w:proofErr w:type="gramStart"/>
      <w:r w:rsidRPr="00B5098C">
        <w:rPr>
          <w:rFonts w:ascii="標楷體" w:eastAsia="標楷體" w:hAnsi="標楷體" w:hint="eastAsia"/>
          <w:bCs/>
          <w:szCs w:val="24"/>
        </w:rPr>
        <w:t>未盡周妥</w:t>
      </w:r>
      <w:proofErr w:type="gramEnd"/>
      <w:r w:rsidRPr="00B5098C">
        <w:rPr>
          <w:rFonts w:ascii="標楷體" w:eastAsia="標楷體" w:hAnsi="標楷體" w:hint="eastAsia"/>
          <w:bCs/>
          <w:szCs w:val="24"/>
        </w:rPr>
        <w:t>之處，恐無法及時檢討修正及回饋各機關</w:t>
      </w:r>
      <w:r w:rsidR="009A4916">
        <w:rPr>
          <w:rFonts w:ascii="標楷體" w:eastAsia="標楷體" w:hAnsi="標楷體" w:hint="eastAsia"/>
          <w:bCs/>
          <w:szCs w:val="24"/>
        </w:rPr>
        <w:t>，</w:t>
      </w:r>
      <w:r w:rsidRPr="00B5098C">
        <w:rPr>
          <w:rFonts w:ascii="標楷體" w:eastAsia="標楷體" w:hAnsi="標楷體" w:hint="eastAsia"/>
          <w:szCs w:val="24"/>
        </w:rPr>
        <w:t>經函請</w:t>
      </w:r>
      <w:r w:rsidRPr="00B5098C">
        <w:rPr>
          <w:rFonts w:ascii="標楷體" w:eastAsia="標楷體" w:hAnsi="標楷體" w:hint="eastAsia"/>
          <w:bCs/>
          <w:szCs w:val="24"/>
        </w:rPr>
        <w:t>行政院督促權責機關</w:t>
      </w:r>
      <w:proofErr w:type="gramStart"/>
      <w:r w:rsidRPr="00B5098C">
        <w:rPr>
          <w:rFonts w:ascii="標楷體" w:eastAsia="標楷體" w:hAnsi="標楷體" w:hint="eastAsia"/>
          <w:bCs/>
          <w:szCs w:val="24"/>
        </w:rPr>
        <w:t>研</w:t>
      </w:r>
      <w:proofErr w:type="gramEnd"/>
      <w:r w:rsidRPr="00B5098C">
        <w:rPr>
          <w:rFonts w:ascii="標楷體" w:eastAsia="標楷體" w:hAnsi="標楷體" w:hint="eastAsia"/>
          <w:bCs/>
          <w:szCs w:val="24"/>
        </w:rPr>
        <w:t>謀改善</w:t>
      </w:r>
      <w:r w:rsidRPr="00B5098C">
        <w:rPr>
          <w:rFonts w:ascii="標楷體" w:eastAsia="標楷體" w:hAnsi="標楷體" w:hint="eastAsia"/>
          <w:szCs w:val="24"/>
        </w:rPr>
        <w:t>。據復：</w:t>
      </w:r>
      <w:r w:rsidRPr="00B5098C">
        <w:rPr>
          <w:rFonts w:ascii="標楷體" w:eastAsia="標楷體" w:hAnsi="標楷體" w:hint="eastAsia"/>
          <w:bCs/>
          <w:szCs w:val="24"/>
        </w:rPr>
        <w:t>數發部公布之手冊係提供機關於導入A</w:t>
      </w:r>
      <w:r w:rsidRPr="00B5098C">
        <w:rPr>
          <w:rFonts w:ascii="標楷體" w:eastAsia="標楷體" w:hAnsi="標楷體"/>
          <w:bCs/>
          <w:szCs w:val="24"/>
        </w:rPr>
        <w:t>I技術時之參考文件，並提供</w:t>
      </w:r>
      <w:r w:rsidRPr="00B5098C">
        <w:rPr>
          <w:rFonts w:ascii="標楷體" w:eastAsia="標楷體" w:hAnsi="標楷體" w:hint="eastAsia"/>
          <w:bCs/>
          <w:szCs w:val="24"/>
        </w:rPr>
        <w:t>「</w:t>
      </w:r>
      <w:r w:rsidRPr="00B5098C">
        <w:rPr>
          <w:rFonts w:ascii="標楷體" w:eastAsia="標楷體" w:hAnsi="標楷體"/>
          <w:bCs/>
          <w:szCs w:val="24"/>
        </w:rPr>
        <w:t>意見信箱</w:t>
      </w:r>
      <w:r w:rsidRPr="00B5098C">
        <w:rPr>
          <w:rFonts w:ascii="標楷體" w:eastAsia="標楷體" w:hAnsi="標楷體" w:hint="eastAsia"/>
          <w:bCs/>
          <w:szCs w:val="24"/>
        </w:rPr>
        <w:t>」</w:t>
      </w:r>
      <w:r w:rsidRPr="00B5098C">
        <w:rPr>
          <w:rFonts w:ascii="標楷體" w:eastAsia="標楷體" w:hAnsi="標楷體"/>
          <w:bCs/>
          <w:szCs w:val="24"/>
        </w:rPr>
        <w:t>作為意見回饋與</w:t>
      </w:r>
      <w:r w:rsidR="00846D52">
        <w:rPr>
          <w:rFonts w:ascii="標楷體" w:eastAsia="標楷體" w:hAnsi="標楷體" w:hint="eastAsia"/>
          <w:bCs/>
          <w:szCs w:val="24"/>
        </w:rPr>
        <w:t>及</w:t>
      </w:r>
      <w:r w:rsidRPr="00B5098C">
        <w:rPr>
          <w:rFonts w:ascii="標楷體" w:eastAsia="標楷體" w:hAnsi="標楷體"/>
          <w:bCs/>
          <w:szCs w:val="24"/>
        </w:rPr>
        <w:t>時處</w:t>
      </w:r>
      <w:r w:rsidRPr="00B5098C">
        <w:rPr>
          <w:rFonts w:ascii="標楷體" w:eastAsia="標楷體" w:hAnsi="標楷體" w:hint="eastAsia"/>
          <w:bCs/>
          <w:szCs w:val="24"/>
        </w:rPr>
        <w:t>理機制，已有機關邀約數發部說明手冊內容，亦有機關自行安排講師分享。</w:t>
      </w:r>
    </w:p>
    <w:p w14:paraId="3700EBFA" w14:textId="63F229FD" w:rsidR="00040225" w:rsidRPr="00AD6D2F" w:rsidRDefault="00040225" w:rsidP="0096011F">
      <w:pPr>
        <w:pStyle w:val="2"/>
        <w:overflowPunct w:val="0"/>
        <w:spacing w:beforeLines="20" w:before="72" w:afterLines="20" w:after="72" w:line="408" w:lineRule="exact"/>
        <w:ind w:left="0" w:firstLineChars="200" w:firstLine="561"/>
        <w:rPr>
          <w:spacing w:val="-6"/>
          <w:sz w:val="28"/>
          <w:szCs w:val="28"/>
        </w:rPr>
      </w:pPr>
      <w:r w:rsidRPr="00BC2940">
        <w:rPr>
          <w:rFonts w:hint="eastAsia"/>
          <w:b/>
          <w:sz w:val="28"/>
          <w:szCs w:val="28"/>
        </w:rPr>
        <w:t>（十</w:t>
      </w:r>
      <w:r w:rsidR="00781889">
        <w:rPr>
          <w:rFonts w:hint="eastAsia"/>
          <w:b/>
          <w:sz w:val="28"/>
          <w:szCs w:val="28"/>
        </w:rPr>
        <w:t>七</w:t>
      </w:r>
      <w:r w:rsidRPr="004E0E8E">
        <w:rPr>
          <w:rFonts w:hint="eastAsia"/>
          <w:b/>
          <w:sz w:val="28"/>
          <w:szCs w:val="28"/>
        </w:rPr>
        <w:t>）</w:t>
      </w:r>
      <w:bookmarkStart w:id="14" w:name="_Hlk105679518"/>
      <w:r w:rsidRPr="004E0E8E">
        <w:rPr>
          <w:rFonts w:hint="eastAsia"/>
          <w:b/>
          <w:sz w:val="28"/>
          <w:szCs w:val="28"/>
        </w:rPr>
        <w:t xml:space="preserve">　</w:t>
      </w:r>
      <w:bookmarkEnd w:id="14"/>
      <w:r w:rsidR="00D35EEA" w:rsidRPr="00D35EEA">
        <w:rPr>
          <w:rFonts w:hint="eastAsia"/>
          <w:b/>
          <w:sz w:val="28"/>
          <w:szCs w:val="28"/>
        </w:rPr>
        <w:t>政府持續推動毒品防制政策，毒品新生人口數已逐年減少，惟毒品再犯比率、兒少施用毒品案件攀升，且毒品原料之查緝通報管控機制未</w:t>
      </w:r>
      <w:proofErr w:type="gramStart"/>
      <w:r w:rsidR="00D35EEA" w:rsidRPr="00D35EEA">
        <w:rPr>
          <w:rFonts w:hint="eastAsia"/>
          <w:b/>
          <w:sz w:val="28"/>
          <w:szCs w:val="28"/>
        </w:rPr>
        <w:t>臻</w:t>
      </w:r>
      <w:proofErr w:type="gramEnd"/>
      <w:r w:rsidR="00D35EEA" w:rsidRPr="00D35EEA">
        <w:rPr>
          <w:rFonts w:hint="eastAsia"/>
          <w:b/>
          <w:sz w:val="28"/>
          <w:szCs w:val="28"/>
        </w:rPr>
        <w:t>健全及落實，又面對新興影響精神物質快速擴散之列管應處及</w:t>
      </w:r>
      <w:proofErr w:type="gramStart"/>
      <w:r w:rsidR="00D35EEA" w:rsidRPr="00D35EEA">
        <w:rPr>
          <w:rFonts w:hint="eastAsia"/>
          <w:b/>
          <w:sz w:val="28"/>
          <w:szCs w:val="28"/>
        </w:rPr>
        <w:t>遏阻毒駕執法</w:t>
      </w:r>
      <w:proofErr w:type="gramEnd"/>
      <w:r w:rsidR="00D35EEA" w:rsidRPr="00D35EEA">
        <w:rPr>
          <w:rFonts w:hint="eastAsia"/>
          <w:b/>
          <w:sz w:val="28"/>
          <w:szCs w:val="28"/>
        </w:rPr>
        <w:t>機制</w:t>
      </w:r>
      <w:proofErr w:type="gramStart"/>
      <w:r w:rsidR="00D35EEA" w:rsidRPr="00D35EEA">
        <w:rPr>
          <w:rFonts w:hint="eastAsia"/>
          <w:b/>
          <w:sz w:val="28"/>
          <w:szCs w:val="28"/>
        </w:rPr>
        <w:t>尚待精進</w:t>
      </w:r>
      <w:proofErr w:type="gramEnd"/>
      <w:r w:rsidR="00D35EEA" w:rsidRPr="00D35EEA">
        <w:rPr>
          <w:rFonts w:hint="eastAsia"/>
          <w:b/>
          <w:sz w:val="28"/>
          <w:szCs w:val="28"/>
        </w:rPr>
        <w:t>，國內檢驗量能亦待提升，允宜</w:t>
      </w:r>
      <w:proofErr w:type="gramStart"/>
      <w:r w:rsidR="00D35EEA" w:rsidRPr="00D35EEA">
        <w:rPr>
          <w:rFonts w:hint="eastAsia"/>
          <w:b/>
          <w:sz w:val="28"/>
          <w:szCs w:val="28"/>
        </w:rPr>
        <w:t>研謀精</w:t>
      </w:r>
      <w:proofErr w:type="gramEnd"/>
      <w:r w:rsidR="00D35EEA" w:rsidRPr="00D35EEA">
        <w:rPr>
          <w:rFonts w:hint="eastAsia"/>
          <w:b/>
          <w:sz w:val="28"/>
          <w:szCs w:val="28"/>
        </w:rPr>
        <w:t>進策略並</w:t>
      </w:r>
      <w:proofErr w:type="gramStart"/>
      <w:r w:rsidR="00D35EEA" w:rsidRPr="00D35EEA">
        <w:rPr>
          <w:rFonts w:hint="eastAsia"/>
          <w:b/>
          <w:sz w:val="28"/>
          <w:szCs w:val="28"/>
        </w:rPr>
        <w:t>強化跨域合作</w:t>
      </w:r>
      <w:proofErr w:type="gramEnd"/>
      <w:r w:rsidR="00D35EEA" w:rsidRPr="00D35EEA">
        <w:rPr>
          <w:rFonts w:hint="eastAsia"/>
          <w:b/>
          <w:sz w:val="28"/>
          <w:szCs w:val="28"/>
        </w:rPr>
        <w:t>，持續推動各項防制工作，以提升反毒整體綜效。</w:t>
      </w:r>
    </w:p>
    <w:p w14:paraId="53464B20" w14:textId="140C2E8A" w:rsidR="00595985" w:rsidRPr="00F26ACC" w:rsidRDefault="00595985" w:rsidP="0096011F">
      <w:pPr>
        <w:overflowPunct w:val="0"/>
        <w:adjustRightInd w:val="0"/>
        <w:snapToGrid w:val="0"/>
        <w:spacing w:line="400" w:lineRule="exact"/>
        <w:ind w:firstLineChars="200" w:firstLine="480"/>
        <w:jc w:val="both"/>
        <w:rPr>
          <w:rFonts w:ascii="標楷體" w:eastAsia="標楷體" w:hAnsi="標楷體"/>
          <w:szCs w:val="24"/>
        </w:rPr>
      </w:pPr>
      <w:r>
        <w:rPr>
          <w:rFonts w:ascii="標楷體" w:eastAsia="標楷體" w:hAnsi="標楷體" w:hint="eastAsia"/>
          <w:szCs w:val="24"/>
        </w:rPr>
        <w:t>行政院</w:t>
      </w:r>
      <w:r w:rsidRPr="003D7F8C">
        <w:rPr>
          <w:rFonts w:ascii="標楷體" w:eastAsia="標楷體" w:hAnsi="標楷體" w:hint="eastAsia"/>
          <w:szCs w:val="24"/>
        </w:rPr>
        <w:t>自106年</w:t>
      </w:r>
      <w:r>
        <w:rPr>
          <w:rFonts w:ascii="標楷體" w:eastAsia="標楷體" w:hAnsi="標楷體" w:hint="eastAsia"/>
          <w:szCs w:val="24"/>
        </w:rPr>
        <w:t>整合中央與地方政府規劃</w:t>
      </w:r>
      <w:r w:rsidRPr="00446714">
        <w:rPr>
          <w:rFonts w:ascii="標楷體" w:eastAsia="標楷體" w:hAnsi="標楷體" w:hint="eastAsia"/>
          <w:szCs w:val="24"/>
        </w:rPr>
        <w:t>緝毒、</w:t>
      </w:r>
      <w:proofErr w:type="gramStart"/>
      <w:r w:rsidRPr="00446714">
        <w:rPr>
          <w:rFonts w:ascii="標楷體" w:eastAsia="標楷體" w:hAnsi="標楷體" w:hint="eastAsia"/>
          <w:szCs w:val="24"/>
        </w:rPr>
        <w:t>識毒、驗毒</w:t>
      </w:r>
      <w:proofErr w:type="gramEnd"/>
      <w:r w:rsidRPr="00446714">
        <w:rPr>
          <w:rFonts w:ascii="標楷體" w:eastAsia="標楷體" w:hAnsi="標楷體" w:hint="eastAsia"/>
          <w:szCs w:val="24"/>
        </w:rPr>
        <w:t>、戒毒及綜合規劃等</w:t>
      </w:r>
      <w:r>
        <w:rPr>
          <w:rFonts w:ascii="標楷體" w:eastAsia="標楷體" w:hAnsi="標楷體" w:hint="eastAsia"/>
          <w:szCs w:val="24"/>
        </w:rPr>
        <w:t>5</w:t>
      </w:r>
      <w:r w:rsidRPr="00446714">
        <w:rPr>
          <w:rFonts w:ascii="標楷體" w:eastAsia="標楷體" w:hAnsi="標楷體" w:hint="eastAsia"/>
          <w:szCs w:val="24"/>
        </w:rPr>
        <w:t>大</w:t>
      </w:r>
      <w:r>
        <w:rPr>
          <w:rFonts w:ascii="標楷體" w:eastAsia="標楷體" w:hAnsi="標楷體" w:hint="eastAsia"/>
          <w:szCs w:val="24"/>
        </w:rPr>
        <w:t>反毒</w:t>
      </w:r>
      <w:r w:rsidRPr="00446714">
        <w:rPr>
          <w:rFonts w:ascii="標楷體" w:eastAsia="標楷體" w:hAnsi="標楷體" w:hint="eastAsia"/>
          <w:szCs w:val="24"/>
        </w:rPr>
        <w:t>策略</w:t>
      </w:r>
      <w:r>
        <w:rPr>
          <w:rFonts w:ascii="標楷體" w:eastAsia="標楷體" w:hAnsi="標楷體" w:hint="eastAsia"/>
          <w:szCs w:val="24"/>
        </w:rPr>
        <w:t>，</w:t>
      </w:r>
      <w:r w:rsidRPr="003D7F8C">
        <w:rPr>
          <w:rFonts w:ascii="標楷體" w:eastAsia="標楷體" w:hAnsi="標楷體" w:hint="eastAsia"/>
          <w:szCs w:val="24"/>
        </w:rPr>
        <w:t>推動「新世代反毒策略行動綱領」（第一期106</w:t>
      </w:r>
      <w:r w:rsidRPr="00840510">
        <w:rPr>
          <w:rFonts w:ascii="標楷體" w:eastAsia="標楷體" w:hAnsi="標楷體" w:hint="eastAsia"/>
          <w:bCs/>
          <w:color w:val="000000" w:themeColor="text1"/>
        </w:rPr>
        <w:t>－</w:t>
      </w:r>
      <w:r w:rsidRPr="003D7F8C">
        <w:rPr>
          <w:rFonts w:ascii="標楷體" w:eastAsia="標楷體" w:hAnsi="標楷體" w:hint="eastAsia"/>
          <w:szCs w:val="24"/>
        </w:rPr>
        <w:t>109年），</w:t>
      </w:r>
      <w:r>
        <w:rPr>
          <w:rFonts w:ascii="標楷體" w:eastAsia="標楷體" w:hAnsi="標楷體" w:hint="eastAsia"/>
          <w:szCs w:val="24"/>
        </w:rPr>
        <w:t>查獲毒品數量增加及毒品新生人數減少等方面已具初步成效，惟</w:t>
      </w:r>
      <w:r w:rsidRPr="00446714">
        <w:rPr>
          <w:rFonts w:ascii="標楷體" w:eastAsia="標楷體" w:hAnsi="標楷體" w:hint="eastAsia"/>
          <w:szCs w:val="24"/>
        </w:rPr>
        <w:t>施用毒品再犯</w:t>
      </w:r>
      <w:r>
        <w:rPr>
          <w:rFonts w:ascii="標楷體" w:eastAsia="標楷體" w:hAnsi="標楷體" w:hint="eastAsia"/>
          <w:szCs w:val="24"/>
        </w:rPr>
        <w:t>及</w:t>
      </w:r>
      <w:r w:rsidRPr="00446714">
        <w:rPr>
          <w:rFonts w:ascii="標楷體" w:eastAsia="標楷體" w:hAnsi="標楷體" w:hint="eastAsia"/>
          <w:szCs w:val="24"/>
        </w:rPr>
        <w:t>新興毒品氾濫等問題仍</w:t>
      </w:r>
      <w:r>
        <w:rPr>
          <w:rFonts w:ascii="標楷體" w:eastAsia="標楷體" w:hAnsi="標楷體" w:hint="eastAsia"/>
          <w:szCs w:val="24"/>
        </w:rPr>
        <w:t>待</w:t>
      </w:r>
      <w:r w:rsidRPr="00446714">
        <w:rPr>
          <w:rFonts w:ascii="標楷體" w:eastAsia="標楷體" w:hAnsi="標楷體" w:hint="eastAsia"/>
          <w:szCs w:val="24"/>
        </w:rPr>
        <w:t>改善，</w:t>
      </w:r>
      <w:r>
        <w:rPr>
          <w:rFonts w:ascii="標楷體" w:eastAsia="標楷體" w:hAnsi="標楷體" w:hint="eastAsia"/>
          <w:szCs w:val="24"/>
        </w:rPr>
        <w:t>遂於</w:t>
      </w:r>
      <w:r w:rsidRPr="00446714">
        <w:rPr>
          <w:rFonts w:ascii="標楷體" w:eastAsia="標楷體" w:hAnsi="標楷體" w:hint="eastAsia"/>
          <w:szCs w:val="24"/>
        </w:rPr>
        <w:t>110年</w:t>
      </w:r>
      <w:r>
        <w:rPr>
          <w:rFonts w:ascii="標楷體" w:eastAsia="標楷體" w:hAnsi="標楷體" w:hint="eastAsia"/>
          <w:szCs w:val="24"/>
        </w:rPr>
        <w:t>推動「</w:t>
      </w:r>
      <w:r w:rsidRPr="00446714">
        <w:rPr>
          <w:rFonts w:ascii="標楷體" w:eastAsia="標楷體" w:hAnsi="標楷體" w:hint="eastAsia"/>
          <w:szCs w:val="24"/>
        </w:rPr>
        <w:t>新世代反毒策略行動綱領</w:t>
      </w:r>
      <w:r>
        <w:rPr>
          <w:rFonts w:ascii="標楷體" w:eastAsia="標楷體" w:hAnsi="標楷體" w:hint="eastAsia"/>
          <w:szCs w:val="24"/>
        </w:rPr>
        <w:t>」</w:t>
      </w:r>
      <w:r w:rsidRPr="00446714">
        <w:rPr>
          <w:rFonts w:ascii="標楷體" w:eastAsia="標楷體" w:hAnsi="標楷體" w:hint="eastAsia"/>
          <w:szCs w:val="24"/>
        </w:rPr>
        <w:t>（第二期110</w:t>
      </w:r>
      <w:r w:rsidRPr="00840510">
        <w:rPr>
          <w:rFonts w:ascii="標楷體" w:eastAsia="標楷體" w:hAnsi="標楷體" w:hint="eastAsia"/>
          <w:bCs/>
          <w:color w:val="000000" w:themeColor="text1"/>
        </w:rPr>
        <w:t>－</w:t>
      </w:r>
      <w:r w:rsidRPr="00446714">
        <w:rPr>
          <w:rFonts w:ascii="標楷體" w:eastAsia="標楷體" w:hAnsi="標楷體" w:hint="eastAsia"/>
          <w:szCs w:val="24"/>
        </w:rPr>
        <w:t>113年）</w:t>
      </w:r>
      <w:r>
        <w:rPr>
          <w:rFonts w:ascii="標楷體" w:eastAsia="標楷體" w:hAnsi="標楷體" w:hint="eastAsia"/>
          <w:szCs w:val="24"/>
        </w:rPr>
        <w:t>工作</w:t>
      </w:r>
      <w:r w:rsidRPr="00446714">
        <w:rPr>
          <w:rFonts w:ascii="標楷體" w:eastAsia="標楷體" w:hAnsi="標楷體" w:hint="eastAsia"/>
          <w:szCs w:val="24"/>
        </w:rPr>
        <w:t>，</w:t>
      </w:r>
      <w:r>
        <w:rPr>
          <w:rFonts w:ascii="標楷體" w:eastAsia="標楷體" w:hAnsi="標楷體" w:hint="eastAsia"/>
          <w:szCs w:val="24"/>
        </w:rPr>
        <w:t>期</w:t>
      </w:r>
      <w:r w:rsidRPr="00446714">
        <w:rPr>
          <w:rFonts w:ascii="標楷體" w:eastAsia="標楷體" w:hAnsi="標楷體" w:hint="eastAsia"/>
          <w:szCs w:val="24"/>
        </w:rPr>
        <w:t>達</w:t>
      </w:r>
      <w:r>
        <w:rPr>
          <w:rFonts w:ascii="標楷體" w:eastAsia="標楷體" w:hAnsi="標楷體" w:hint="eastAsia"/>
          <w:szCs w:val="24"/>
        </w:rPr>
        <w:t>到「</w:t>
      </w:r>
      <w:r w:rsidRPr="00446714">
        <w:rPr>
          <w:rFonts w:ascii="標楷體" w:eastAsia="標楷體" w:hAnsi="標楷體" w:hint="eastAsia"/>
          <w:szCs w:val="24"/>
        </w:rPr>
        <w:t>抑制毒品再犯</w:t>
      </w:r>
      <w:r>
        <w:rPr>
          <w:rFonts w:ascii="標楷體" w:eastAsia="標楷體" w:hAnsi="標楷體" w:hint="eastAsia"/>
          <w:szCs w:val="24"/>
        </w:rPr>
        <w:t>」</w:t>
      </w:r>
      <w:r w:rsidRPr="00446714">
        <w:rPr>
          <w:rFonts w:ascii="標楷體" w:eastAsia="標楷體" w:hAnsi="標楷體" w:hint="eastAsia"/>
          <w:szCs w:val="24"/>
        </w:rPr>
        <w:t>及</w:t>
      </w:r>
      <w:r>
        <w:rPr>
          <w:rFonts w:ascii="標楷體" w:eastAsia="標楷體" w:hAnsi="標楷體" w:hint="eastAsia"/>
          <w:szCs w:val="24"/>
        </w:rPr>
        <w:t>「</w:t>
      </w:r>
      <w:r w:rsidRPr="00446714">
        <w:rPr>
          <w:rFonts w:ascii="標楷體" w:eastAsia="標楷體" w:hAnsi="標楷體" w:hint="eastAsia"/>
          <w:szCs w:val="24"/>
        </w:rPr>
        <w:t>降低毒品新生</w:t>
      </w:r>
      <w:r>
        <w:rPr>
          <w:rFonts w:ascii="標楷體" w:eastAsia="標楷體" w:hAnsi="標楷體" w:hint="eastAsia"/>
          <w:szCs w:val="24"/>
        </w:rPr>
        <w:t>」</w:t>
      </w:r>
      <w:r w:rsidRPr="00446714">
        <w:rPr>
          <w:rFonts w:ascii="標楷體" w:eastAsia="標楷體" w:hAnsi="標楷體" w:hint="eastAsia"/>
          <w:szCs w:val="24"/>
        </w:rPr>
        <w:t>雙重目標</w:t>
      </w:r>
      <w:r>
        <w:rPr>
          <w:rFonts w:ascii="標楷體" w:eastAsia="標楷體" w:hAnsi="標楷體" w:hint="eastAsia"/>
          <w:szCs w:val="24"/>
        </w:rPr>
        <w:t>；</w:t>
      </w:r>
      <w:r w:rsidRPr="00446714">
        <w:rPr>
          <w:rFonts w:ascii="標楷體" w:eastAsia="標楷體" w:hAnsi="標楷體" w:hint="eastAsia"/>
          <w:szCs w:val="24"/>
        </w:rPr>
        <w:t>另</w:t>
      </w:r>
      <w:r>
        <w:rPr>
          <w:rFonts w:ascii="標楷體" w:eastAsia="標楷體" w:hAnsi="標楷體" w:hint="eastAsia"/>
          <w:szCs w:val="24"/>
        </w:rPr>
        <w:t>於</w:t>
      </w:r>
      <w:r w:rsidRPr="00446714">
        <w:rPr>
          <w:rFonts w:ascii="標楷體" w:eastAsia="標楷體" w:hAnsi="標楷體" w:hint="eastAsia"/>
          <w:szCs w:val="24"/>
        </w:rPr>
        <w:t>111年8月核定「施用毒品者再犯防止推進計畫」</w:t>
      </w:r>
      <w:r>
        <w:rPr>
          <w:rFonts w:ascii="標楷體" w:eastAsia="標楷體" w:hAnsi="標楷體" w:hint="eastAsia"/>
          <w:szCs w:val="24"/>
        </w:rPr>
        <w:t>（111至113年）</w:t>
      </w:r>
      <w:r w:rsidRPr="00446714">
        <w:rPr>
          <w:rFonts w:ascii="標楷體" w:eastAsia="標楷體" w:hAnsi="標楷體" w:hint="eastAsia"/>
          <w:szCs w:val="24"/>
        </w:rPr>
        <w:t>，</w:t>
      </w:r>
      <w:r>
        <w:rPr>
          <w:rFonts w:ascii="標楷體" w:eastAsia="標楷體" w:hAnsi="標楷體" w:hint="eastAsia"/>
          <w:szCs w:val="24"/>
        </w:rPr>
        <w:t>透過</w:t>
      </w:r>
      <w:r w:rsidRPr="00446714">
        <w:rPr>
          <w:rFonts w:ascii="標楷體" w:eastAsia="標楷體" w:hAnsi="標楷體" w:hint="eastAsia"/>
          <w:szCs w:val="24"/>
        </w:rPr>
        <w:t>貫穿式保護</w:t>
      </w:r>
      <w:r w:rsidRPr="003F04DD">
        <w:rPr>
          <w:rFonts w:ascii="標楷體" w:eastAsia="標楷體" w:hAnsi="標楷體" w:hint="eastAsia"/>
          <w:szCs w:val="24"/>
        </w:rPr>
        <w:t>、兒少防護網絡</w:t>
      </w:r>
      <w:r w:rsidRPr="00446714">
        <w:rPr>
          <w:rFonts w:ascii="標楷體" w:eastAsia="標楷體" w:hAnsi="標楷體" w:hint="eastAsia"/>
          <w:szCs w:val="24"/>
        </w:rPr>
        <w:t>等</w:t>
      </w:r>
      <w:r>
        <w:rPr>
          <w:rFonts w:ascii="標楷體" w:eastAsia="標楷體" w:hAnsi="標楷體" w:hint="eastAsia"/>
          <w:szCs w:val="24"/>
        </w:rPr>
        <w:t>5</w:t>
      </w:r>
      <w:r w:rsidRPr="00446714">
        <w:rPr>
          <w:rFonts w:ascii="標楷體" w:eastAsia="標楷體" w:hAnsi="標楷體" w:hint="eastAsia"/>
          <w:szCs w:val="24"/>
        </w:rPr>
        <w:t>大架構</w:t>
      </w:r>
      <w:r>
        <w:rPr>
          <w:rFonts w:ascii="標楷體" w:eastAsia="標楷體" w:hAnsi="標楷體" w:hint="eastAsia"/>
          <w:szCs w:val="24"/>
        </w:rPr>
        <w:t>，期降低成人及兒少施用毒品再犯率</w:t>
      </w:r>
      <w:r w:rsidRPr="00446714">
        <w:rPr>
          <w:rFonts w:ascii="標楷體" w:eastAsia="標楷體" w:hAnsi="標楷體" w:hint="eastAsia"/>
          <w:szCs w:val="24"/>
        </w:rPr>
        <w:t>。</w:t>
      </w:r>
      <w:r w:rsidRPr="0064237C">
        <w:rPr>
          <w:rFonts w:ascii="標楷體" w:eastAsia="標楷體" w:hAnsi="標楷體" w:hint="eastAsia"/>
          <w:color w:val="000000" w:themeColor="text1"/>
          <w:szCs w:val="24"/>
        </w:rPr>
        <w:t>110至113</w:t>
      </w:r>
      <w:r w:rsidRPr="0064237C">
        <w:rPr>
          <w:rFonts w:ascii="標楷體" w:eastAsia="標楷體" w:hAnsi="標楷體" w:hint="eastAsia"/>
          <w:color w:val="000000" w:themeColor="text1"/>
          <w:szCs w:val="24"/>
        </w:rPr>
        <w:lastRenderedPageBreak/>
        <w:t>年度中央機關編列毒品防制可用預算數計123億餘元，</w:t>
      </w:r>
      <w:r>
        <w:rPr>
          <w:rFonts w:ascii="標楷體" w:eastAsia="標楷體" w:hAnsi="標楷體" w:hint="eastAsia"/>
          <w:color w:val="000000" w:themeColor="text1"/>
          <w:szCs w:val="24"/>
        </w:rPr>
        <w:t>實現</w:t>
      </w:r>
      <w:r w:rsidRPr="0064237C">
        <w:rPr>
          <w:rFonts w:ascii="標楷體" w:eastAsia="標楷體" w:hAnsi="標楷體" w:hint="eastAsia"/>
          <w:color w:val="000000" w:themeColor="text1"/>
          <w:szCs w:val="24"/>
        </w:rPr>
        <w:t>數</w:t>
      </w:r>
      <w:r>
        <w:rPr>
          <w:rFonts w:ascii="標楷體" w:eastAsia="標楷體" w:hAnsi="標楷體" w:hint="eastAsia"/>
          <w:color w:val="000000" w:themeColor="text1"/>
          <w:szCs w:val="24"/>
        </w:rPr>
        <w:t>114</w:t>
      </w:r>
      <w:r w:rsidRPr="0064237C">
        <w:rPr>
          <w:rFonts w:ascii="標楷體" w:eastAsia="標楷體" w:hAnsi="標楷體" w:hint="eastAsia"/>
          <w:color w:val="000000" w:themeColor="text1"/>
          <w:szCs w:val="24"/>
        </w:rPr>
        <w:t>億餘元，</w:t>
      </w:r>
      <w:r>
        <w:rPr>
          <w:rFonts w:ascii="標楷體" w:eastAsia="標楷體" w:hAnsi="標楷體" w:hint="eastAsia"/>
          <w:color w:val="000000" w:themeColor="text1"/>
          <w:szCs w:val="24"/>
        </w:rPr>
        <w:t>實現</w:t>
      </w:r>
      <w:r w:rsidRPr="0064237C">
        <w:rPr>
          <w:rFonts w:ascii="標楷體" w:eastAsia="標楷體" w:hAnsi="標楷體" w:hint="eastAsia"/>
          <w:color w:val="000000" w:themeColor="text1"/>
          <w:szCs w:val="24"/>
        </w:rPr>
        <w:t>率</w:t>
      </w:r>
      <w:r>
        <w:rPr>
          <w:rFonts w:ascii="標楷體" w:eastAsia="標楷體" w:hAnsi="標楷體" w:hint="eastAsia"/>
          <w:color w:val="000000" w:themeColor="text1"/>
          <w:szCs w:val="24"/>
        </w:rPr>
        <w:t>92</w:t>
      </w:r>
      <w:r w:rsidRPr="0064237C">
        <w:rPr>
          <w:rFonts w:ascii="標楷體" w:eastAsia="標楷體" w:hAnsi="標楷體" w:hint="eastAsia"/>
          <w:color w:val="000000" w:themeColor="text1"/>
          <w:szCs w:val="24"/>
        </w:rPr>
        <w:t>.</w:t>
      </w:r>
      <w:r>
        <w:rPr>
          <w:rFonts w:ascii="標楷體" w:eastAsia="標楷體" w:hAnsi="標楷體" w:hint="eastAsia"/>
          <w:color w:val="000000" w:themeColor="text1"/>
          <w:szCs w:val="24"/>
        </w:rPr>
        <w:t>20</w:t>
      </w:r>
      <w:r w:rsidRPr="0064237C">
        <w:rPr>
          <w:rFonts w:ascii="標楷體" w:eastAsia="標楷體" w:hAnsi="標楷體" w:hint="eastAsia"/>
          <w:color w:val="000000" w:themeColor="text1"/>
          <w:szCs w:val="24"/>
        </w:rPr>
        <w:t>％。經查執行情形，</w:t>
      </w:r>
      <w:r w:rsidRPr="00DC76EB">
        <w:rPr>
          <w:rFonts w:ascii="標楷體" w:eastAsia="標楷體" w:hAnsi="標楷體" w:hint="eastAsia"/>
          <w:szCs w:val="24"/>
        </w:rPr>
        <w:t>核有下列事項</w:t>
      </w:r>
      <w:r>
        <w:rPr>
          <w:rFonts w:ascii="標楷體" w:eastAsia="標楷體" w:hAnsi="標楷體" w:hint="eastAsia"/>
          <w:szCs w:val="24"/>
        </w:rPr>
        <w:t>：</w:t>
      </w:r>
    </w:p>
    <w:p w14:paraId="7E370DFB" w14:textId="785ADBF1" w:rsidR="00644748" w:rsidRDefault="00595985" w:rsidP="00147BE3">
      <w:pPr>
        <w:adjustRightInd w:val="0"/>
        <w:snapToGrid w:val="0"/>
        <w:spacing w:line="440" w:lineRule="exact"/>
        <w:ind w:firstLineChars="450" w:firstLine="1081"/>
        <w:jc w:val="distribute"/>
        <w:rPr>
          <w:rFonts w:ascii="標楷體" w:eastAsia="標楷體" w:hAnsi="標楷體"/>
        </w:rPr>
      </w:pPr>
      <w:r w:rsidRPr="001033A6">
        <w:rPr>
          <w:rFonts w:ascii="標楷體" w:eastAsia="標楷體" w:hAnsi="標楷體" w:hint="eastAsia"/>
          <w:b/>
        </w:rPr>
        <w:t xml:space="preserve">1.　</w:t>
      </w:r>
      <w:r w:rsidRPr="006D4F56">
        <w:rPr>
          <w:rFonts w:ascii="標楷體" w:eastAsia="標楷體" w:hAnsi="標楷體" w:hint="eastAsia"/>
          <w:b/>
        </w:rPr>
        <w:t>行政院整合部會力量打擊毒品已具初步成效，惟成人再犯及兒少再被通報</w:t>
      </w:r>
      <w:proofErr w:type="gramStart"/>
      <w:r w:rsidRPr="006D4F56">
        <w:rPr>
          <w:rFonts w:ascii="標楷體" w:eastAsia="標楷體" w:hAnsi="標楷體" w:hint="eastAsia"/>
          <w:b/>
        </w:rPr>
        <w:t>比率均呈上升</w:t>
      </w:r>
      <w:proofErr w:type="gramEnd"/>
      <w:r w:rsidRPr="006D4F56">
        <w:rPr>
          <w:rFonts w:ascii="標楷體" w:eastAsia="標楷體" w:hAnsi="標楷體" w:hint="eastAsia"/>
          <w:b/>
        </w:rPr>
        <w:t>趨勢，</w:t>
      </w:r>
      <w:r>
        <w:rPr>
          <w:rFonts w:ascii="標楷體" w:eastAsia="標楷體" w:hAnsi="標楷體" w:hint="eastAsia"/>
          <w:b/>
        </w:rPr>
        <w:t>且</w:t>
      </w:r>
      <w:r w:rsidRPr="00571831">
        <w:rPr>
          <w:rFonts w:ascii="標楷體" w:eastAsia="標楷體" w:hAnsi="標楷體" w:hint="eastAsia"/>
          <w:b/>
        </w:rPr>
        <w:t>受限於毒品危害防制中心人力不足</w:t>
      </w:r>
      <w:r>
        <w:rPr>
          <w:rFonts w:ascii="標楷體" w:eastAsia="標楷體" w:hAnsi="標楷體" w:hint="eastAsia"/>
          <w:b/>
        </w:rPr>
        <w:t>及毒品危害講習參與率低</w:t>
      </w:r>
      <w:r w:rsidRPr="00571831">
        <w:rPr>
          <w:rFonts w:ascii="標楷體" w:eastAsia="標楷體" w:hAnsi="標楷體" w:hint="eastAsia"/>
          <w:b/>
        </w:rPr>
        <w:t>，影響</w:t>
      </w:r>
      <w:r>
        <w:rPr>
          <w:rFonts w:ascii="標楷體" w:eastAsia="標楷體" w:hAnsi="標楷體" w:hint="eastAsia"/>
          <w:b/>
        </w:rPr>
        <w:t>再犯防止</w:t>
      </w:r>
      <w:r w:rsidRPr="00571831">
        <w:rPr>
          <w:rFonts w:ascii="標楷體" w:eastAsia="標楷體" w:hAnsi="標楷體" w:hint="eastAsia"/>
          <w:b/>
        </w:rPr>
        <w:t>整體成效</w:t>
      </w:r>
      <w:r>
        <w:rPr>
          <w:rFonts w:ascii="標楷體" w:eastAsia="標楷體" w:hAnsi="標楷體" w:hint="eastAsia"/>
          <w:b/>
        </w:rPr>
        <w:t>，又</w:t>
      </w:r>
      <w:r w:rsidRPr="006D4F56">
        <w:rPr>
          <w:rFonts w:ascii="標楷體" w:eastAsia="標楷體" w:hAnsi="標楷體" w:hint="eastAsia"/>
          <w:b/>
        </w:rPr>
        <w:t>大麻施用</w:t>
      </w:r>
      <w:proofErr w:type="gramStart"/>
      <w:r w:rsidRPr="006D4F56">
        <w:rPr>
          <w:rFonts w:ascii="標楷體" w:eastAsia="標楷體" w:hAnsi="標楷體" w:hint="eastAsia"/>
          <w:b/>
        </w:rPr>
        <w:t>黑數尚待</w:t>
      </w:r>
      <w:proofErr w:type="gramEnd"/>
      <w:r w:rsidRPr="006D4F56">
        <w:rPr>
          <w:rFonts w:ascii="標楷體" w:eastAsia="標楷體" w:hAnsi="標楷體" w:hint="eastAsia"/>
          <w:b/>
        </w:rPr>
        <w:t>發掘</w:t>
      </w:r>
      <w:r>
        <w:rPr>
          <w:rFonts w:ascii="標楷體" w:eastAsia="標楷體" w:hAnsi="標楷體" w:hint="eastAsia"/>
          <w:b/>
        </w:rPr>
        <w:t>及強化網路毒品案件處置配套措施：</w:t>
      </w:r>
      <w:r w:rsidRPr="00427528">
        <w:rPr>
          <w:rFonts w:ascii="標楷體" w:eastAsia="標楷體" w:hAnsi="標楷體" w:hint="eastAsia"/>
          <w:bCs/>
        </w:rPr>
        <w:t>政府為改善國內毒品</w:t>
      </w:r>
      <w:r>
        <w:rPr>
          <w:rFonts w:ascii="標楷體" w:eastAsia="標楷體" w:hAnsi="標楷體" w:hint="eastAsia"/>
          <w:bCs/>
        </w:rPr>
        <w:t>濫用</w:t>
      </w:r>
      <w:r w:rsidRPr="00427528">
        <w:rPr>
          <w:rFonts w:ascii="標楷體" w:eastAsia="標楷體" w:hAnsi="標楷體" w:hint="eastAsia"/>
          <w:bCs/>
        </w:rPr>
        <w:t>問題，於「新世代反毒策略行動綱領」（第二期110</w:t>
      </w:r>
      <w:r w:rsidRPr="00840510">
        <w:rPr>
          <w:rFonts w:ascii="標楷體" w:eastAsia="標楷體" w:hAnsi="標楷體" w:hint="eastAsia"/>
          <w:bCs/>
          <w:color w:val="000000" w:themeColor="text1"/>
        </w:rPr>
        <w:t>－</w:t>
      </w:r>
      <w:r w:rsidRPr="00427528">
        <w:rPr>
          <w:rFonts w:ascii="標楷體" w:eastAsia="標楷體" w:hAnsi="標楷體" w:hint="eastAsia"/>
          <w:bCs/>
        </w:rPr>
        <w:t>113年）訂</w:t>
      </w:r>
      <w:r>
        <w:rPr>
          <w:rFonts w:ascii="標楷體" w:eastAsia="標楷體" w:hAnsi="標楷體" w:hint="eastAsia"/>
          <w:bCs/>
        </w:rPr>
        <w:t>有</w:t>
      </w:r>
      <w:r w:rsidRPr="00427528">
        <w:rPr>
          <w:rFonts w:ascii="標楷體" w:eastAsia="標楷體" w:hAnsi="標楷體" w:hint="eastAsia"/>
          <w:bCs/>
        </w:rPr>
        <w:t>「再犯防止推進計畫，有效降低再犯」及</w:t>
      </w:r>
      <w:r>
        <w:rPr>
          <w:rFonts w:ascii="標楷體" w:eastAsia="標楷體" w:hAnsi="標楷體" w:hint="eastAsia"/>
        </w:rPr>
        <w:t>「</w:t>
      </w:r>
      <w:r w:rsidRPr="006815FA">
        <w:rPr>
          <w:rFonts w:ascii="標楷體" w:eastAsia="標楷體" w:hAnsi="標楷體" w:hint="eastAsia"/>
        </w:rPr>
        <w:t>優化科技緝毒設備及人力</w:t>
      </w:r>
      <w:r>
        <w:rPr>
          <w:rFonts w:ascii="標楷體" w:eastAsia="標楷體" w:hAnsi="標楷體" w:hint="eastAsia"/>
        </w:rPr>
        <w:t>」等策略；</w:t>
      </w:r>
      <w:proofErr w:type="gramStart"/>
      <w:r>
        <w:rPr>
          <w:rFonts w:ascii="標楷體" w:eastAsia="標楷體" w:hAnsi="標楷體" w:hint="eastAsia"/>
        </w:rPr>
        <w:t>嗣</w:t>
      </w:r>
      <w:proofErr w:type="gramEnd"/>
      <w:r w:rsidRPr="00473963">
        <w:rPr>
          <w:rFonts w:ascii="標楷體" w:eastAsia="標楷體" w:hAnsi="標楷體" w:hint="eastAsia"/>
        </w:rPr>
        <w:t>111年8月核定「施用毒品者再犯防</w:t>
      </w:r>
      <w:r w:rsidR="007F130D" w:rsidRPr="00473963">
        <w:rPr>
          <w:rFonts w:ascii="標楷體" w:eastAsia="標楷體" w:hAnsi="標楷體" w:hint="eastAsia"/>
        </w:rPr>
        <w:t>止推進計畫」（111至113年），</w:t>
      </w:r>
      <w:r w:rsidR="007F130D">
        <w:rPr>
          <w:rFonts w:ascii="標楷體" w:eastAsia="標楷體" w:hAnsi="標楷體" w:hint="eastAsia"/>
        </w:rPr>
        <w:t>透過貫穿式保護、</w:t>
      </w:r>
      <w:r w:rsidR="007F130D" w:rsidRPr="00473963">
        <w:rPr>
          <w:rFonts w:ascii="標楷體" w:eastAsia="標楷體" w:hAnsi="標楷體" w:hint="eastAsia"/>
        </w:rPr>
        <w:t>強化毒</w:t>
      </w:r>
      <w:r w:rsidR="007F130D">
        <w:rPr>
          <w:rFonts w:ascii="標楷體" w:eastAsia="標楷體" w:hAnsi="標楷體" w:hint="eastAsia"/>
        </w:rPr>
        <w:t>品危害</w:t>
      </w:r>
      <w:r w:rsidR="007F130D" w:rsidRPr="00473963">
        <w:rPr>
          <w:rFonts w:ascii="標楷體" w:eastAsia="標楷體" w:hAnsi="標楷體" w:hint="eastAsia"/>
        </w:rPr>
        <w:t>防</w:t>
      </w:r>
      <w:r w:rsidR="007F130D">
        <w:rPr>
          <w:rFonts w:ascii="標楷體" w:eastAsia="標楷體" w:hAnsi="標楷體" w:hint="eastAsia"/>
        </w:rPr>
        <w:t>制</w:t>
      </w:r>
      <w:r w:rsidR="007F130D" w:rsidRPr="00683DEC">
        <w:rPr>
          <w:rFonts w:ascii="標楷體" w:eastAsia="標楷體" w:hAnsi="標楷體" w:hint="eastAsia"/>
          <w:color w:val="000000" w:themeColor="text1"/>
        </w:rPr>
        <w:t>中心（下稱毒防中心）</w:t>
      </w:r>
      <w:r w:rsidR="007F130D" w:rsidRPr="00473963">
        <w:rPr>
          <w:rFonts w:ascii="標楷體" w:eastAsia="標楷體" w:hAnsi="標楷體" w:hint="eastAsia"/>
        </w:rPr>
        <w:t>追蹤輔導</w:t>
      </w:r>
      <w:r w:rsidR="007F130D">
        <w:rPr>
          <w:rFonts w:ascii="標楷體" w:eastAsia="標楷體" w:hAnsi="標楷體" w:hint="eastAsia"/>
        </w:rPr>
        <w:t>及</w:t>
      </w:r>
      <w:r w:rsidR="007F130D" w:rsidRPr="00473963">
        <w:rPr>
          <w:rFonts w:ascii="標楷體" w:eastAsia="標楷體" w:hAnsi="標楷體" w:hint="eastAsia"/>
        </w:rPr>
        <w:t>提升毒品危害講習等策略，</w:t>
      </w:r>
      <w:r w:rsidR="007F130D">
        <w:rPr>
          <w:rFonts w:ascii="標楷體" w:eastAsia="標楷體" w:hAnsi="標楷體" w:hint="eastAsia"/>
        </w:rPr>
        <w:t>期</w:t>
      </w:r>
      <w:r w:rsidR="007F130D" w:rsidRPr="00473963">
        <w:rPr>
          <w:rFonts w:ascii="標楷體" w:eastAsia="標楷體" w:hAnsi="標楷體" w:hint="eastAsia"/>
        </w:rPr>
        <w:t>有效降低</w:t>
      </w:r>
      <w:r w:rsidR="007F130D">
        <w:rPr>
          <w:rFonts w:ascii="標楷體" w:eastAsia="標楷體" w:hAnsi="標楷體" w:hint="eastAsia"/>
        </w:rPr>
        <w:t>成人、兒少施用毒品再犯、再被通報比率</w:t>
      </w:r>
      <w:r w:rsidR="003373E2">
        <w:rPr>
          <w:rFonts w:ascii="標楷體" w:eastAsia="標楷體" w:hAnsi="標楷體" w:hint="eastAsia"/>
        </w:rPr>
        <w:t>，</w:t>
      </w:r>
      <w:r w:rsidR="007F130D">
        <w:rPr>
          <w:rFonts w:ascii="標楷體" w:eastAsia="標楷體" w:hAnsi="標楷體" w:hint="eastAsia"/>
        </w:rPr>
        <w:t>較106</w:t>
      </w:r>
    </w:p>
    <w:p w14:paraId="4ABCF313" w14:textId="47A0C3F3" w:rsidR="00595985" w:rsidRDefault="00147BE3" w:rsidP="00147BE3">
      <w:pPr>
        <w:overflowPunct w:val="0"/>
        <w:adjustRightInd w:val="0"/>
        <w:snapToGrid w:val="0"/>
        <w:spacing w:line="420" w:lineRule="exact"/>
        <w:jc w:val="both"/>
        <w:rPr>
          <w:rFonts w:ascii="標楷體" w:eastAsia="標楷體" w:hAnsi="標楷體"/>
          <w:color w:val="000000" w:themeColor="text1"/>
        </w:rPr>
      </w:pPr>
      <w:r w:rsidRPr="0028669B">
        <w:rPr>
          <w:rFonts w:ascii="標楷體" w:eastAsia="標楷體" w:hAnsi="標楷體"/>
          <w:b/>
          <w:noProof/>
        </w:rPr>
        <mc:AlternateContent>
          <mc:Choice Requires="wps">
            <w:drawing>
              <wp:anchor distT="45720" distB="45720" distL="114300" distR="114300" simplePos="0" relativeHeight="251631616" behindDoc="0" locked="0" layoutInCell="1" allowOverlap="1" wp14:anchorId="6BE9E105" wp14:editId="261825A7">
                <wp:simplePos x="0" y="0"/>
                <wp:positionH relativeFrom="margin">
                  <wp:posOffset>2930525</wp:posOffset>
                </wp:positionH>
                <wp:positionV relativeFrom="paragraph">
                  <wp:posOffset>1092200</wp:posOffset>
                </wp:positionV>
                <wp:extent cx="3390900" cy="2865120"/>
                <wp:effectExtent l="0" t="0" r="0" b="0"/>
                <wp:wrapSquare wrapText="bothSides"/>
                <wp:docPr id="20083270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865120"/>
                        </a:xfrm>
                        <a:prstGeom prst="rect">
                          <a:avLst/>
                        </a:prstGeom>
                        <a:solidFill>
                          <a:sysClr val="window" lastClr="FFFFFF"/>
                        </a:solidFill>
                        <a:ln w="9525">
                          <a:noFill/>
                          <a:miter lim="800000"/>
                          <a:headEnd/>
                          <a:tailEnd/>
                        </a:ln>
                      </wps:spPr>
                      <wps:txbx>
                        <w:txbxContent>
                          <w:tbl>
                            <w:tblPr>
                              <w:tblW w:w="7908" w:type="dxa"/>
                              <w:tblLayout w:type="fixed"/>
                              <w:tblCellMar>
                                <w:left w:w="28" w:type="dxa"/>
                                <w:right w:w="28" w:type="dxa"/>
                              </w:tblCellMar>
                              <w:tblLook w:val="04A0" w:firstRow="1" w:lastRow="0" w:firstColumn="1" w:lastColumn="0" w:noHBand="0" w:noVBand="1"/>
                            </w:tblPr>
                            <w:tblGrid>
                              <w:gridCol w:w="142"/>
                              <w:gridCol w:w="1276"/>
                              <w:gridCol w:w="992"/>
                              <w:gridCol w:w="803"/>
                              <w:gridCol w:w="803"/>
                              <w:gridCol w:w="804"/>
                              <w:gridCol w:w="3007"/>
                              <w:gridCol w:w="81"/>
                            </w:tblGrid>
                            <w:tr w:rsidR="00595985" w:rsidRPr="00F50A9E" w14:paraId="4F94B9EF" w14:textId="77777777" w:rsidTr="00F85E4E">
                              <w:trPr>
                                <w:gridAfter w:val="2"/>
                                <w:wAfter w:w="3088" w:type="dxa"/>
                                <w:trHeight w:val="428"/>
                              </w:trPr>
                              <w:tc>
                                <w:tcPr>
                                  <w:tcW w:w="4820" w:type="dxa"/>
                                  <w:gridSpan w:val="6"/>
                                  <w:tcBorders>
                                    <w:top w:val="nil"/>
                                    <w:left w:val="nil"/>
                                    <w:bottom w:val="nil"/>
                                    <w:right w:val="nil"/>
                                  </w:tcBorders>
                                </w:tcPr>
                                <w:p w14:paraId="68CE5B62" w14:textId="49A424A7" w:rsidR="00595985" w:rsidRPr="00CB775A" w:rsidRDefault="00595985" w:rsidP="0028669B">
                                  <w:pPr>
                                    <w:widowControl/>
                                    <w:spacing w:line="0" w:lineRule="atLeast"/>
                                    <w:jc w:val="center"/>
                                    <w:rPr>
                                      <w:rFonts w:ascii="標楷體" w:eastAsia="標楷體" w:hAnsi="標楷體" w:cs="新細明體"/>
                                      <w:b/>
                                      <w:bCs/>
                                      <w:color w:val="000000" w:themeColor="text1"/>
                                      <w:kern w:val="0"/>
                                      <w:szCs w:val="24"/>
                                    </w:rPr>
                                  </w:pPr>
                                  <w:bookmarkStart w:id="15" w:name="RANGE!A1:E58"/>
                                  <w:r w:rsidRPr="00CB775A">
                                    <w:rPr>
                                      <w:rFonts w:ascii="標楷體" w:eastAsia="標楷體" w:hAnsi="標楷體" w:cs="新細明體" w:hint="eastAsia"/>
                                      <w:b/>
                                      <w:bCs/>
                                      <w:color w:val="000000" w:themeColor="text1"/>
                                      <w:kern w:val="0"/>
                                      <w:szCs w:val="24"/>
                                    </w:rPr>
                                    <w:t>表</w:t>
                                  </w:r>
                                  <w:r w:rsidR="00AA477D">
                                    <w:rPr>
                                      <w:rFonts w:ascii="標楷體" w:eastAsia="標楷體" w:hAnsi="標楷體" w:cs="新細明體"/>
                                      <w:b/>
                                      <w:bCs/>
                                      <w:color w:val="000000" w:themeColor="text1"/>
                                      <w:kern w:val="0"/>
                                      <w:szCs w:val="24"/>
                                    </w:rPr>
                                    <w:t>23</w:t>
                                  </w:r>
                                  <w:r w:rsidR="00A74334">
                                    <w:rPr>
                                      <w:rFonts w:ascii="標楷體" w:eastAsia="標楷體" w:hAnsi="標楷體" w:cs="新細明體" w:hint="eastAsia"/>
                                      <w:b/>
                                      <w:bCs/>
                                      <w:color w:val="000000" w:themeColor="text1"/>
                                      <w:kern w:val="0"/>
                                      <w:szCs w:val="24"/>
                                    </w:rPr>
                                    <w:t xml:space="preserve">　</w:t>
                                  </w:r>
                                  <w:r w:rsidRPr="00CB775A">
                                    <w:rPr>
                                      <w:rFonts w:ascii="標楷體" w:eastAsia="標楷體" w:hAnsi="標楷體" w:cs="新細明體" w:hint="eastAsia"/>
                                      <w:b/>
                                      <w:bCs/>
                                      <w:color w:val="000000" w:themeColor="text1"/>
                                      <w:kern w:val="0"/>
                                      <w:szCs w:val="24"/>
                                    </w:rPr>
                                    <w:t>施用毒品成人2年內再犯</w:t>
                                  </w:r>
                                  <w:bookmarkEnd w:id="15"/>
                                  <w:r w:rsidRPr="00CB775A">
                                    <w:rPr>
                                      <w:rFonts w:ascii="標楷體" w:eastAsia="標楷體" w:hAnsi="標楷體" w:cs="新細明體" w:hint="eastAsia"/>
                                      <w:b/>
                                      <w:bCs/>
                                      <w:color w:val="000000" w:themeColor="text1"/>
                                      <w:kern w:val="0"/>
                                      <w:szCs w:val="24"/>
                                    </w:rPr>
                                    <w:t>比率</w:t>
                                  </w:r>
                                </w:p>
                              </w:tc>
                            </w:tr>
                            <w:tr w:rsidR="00595985" w:rsidRPr="003D616D" w14:paraId="2E8F8872" w14:textId="77777777" w:rsidTr="00524428">
                              <w:trPr>
                                <w:gridAfter w:val="2"/>
                                <w:wAfter w:w="3088" w:type="dxa"/>
                                <w:trHeight w:val="208"/>
                              </w:trPr>
                              <w:tc>
                                <w:tcPr>
                                  <w:tcW w:w="142" w:type="dxa"/>
                                  <w:tcBorders>
                                    <w:top w:val="nil"/>
                                    <w:left w:val="nil"/>
                                    <w:bottom w:val="single" w:sz="4" w:space="0" w:color="auto"/>
                                    <w:right w:val="nil"/>
                                  </w:tcBorders>
                                </w:tcPr>
                                <w:p w14:paraId="17ADDEEB" w14:textId="77777777" w:rsidR="00595985" w:rsidRPr="00CB775A" w:rsidRDefault="00595985" w:rsidP="0028669B">
                                  <w:pPr>
                                    <w:widowControl/>
                                    <w:spacing w:line="0" w:lineRule="atLeast"/>
                                    <w:jc w:val="right"/>
                                    <w:rPr>
                                      <w:rFonts w:ascii="標楷體" w:eastAsia="標楷體" w:hAnsi="標楷體" w:cs="新細明體"/>
                                      <w:color w:val="000000" w:themeColor="text1"/>
                                      <w:kern w:val="0"/>
                                      <w:sz w:val="20"/>
                                    </w:rPr>
                                  </w:pPr>
                                </w:p>
                              </w:tc>
                              <w:tc>
                                <w:tcPr>
                                  <w:tcW w:w="4678" w:type="dxa"/>
                                  <w:gridSpan w:val="5"/>
                                  <w:tcBorders>
                                    <w:top w:val="nil"/>
                                    <w:left w:val="nil"/>
                                    <w:bottom w:val="single" w:sz="4" w:space="0" w:color="auto"/>
                                    <w:right w:val="nil"/>
                                  </w:tcBorders>
                                  <w:shd w:val="clear" w:color="auto" w:fill="auto"/>
                                  <w:noWrap/>
                                  <w:vAlign w:val="center"/>
                                  <w:hideMark/>
                                </w:tcPr>
                                <w:p w14:paraId="044D8FBA" w14:textId="77777777" w:rsidR="00595985" w:rsidRPr="00CB775A" w:rsidRDefault="00595985" w:rsidP="0028669B">
                                  <w:pPr>
                                    <w:widowControl/>
                                    <w:spacing w:line="0" w:lineRule="atLeast"/>
                                    <w:jc w:val="right"/>
                                    <w:rPr>
                                      <w:rFonts w:ascii="標楷體" w:eastAsia="標楷體" w:hAnsi="標楷體" w:cs="新細明體"/>
                                      <w:color w:val="000000" w:themeColor="text1"/>
                                      <w:kern w:val="0"/>
                                      <w:sz w:val="22"/>
                                    </w:rPr>
                                  </w:pPr>
                                  <w:r w:rsidRPr="00CB775A">
                                    <w:rPr>
                                      <w:rFonts w:ascii="標楷體" w:eastAsia="標楷體" w:hAnsi="標楷體" w:cs="新細明體" w:hint="eastAsia"/>
                                      <w:color w:val="000000" w:themeColor="text1"/>
                                      <w:kern w:val="0"/>
                                      <w:sz w:val="20"/>
                                    </w:rPr>
                                    <w:t>單位：％</w:t>
                                  </w:r>
                                </w:p>
                              </w:tc>
                            </w:tr>
                            <w:tr w:rsidR="00595985" w:rsidRPr="00F50A9E" w14:paraId="6930EB80" w14:textId="77777777" w:rsidTr="008054DD">
                              <w:trPr>
                                <w:gridAfter w:val="2"/>
                                <w:wAfter w:w="3088" w:type="dxa"/>
                                <w:trHeight w:val="543"/>
                              </w:trPr>
                              <w:tc>
                                <w:tcPr>
                                  <w:tcW w:w="141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537247E4"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 xml:space="preserve"> </w:t>
                                  </w:r>
                                  <w:r w:rsidRPr="00CB775A">
                                    <w:rPr>
                                      <w:rFonts w:ascii="標楷體" w:eastAsia="標楷體" w:hAnsi="標楷體" w:cs="新細明體"/>
                                      <w:color w:val="000000" w:themeColor="text1"/>
                                      <w:kern w:val="0"/>
                                      <w:sz w:val="20"/>
                                    </w:rPr>
                                    <w:t xml:space="preserve">       </w:t>
                                  </w:r>
                                  <w:r w:rsidRPr="00CB775A">
                                    <w:rPr>
                                      <w:rFonts w:ascii="標楷體" w:eastAsia="標楷體" w:hAnsi="標楷體" w:cs="新細明體" w:hint="eastAsia"/>
                                      <w:color w:val="000000" w:themeColor="text1"/>
                                      <w:kern w:val="0"/>
                                      <w:sz w:val="20"/>
                                    </w:rPr>
                                    <w:t>年度</w:t>
                                  </w:r>
                                </w:p>
                                <w:p w14:paraId="623CE4CC" w14:textId="77777777" w:rsidR="00595985" w:rsidRPr="00CB775A" w:rsidRDefault="00595985" w:rsidP="00D55D80">
                                  <w:pPr>
                                    <w:spacing w:line="0" w:lineRule="atLeast"/>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身分別</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24052"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1</w:t>
                                  </w:r>
                                  <w:r w:rsidRPr="00CB775A">
                                    <w:rPr>
                                      <w:rFonts w:ascii="標楷體" w:eastAsia="標楷體" w:hAnsi="標楷體" w:cs="新細明體"/>
                                      <w:color w:val="000000" w:themeColor="text1"/>
                                      <w:kern w:val="0"/>
                                      <w:sz w:val="20"/>
                                    </w:rPr>
                                    <w:t>06</w:t>
                                  </w:r>
                                  <w:r>
                                    <w:rPr>
                                      <w:rFonts w:ascii="標楷體" w:eastAsia="標楷體" w:hAnsi="標楷體" w:cs="新細明體" w:hint="eastAsia"/>
                                      <w:color w:val="000000" w:themeColor="text1"/>
                                      <w:kern w:val="0"/>
                                      <w:sz w:val="20"/>
                                    </w:rPr>
                                    <w:t>至</w:t>
                                  </w:r>
                                  <w:r w:rsidRPr="00CB775A">
                                    <w:rPr>
                                      <w:rFonts w:ascii="標楷體" w:eastAsia="標楷體" w:hAnsi="標楷體" w:cs="新細明體"/>
                                      <w:color w:val="000000" w:themeColor="text1"/>
                                      <w:kern w:val="0"/>
                                      <w:sz w:val="20"/>
                                    </w:rPr>
                                    <w:t>108</w:t>
                                  </w:r>
                                </w:p>
                                <w:p w14:paraId="1E0A7E4E"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平均</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39C3B20"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109</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B94E45C" w14:textId="77777777" w:rsidR="00595985" w:rsidRPr="00CB775A" w:rsidRDefault="00595985" w:rsidP="00BD5AF6">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110</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14:paraId="4A097DEE"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111</w:t>
                                  </w:r>
                                </w:p>
                              </w:tc>
                            </w:tr>
                            <w:tr w:rsidR="00595985" w:rsidRPr="00F50A9E" w14:paraId="4D77CC8F" w14:textId="77777777" w:rsidTr="008054DD">
                              <w:trPr>
                                <w:gridAfter w:val="2"/>
                                <w:wAfter w:w="3088" w:type="dxa"/>
                                <w:trHeight w:val="216"/>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4C777C0" w14:textId="77777777" w:rsidR="00595985" w:rsidRPr="00CB775A" w:rsidRDefault="00595985" w:rsidP="00D55D80">
                                  <w:pPr>
                                    <w:widowControl/>
                                    <w:spacing w:line="0" w:lineRule="atLeast"/>
                                    <w:jc w:val="center"/>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kern w:val="0"/>
                                      <w:sz w:val="20"/>
                                    </w:rPr>
                                    <w:t>再犯比率</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349C9F4" w14:textId="77777777" w:rsidR="00595985" w:rsidRPr="00CB775A" w:rsidRDefault="00595985" w:rsidP="00B84CB2">
                                  <w:pPr>
                                    <w:widowControl/>
                                    <w:spacing w:line="0" w:lineRule="atLeast"/>
                                    <w:jc w:val="right"/>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spacing w:val="-4"/>
                                      <w:kern w:val="0"/>
                                      <w:sz w:val="20"/>
                                    </w:rPr>
                                    <w:t>4</w:t>
                                  </w:r>
                                  <w:r w:rsidRPr="00CB775A">
                                    <w:rPr>
                                      <w:rFonts w:ascii="標楷體" w:eastAsia="標楷體" w:hAnsi="標楷體" w:cs="新細明體"/>
                                      <w:b/>
                                      <w:bCs/>
                                      <w:color w:val="000000" w:themeColor="text1"/>
                                      <w:spacing w:val="-4"/>
                                      <w:kern w:val="0"/>
                                      <w:sz w:val="20"/>
                                    </w:rPr>
                                    <w:t>6.16</w:t>
                                  </w:r>
                                </w:p>
                              </w:tc>
                              <w:tc>
                                <w:tcPr>
                                  <w:tcW w:w="803" w:type="dxa"/>
                                  <w:tcBorders>
                                    <w:top w:val="single" w:sz="4" w:space="0" w:color="auto"/>
                                    <w:left w:val="nil"/>
                                    <w:bottom w:val="single" w:sz="4" w:space="0" w:color="auto"/>
                                    <w:right w:val="single" w:sz="4" w:space="0" w:color="auto"/>
                                  </w:tcBorders>
                                  <w:shd w:val="clear" w:color="auto" w:fill="auto"/>
                                  <w:vAlign w:val="center"/>
                                </w:tcPr>
                                <w:p w14:paraId="00D5813E" w14:textId="77777777" w:rsidR="00595985" w:rsidRPr="00CB775A" w:rsidRDefault="00595985" w:rsidP="00B84CB2">
                                  <w:pPr>
                                    <w:widowControl/>
                                    <w:spacing w:line="0" w:lineRule="atLeast"/>
                                    <w:jc w:val="right"/>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spacing w:val="-4"/>
                                      <w:kern w:val="0"/>
                                      <w:sz w:val="20"/>
                                    </w:rPr>
                                    <w:t xml:space="preserve">41.60 </w:t>
                                  </w:r>
                                </w:p>
                              </w:tc>
                              <w:tc>
                                <w:tcPr>
                                  <w:tcW w:w="803" w:type="dxa"/>
                                  <w:tcBorders>
                                    <w:top w:val="single" w:sz="4" w:space="0" w:color="auto"/>
                                    <w:left w:val="nil"/>
                                    <w:bottom w:val="single" w:sz="4" w:space="0" w:color="auto"/>
                                    <w:right w:val="single" w:sz="4" w:space="0" w:color="auto"/>
                                  </w:tcBorders>
                                  <w:shd w:val="clear" w:color="auto" w:fill="auto"/>
                                  <w:vAlign w:val="center"/>
                                </w:tcPr>
                                <w:p w14:paraId="19CBD4B5" w14:textId="77777777" w:rsidR="00595985" w:rsidRPr="00CB775A" w:rsidRDefault="00595985" w:rsidP="00B84CB2">
                                  <w:pPr>
                                    <w:widowControl/>
                                    <w:spacing w:line="0" w:lineRule="atLeast"/>
                                    <w:jc w:val="right"/>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spacing w:val="-4"/>
                                      <w:kern w:val="0"/>
                                      <w:sz w:val="20"/>
                                    </w:rPr>
                                    <w:t xml:space="preserve">42.10 </w:t>
                                  </w:r>
                                </w:p>
                              </w:tc>
                              <w:tc>
                                <w:tcPr>
                                  <w:tcW w:w="804" w:type="dxa"/>
                                  <w:tcBorders>
                                    <w:top w:val="single" w:sz="4" w:space="0" w:color="auto"/>
                                    <w:left w:val="nil"/>
                                    <w:bottom w:val="single" w:sz="4" w:space="0" w:color="auto"/>
                                    <w:right w:val="single" w:sz="4" w:space="0" w:color="auto"/>
                                  </w:tcBorders>
                                  <w:vAlign w:val="center"/>
                                </w:tcPr>
                                <w:p w14:paraId="3BABEB89" w14:textId="77777777" w:rsidR="00595985" w:rsidRPr="00CB775A" w:rsidRDefault="00595985" w:rsidP="00B84CB2">
                                  <w:pPr>
                                    <w:widowControl/>
                                    <w:spacing w:line="0" w:lineRule="atLeast"/>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spacing w:val="-4"/>
                                      <w:kern w:val="0"/>
                                      <w:sz w:val="20"/>
                                    </w:rPr>
                                    <w:t xml:space="preserve">43.96 </w:t>
                                  </w:r>
                                </w:p>
                              </w:tc>
                            </w:tr>
                            <w:tr w:rsidR="008054DD" w:rsidRPr="00F50A9E" w14:paraId="234B0547" w14:textId="77777777" w:rsidTr="008054DD">
                              <w:trPr>
                                <w:gridAfter w:val="2"/>
                                <w:wAfter w:w="3088" w:type="dxa"/>
                                <w:trHeight w:val="347"/>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25CDC" w14:textId="77777777" w:rsidR="008054DD" w:rsidRPr="00CB775A" w:rsidRDefault="008054DD" w:rsidP="007D44B4">
                                  <w:pPr>
                                    <w:widowControl/>
                                    <w:spacing w:line="0" w:lineRule="atLeast"/>
                                    <w:ind w:leftChars="30" w:left="72"/>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kern w:val="0"/>
                                      <w:sz w:val="20"/>
                                    </w:rPr>
                                    <w:t>出獄受刑人</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DC10BEE"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5</w:t>
                                  </w:r>
                                  <w:r w:rsidRPr="00CB775A">
                                    <w:rPr>
                                      <w:rFonts w:ascii="標楷體" w:eastAsia="標楷體" w:hAnsi="標楷體" w:cs="新細明體"/>
                                      <w:color w:val="000000" w:themeColor="text1"/>
                                      <w:spacing w:val="-4"/>
                                      <w:kern w:val="0"/>
                                      <w:sz w:val="20"/>
                                    </w:rPr>
                                    <w:t>1.39</w:t>
                                  </w:r>
                                </w:p>
                              </w:tc>
                              <w:tc>
                                <w:tcPr>
                                  <w:tcW w:w="803" w:type="dxa"/>
                                  <w:tcBorders>
                                    <w:top w:val="nil"/>
                                    <w:left w:val="nil"/>
                                    <w:bottom w:val="single" w:sz="4" w:space="0" w:color="auto"/>
                                    <w:right w:val="single" w:sz="4" w:space="0" w:color="auto"/>
                                  </w:tcBorders>
                                  <w:shd w:val="clear" w:color="auto" w:fill="auto"/>
                                  <w:vAlign w:val="center"/>
                                </w:tcPr>
                                <w:p w14:paraId="71F3A983"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45.24</w:t>
                                  </w:r>
                                </w:p>
                              </w:tc>
                              <w:tc>
                                <w:tcPr>
                                  <w:tcW w:w="803" w:type="dxa"/>
                                  <w:tcBorders>
                                    <w:top w:val="nil"/>
                                    <w:left w:val="nil"/>
                                    <w:bottom w:val="single" w:sz="4" w:space="0" w:color="auto"/>
                                    <w:right w:val="single" w:sz="4" w:space="0" w:color="auto"/>
                                  </w:tcBorders>
                                  <w:shd w:val="clear" w:color="auto" w:fill="auto"/>
                                  <w:vAlign w:val="center"/>
                                </w:tcPr>
                                <w:p w14:paraId="2BBAF0C4"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47.89</w:t>
                                  </w:r>
                                </w:p>
                              </w:tc>
                              <w:tc>
                                <w:tcPr>
                                  <w:tcW w:w="804" w:type="dxa"/>
                                  <w:tcBorders>
                                    <w:top w:val="nil"/>
                                    <w:left w:val="nil"/>
                                    <w:bottom w:val="single" w:sz="4" w:space="0" w:color="auto"/>
                                    <w:right w:val="single" w:sz="4" w:space="0" w:color="auto"/>
                                  </w:tcBorders>
                                  <w:vAlign w:val="center"/>
                                </w:tcPr>
                                <w:p w14:paraId="3DB35184" w14:textId="77777777" w:rsidR="008054DD" w:rsidRPr="00CB775A" w:rsidRDefault="008054DD" w:rsidP="00D55D80">
                                  <w:pPr>
                                    <w:widowControl/>
                                    <w:spacing w:line="0" w:lineRule="atLeast"/>
                                    <w:jc w:val="right"/>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51.79</w:t>
                                  </w:r>
                                </w:p>
                              </w:tc>
                            </w:tr>
                            <w:tr w:rsidR="008054DD" w:rsidRPr="00F50A9E" w14:paraId="14623FD4" w14:textId="77777777" w:rsidTr="008054DD">
                              <w:trPr>
                                <w:gridAfter w:val="2"/>
                                <w:wAfter w:w="3088" w:type="dxa"/>
                                <w:trHeight w:val="309"/>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358126" w14:textId="77777777" w:rsidR="008054DD" w:rsidRPr="00CB775A" w:rsidRDefault="008054DD" w:rsidP="007D44B4">
                                  <w:pPr>
                                    <w:widowControl/>
                                    <w:spacing w:line="0" w:lineRule="atLeast"/>
                                    <w:ind w:leftChars="30" w:left="72"/>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kern w:val="0"/>
                                      <w:sz w:val="20"/>
                                    </w:rPr>
                                    <w:t>出所受觀察勒戒人</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CA853D0"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3</w:t>
                                  </w:r>
                                  <w:r w:rsidRPr="00CB775A">
                                    <w:rPr>
                                      <w:rFonts w:ascii="標楷體" w:eastAsia="標楷體" w:hAnsi="標楷體" w:cs="新細明體"/>
                                      <w:color w:val="000000" w:themeColor="text1"/>
                                      <w:spacing w:val="-4"/>
                                      <w:kern w:val="0"/>
                                      <w:sz w:val="20"/>
                                    </w:rPr>
                                    <w:t>7.14</w:t>
                                  </w:r>
                                </w:p>
                              </w:tc>
                              <w:tc>
                                <w:tcPr>
                                  <w:tcW w:w="803" w:type="dxa"/>
                                  <w:tcBorders>
                                    <w:top w:val="nil"/>
                                    <w:left w:val="nil"/>
                                    <w:bottom w:val="single" w:sz="4" w:space="0" w:color="auto"/>
                                    <w:right w:val="single" w:sz="4" w:space="0" w:color="auto"/>
                                  </w:tcBorders>
                                  <w:shd w:val="clear" w:color="auto" w:fill="auto"/>
                                  <w:vAlign w:val="center"/>
                                </w:tcPr>
                                <w:p w14:paraId="20A43791"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36.38</w:t>
                                  </w:r>
                                </w:p>
                              </w:tc>
                              <w:tc>
                                <w:tcPr>
                                  <w:tcW w:w="803" w:type="dxa"/>
                                  <w:tcBorders>
                                    <w:top w:val="nil"/>
                                    <w:left w:val="nil"/>
                                    <w:bottom w:val="single" w:sz="4" w:space="0" w:color="auto"/>
                                    <w:right w:val="single" w:sz="4" w:space="0" w:color="auto"/>
                                  </w:tcBorders>
                                  <w:shd w:val="clear" w:color="auto" w:fill="auto"/>
                                  <w:vAlign w:val="center"/>
                                </w:tcPr>
                                <w:p w14:paraId="56F489D2"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41.73</w:t>
                                  </w:r>
                                </w:p>
                              </w:tc>
                              <w:tc>
                                <w:tcPr>
                                  <w:tcW w:w="804" w:type="dxa"/>
                                  <w:tcBorders>
                                    <w:top w:val="nil"/>
                                    <w:left w:val="nil"/>
                                    <w:bottom w:val="single" w:sz="4" w:space="0" w:color="auto"/>
                                    <w:right w:val="single" w:sz="4" w:space="0" w:color="auto"/>
                                  </w:tcBorders>
                                  <w:vAlign w:val="center"/>
                                </w:tcPr>
                                <w:p w14:paraId="7E581673" w14:textId="77777777" w:rsidR="008054DD" w:rsidRPr="00CB775A" w:rsidRDefault="008054DD" w:rsidP="00D55D80">
                                  <w:pPr>
                                    <w:widowControl/>
                                    <w:spacing w:line="0" w:lineRule="atLeast"/>
                                    <w:jc w:val="right"/>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45.24</w:t>
                                  </w:r>
                                </w:p>
                              </w:tc>
                            </w:tr>
                            <w:tr w:rsidR="008054DD" w:rsidRPr="00F50A9E" w14:paraId="3CCBA7EF" w14:textId="77777777" w:rsidTr="008054DD">
                              <w:trPr>
                                <w:gridAfter w:val="2"/>
                                <w:wAfter w:w="3088" w:type="dxa"/>
                                <w:trHeight w:val="359"/>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E854B" w14:textId="77777777" w:rsidR="008054DD" w:rsidRDefault="008054DD" w:rsidP="007D44B4">
                                  <w:pPr>
                                    <w:widowControl/>
                                    <w:spacing w:line="0" w:lineRule="atLeast"/>
                                    <w:ind w:leftChars="30" w:left="72"/>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出所</w:t>
                                  </w:r>
                                  <w:proofErr w:type="gramStart"/>
                                  <w:r w:rsidRPr="00F50A9E">
                                    <w:rPr>
                                      <w:rFonts w:ascii="標楷體" w:eastAsia="標楷體" w:hAnsi="標楷體" w:cs="新細明體" w:hint="eastAsia"/>
                                      <w:color w:val="000000"/>
                                      <w:kern w:val="0"/>
                                      <w:sz w:val="20"/>
                                    </w:rPr>
                                    <w:t>受戒治人</w:t>
                                  </w:r>
                                  <w:proofErr w:type="gramEnd"/>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6CC4F35"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3</w:t>
                                  </w:r>
                                  <w:r>
                                    <w:rPr>
                                      <w:rFonts w:ascii="標楷體" w:eastAsia="標楷體" w:hAnsi="標楷體" w:cs="新細明體"/>
                                      <w:color w:val="000000"/>
                                      <w:spacing w:val="-4"/>
                                      <w:kern w:val="0"/>
                                      <w:sz w:val="20"/>
                                    </w:rPr>
                                    <w:t>2.21</w:t>
                                  </w:r>
                                </w:p>
                              </w:tc>
                              <w:tc>
                                <w:tcPr>
                                  <w:tcW w:w="803" w:type="dxa"/>
                                  <w:tcBorders>
                                    <w:top w:val="nil"/>
                                    <w:left w:val="nil"/>
                                    <w:bottom w:val="single" w:sz="4" w:space="0" w:color="auto"/>
                                    <w:right w:val="single" w:sz="4" w:space="0" w:color="auto"/>
                                  </w:tcBorders>
                                  <w:shd w:val="clear" w:color="auto" w:fill="auto"/>
                                  <w:vAlign w:val="center"/>
                                </w:tcPr>
                                <w:p w14:paraId="1707909A"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20.73</w:t>
                                  </w:r>
                                </w:p>
                              </w:tc>
                              <w:tc>
                                <w:tcPr>
                                  <w:tcW w:w="803" w:type="dxa"/>
                                  <w:tcBorders>
                                    <w:top w:val="nil"/>
                                    <w:left w:val="nil"/>
                                    <w:bottom w:val="single" w:sz="4" w:space="0" w:color="auto"/>
                                    <w:right w:val="single" w:sz="4" w:space="0" w:color="auto"/>
                                  </w:tcBorders>
                                  <w:shd w:val="clear" w:color="auto" w:fill="auto"/>
                                  <w:vAlign w:val="center"/>
                                </w:tcPr>
                                <w:p w14:paraId="1843309A"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29.11</w:t>
                                  </w:r>
                                </w:p>
                              </w:tc>
                              <w:tc>
                                <w:tcPr>
                                  <w:tcW w:w="804" w:type="dxa"/>
                                  <w:tcBorders>
                                    <w:top w:val="nil"/>
                                    <w:left w:val="nil"/>
                                    <w:bottom w:val="single" w:sz="4" w:space="0" w:color="auto"/>
                                    <w:right w:val="single" w:sz="4" w:space="0" w:color="auto"/>
                                  </w:tcBorders>
                                  <w:vAlign w:val="center"/>
                                </w:tcPr>
                                <w:p w14:paraId="64AC3073" w14:textId="77777777" w:rsidR="008054DD" w:rsidRPr="00F50A9E" w:rsidRDefault="008054DD" w:rsidP="00D55D80">
                                  <w:pPr>
                                    <w:widowControl/>
                                    <w:spacing w:line="0" w:lineRule="atLeast"/>
                                    <w:jc w:val="right"/>
                                    <w:rPr>
                                      <w:rFonts w:ascii="標楷體" w:eastAsia="標楷體" w:hAnsi="標楷體" w:cs="新細明體"/>
                                      <w:color w:val="000000"/>
                                      <w:kern w:val="0"/>
                                      <w:sz w:val="20"/>
                                    </w:rPr>
                                  </w:pPr>
                                  <w:r w:rsidRPr="00B84CB2">
                                    <w:rPr>
                                      <w:rFonts w:ascii="標楷體" w:eastAsia="標楷體" w:hAnsi="標楷體" w:cs="新細明體" w:hint="eastAsia"/>
                                      <w:color w:val="000000"/>
                                      <w:spacing w:val="-4"/>
                                      <w:kern w:val="0"/>
                                      <w:sz w:val="20"/>
                                    </w:rPr>
                                    <w:t>28.89</w:t>
                                  </w:r>
                                </w:p>
                              </w:tc>
                            </w:tr>
                            <w:tr w:rsidR="008054DD" w:rsidRPr="00F50A9E" w14:paraId="6F16EF4C" w14:textId="77777777" w:rsidTr="008054DD">
                              <w:trPr>
                                <w:gridAfter w:val="2"/>
                                <w:wAfter w:w="3088" w:type="dxa"/>
                                <w:trHeight w:val="275"/>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18DDA" w14:textId="77777777" w:rsidR="008054DD" w:rsidRDefault="008054DD" w:rsidP="007D44B4">
                                  <w:pPr>
                                    <w:widowControl/>
                                    <w:spacing w:line="0" w:lineRule="atLeast"/>
                                    <w:ind w:leftChars="30" w:left="72"/>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緩起訴處分</w:t>
                                  </w:r>
                                  <w:proofErr w:type="gramStart"/>
                                  <w:r w:rsidRPr="00F50A9E">
                                    <w:rPr>
                                      <w:rFonts w:ascii="標楷體" w:eastAsia="標楷體" w:hAnsi="標楷體" w:cs="新細明體" w:hint="eastAsia"/>
                                      <w:color w:val="000000"/>
                                      <w:kern w:val="0"/>
                                      <w:sz w:val="20"/>
                                    </w:rPr>
                                    <w:t>附命戒</w:t>
                                  </w:r>
                                  <w:proofErr w:type="gramEnd"/>
                                  <w:r w:rsidRPr="00F50A9E">
                                    <w:rPr>
                                      <w:rFonts w:ascii="標楷體" w:eastAsia="標楷體" w:hAnsi="標楷體" w:cs="新細明體" w:hint="eastAsia"/>
                                      <w:color w:val="000000"/>
                                      <w:kern w:val="0"/>
                                      <w:sz w:val="20"/>
                                    </w:rPr>
                                    <w:t>癮治療確定者</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64BC4A0"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4</w:t>
                                  </w:r>
                                  <w:r>
                                    <w:rPr>
                                      <w:rFonts w:ascii="標楷體" w:eastAsia="標楷體" w:hAnsi="標楷體" w:cs="新細明體"/>
                                      <w:color w:val="000000"/>
                                      <w:spacing w:val="-4"/>
                                      <w:kern w:val="0"/>
                                      <w:sz w:val="20"/>
                                    </w:rPr>
                                    <w:t>6.88</w:t>
                                  </w:r>
                                </w:p>
                              </w:tc>
                              <w:tc>
                                <w:tcPr>
                                  <w:tcW w:w="803" w:type="dxa"/>
                                  <w:tcBorders>
                                    <w:top w:val="nil"/>
                                    <w:left w:val="nil"/>
                                    <w:bottom w:val="single" w:sz="4" w:space="0" w:color="auto"/>
                                    <w:right w:val="single" w:sz="4" w:space="0" w:color="auto"/>
                                  </w:tcBorders>
                                  <w:shd w:val="clear" w:color="auto" w:fill="auto"/>
                                  <w:vAlign w:val="center"/>
                                </w:tcPr>
                                <w:p w14:paraId="53C3258F"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40.18</w:t>
                                  </w:r>
                                </w:p>
                              </w:tc>
                              <w:tc>
                                <w:tcPr>
                                  <w:tcW w:w="803" w:type="dxa"/>
                                  <w:tcBorders>
                                    <w:top w:val="nil"/>
                                    <w:left w:val="nil"/>
                                    <w:bottom w:val="single" w:sz="4" w:space="0" w:color="auto"/>
                                    <w:right w:val="single" w:sz="4" w:space="0" w:color="auto"/>
                                  </w:tcBorders>
                                  <w:shd w:val="clear" w:color="auto" w:fill="auto"/>
                                  <w:vAlign w:val="center"/>
                                </w:tcPr>
                                <w:p w14:paraId="0084CD79"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41.47</w:t>
                                  </w:r>
                                </w:p>
                              </w:tc>
                              <w:tc>
                                <w:tcPr>
                                  <w:tcW w:w="804" w:type="dxa"/>
                                  <w:tcBorders>
                                    <w:top w:val="nil"/>
                                    <w:left w:val="nil"/>
                                    <w:bottom w:val="single" w:sz="4" w:space="0" w:color="auto"/>
                                    <w:right w:val="single" w:sz="4" w:space="0" w:color="auto"/>
                                  </w:tcBorders>
                                  <w:vAlign w:val="center"/>
                                </w:tcPr>
                                <w:p w14:paraId="01CB4B5D" w14:textId="77777777" w:rsidR="008054DD" w:rsidRPr="00F50A9E" w:rsidRDefault="008054DD" w:rsidP="00D55D80">
                                  <w:pPr>
                                    <w:widowControl/>
                                    <w:spacing w:line="0" w:lineRule="atLeast"/>
                                    <w:jc w:val="right"/>
                                    <w:rPr>
                                      <w:rFonts w:ascii="標楷體" w:eastAsia="標楷體" w:hAnsi="標楷體" w:cs="新細明體"/>
                                      <w:color w:val="000000"/>
                                      <w:kern w:val="0"/>
                                      <w:sz w:val="20"/>
                                    </w:rPr>
                                  </w:pPr>
                                  <w:r w:rsidRPr="00B84CB2">
                                    <w:rPr>
                                      <w:rFonts w:ascii="標楷體" w:eastAsia="標楷體" w:hAnsi="標楷體" w:cs="新細明體" w:hint="eastAsia"/>
                                      <w:color w:val="000000"/>
                                      <w:spacing w:val="-4"/>
                                      <w:kern w:val="0"/>
                                      <w:sz w:val="20"/>
                                    </w:rPr>
                                    <w:t>42.93</w:t>
                                  </w:r>
                                </w:p>
                              </w:tc>
                            </w:tr>
                            <w:tr w:rsidR="008054DD" w:rsidRPr="00F50A9E" w14:paraId="4EB35250" w14:textId="77777777" w:rsidTr="008054DD">
                              <w:trPr>
                                <w:gridAfter w:val="2"/>
                                <w:wAfter w:w="3088" w:type="dxa"/>
                                <w:trHeight w:val="276"/>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9C8B7" w14:textId="77777777" w:rsidR="008054DD" w:rsidRDefault="008054DD" w:rsidP="007D44B4">
                                  <w:pPr>
                                    <w:widowControl/>
                                    <w:spacing w:line="0" w:lineRule="atLeast"/>
                                    <w:ind w:leftChars="30" w:left="72"/>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毒品行政</w:t>
                                  </w:r>
                                  <w:proofErr w:type="gramStart"/>
                                  <w:r w:rsidRPr="00F50A9E">
                                    <w:rPr>
                                      <w:rFonts w:ascii="標楷體" w:eastAsia="標楷體" w:hAnsi="標楷體" w:cs="新細明體" w:hint="eastAsia"/>
                                      <w:color w:val="000000"/>
                                      <w:kern w:val="0"/>
                                      <w:sz w:val="20"/>
                                    </w:rPr>
                                    <w:t>裁罰受處分</w:t>
                                  </w:r>
                                  <w:proofErr w:type="gramEnd"/>
                                  <w:r w:rsidRPr="00F50A9E">
                                    <w:rPr>
                                      <w:rFonts w:ascii="標楷體" w:eastAsia="標楷體" w:hAnsi="標楷體" w:cs="新細明體" w:hint="eastAsia"/>
                                      <w:color w:val="000000"/>
                                      <w:kern w:val="0"/>
                                      <w:sz w:val="20"/>
                                    </w:rPr>
                                    <w:t>人</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5D45D7EA"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4</w:t>
                                  </w:r>
                                  <w:r>
                                    <w:rPr>
                                      <w:rFonts w:ascii="標楷體" w:eastAsia="標楷體" w:hAnsi="標楷體" w:cs="新細明體"/>
                                      <w:color w:val="000000"/>
                                      <w:spacing w:val="-4"/>
                                      <w:kern w:val="0"/>
                                      <w:sz w:val="20"/>
                                    </w:rPr>
                                    <w:t>6.42</w:t>
                                  </w:r>
                                </w:p>
                              </w:tc>
                              <w:tc>
                                <w:tcPr>
                                  <w:tcW w:w="803" w:type="dxa"/>
                                  <w:tcBorders>
                                    <w:top w:val="nil"/>
                                    <w:left w:val="nil"/>
                                    <w:bottom w:val="single" w:sz="4" w:space="0" w:color="auto"/>
                                    <w:right w:val="single" w:sz="4" w:space="0" w:color="auto"/>
                                  </w:tcBorders>
                                  <w:shd w:val="clear" w:color="auto" w:fill="auto"/>
                                  <w:vAlign w:val="center"/>
                                </w:tcPr>
                                <w:p w14:paraId="5B791821"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42.09</w:t>
                                  </w:r>
                                </w:p>
                              </w:tc>
                              <w:tc>
                                <w:tcPr>
                                  <w:tcW w:w="803" w:type="dxa"/>
                                  <w:tcBorders>
                                    <w:top w:val="nil"/>
                                    <w:left w:val="nil"/>
                                    <w:bottom w:val="single" w:sz="4" w:space="0" w:color="auto"/>
                                    <w:right w:val="single" w:sz="4" w:space="0" w:color="auto"/>
                                  </w:tcBorders>
                                  <w:shd w:val="clear" w:color="auto" w:fill="auto"/>
                                  <w:vAlign w:val="center"/>
                                </w:tcPr>
                                <w:p w14:paraId="4F9F87F3"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spacing w:val="-4"/>
                                      <w:kern w:val="0"/>
                                      <w:sz w:val="20"/>
                                    </w:rPr>
                                    <w:t>40.74</w:t>
                                  </w:r>
                                </w:p>
                              </w:tc>
                              <w:tc>
                                <w:tcPr>
                                  <w:tcW w:w="804" w:type="dxa"/>
                                  <w:tcBorders>
                                    <w:top w:val="nil"/>
                                    <w:left w:val="nil"/>
                                    <w:bottom w:val="single" w:sz="4" w:space="0" w:color="auto"/>
                                    <w:right w:val="single" w:sz="4" w:space="0" w:color="auto"/>
                                  </w:tcBorders>
                                  <w:vAlign w:val="center"/>
                                </w:tcPr>
                                <w:p w14:paraId="362F4693" w14:textId="77777777" w:rsidR="008054DD" w:rsidRPr="00F50A9E" w:rsidRDefault="008054DD" w:rsidP="00D55D80">
                                  <w:pPr>
                                    <w:widowControl/>
                                    <w:spacing w:line="0" w:lineRule="atLeast"/>
                                    <w:jc w:val="right"/>
                                    <w:rPr>
                                      <w:rFonts w:ascii="標楷體" w:eastAsia="標楷體" w:hAnsi="標楷體" w:cs="新細明體"/>
                                      <w:color w:val="000000"/>
                                      <w:kern w:val="0"/>
                                      <w:sz w:val="20"/>
                                    </w:rPr>
                                  </w:pPr>
                                  <w:r w:rsidRPr="00B84CB2">
                                    <w:rPr>
                                      <w:rFonts w:ascii="標楷體" w:eastAsia="標楷體" w:hAnsi="標楷體" w:cs="新細明體" w:hint="eastAsia"/>
                                      <w:color w:val="000000"/>
                                      <w:spacing w:val="-4"/>
                                      <w:kern w:val="0"/>
                                      <w:sz w:val="20"/>
                                    </w:rPr>
                                    <w:t>43.21</w:t>
                                  </w:r>
                                </w:p>
                              </w:tc>
                            </w:tr>
                            <w:tr w:rsidR="00595985" w:rsidRPr="00F50A9E" w14:paraId="00A78013" w14:textId="77777777" w:rsidTr="00524428">
                              <w:trPr>
                                <w:gridAfter w:val="2"/>
                                <w:wAfter w:w="3088" w:type="dxa"/>
                                <w:trHeight w:val="276"/>
                              </w:trPr>
                              <w:tc>
                                <w:tcPr>
                                  <w:tcW w:w="4820" w:type="dxa"/>
                                  <w:gridSpan w:val="6"/>
                                  <w:tcBorders>
                                    <w:top w:val="single" w:sz="4" w:space="0" w:color="auto"/>
                                  </w:tcBorders>
                                  <w:shd w:val="clear" w:color="auto" w:fill="auto"/>
                                  <w:vAlign w:val="center"/>
                                </w:tcPr>
                                <w:p w14:paraId="5069A9E4" w14:textId="77777777" w:rsidR="00595985" w:rsidRPr="00B84CB2" w:rsidRDefault="00595985" w:rsidP="00524428">
                                  <w:pPr>
                                    <w:widowControl/>
                                    <w:spacing w:line="0" w:lineRule="atLeast"/>
                                    <w:ind w:leftChars="-12" w:left="-29"/>
                                    <w:rPr>
                                      <w:rFonts w:ascii="標楷體" w:eastAsia="標楷體" w:hAnsi="標楷體" w:cs="新細明體"/>
                                      <w:color w:val="000000"/>
                                      <w:spacing w:val="-4"/>
                                      <w:kern w:val="0"/>
                                      <w:sz w:val="20"/>
                                    </w:rPr>
                                  </w:pPr>
                                  <w:r w:rsidRPr="00D55D80">
                                    <w:rPr>
                                      <w:rFonts w:ascii="標楷體" w:eastAsia="標楷體" w:hAnsi="標楷體" w:cs="新細明體" w:hint="eastAsia"/>
                                      <w:kern w:val="0"/>
                                      <w:sz w:val="18"/>
                                      <w:szCs w:val="18"/>
                                    </w:rPr>
                                    <w:t>資料來源：整理自法務部及內政部警政署提供資料</w:t>
                                  </w:r>
                                  <w:r>
                                    <w:rPr>
                                      <w:rFonts w:ascii="標楷體" w:eastAsia="標楷體" w:hAnsi="標楷體" w:cs="新細明體" w:hint="eastAsia"/>
                                      <w:kern w:val="0"/>
                                      <w:sz w:val="18"/>
                                      <w:szCs w:val="18"/>
                                    </w:rPr>
                                    <w:t>。</w:t>
                                  </w:r>
                                </w:p>
                              </w:tc>
                            </w:tr>
                            <w:tr w:rsidR="00595985" w:rsidRPr="00D55D80" w14:paraId="56FA27E5" w14:textId="77777777" w:rsidTr="00524428">
                              <w:trPr>
                                <w:trHeight w:val="539"/>
                              </w:trPr>
                              <w:tc>
                                <w:tcPr>
                                  <w:tcW w:w="142" w:type="dxa"/>
                                  <w:tcBorders>
                                    <w:top w:val="nil"/>
                                    <w:left w:val="nil"/>
                                    <w:bottom w:val="nil"/>
                                    <w:right w:val="nil"/>
                                  </w:tcBorders>
                                </w:tcPr>
                                <w:p w14:paraId="34E91020" w14:textId="77777777" w:rsidR="00595985" w:rsidRPr="00D55D80" w:rsidRDefault="00595985" w:rsidP="00524428">
                                  <w:pPr>
                                    <w:widowControl/>
                                    <w:spacing w:line="0" w:lineRule="atLeast"/>
                                    <w:ind w:leftChars="-16" w:left="-31" w:hangingChars="4" w:hanging="7"/>
                                    <w:jc w:val="both"/>
                                    <w:rPr>
                                      <w:rFonts w:ascii="標楷體" w:eastAsia="標楷體" w:hAnsi="標楷體" w:cs="新細明體"/>
                                      <w:kern w:val="0"/>
                                      <w:sz w:val="18"/>
                                      <w:szCs w:val="18"/>
                                    </w:rPr>
                                  </w:pPr>
                                </w:p>
                              </w:tc>
                              <w:tc>
                                <w:tcPr>
                                  <w:tcW w:w="7685" w:type="dxa"/>
                                  <w:gridSpan w:val="6"/>
                                  <w:vMerge w:val="restart"/>
                                  <w:tcBorders>
                                    <w:top w:val="nil"/>
                                    <w:left w:val="nil"/>
                                    <w:bottom w:val="nil"/>
                                    <w:right w:val="nil"/>
                                  </w:tcBorders>
                                  <w:shd w:val="clear" w:color="auto" w:fill="auto"/>
                                </w:tcPr>
                                <w:p w14:paraId="6C1C7071" w14:textId="77777777" w:rsidR="00595985" w:rsidRPr="00524428" w:rsidRDefault="00595985" w:rsidP="00524428">
                                  <w:pPr>
                                    <w:widowControl/>
                                    <w:spacing w:line="0" w:lineRule="atLeast"/>
                                    <w:jc w:val="both"/>
                                    <w:rPr>
                                      <w:rFonts w:ascii="標楷體" w:eastAsia="標楷體" w:hAnsi="標楷體" w:cs="新細明體"/>
                                      <w:kern w:val="0"/>
                                      <w:sz w:val="20"/>
                                    </w:rPr>
                                  </w:pPr>
                                </w:p>
                              </w:tc>
                              <w:tc>
                                <w:tcPr>
                                  <w:tcW w:w="81" w:type="dxa"/>
                                  <w:tcBorders>
                                    <w:top w:val="nil"/>
                                    <w:left w:val="nil"/>
                                    <w:bottom w:val="nil"/>
                                    <w:right w:val="nil"/>
                                  </w:tcBorders>
                                </w:tcPr>
                                <w:p w14:paraId="1A129C12" w14:textId="77777777" w:rsidR="00595985" w:rsidRPr="00D55D80" w:rsidRDefault="00595985" w:rsidP="00D55D80">
                                  <w:pPr>
                                    <w:widowControl/>
                                    <w:spacing w:line="0" w:lineRule="atLeast"/>
                                    <w:ind w:left="508" w:hangingChars="282" w:hanging="508"/>
                                    <w:jc w:val="both"/>
                                    <w:rPr>
                                      <w:rFonts w:ascii="標楷體" w:eastAsia="標楷體" w:hAnsi="標楷體" w:cs="新細明體"/>
                                      <w:kern w:val="0"/>
                                      <w:sz w:val="18"/>
                                      <w:szCs w:val="18"/>
                                    </w:rPr>
                                  </w:pPr>
                                </w:p>
                              </w:tc>
                            </w:tr>
                            <w:tr w:rsidR="00595985" w:rsidRPr="00F50A9E" w14:paraId="71B247B5" w14:textId="77777777" w:rsidTr="00524428">
                              <w:trPr>
                                <w:trHeight w:val="539"/>
                              </w:trPr>
                              <w:tc>
                                <w:tcPr>
                                  <w:tcW w:w="142" w:type="dxa"/>
                                  <w:tcBorders>
                                    <w:top w:val="nil"/>
                                    <w:left w:val="nil"/>
                                    <w:bottom w:val="nil"/>
                                    <w:right w:val="nil"/>
                                  </w:tcBorders>
                                </w:tcPr>
                                <w:p w14:paraId="55D94F5C" w14:textId="77777777" w:rsidR="00595985" w:rsidRPr="00F50A9E" w:rsidRDefault="00595985" w:rsidP="00D55D80">
                                  <w:pPr>
                                    <w:widowControl/>
                                    <w:spacing w:line="0" w:lineRule="atLeast"/>
                                    <w:rPr>
                                      <w:rFonts w:ascii="標楷體" w:eastAsia="標楷體" w:hAnsi="標楷體" w:cs="新細明體"/>
                                      <w:color w:val="000000"/>
                                      <w:kern w:val="0"/>
                                      <w:sz w:val="20"/>
                                    </w:rPr>
                                  </w:pPr>
                                </w:p>
                              </w:tc>
                              <w:tc>
                                <w:tcPr>
                                  <w:tcW w:w="7685" w:type="dxa"/>
                                  <w:gridSpan w:val="6"/>
                                  <w:vMerge/>
                                  <w:tcBorders>
                                    <w:top w:val="nil"/>
                                    <w:left w:val="nil"/>
                                    <w:bottom w:val="nil"/>
                                    <w:right w:val="nil"/>
                                  </w:tcBorders>
                                  <w:vAlign w:val="center"/>
                                  <w:hideMark/>
                                </w:tcPr>
                                <w:p w14:paraId="0CC66E17" w14:textId="77777777" w:rsidR="00595985" w:rsidRPr="00F50A9E" w:rsidRDefault="00595985" w:rsidP="00D55D80">
                                  <w:pPr>
                                    <w:widowControl/>
                                    <w:spacing w:line="0" w:lineRule="atLeast"/>
                                    <w:rPr>
                                      <w:rFonts w:ascii="標楷體" w:eastAsia="標楷體" w:hAnsi="標楷體" w:cs="新細明體"/>
                                      <w:color w:val="000000"/>
                                      <w:kern w:val="0"/>
                                      <w:sz w:val="20"/>
                                    </w:rPr>
                                  </w:pPr>
                                </w:p>
                              </w:tc>
                              <w:tc>
                                <w:tcPr>
                                  <w:tcW w:w="81" w:type="dxa"/>
                                  <w:tcBorders>
                                    <w:top w:val="nil"/>
                                    <w:left w:val="nil"/>
                                    <w:bottom w:val="nil"/>
                                    <w:right w:val="nil"/>
                                  </w:tcBorders>
                                </w:tcPr>
                                <w:p w14:paraId="337A30E3" w14:textId="77777777" w:rsidR="00595985" w:rsidRPr="00F50A9E" w:rsidRDefault="00595985" w:rsidP="00D55D80">
                                  <w:pPr>
                                    <w:widowControl/>
                                    <w:spacing w:line="0" w:lineRule="atLeast"/>
                                    <w:rPr>
                                      <w:rFonts w:ascii="標楷體" w:eastAsia="標楷體" w:hAnsi="標楷體" w:cs="新細明體"/>
                                      <w:color w:val="000000"/>
                                      <w:kern w:val="0"/>
                                      <w:sz w:val="20"/>
                                    </w:rPr>
                                  </w:pPr>
                                </w:p>
                              </w:tc>
                            </w:tr>
                          </w:tbl>
                          <w:p w14:paraId="5F75E363" w14:textId="77777777" w:rsidR="00595985" w:rsidRPr="0028669B" w:rsidRDefault="00595985" w:rsidP="0059598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9E105" id="_x0000_s1074" type="#_x0000_t202" style="position:absolute;left:0;text-align:left;margin-left:230.75pt;margin-top:86pt;width:267pt;height:225.6pt;z-index:251631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" fillcolor="window" stroked="f">
                <v:textbox>
                  <w:txbxContent>
                    <w:tbl>
                      <w:tblPr>
                        <w:tblW w:w="7908" w:type="dxa"/>
                        <w:tblLayout w:type="fixed"/>
                        <w:tblCellMar>
                          <w:left w:w="28" w:type="dxa"/>
                          <w:right w:w="28" w:type="dxa"/>
                        </w:tblCellMar>
                        <w:tblLook w:val="04A0" w:firstRow="1" w:lastRow="0" w:firstColumn="1" w:lastColumn="0" w:noHBand="0" w:noVBand="1"/>
                      </w:tblPr>
                      <w:tblGrid>
                        <w:gridCol w:w="142"/>
                        <w:gridCol w:w="1276"/>
                        <w:gridCol w:w="992"/>
                        <w:gridCol w:w="803"/>
                        <w:gridCol w:w="803"/>
                        <w:gridCol w:w="804"/>
                        <w:gridCol w:w="3007"/>
                        <w:gridCol w:w="81"/>
                      </w:tblGrid>
                      <w:tr w:rsidR="00595985" w:rsidRPr="00F50A9E" w14:paraId="4F94B9EF" w14:textId="77777777" w:rsidTr="00F85E4E">
                        <w:trPr>
                          <w:gridAfter w:val="2"/>
                          <w:wAfter w:w="3088" w:type="dxa"/>
                          <w:trHeight w:val="428"/>
                        </w:trPr>
                        <w:tc>
                          <w:tcPr>
                            <w:tcW w:w="4820" w:type="dxa"/>
                            <w:gridSpan w:val="6"/>
                            <w:tcBorders>
                              <w:top w:val="nil"/>
                              <w:left w:val="nil"/>
                              <w:bottom w:val="nil"/>
                              <w:right w:val="nil"/>
                            </w:tcBorders>
                          </w:tcPr>
                          <w:p w14:paraId="68CE5B62" w14:textId="49A424A7" w:rsidR="00595985" w:rsidRPr="00CB775A" w:rsidRDefault="00595985" w:rsidP="0028669B">
                            <w:pPr>
                              <w:widowControl/>
                              <w:spacing w:line="0" w:lineRule="atLeast"/>
                              <w:jc w:val="center"/>
                              <w:rPr>
                                <w:rFonts w:ascii="標楷體" w:eastAsia="標楷體" w:hAnsi="標楷體" w:cs="新細明體"/>
                                <w:b/>
                                <w:bCs/>
                                <w:color w:val="000000" w:themeColor="text1"/>
                                <w:kern w:val="0"/>
                                <w:szCs w:val="24"/>
                              </w:rPr>
                            </w:pPr>
                            <w:bookmarkStart w:id="16" w:name="RANGE!A1:E58"/>
                            <w:r w:rsidRPr="00CB775A">
                              <w:rPr>
                                <w:rFonts w:ascii="標楷體" w:eastAsia="標楷體" w:hAnsi="標楷體" w:cs="新細明體" w:hint="eastAsia"/>
                                <w:b/>
                                <w:bCs/>
                                <w:color w:val="000000" w:themeColor="text1"/>
                                <w:kern w:val="0"/>
                                <w:szCs w:val="24"/>
                              </w:rPr>
                              <w:t>表</w:t>
                            </w:r>
                            <w:r w:rsidR="00AA477D">
                              <w:rPr>
                                <w:rFonts w:ascii="標楷體" w:eastAsia="標楷體" w:hAnsi="標楷體" w:cs="新細明體"/>
                                <w:b/>
                                <w:bCs/>
                                <w:color w:val="000000" w:themeColor="text1"/>
                                <w:kern w:val="0"/>
                                <w:szCs w:val="24"/>
                              </w:rPr>
                              <w:t>23</w:t>
                            </w:r>
                            <w:r w:rsidR="00A74334">
                              <w:rPr>
                                <w:rFonts w:ascii="標楷體" w:eastAsia="標楷體" w:hAnsi="標楷體" w:cs="新細明體" w:hint="eastAsia"/>
                                <w:b/>
                                <w:bCs/>
                                <w:color w:val="000000" w:themeColor="text1"/>
                                <w:kern w:val="0"/>
                                <w:szCs w:val="24"/>
                              </w:rPr>
                              <w:t xml:space="preserve">　</w:t>
                            </w:r>
                            <w:r w:rsidRPr="00CB775A">
                              <w:rPr>
                                <w:rFonts w:ascii="標楷體" w:eastAsia="標楷體" w:hAnsi="標楷體" w:cs="新細明體" w:hint="eastAsia"/>
                                <w:b/>
                                <w:bCs/>
                                <w:color w:val="000000" w:themeColor="text1"/>
                                <w:kern w:val="0"/>
                                <w:szCs w:val="24"/>
                              </w:rPr>
                              <w:t>施用毒品成人2年內再犯</w:t>
                            </w:r>
                            <w:bookmarkEnd w:id="16"/>
                            <w:r w:rsidRPr="00CB775A">
                              <w:rPr>
                                <w:rFonts w:ascii="標楷體" w:eastAsia="標楷體" w:hAnsi="標楷體" w:cs="新細明體" w:hint="eastAsia"/>
                                <w:b/>
                                <w:bCs/>
                                <w:color w:val="000000" w:themeColor="text1"/>
                                <w:kern w:val="0"/>
                                <w:szCs w:val="24"/>
                              </w:rPr>
                              <w:t>比率</w:t>
                            </w:r>
                          </w:p>
                        </w:tc>
                      </w:tr>
                      <w:tr w:rsidR="00595985" w:rsidRPr="003D616D" w14:paraId="2E8F8872" w14:textId="77777777" w:rsidTr="00524428">
                        <w:trPr>
                          <w:gridAfter w:val="2"/>
                          <w:wAfter w:w="3088" w:type="dxa"/>
                          <w:trHeight w:val="208"/>
                        </w:trPr>
                        <w:tc>
                          <w:tcPr>
                            <w:tcW w:w="142" w:type="dxa"/>
                            <w:tcBorders>
                              <w:top w:val="nil"/>
                              <w:left w:val="nil"/>
                              <w:bottom w:val="single" w:sz="4" w:space="0" w:color="auto"/>
                              <w:right w:val="nil"/>
                            </w:tcBorders>
                          </w:tcPr>
                          <w:p w14:paraId="17ADDEEB" w14:textId="77777777" w:rsidR="00595985" w:rsidRPr="00CB775A" w:rsidRDefault="00595985" w:rsidP="0028669B">
                            <w:pPr>
                              <w:widowControl/>
                              <w:spacing w:line="0" w:lineRule="atLeast"/>
                              <w:jc w:val="right"/>
                              <w:rPr>
                                <w:rFonts w:ascii="標楷體" w:eastAsia="標楷體" w:hAnsi="標楷體" w:cs="新細明體"/>
                                <w:color w:val="000000" w:themeColor="text1"/>
                                <w:kern w:val="0"/>
                                <w:sz w:val="20"/>
                              </w:rPr>
                            </w:pPr>
                          </w:p>
                        </w:tc>
                        <w:tc>
                          <w:tcPr>
                            <w:tcW w:w="4678" w:type="dxa"/>
                            <w:gridSpan w:val="5"/>
                            <w:tcBorders>
                              <w:top w:val="nil"/>
                              <w:left w:val="nil"/>
                              <w:bottom w:val="single" w:sz="4" w:space="0" w:color="auto"/>
                              <w:right w:val="nil"/>
                            </w:tcBorders>
                            <w:shd w:val="clear" w:color="auto" w:fill="auto"/>
                            <w:noWrap/>
                            <w:vAlign w:val="center"/>
                            <w:hideMark/>
                          </w:tcPr>
                          <w:p w14:paraId="044D8FBA" w14:textId="77777777" w:rsidR="00595985" w:rsidRPr="00CB775A" w:rsidRDefault="00595985" w:rsidP="0028669B">
                            <w:pPr>
                              <w:widowControl/>
                              <w:spacing w:line="0" w:lineRule="atLeast"/>
                              <w:jc w:val="right"/>
                              <w:rPr>
                                <w:rFonts w:ascii="標楷體" w:eastAsia="標楷體" w:hAnsi="標楷體" w:cs="新細明體"/>
                                <w:color w:val="000000" w:themeColor="text1"/>
                                <w:kern w:val="0"/>
                                <w:sz w:val="22"/>
                              </w:rPr>
                            </w:pPr>
                            <w:r w:rsidRPr="00CB775A">
                              <w:rPr>
                                <w:rFonts w:ascii="標楷體" w:eastAsia="標楷體" w:hAnsi="標楷體" w:cs="新細明體" w:hint="eastAsia"/>
                                <w:color w:val="000000" w:themeColor="text1"/>
                                <w:kern w:val="0"/>
                                <w:sz w:val="20"/>
                              </w:rPr>
                              <w:t>單位：％</w:t>
                            </w:r>
                          </w:p>
                        </w:tc>
                      </w:tr>
                      <w:tr w:rsidR="00595985" w:rsidRPr="00F50A9E" w14:paraId="6930EB80" w14:textId="77777777" w:rsidTr="008054DD">
                        <w:trPr>
                          <w:gridAfter w:val="2"/>
                          <w:wAfter w:w="3088" w:type="dxa"/>
                          <w:trHeight w:val="543"/>
                        </w:trPr>
                        <w:tc>
                          <w:tcPr>
                            <w:tcW w:w="141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537247E4"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 xml:space="preserve"> </w:t>
                            </w:r>
                            <w:r w:rsidRPr="00CB775A">
                              <w:rPr>
                                <w:rFonts w:ascii="標楷體" w:eastAsia="標楷體" w:hAnsi="標楷體" w:cs="新細明體"/>
                                <w:color w:val="000000" w:themeColor="text1"/>
                                <w:kern w:val="0"/>
                                <w:sz w:val="20"/>
                              </w:rPr>
                              <w:t xml:space="preserve">       </w:t>
                            </w:r>
                            <w:r w:rsidRPr="00CB775A">
                              <w:rPr>
                                <w:rFonts w:ascii="標楷體" w:eastAsia="標楷體" w:hAnsi="標楷體" w:cs="新細明體" w:hint="eastAsia"/>
                                <w:color w:val="000000" w:themeColor="text1"/>
                                <w:kern w:val="0"/>
                                <w:sz w:val="20"/>
                              </w:rPr>
                              <w:t>年度</w:t>
                            </w:r>
                          </w:p>
                          <w:p w14:paraId="623CE4CC" w14:textId="77777777" w:rsidR="00595985" w:rsidRPr="00CB775A" w:rsidRDefault="00595985" w:rsidP="00D55D80">
                            <w:pPr>
                              <w:spacing w:line="0" w:lineRule="atLeast"/>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身分別</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24052"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1</w:t>
                            </w:r>
                            <w:r w:rsidRPr="00CB775A">
                              <w:rPr>
                                <w:rFonts w:ascii="標楷體" w:eastAsia="標楷體" w:hAnsi="標楷體" w:cs="新細明體"/>
                                <w:color w:val="000000" w:themeColor="text1"/>
                                <w:kern w:val="0"/>
                                <w:sz w:val="20"/>
                              </w:rPr>
                              <w:t>06</w:t>
                            </w:r>
                            <w:r>
                              <w:rPr>
                                <w:rFonts w:ascii="標楷體" w:eastAsia="標楷體" w:hAnsi="標楷體" w:cs="新細明體" w:hint="eastAsia"/>
                                <w:color w:val="000000" w:themeColor="text1"/>
                                <w:kern w:val="0"/>
                                <w:sz w:val="20"/>
                              </w:rPr>
                              <w:t>至</w:t>
                            </w:r>
                            <w:r w:rsidRPr="00CB775A">
                              <w:rPr>
                                <w:rFonts w:ascii="標楷體" w:eastAsia="標楷體" w:hAnsi="標楷體" w:cs="新細明體"/>
                                <w:color w:val="000000" w:themeColor="text1"/>
                                <w:kern w:val="0"/>
                                <w:sz w:val="20"/>
                              </w:rPr>
                              <w:t>108</w:t>
                            </w:r>
                          </w:p>
                          <w:p w14:paraId="1E0A7E4E"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平均</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39C3B20"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109</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B94E45C" w14:textId="77777777" w:rsidR="00595985" w:rsidRPr="00CB775A" w:rsidRDefault="00595985" w:rsidP="00BD5AF6">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110</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14:paraId="4A097DEE" w14:textId="77777777" w:rsidR="00595985" w:rsidRPr="00CB775A" w:rsidRDefault="00595985" w:rsidP="0028669B">
                            <w:pPr>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111</w:t>
                            </w:r>
                          </w:p>
                        </w:tc>
                      </w:tr>
                      <w:tr w:rsidR="00595985" w:rsidRPr="00F50A9E" w14:paraId="4D77CC8F" w14:textId="77777777" w:rsidTr="008054DD">
                        <w:trPr>
                          <w:gridAfter w:val="2"/>
                          <w:wAfter w:w="3088" w:type="dxa"/>
                          <w:trHeight w:val="216"/>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4C777C0" w14:textId="77777777" w:rsidR="00595985" w:rsidRPr="00CB775A" w:rsidRDefault="00595985" w:rsidP="00D55D80">
                            <w:pPr>
                              <w:widowControl/>
                              <w:spacing w:line="0" w:lineRule="atLeast"/>
                              <w:jc w:val="center"/>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kern w:val="0"/>
                                <w:sz w:val="20"/>
                              </w:rPr>
                              <w:t>再犯比率</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349C9F4" w14:textId="77777777" w:rsidR="00595985" w:rsidRPr="00CB775A" w:rsidRDefault="00595985" w:rsidP="00B84CB2">
                            <w:pPr>
                              <w:widowControl/>
                              <w:spacing w:line="0" w:lineRule="atLeast"/>
                              <w:jc w:val="right"/>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spacing w:val="-4"/>
                                <w:kern w:val="0"/>
                                <w:sz w:val="20"/>
                              </w:rPr>
                              <w:t>4</w:t>
                            </w:r>
                            <w:r w:rsidRPr="00CB775A">
                              <w:rPr>
                                <w:rFonts w:ascii="標楷體" w:eastAsia="標楷體" w:hAnsi="標楷體" w:cs="新細明體"/>
                                <w:b/>
                                <w:bCs/>
                                <w:color w:val="000000" w:themeColor="text1"/>
                                <w:spacing w:val="-4"/>
                                <w:kern w:val="0"/>
                                <w:sz w:val="20"/>
                              </w:rPr>
                              <w:t>6.16</w:t>
                            </w:r>
                          </w:p>
                        </w:tc>
                        <w:tc>
                          <w:tcPr>
                            <w:tcW w:w="803" w:type="dxa"/>
                            <w:tcBorders>
                              <w:top w:val="single" w:sz="4" w:space="0" w:color="auto"/>
                              <w:left w:val="nil"/>
                              <w:bottom w:val="single" w:sz="4" w:space="0" w:color="auto"/>
                              <w:right w:val="single" w:sz="4" w:space="0" w:color="auto"/>
                            </w:tcBorders>
                            <w:shd w:val="clear" w:color="auto" w:fill="auto"/>
                            <w:vAlign w:val="center"/>
                          </w:tcPr>
                          <w:p w14:paraId="00D5813E" w14:textId="77777777" w:rsidR="00595985" w:rsidRPr="00CB775A" w:rsidRDefault="00595985" w:rsidP="00B84CB2">
                            <w:pPr>
                              <w:widowControl/>
                              <w:spacing w:line="0" w:lineRule="atLeast"/>
                              <w:jc w:val="right"/>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spacing w:val="-4"/>
                                <w:kern w:val="0"/>
                                <w:sz w:val="20"/>
                              </w:rPr>
                              <w:t xml:space="preserve">41.60 </w:t>
                            </w:r>
                          </w:p>
                        </w:tc>
                        <w:tc>
                          <w:tcPr>
                            <w:tcW w:w="803" w:type="dxa"/>
                            <w:tcBorders>
                              <w:top w:val="single" w:sz="4" w:space="0" w:color="auto"/>
                              <w:left w:val="nil"/>
                              <w:bottom w:val="single" w:sz="4" w:space="0" w:color="auto"/>
                              <w:right w:val="single" w:sz="4" w:space="0" w:color="auto"/>
                            </w:tcBorders>
                            <w:shd w:val="clear" w:color="auto" w:fill="auto"/>
                            <w:vAlign w:val="center"/>
                          </w:tcPr>
                          <w:p w14:paraId="19CBD4B5" w14:textId="77777777" w:rsidR="00595985" w:rsidRPr="00CB775A" w:rsidRDefault="00595985" w:rsidP="00B84CB2">
                            <w:pPr>
                              <w:widowControl/>
                              <w:spacing w:line="0" w:lineRule="atLeast"/>
                              <w:jc w:val="right"/>
                              <w:rPr>
                                <w:rFonts w:ascii="標楷體" w:eastAsia="標楷體" w:hAnsi="標楷體" w:cs="新細明體"/>
                                <w:b/>
                                <w:bCs/>
                                <w:color w:val="000000" w:themeColor="text1"/>
                                <w:spacing w:val="-4"/>
                                <w:kern w:val="0"/>
                                <w:sz w:val="20"/>
                              </w:rPr>
                            </w:pPr>
                            <w:r w:rsidRPr="00CB775A">
                              <w:rPr>
                                <w:rFonts w:ascii="標楷體" w:eastAsia="標楷體" w:hAnsi="標楷體" w:cs="新細明體" w:hint="eastAsia"/>
                                <w:b/>
                                <w:bCs/>
                                <w:color w:val="000000" w:themeColor="text1"/>
                                <w:spacing w:val="-4"/>
                                <w:kern w:val="0"/>
                                <w:sz w:val="20"/>
                              </w:rPr>
                              <w:t xml:space="preserve">42.10 </w:t>
                            </w:r>
                          </w:p>
                        </w:tc>
                        <w:tc>
                          <w:tcPr>
                            <w:tcW w:w="804" w:type="dxa"/>
                            <w:tcBorders>
                              <w:top w:val="single" w:sz="4" w:space="0" w:color="auto"/>
                              <w:left w:val="nil"/>
                              <w:bottom w:val="single" w:sz="4" w:space="0" w:color="auto"/>
                              <w:right w:val="single" w:sz="4" w:space="0" w:color="auto"/>
                            </w:tcBorders>
                            <w:vAlign w:val="center"/>
                          </w:tcPr>
                          <w:p w14:paraId="3BABEB89" w14:textId="77777777" w:rsidR="00595985" w:rsidRPr="00CB775A" w:rsidRDefault="00595985" w:rsidP="00B84CB2">
                            <w:pPr>
                              <w:widowControl/>
                              <w:spacing w:line="0" w:lineRule="atLeast"/>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spacing w:val="-4"/>
                                <w:kern w:val="0"/>
                                <w:sz w:val="20"/>
                              </w:rPr>
                              <w:t xml:space="preserve">43.96 </w:t>
                            </w:r>
                          </w:p>
                        </w:tc>
                      </w:tr>
                      <w:tr w:rsidR="008054DD" w:rsidRPr="00F50A9E" w14:paraId="234B0547" w14:textId="77777777" w:rsidTr="008054DD">
                        <w:trPr>
                          <w:gridAfter w:val="2"/>
                          <w:wAfter w:w="3088" w:type="dxa"/>
                          <w:trHeight w:val="347"/>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25CDC" w14:textId="77777777" w:rsidR="008054DD" w:rsidRPr="00CB775A" w:rsidRDefault="008054DD" w:rsidP="007D44B4">
                            <w:pPr>
                              <w:widowControl/>
                              <w:spacing w:line="0" w:lineRule="atLeast"/>
                              <w:ind w:leftChars="30" w:left="72"/>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kern w:val="0"/>
                                <w:sz w:val="20"/>
                              </w:rPr>
                              <w:t>出獄受刑人</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DC10BEE"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5</w:t>
                            </w:r>
                            <w:r w:rsidRPr="00CB775A">
                              <w:rPr>
                                <w:rFonts w:ascii="標楷體" w:eastAsia="標楷體" w:hAnsi="標楷體" w:cs="新細明體"/>
                                <w:color w:val="000000" w:themeColor="text1"/>
                                <w:spacing w:val="-4"/>
                                <w:kern w:val="0"/>
                                <w:sz w:val="20"/>
                              </w:rPr>
                              <w:t>1.39</w:t>
                            </w:r>
                          </w:p>
                        </w:tc>
                        <w:tc>
                          <w:tcPr>
                            <w:tcW w:w="803" w:type="dxa"/>
                            <w:tcBorders>
                              <w:top w:val="nil"/>
                              <w:left w:val="nil"/>
                              <w:bottom w:val="single" w:sz="4" w:space="0" w:color="auto"/>
                              <w:right w:val="single" w:sz="4" w:space="0" w:color="auto"/>
                            </w:tcBorders>
                            <w:shd w:val="clear" w:color="auto" w:fill="auto"/>
                            <w:vAlign w:val="center"/>
                          </w:tcPr>
                          <w:p w14:paraId="71F3A983"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45.24</w:t>
                            </w:r>
                          </w:p>
                        </w:tc>
                        <w:tc>
                          <w:tcPr>
                            <w:tcW w:w="803" w:type="dxa"/>
                            <w:tcBorders>
                              <w:top w:val="nil"/>
                              <w:left w:val="nil"/>
                              <w:bottom w:val="single" w:sz="4" w:space="0" w:color="auto"/>
                              <w:right w:val="single" w:sz="4" w:space="0" w:color="auto"/>
                            </w:tcBorders>
                            <w:shd w:val="clear" w:color="auto" w:fill="auto"/>
                            <w:vAlign w:val="center"/>
                          </w:tcPr>
                          <w:p w14:paraId="2BBAF0C4"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47.89</w:t>
                            </w:r>
                          </w:p>
                        </w:tc>
                        <w:tc>
                          <w:tcPr>
                            <w:tcW w:w="804" w:type="dxa"/>
                            <w:tcBorders>
                              <w:top w:val="nil"/>
                              <w:left w:val="nil"/>
                              <w:bottom w:val="single" w:sz="4" w:space="0" w:color="auto"/>
                              <w:right w:val="single" w:sz="4" w:space="0" w:color="auto"/>
                            </w:tcBorders>
                            <w:vAlign w:val="center"/>
                          </w:tcPr>
                          <w:p w14:paraId="3DB35184" w14:textId="77777777" w:rsidR="008054DD" w:rsidRPr="00CB775A" w:rsidRDefault="008054DD" w:rsidP="00D55D80">
                            <w:pPr>
                              <w:widowControl/>
                              <w:spacing w:line="0" w:lineRule="atLeast"/>
                              <w:jc w:val="right"/>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51.79</w:t>
                            </w:r>
                          </w:p>
                        </w:tc>
                      </w:tr>
                      <w:tr w:rsidR="008054DD" w:rsidRPr="00F50A9E" w14:paraId="14623FD4" w14:textId="77777777" w:rsidTr="008054DD">
                        <w:trPr>
                          <w:gridAfter w:val="2"/>
                          <w:wAfter w:w="3088" w:type="dxa"/>
                          <w:trHeight w:val="309"/>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358126" w14:textId="77777777" w:rsidR="008054DD" w:rsidRPr="00CB775A" w:rsidRDefault="008054DD" w:rsidP="007D44B4">
                            <w:pPr>
                              <w:widowControl/>
                              <w:spacing w:line="0" w:lineRule="atLeast"/>
                              <w:ind w:leftChars="30" w:left="72"/>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kern w:val="0"/>
                                <w:sz w:val="20"/>
                              </w:rPr>
                              <w:t>出所受觀察勒戒人</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CA853D0"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3</w:t>
                            </w:r>
                            <w:r w:rsidRPr="00CB775A">
                              <w:rPr>
                                <w:rFonts w:ascii="標楷體" w:eastAsia="標楷體" w:hAnsi="標楷體" w:cs="新細明體"/>
                                <w:color w:val="000000" w:themeColor="text1"/>
                                <w:spacing w:val="-4"/>
                                <w:kern w:val="0"/>
                                <w:sz w:val="20"/>
                              </w:rPr>
                              <w:t>7.14</w:t>
                            </w:r>
                          </w:p>
                        </w:tc>
                        <w:tc>
                          <w:tcPr>
                            <w:tcW w:w="803" w:type="dxa"/>
                            <w:tcBorders>
                              <w:top w:val="nil"/>
                              <w:left w:val="nil"/>
                              <w:bottom w:val="single" w:sz="4" w:space="0" w:color="auto"/>
                              <w:right w:val="single" w:sz="4" w:space="0" w:color="auto"/>
                            </w:tcBorders>
                            <w:shd w:val="clear" w:color="auto" w:fill="auto"/>
                            <w:vAlign w:val="center"/>
                          </w:tcPr>
                          <w:p w14:paraId="20A43791"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36.38</w:t>
                            </w:r>
                          </w:p>
                        </w:tc>
                        <w:tc>
                          <w:tcPr>
                            <w:tcW w:w="803" w:type="dxa"/>
                            <w:tcBorders>
                              <w:top w:val="nil"/>
                              <w:left w:val="nil"/>
                              <w:bottom w:val="single" w:sz="4" w:space="0" w:color="auto"/>
                              <w:right w:val="single" w:sz="4" w:space="0" w:color="auto"/>
                            </w:tcBorders>
                            <w:shd w:val="clear" w:color="auto" w:fill="auto"/>
                            <w:vAlign w:val="center"/>
                          </w:tcPr>
                          <w:p w14:paraId="56F489D2" w14:textId="77777777" w:rsidR="008054DD" w:rsidRPr="00CB775A" w:rsidRDefault="008054DD" w:rsidP="00D55D80">
                            <w:pPr>
                              <w:widowControl/>
                              <w:spacing w:line="0" w:lineRule="atLeast"/>
                              <w:jc w:val="right"/>
                              <w:rPr>
                                <w:rFonts w:ascii="標楷體" w:eastAsia="標楷體" w:hAnsi="標楷體" w:cs="新細明體"/>
                                <w:color w:val="000000" w:themeColor="text1"/>
                                <w:spacing w:val="-4"/>
                                <w:kern w:val="0"/>
                                <w:sz w:val="20"/>
                              </w:rPr>
                            </w:pPr>
                            <w:r w:rsidRPr="00CB775A">
                              <w:rPr>
                                <w:rFonts w:ascii="標楷體" w:eastAsia="標楷體" w:hAnsi="標楷體" w:cs="新細明體" w:hint="eastAsia"/>
                                <w:color w:val="000000" w:themeColor="text1"/>
                                <w:spacing w:val="-4"/>
                                <w:kern w:val="0"/>
                                <w:sz w:val="20"/>
                              </w:rPr>
                              <w:t>41.73</w:t>
                            </w:r>
                          </w:p>
                        </w:tc>
                        <w:tc>
                          <w:tcPr>
                            <w:tcW w:w="804" w:type="dxa"/>
                            <w:tcBorders>
                              <w:top w:val="nil"/>
                              <w:left w:val="nil"/>
                              <w:bottom w:val="single" w:sz="4" w:space="0" w:color="auto"/>
                              <w:right w:val="single" w:sz="4" w:space="0" w:color="auto"/>
                            </w:tcBorders>
                            <w:vAlign w:val="center"/>
                          </w:tcPr>
                          <w:p w14:paraId="7E581673" w14:textId="77777777" w:rsidR="008054DD" w:rsidRPr="00CB775A" w:rsidRDefault="008054DD" w:rsidP="00D55D80">
                            <w:pPr>
                              <w:widowControl/>
                              <w:spacing w:line="0" w:lineRule="atLeast"/>
                              <w:jc w:val="right"/>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spacing w:val="-4"/>
                                <w:kern w:val="0"/>
                                <w:sz w:val="20"/>
                              </w:rPr>
                              <w:t>45.24</w:t>
                            </w:r>
                          </w:p>
                        </w:tc>
                      </w:tr>
                      <w:tr w:rsidR="008054DD" w:rsidRPr="00F50A9E" w14:paraId="3CCBA7EF" w14:textId="77777777" w:rsidTr="008054DD">
                        <w:trPr>
                          <w:gridAfter w:val="2"/>
                          <w:wAfter w:w="3088" w:type="dxa"/>
                          <w:trHeight w:val="359"/>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E854B" w14:textId="77777777" w:rsidR="008054DD" w:rsidRDefault="008054DD" w:rsidP="007D44B4">
                            <w:pPr>
                              <w:widowControl/>
                              <w:spacing w:line="0" w:lineRule="atLeast"/>
                              <w:ind w:leftChars="30" w:left="72"/>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出所</w:t>
                            </w:r>
                            <w:proofErr w:type="gramStart"/>
                            <w:r w:rsidRPr="00F50A9E">
                              <w:rPr>
                                <w:rFonts w:ascii="標楷體" w:eastAsia="標楷體" w:hAnsi="標楷體" w:cs="新細明體" w:hint="eastAsia"/>
                                <w:color w:val="000000"/>
                                <w:kern w:val="0"/>
                                <w:sz w:val="20"/>
                              </w:rPr>
                              <w:t>受戒治人</w:t>
                            </w:r>
                            <w:proofErr w:type="gramEnd"/>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6CC4F35"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3</w:t>
                            </w:r>
                            <w:r>
                              <w:rPr>
                                <w:rFonts w:ascii="標楷體" w:eastAsia="標楷體" w:hAnsi="標楷體" w:cs="新細明體"/>
                                <w:color w:val="000000"/>
                                <w:spacing w:val="-4"/>
                                <w:kern w:val="0"/>
                                <w:sz w:val="20"/>
                              </w:rPr>
                              <w:t>2.21</w:t>
                            </w:r>
                          </w:p>
                        </w:tc>
                        <w:tc>
                          <w:tcPr>
                            <w:tcW w:w="803" w:type="dxa"/>
                            <w:tcBorders>
                              <w:top w:val="nil"/>
                              <w:left w:val="nil"/>
                              <w:bottom w:val="single" w:sz="4" w:space="0" w:color="auto"/>
                              <w:right w:val="single" w:sz="4" w:space="0" w:color="auto"/>
                            </w:tcBorders>
                            <w:shd w:val="clear" w:color="auto" w:fill="auto"/>
                            <w:vAlign w:val="center"/>
                          </w:tcPr>
                          <w:p w14:paraId="1707909A"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20.73</w:t>
                            </w:r>
                          </w:p>
                        </w:tc>
                        <w:tc>
                          <w:tcPr>
                            <w:tcW w:w="803" w:type="dxa"/>
                            <w:tcBorders>
                              <w:top w:val="nil"/>
                              <w:left w:val="nil"/>
                              <w:bottom w:val="single" w:sz="4" w:space="0" w:color="auto"/>
                              <w:right w:val="single" w:sz="4" w:space="0" w:color="auto"/>
                            </w:tcBorders>
                            <w:shd w:val="clear" w:color="auto" w:fill="auto"/>
                            <w:vAlign w:val="center"/>
                          </w:tcPr>
                          <w:p w14:paraId="1843309A"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29.11</w:t>
                            </w:r>
                          </w:p>
                        </w:tc>
                        <w:tc>
                          <w:tcPr>
                            <w:tcW w:w="804" w:type="dxa"/>
                            <w:tcBorders>
                              <w:top w:val="nil"/>
                              <w:left w:val="nil"/>
                              <w:bottom w:val="single" w:sz="4" w:space="0" w:color="auto"/>
                              <w:right w:val="single" w:sz="4" w:space="0" w:color="auto"/>
                            </w:tcBorders>
                            <w:vAlign w:val="center"/>
                          </w:tcPr>
                          <w:p w14:paraId="64AC3073" w14:textId="77777777" w:rsidR="008054DD" w:rsidRPr="00F50A9E" w:rsidRDefault="008054DD" w:rsidP="00D55D80">
                            <w:pPr>
                              <w:widowControl/>
                              <w:spacing w:line="0" w:lineRule="atLeast"/>
                              <w:jc w:val="right"/>
                              <w:rPr>
                                <w:rFonts w:ascii="標楷體" w:eastAsia="標楷體" w:hAnsi="標楷體" w:cs="新細明體"/>
                                <w:color w:val="000000"/>
                                <w:kern w:val="0"/>
                                <w:sz w:val="20"/>
                              </w:rPr>
                            </w:pPr>
                            <w:r w:rsidRPr="00B84CB2">
                              <w:rPr>
                                <w:rFonts w:ascii="標楷體" w:eastAsia="標楷體" w:hAnsi="標楷體" w:cs="新細明體" w:hint="eastAsia"/>
                                <w:color w:val="000000"/>
                                <w:spacing w:val="-4"/>
                                <w:kern w:val="0"/>
                                <w:sz w:val="20"/>
                              </w:rPr>
                              <w:t>28.89</w:t>
                            </w:r>
                          </w:p>
                        </w:tc>
                      </w:tr>
                      <w:tr w:rsidR="008054DD" w:rsidRPr="00F50A9E" w14:paraId="6F16EF4C" w14:textId="77777777" w:rsidTr="008054DD">
                        <w:trPr>
                          <w:gridAfter w:val="2"/>
                          <w:wAfter w:w="3088" w:type="dxa"/>
                          <w:trHeight w:val="275"/>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18DDA" w14:textId="77777777" w:rsidR="008054DD" w:rsidRDefault="008054DD" w:rsidP="007D44B4">
                            <w:pPr>
                              <w:widowControl/>
                              <w:spacing w:line="0" w:lineRule="atLeast"/>
                              <w:ind w:leftChars="30" w:left="72"/>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緩起訴處分</w:t>
                            </w:r>
                            <w:proofErr w:type="gramStart"/>
                            <w:r w:rsidRPr="00F50A9E">
                              <w:rPr>
                                <w:rFonts w:ascii="標楷體" w:eastAsia="標楷體" w:hAnsi="標楷體" w:cs="新細明體" w:hint="eastAsia"/>
                                <w:color w:val="000000"/>
                                <w:kern w:val="0"/>
                                <w:sz w:val="20"/>
                              </w:rPr>
                              <w:t>附命戒</w:t>
                            </w:r>
                            <w:proofErr w:type="gramEnd"/>
                            <w:r w:rsidRPr="00F50A9E">
                              <w:rPr>
                                <w:rFonts w:ascii="標楷體" w:eastAsia="標楷體" w:hAnsi="標楷體" w:cs="新細明體" w:hint="eastAsia"/>
                                <w:color w:val="000000"/>
                                <w:kern w:val="0"/>
                                <w:sz w:val="20"/>
                              </w:rPr>
                              <w:t>癮治療確定者</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64BC4A0"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4</w:t>
                            </w:r>
                            <w:r>
                              <w:rPr>
                                <w:rFonts w:ascii="標楷體" w:eastAsia="標楷體" w:hAnsi="標楷體" w:cs="新細明體"/>
                                <w:color w:val="000000"/>
                                <w:spacing w:val="-4"/>
                                <w:kern w:val="0"/>
                                <w:sz w:val="20"/>
                              </w:rPr>
                              <w:t>6.88</w:t>
                            </w:r>
                          </w:p>
                        </w:tc>
                        <w:tc>
                          <w:tcPr>
                            <w:tcW w:w="803" w:type="dxa"/>
                            <w:tcBorders>
                              <w:top w:val="nil"/>
                              <w:left w:val="nil"/>
                              <w:bottom w:val="single" w:sz="4" w:space="0" w:color="auto"/>
                              <w:right w:val="single" w:sz="4" w:space="0" w:color="auto"/>
                            </w:tcBorders>
                            <w:shd w:val="clear" w:color="auto" w:fill="auto"/>
                            <w:vAlign w:val="center"/>
                          </w:tcPr>
                          <w:p w14:paraId="53C3258F"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40.18</w:t>
                            </w:r>
                          </w:p>
                        </w:tc>
                        <w:tc>
                          <w:tcPr>
                            <w:tcW w:w="803" w:type="dxa"/>
                            <w:tcBorders>
                              <w:top w:val="nil"/>
                              <w:left w:val="nil"/>
                              <w:bottom w:val="single" w:sz="4" w:space="0" w:color="auto"/>
                              <w:right w:val="single" w:sz="4" w:space="0" w:color="auto"/>
                            </w:tcBorders>
                            <w:shd w:val="clear" w:color="auto" w:fill="auto"/>
                            <w:vAlign w:val="center"/>
                          </w:tcPr>
                          <w:p w14:paraId="0084CD79"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41.47</w:t>
                            </w:r>
                          </w:p>
                        </w:tc>
                        <w:tc>
                          <w:tcPr>
                            <w:tcW w:w="804" w:type="dxa"/>
                            <w:tcBorders>
                              <w:top w:val="nil"/>
                              <w:left w:val="nil"/>
                              <w:bottom w:val="single" w:sz="4" w:space="0" w:color="auto"/>
                              <w:right w:val="single" w:sz="4" w:space="0" w:color="auto"/>
                            </w:tcBorders>
                            <w:vAlign w:val="center"/>
                          </w:tcPr>
                          <w:p w14:paraId="01CB4B5D" w14:textId="77777777" w:rsidR="008054DD" w:rsidRPr="00F50A9E" w:rsidRDefault="008054DD" w:rsidP="00D55D80">
                            <w:pPr>
                              <w:widowControl/>
                              <w:spacing w:line="0" w:lineRule="atLeast"/>
                              <w:jc w:val="right"/>
                              <w:rPr>
                                <w:rFonts w:ascii="標楷體" w:eastAsia="標楷體" w:hAnsi="標楷體" w:cs="新細明體"/>
                                <w:color w:val="000000"/>
                                <w:kern w:val="0"/>
                                <w:sz w:val="20"/>
                              </w:rPr>
                            </w:pPr>
                            <w:r w:rsidRPr="00B84CB2">
                              <w:rPr>
                                <w:rFonts w:ascii="標楷體" w:eastAsia="標楷體" w:hAnsi="標楷體" w:cs="新細明體" w:hint="eastAsia"/>
                                <w:color w:val="000000"/>
                                <w:spacing w:val="-4"/>
                                <w:kern w:val="0"/>
                                <w:sz w:val="20"/>
                              </w:rPr>
                              <w:t>42.93</w:t>
                            </w:r>
                          </w:p>
                        </w:tc>
                      </w:tr>
                      <w:tr w:rsidR="008054DD" w:rsidRPr="00F50A9E" w14:paraId="4EB35250" w14:textId="77777777" w:rsidTr="008054DD">
                        <w:trPr>
                          <w:gridAfter w:val="2"/>
                          <w:wAfter w:w="3088" w:type="dxa"/>
                          <w:trHeight w:val="276"/>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9C8B7" w14:textId="77777777" w:rsidR="008054DD" w:rsidRDefault="008054DD" w:rsidP="007D44B4">
                            <w:pPr>
                              <w:widowControl/>
                              <w:spacing w:line="0" w:lineRule="atLeast"/>
                              <w:ind w:leftChars="30" w:left="72"/>
                              <w:rPr>
                                <w:rFonts w:ascii="標楷體" w:eastAsia="標楷體" w:hAnsi="標楷體" w:cs="新細明體"/>
                                <w:color w:val="000000"/>
                                <w:spacing w:val="-4"/>
                                <w:kern w:val="0"/>
                                <w:sz w:val="20"/>
                              </w:rPr>
                            </w:pPr>
                            <w:r w:rsidRPr="00F50A9E">
                              <w:rPr>
                                <w:rFonts w:ascii="標楷體" w:eastAsia="標楷體" w:hAnsi="標楷體" w:cs="新細明體" w:hint="eastAsia"/>
                                <w:color w:val="000000"/>
                                <w:kern w:val="0"/>
                                <w:sz w:val="20"/>
                              </w:rPr>
                              <w:t>毒品行政</w:t>
                            </w:r>
                            <w:proofErr w:type="gramStart"/>
                            <w:r w:rsidRPr="00F50A9E">
                              <w:rPr>
                                <w:rFonts w:ascii="標楷體" w:eastAsia="標楷體" w:hAnsi="標楷體" w:cs="新細明體" w:hint="eastAsia"/>
                                <w:color w:val="000000"/>
                                <w:kern w:val="0"/>
                                <w:sz w:val="20"/>
                              </w:rPr>
                              <w:t>裁罰受處分</w:t>
                            </w:r>
                            <w:proofErr w:type="gramEnd"/>
                            <w:r w:rsidRPr="00F50A9E">
                              <w:rPr>
                                <w:rFonts w:ascii="標楷體" w:eastAsia="標楷體" w:hAnsi="標楷體" w:cs="新細明體" w:hint="eastAsia"/>
                                <w:color w:val="000000"/>
                                <w:kern w:val="0"/>
                                <w:sz w:val="20"/>
                              </w:rPr>
                              <w:t>人</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5D45D7EA"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4</w:t>
                            </w:r>
                            <w:r>
                              <w:rPr>
                                <w:rFonts w:ascii="標楷體" w:eastAsia="標楷體" w:hAnsi="標楷體" w:cs="新細明體"/>
                                <w:color w:val="000000"/>
                                <w:spacing w:val="-4"/>
                                <w:kern w:val="0"/>
                                <w:sz w:val="20"/>
                              </w:rPr>
                              <w:t>6.42</w:t>
                            </w:r>
                          </w:p>
                        </w:tc>
                        <w:tc>
                          <w:tcPr>
                            <w:tcW w:w="803" w:type="dxa"/>
                            <w:tcBorders>
                              <w:top w:val="nil"/>
                              <w:left w:val="nil"/>
                              <w:bottom w:val="single" w:sz="4" w:space="0" w:color="auto"/>
                              <w:right w:val="single" w:sz="4" w:space="0" w:color="auto"/>
                            </w:tcBorders>
                            <w:shd w:val="clear" w:color="auto" w:fill="auto"/>
                            <w:vAlign w:val="center"/>
                          </w:tcPr>
                          <w:p w14:paraId="5B791821"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color w:val="000000"/>
                                <w:spacing w:val="-4"/>
                                <w:kern w:val="0"/>
                                <w:sz w:val="20"/>
                              </w:rPr>
                              <w:t>42.09</w:t>
                            </w:r>
                          </w:p>
                        </w:tc>
                        <w:tc>
                          <w:tcPr>
                            <w:tcW w:w="803" w:type="dxa"/>
                            <w:tcBorders>
                              <w:top w:val="nil"/>
                              <w:left w:val="nil"/>
                              <w:bottom w:val="single" w:sz="4" w:space="0" w:color="auto"/>
                              <w:right w:val="single" w:sz="4" w:space="0" w:color="auto"/>
                            </w:tcBorders>
                            <w:shd w:val="clear" w:color="auto" w:fill="auto"/>
                            <w:vAlign w:val="center"/>
                          </w:tcPr>
                          <w:p w14:paraId="4F9F87F3" w14:textId="77777777" w:rsidR="008054DD" w:rsidRPr="00B84CB2" w:rsidRDefault="008054DD" w:rsidP="00D55D80">
                            <w:pPr>
                              <w:widowControl/>
                              <w:spacing w:line="0" w:lineRule="atLeast"/>
                              <w:jc w:val="right"/>
                              <w:rPr>
                                <w:rFonts w:ascii="標楷體" w:eastAsia="標楷體" w:hAnsi="標楷體" w:cs="新細明體"/>
                                <w:color w:val="000000"/>
                                <w:spacing w:val="-4"/>
                                <w:kern w:val="0"/>
                                <w:sz w:val="20"/>
                              </w:rPr>
                            </w:pPr>
                            <w:r w:rsidRPr="00B84CB2">
                              <w:rPr>
                                <w:rFonts w:ascii="標楷體" w:eastAsia="標楷體" w:hAnsi="標楷體" w:cs="新細明體" w:hint="eastAsia"/>
                                <w:spacing w:val="-4"/>
                                <w:kern w:val="0"/>
                                <w:sz w:val="20"/>
                              </w:rPr>
                              <w:t>40.74</w:t>
                            </w:r>
                          </w:p>
                        </w:tc>
                        <w:tc>
                          <w:tcPr>
                            <w:tcW w:w="804" w:type="dxa"/>
                            <w:tcBorders>
                              <w:top w:val="nil"/>
                              <w:left w:val="nil"/>
                              <w:bottom w:val="single" w:sz="4" w:space="0" w:color="auto"/>
                              <w:right w:val="single" w:sz="4" w:space="0" w:color="auto"/>
                            </w:tcBorders>
                            <w:vAlign w:val="center"/>
                          </w:tcPr>
                          <w:p w14:paraId="362F4693" w14:textId="77777777" w:rsidR="008054DD" w:rsidRPr="00F50A9E" w:rsidRDefault="008054DD" w:rsidP="00D55D80">
                            <w:pPr>
                              <w:widowControl/>
                              <w:spacing w:line="0" w:lineRule="atLeast"/>
                              <w:jc w:val="right"/>
                              <w:rPr>
                                <w:rFonts w:ascii="標楷體" w:eastAsia="標楷體" w:hAnsi="標楷體" w:cs="新細明體"/>
                                <w:color w:val="000000"/>
                                <w:kern w:val="0"/>
                                <w:sz w:val="20"/>
                              </w:rPr>
                            </w:pPr>
                            <w:r w:rsidRPr="00B84CB2">
                              <w:rPr>
                                <w:rFonts w:ascii="標楷體" w:eastAsia="標楷體" w:hAnsi="標楷體" w:cs="新細明體" w:hint="eastAsia"/>
                                <w:color w:val="000000"/>
                                <w:spacing w:val="-4"/>
                                <w:kern w:val="0"/>
                                <w:sz w:val="20"/>
                              </w:rPr>
                              <w:t>43.21</w:t>
                            </w:r>
                          </w:p>
                        </w:tc>
                      </w:tr>
                      <w:tr w:rsidR="00595985" w:rsidRPr="00F50A9E" w14:paraId="00A78013" w14:textId="77777777" w:rsidTr="00524428">
                        <w:trPr>
                          <w:gridAfter w:val="2"/>
                          <w:wAfter w:w="3088" w:type="dxa"/>
                          <w:trHeight w:val="276"/>
                        </w:trPr>
                        <w:tc>
                          <w:tcPr>
                            <w:tcW w:w="4820" w:type="dxa"/>
                            <w:gridSpan w:val="6"/>
                            <w:tcBorders>
                              <w:top w:val="single" w:sz="4" w:space="0" w:color="auto"/>
                            </w:tcBorders>
                            <w:shd w:val="clear" w:color="auto" w:fill="auto"/>
                            <w:vAlign w:val="center"/>
                          </w:tcPr>
                          <w:p w14:paraId="5069A9E4" w14:textId="77777777" w:rsidR="00595985" w:rsidRPr="00B84CB2" w:rsidRDefault="00595985" w:rsidP="00524428">
                            <w:pPr>
                              <w:widowControl/>
                              <w:spacing w:line="0" w:lineRule="atLeast"/>
                              <w:ind w:leftChars="-12" w:left="-29"/>
                              <w:rPr>
                                <w:rFonts w:ascii="標楷體" w:eastAsia="標楷體" w:hAnsi="標楷體" w:cs="新細明體"/>
                                <w:color w:val="000000"/>
                                <w:spacing w:val="-4"/>
                                <w:kern w:val="0"/>
                                <w:sz w:val="20"/>
                              </w:rPr>
                            </w:pPr>
                            <w:r w:rsidRPr="00D55D80">
                              <w:rPr>
                                <w:rFonts w:ascii="標楷體" w:eastAsia="標楷體" w:hAnsi="標楷體" w:cs="新細明體" w:hint="eastAsia"/>
                                <w:kern w:val="0"/>
                                <w:sz w:val="18"/>
                                <w:szCs w:val="18"/>
                              </w:rPr>
                              <w:t>資料來源：整理自法務部及內政部警政署提供資料</w:t>
                            </w:r>
                            <w:r>
                              <w:rPr>
                                <w:rFonts w:ascii="標楷體" w:eastAsia="標楷體" w:hAnsi="標楷體" w:cs="新細明體" w:hint="eastAsia"/>
                                <w:kern w:val="0"/>
                                <w:sz w:val="18"/>
                                <w:szCs w:val="18"/>
                              </w:rPr>
                              <w:t>。</w:t>
                            </w:r>
                          </w:p>
                        </w:tc>
                      </w:tr>
                      <w:tr w:rsidR="00595985" w:rsidRPr="00D55D80" w14:paraId="56FA27E5" w14:textId="77777777" w:rsidTr="00524428">
                        <w:trPr>
                          <w:trHeight w:val="539"/>
                        </w:trPr>
                        <w:tc>
                          <w:tcPr>
                            <w:tcW w:w="142" w:type="dxa"/>
                            <w:tcBorders>
                              <w:top w:val="nil"/>
                              <w:left w:val="nil"/>
                              <w:bottom w:val="nil"/>
                              <w:right w:val="nil"/>
                            </w:tcBorders>
                          </w:tcPr>
                          <w:p w14:paraId="34E91020" w14:textId="77777777" w:rsidR="00595985" w:rsidRPr="00D55D80" w:rsidRDefault="00595985" w:rsidP="00524428">
                            <w:pPr>
                              <w:widowControl/>
                              <w:spacing w:line="0" w:lineRule="atLeast"/>
                              <w:ind w:leftChars="-16" w:left="-31" w:hangingChars="4" w:hanging="7"/>
                              <w:jc w:val="both"/>
                              <w:rPr>
                                <w:rFonts w:ascii="標楷體" w:eastAsia="標楷體" w:hAnsi="標楷體" w:cs="新細明體"/>
                                <w:kern w:val="0"/>
                                <w:sz w:val="18"/>
                                <w:szCs w:val="18"/>
                              </w:rPr>
                            </w:pPr>
                          </w:p>
                        </w:tc>
                        <w:tc>
                          <w:tcPr>
                            <w:tcW w:w="7685" w:type="dxa"/>
                            <w:gridSpan w:val="6"/>
                            <w:vMerge w:val="restart"/>
                            <w:tcBorders>
                              <w:top w:val="nil"/>
                              <w:left w:val="nil"/>
                              <w:bottom w:val="nil"/>
                              <w:right w:val="nil"/>
                            </w:tcBorders>
                            <w:shd w:val="clear" w:color="auto" w:fill="auto"/>
                          </w:tcPr>
                          <w:p w14:paraId="6C1C7071" w14:textId="77777777" w:rsidR="00595985" w:rsidRPr="00524428" w:rsidRDefault="00595985" w:rsidP="00524428">
                            <w:pPr>
                              <w:widowControl/>
                              <w:spacing w:line="0" w:lineRule="atLeast"/>
                              <w:jc w:val="both"/>
                              <w:rPr>
                                <w:rFonts w:ascii="標楷體" w:eastAsia="標楷體" w:hAnsi="標楷體" w:cs="新細明體"/>
                                <w:kern w:val="0"/>
                                <w:sz w:val="20"/>
                              </w:rPr>
                            </w:pPr>
                          </w:p>
                        </w:tc>
                        <w:tc>
                          <w:tcPr>
                            <w:tcW w:w="81" w:type="dxa"/>
                            <w:tcBorders>
                              <w:top w:val="nil"/>
                              <w:left w:val="nil"/>
                              <w:bottom w:val="nil"/>
                              <w:right w:val="nil"/>
                            </w:tcBorders>
                          </w:tcPr>
                          <w:p w14:paraId="1A129C12" w14:textId="77777777" w:rsidR="00595985" w:rsidRPr="00D55D80" w:rsidRDefault="00595985" w:rsidP="00D55D80">
                            <w:pPr>
                              <w:widowControl/>
                              <w:spacing w:line="0" w:lineRule="atLeast"/>
                              <w:ind w:left="508" w:hangingChars="282" w:hanging="508"/>
                              <w:jc w:val="both"/>
                              <w:rPr>
                                <w:rFonts w:ascii="標楷體" w:eastAsia="標楷體" w:hAnsi="標楷體" w:cs="新細明體"/>
                                <w:kern w:val="0"/>
                                <w:sz w:val="18"/>
                                <w:szCs w:val="18"/>
                              </w:rPr>
                            </w:pPr>
                          </w:p>
                        </w:tc>
                      </w:tr>
                      <w:tr w:rsidR="00595985" w:rsidRPr="00F50A9E" w14:paraId="71B247B5" w14:textId="77777777" w:rsidTr="00524428">
                        <w:trPr>
                          <w:trHeight w:val="539"/>
                        </w:trPr>
                        <w:tc>
                          <w:tcPr>
                            <w:tcW w:w="142" w:type="dxa"/>
                            <w:tcBorders>
                              <w:top w:val="nil"/>
                              <w:left w:val="nil"/>
                              <w:bottom w:val="nil"/>
                              <w:right w:val="nil"/>
                            </w:tcBorders>
                          </w:tcPr>
                          <w:p w14:paraId="55D94F5C" w14:textId="77777777" w:rsidR="00595985" w:rsidRPr="00F50A9E" w:rsidRDefault="00595985" w:rsidP="00D55D80">
                            <w:pPr>
                              <w:widowControl/>
                              <w:spacing w:line="0" w:lineRule="atLeast"/>
                              <w:rPr>
                                <w:rFonts w:ascii="標楷體" w:eastAsia="標楷體" w:hAnsi="標楷體" w:cs="新細明體"/>
                                <w:color w:val="000000"/>
                                <w:kern w:val="0"/>
                                <w:sz w:val="20"/>
                              </w:rPr>
                            </w:pPr>
                          </w:p>
                        </w:tc>
                        <w:tc>
                          <w:tcPr>
                            <w:tcW w:w="7685" w:type="dxa"/>
                            <w:gridSpan w:val="6"/>
                            <w:vMerge/>
                            <w:tcBorders>
                              <w:top w:val="nil"/>
                              <w:left w:val="nil"/>
                              <w:bottom w:val="nil"/>
                              <w:right w:val="nil"/>
                            </w:tcBorders>
                            <w:vAlign w:val="center"/>
                            <w:hideMark/>
                          </w:tcPr>
                          <w:p w14:paraId="0CC66E17" w14:textId="77777777" w:rsidR="00595985" w:rsidRPr="00F50A9E" w:rsidRDefault="00595985" w:rsidP="00D55D80">
                            <w:pPr>
                              <w:widowControl/>
                              <w:spacing w:line="0" w:lineRule="atLeast"/>
                              <w:rPr>
                                <w:rFonts w:ascii="標楷體" w:eastAsia="標楷體" w:hAnsi="標楷體" w:cs="新細明體"/>
                                <w:color w:val="000000"/>
                                <w:kern w:val="0"/>
                                <w:sz w:val="20"/>
                              </w:rPr>
                            </w:pPr>
                          </w:p>
                        </w:tc>
                        <w:tc>
                          <w:tcPr>
                            <w:tcW w:w="81" w:type="dxa"/>
                            <w:tcBorders>
                              <w:top w:val="nil"/>
                              <w:left w:val="nil"/>
                              <w:bottom w:val="nil"/>
                              <w:right w:val="nil"/>
                            </w:tcBorders>
                          </w:tcPr>
                          <w:p w14:paraId="337A30E3" w14:textId="77777777" w:rsidR="00595985" w:rsidRPr="00F50A9E" w:rsidRDefault="00595985" w:rsidP="00D55D80">
                            <w:pPr>
                              <w:widowControl/>
                              <w:spacing w:line="0" w:lineRule="atLeast"/>
                              <w:rPr>
                                <w:rFonts w:ascii="標楷體" w:eastAsia="標楷體" w:hAnsi="標楷體" w:cs="新細明體"/>
                                <w:color w:val="000000"/>
                                <w:kern w:val="0"/>
                                <w:sz w:val="20"/>
                              </w:rPr>
                            </w:pPr>
                          </w:p>
                        </w:tc>
                      </w:tr>
                    </w:tbl>
                    <w:p w14:paraId="5F75E363" w14:textId="77777777" w:rsidR="00595985" w:rsidRPr="0028669B" w:rsidRDefault="00595985" w:rsidP="00595985"/>
                  </w:txbxContent>
                </v:textbox>
                <w10:wrap type="square" anchorx="margin"/>
              </v:shape>
            </w:pict>
          </mc:Fallback>
        </mc:AlternateContent>
      </w:r>
      <w:r w:rsidR="00644748" w:rsidRPr="00E87171">
        <w:rPr>
          <w:rFonts w:ascii="標楷體" w:eastAsia="標楷體" w:hAnsi="標楷體"/>
          <w:noProof/>
        </w:rPr>
        <mc:AlternateContent>
          <mc:Choice Requires="wps">
            <w:drawing>
              <wp:anchor distT="45720" distB="45720" distL="114300" distR="114300" simplePos="0" relativeHeight="251630592" behindDoc="0" locked="0" layoutInCell="1" allowOverlap="1" wp14:anchorId="34BCE5D7" wp14:editId="0769369D">
                <wp:simplePos x="0" y="0"/>
                <wp:positionH relativeFrom="margin">
                  <wp:posOffset>2920365</wp:posOffset>
                </wp:positionH>
                <wp:positionV relativeFrom="paragraph">
                  <wp:posOffset>4180205</wp:posOffset>
                </wp:positionV>
                <wp:extent cx="3209925" cy="220027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925" cy="2200275"/>
                        </a:xfrm>
                        <a:prstGeom prst="rect">
                          <a:avLst/>
                        </a:prstGeom>
                        <a:noFill/>
                        <a:ln w="9525">
                          <a:noFill/>
                          <a:miter lim="800000"/>
                          <a:headEnd/>
                          <a:tailEnd/>
                        </a:ln>
                      </wps:spPr>
                      <wps:txbx>
                        <w:txbxContent>
                          <w:tbl>
                            <w:tblPr>
                              <w:tblW w:w="4536" w:type="dxa"/>
                              <w:tblInd w:w="142" w:type="dxa"/>
                              <w:tblCellMar>
                                <w:left w:w="28" w:type="dxa"/>
                                <w:right w:w="28" w:type="dxa"/>
                              </w:tblCellMar>
                              <w:tblLook w:val="04A0" w:firstRow="1" w:lastRow="0" w:firstColumn="1" w:lastColumn="0" w:noHBand="0" w:noVBand="1"/>
                            </w:tblPr>
                            <w:tblGrid>
                              <w:gridCol w:w="1134"/>
                              <w:gridCol w:w="851"/>
                              <w:gridCol w:w="283"/>
                              <w:gridCol w:w="851"/>
                              <w:gridCol w:w="283"/>
                              <w:gridCol w:w="1134"/>
                            </w:tblGrid>
                            <w:tr w:rsidR="00595985" w:rsidRPr="00E87171" w14:paraId="732FB961" w14:textId="77777777" w:rsidTr="00B9245A">
                              <w:trPr>
                                <w:trHeight w:val="330"/>
                              </w:trPr>
                              <w:tc>
                                <w:tcPr>
                                  <w:tcW w:w="4536" w:type="dxa"/>
                                  <w:gridSpan w:val="6"/>
                                  <w:tcBorders>
                                    <w:top w:val="nil"/>
                                    <w:left w:val="nil"/>
                                    <w:bottom w:val="nil"/>
                                    <w:right w:val="nil"/>
                                  </w:tcBorders>
                                  <w:shd w:val="clear" w:color="auto" w:fill="auto"/>
                                  <w:noWrap/>
                                  <w:vAlign w:val="center"/>
                                  <w:hideMark/>
                                </w:tcPr>
                                <w:p w14:paraId="6803C1D3" w14:textId="71BCA63C" w:rsidR="00595985" w:rsidRPr="00E87171" w:rsidRDefault="00595985" w:rsidP="00DF3C82">
                                  <w:pPr>
                                    <w:widowControl/>
                                    <w:spacing w:line="0" w:lineRule="atLeast"/>
                                    <w:jc w:val="center"/>
                                    <w:rPr>
                                      <w:rFonts w:ascii="標楷體" w:eastAsia="標楷體" w:hAnsi="標楷體" w:cs="新細明體"/>
                                      <w:b/>
                                      <w:color w:val="000000"/>
                                      <w:kern w:val="0"/>
                                      <w:szCs w:val="24"/>
                                    </w:rPr>
                                  </w:pPr>
                                  <w:bookmarkStart w:id="17" w:name="RANGE!A1:D8"/>
                                  <w:r>
                                    <w:rPr>
                                      <w:rFonts w:ascii="標楷體" w:eastAsia="標楷體" w:hAnsi="標楷體" w:cs="新細明體" w:hint="eastAsia"/>
                                      <w:b/>
                                      <w:color w:val="000000"/>
                                      <w:kern w:val="0"/>
                                      <w:szCs w:val="24"/>
                                    </w:rPr>
                                    <w:t>表2</w:t>
                                  </w:r>
                                  <w:r w:rsidR="002232CA">
                                    <w:rPr>
                                      <w:rFonts w:ascii="標楷體" w:eastAsia="標楷體" w:hAnsi="標楷體" w:cs="新細明體"/>
                                      <w:b/>
                                      <w:color w:val="000000"/>
                                      <w:kern w:val="0"/>
                                      <w:szCs w:val="24"/>
                                    </w:rPr>
                                    <w:t>4</w:t>
                                  </w:r>
                                  <w:r w:rsidR="00A74334">
                                    <w:rPr>
                                      <w:rFonts w:ascii="標楷體" w:eastAsia="標楷體" w:hAnsi="標楷體" w:cs="新細明體" w:hint="eastAsia"/>
                                      <w:b/>
                                      <w:color w:val="000000"/>
                                      <w:kern w:val="0"/>
                                      <w:szCs w:val="24"/>
                                    </w:rPr>
                                    <w:t xml:space="preserve">　</w:t>
                                  </w:r>
                                  <w:r w:rsidRPr="00E87171">
                                    <w:rPr>
                                      <w:rFonts w:ascii="標楷體" w:eastAsia="標楷體" w:hAnsi="標楷體" w:cs="新細明體" w:hint="eastAsia"/>
                                      <w:b/>
                                      <w:color w:val="000000"/>
                                      <w:kern w:val="0"/>
                                      <w:szCs w:val="24"/>
                                    </w:rPr>
                                    <w:t>施用毒品兒少2年內再被通報情形</w:t>
                                  </w:r>
                                  <w:bookmarkEnd w:id="17"/>
                                </w:p>
                              </w:tc>
                            </w:tr>
                            <w:tr w:rsidR="00595985" w:rsidRPr="00E87171" w14:paraId="0679630B" w14:textId="77777777" w:rsidTr="00B9245A">
                              <w:trPr>
                                <w:trHeight w:val="330"/>
                              </w:trPr>
                              <w:tc>
                                <w:tcPr>
                                  <w:tcW w:w="1134" w:type="dxa"/>
                                  <w:tcBorders>
                                    <w:top w:val="nil"/>
                                    <w:left w:val="nil"/>
                                    <w:bottom w:val="nil"/>
                                    <w:right w:val="nil"/>
                                  </w:tcBorders>
                                  <w:shd w:val="clear" w:color="auto" w:fill="auto"/>
                                  <w:noWrap/>
                                  <w:vAlign w:val="center"/>
                                  <w:hideMark/>
                                </w:tcPr>
                                <w:p w14:paraId="08E7B680" w14:textId="77777777" w:rsidR="00595985" w:rsidRPr="00E87171" w:rsidRDefault="00595985" w:rsidP="00DF3C82">
                                  <w:pPr>
                                    <w:widowControl/>
                                    <w:spacing w:line="0" w:lineRule="atLeast"/>
                                    <w:jc w:val="center"/>
                                    <w:rPr>
                                      <w:rFonts w:ascii="標楷體" w:eastAsia="標楷體" w:hAnsi="標楷體" w:cs="新細明體"/>
                                      <w:color w:val="000000"/>
                                      <w:kern w:val="0"/>
                                      <w:szCs w:val="24"/>
                                    </w:rPr>
                                  </w:pPr>
                                </w:p>
                              </w:tc>
                              <w:tc>
                                <w:tcPr>
                                  <w:tcW w:w="851" w:type="dxa"/>
                                  <w:tcBorders>
                                    <w:top w:val="nil"/>
                                    <w:left w:val="nil"/>
                                    <w:bottom w:val="nil"/>
                                    <w:right w:val="nil"/>
                                  </w:tcBorders>
                                  <w:shd w:val="clear" w:color="auto" w:fill="auto"/>
                                  <w:noWrap/>
                                  <w:vAlign w:val="center"/>
                                  <w:hideMark/>
                                </w:tcPr>
                                <w:p w14:paraId="3C511482" w14:textId="77777777" w:rsidR="00595985" w:rsidRPr="00E87171" w:rsidRDefault="00595985" w:rsidP="00DF3C82">
                                  <w:pPr>
                                    <w:widowControl/>
                                    <w:spacing w:line="0" w:lineRule="atLeast"/>
                                    <w:rPr>
                                      <w:rFonts w:eastAsia="Times New Roman"/>
                                      <w:kern w:val="0"/>
                                      <w:sz w:val="20"/>
                                    </w:rPr>
                                  </w:pPr>
                                </w:p>
                              </w:tc>
                              <w:tc>
                                <w:tcPr>
                                  <w:tcW w:w="1134" w:type="dxa"/>
                                  <w:gridSpan w:val="2"/>
                                  <w:tcBorders>
                                    <w:top w:val="nil"/>
                                    <w:left w:val="nil"/>
                                    <w:bottom w:val="nil"/>
                                    <w:right w:val="nil"/>
                                  </w:tcBorders>
                                  <w:shd w:val="clear" w:color="auto" w:fill="auto"/>
                                  <w:noWrap/>
                                  <w:vAlign w:val="center"/>
                                  <w:hideMark/>
                                </w:tcPr>
                                <w:p w14:paraId="0D8C880F" w14:textId="77777777" w:rsidR="00595985" w:rsidRPr="00E87171" w:rsidRDefault="00595985" w:rsidP="00DF3C82">
                                  <w:pPr>
                                    <w:widowControl/>
                                    <w:spacing w:line="0" w:lineRule="atLeast"/>
                                    <w:rPr>
                                      <w:rFonts w:eastAsia="Times New Roman"/>
                                      <w:kern w:val="0"/>
                                      <w:sz w:val="20"/>
                                    </w:rPr>
                                  </w:pPr>
                                </w:p>
                              </w:tc>
                              <w:tc>
                                <w:tcPr>
                                  <w:tcW w:w="1417" w:type="dxa"/>
                                  <w:gridSpan w:val="2"/>
                                  <w:tcBorders>
                                    <w:top w:val="nil"/>
                                    <w:left w:val="nil"/>
                                    <w:bottom w:val="nil"/>
                                    <w:right w:val="nil"/>
                                  </w:tcBorders>
                                  <w:shd w:val="clear" w:color="auto" w:fill="auto"/>
                                  <w:noWrap/>
                                  <w:vAlign w:val="center"/>
                                  <w:hideMark/>
                                </w:tcPr>
                                <w:p w14:paraId="634C7034" w14:textId="77777777" w:rsidR="00595985" w:rsidRPr="00E87171" w:rsidRDefault="00595985" w:rsidP="00DF3C82">
                                  <w:pPr>
                                    <w:widowControl/>
                                    <w:spacing w:line="0" w:lineRule="atLeast"/>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單位：人、％</w:t>
                                  </w:r>
                                </w:p>
                              </w:tc>
                            </w:tr>
                            <w:tr w:rsidR="00282D7D" w:rsidRPr="00E87171" w14:paraId="691AB674" w14:textId="77777777" w:rsidTr="006C7C6C">
                              <w:trPr>
                                <w:trHeight w:val="237"/>
                              </w:trPr>
                              <w:tc>
                                <w:tcPr>
                                  <w:tcW w:w="1134" w:type="dxa"/>
                                  <w:vMerge w:val="restart"/>
                                  <w:tcBorders>
                                    <w:top w:val="single" w:sz="4" w:space="0" w:color="auto"/>
                                    <w:left w:val="single" w:sz="4" w:space="0" w:color="auto"/>
                                    <w:right w:val="single" w:sz="4" w:space="0" w:color="auto"/>
                                  </w:tcBorders>
                                  <w:shd w:val="clear" w:color="auto" w:fill="auto"/>
                                  <w:vAlign w:val="center"/>
                                </w:tcPr>
                                <w:p w14:paraId="11631D41" w14:textId="020EC782"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年度</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14:paraId="2265FA3E" w14:textId="0C0882FF"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被通報人數</w:t>
                                  </w:r>
                                </w:p>
                              </w:tc>
                              <w:tc>
                                <w:tcPr>
                                  <w:tcW w:w="1134" w:type="dxa"/>
                                  <w:gridSpan w:val="2"/>
                                  <w:tcBorders>
                                    <w:top w:val="single" w:sz="4" w:space="0" w:color="auto"/>
                                    <w:left w:val="single" w:sz="4" w:space="0" w:color="auto"/>
                                  </w:tcBorders>
                                  <w:shd w:val="clear" w:color="auto" w:fill="auto"/>
                                  <w:vAlign w:val="center"/>
                                </w:tcPr>
                                <w:p w14:paraId="3D3DD5C5" w14:textId="3792E4EC"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r w:rsidRPr="00282D7D">
                                    <w:rPr>
                                      <w:rFonts w:ascii="標楷體" w:eastAsia="標楷體" w:hAnsi="標楷體" w:cs="新細明體" w:hint="eastAsia"/>
                                      <w:color w:val="000000"/>
                                      <w:kern w:val="0"/>
                                      <w:sz w:val="20"/>
                                      <w:szCs w:val="24"/>
                                    </w:rPr>
                                    <w:t>2年內再被</w:t>
                                  </w:r>
                                </w:p>
                              </w:tc>
                              <w:tc>
                                <w:tcPr>
                                  <w:tcW w:w="1134" w:type="dxa"/>
                                  <w:tcBorders>
                                    <w:top w:val="single" w:sz="4" w:space="0" w:color="auto"/>
                                    <w:bottom w:val="single" w:sz="4" w:space="0" w:color="auto"/>
                                    <w:right w:val="single" w:sz="4" w:space="0" w:color="auto"/>
                                  </w:tcBorders>
                                  <w:shd w:val="clear" w:color="auto" w:fill="auto"/>
                                  <w:vAlign w:val="center"/>
                                </w:tcPr>
                                <w:p w14:paraId="083EB7B8" w14:textId="77777777"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p>
                              </w:tc>
                            </w:tr>
                            <w:tr w:rsidR="00282D7D" w:rsidRPr="00E87171" w14:paraId="2EC8E196" w14:textId="77777777" w:rsidTr="006C7C6C">
                              <w:trPr>
                                <w:trHeight w:val="237"/>
                              </w:trPr>
                              <w:tc>
                                <w:tcPr>
                                  <w:tcW w:w="1134" w:type="dxa"/>
                                  <w:vMerge/>
                                  <w:tcBorders>
                                    <w:left w:val="single" w:sz="4" w:space="0" w:color="auto"/>
                                    <w:bottom w:val="single" w:sz="4" w:space="0" w:color="auto"/>
                                    <w:right w:val="single" w:sz="4" w:space="0" w:color="auto"/>
                                  </w:tcBorders>
                                  <w:shd w:val="clear" w:color="auto" w:fill="auto"/>
                                  <w:vAlign w:val="center"/>
                                </w:tcPr>
                                <w:p w14:paraId="118D2314" w14:textId="77777777"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14:paraId="6E876BB0" w14:textId="77777777"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p>
                              </w:tc>
                              <w:tc>
                                <w:tcPr>
                                  <w:tcW w:w="1134" w:type="dxa"/>
                                  <w:gridSpan w:val="2"/>
                                  <w:tcBorders>
                                    <w:left w:val="single" w:sz="4" w:space="0" w:color="auto"/>
                                    <w:bottom w:val="single" w:sz="4" w:space="0" w:color="auto"/>
                                    <w:right w:val="single" w:sz="4" w:space="0" w:color="auto"/>
                                  </w:tcBorders>
                                  <w:shd w:val="clear" w:color="auto" w:fill="auto"/>
                                  <w:vAlign w:val="center"/>
                                </w:tcPr>
                                <w:p w14:paraId="5C3B2C55" w14:textId="156D7A86"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r w:rsidRPr="00282D7D">
                                    <w:rPr>
                                      <w:rFonts w:ascii="標楷體" w:eastAsia="標楷體" w:hAnsi="標楷體" w:cs="新細明體" w:hint="eastAsia"/>
                                      <w:color w:val="000000"/>
                                      <w:kern w:val="0"/>
                                      <w:sz w:val="20"/>
                                      <w:szCs w:val="24"/>
                                    </w:rPr>
                                    <w:t>通報人數</w:t>
                                  </w:r>
                                </w:p>
                              </w:tc>
                              <w:tc>
                                <w:tcPr>
                                  <w:tcW w:w="1134" w:type="dxa"/>
                                  <w:tcBorders>
                                    <w:top w:val="single" w:sz="4" w:space="0" w:color="auto"/>
                                    <w:left w:val="nil"/>
                                    <w:bottom w:val="single" w:sz="4" w:space="0" w:color="auto"/>
                                    <w:right w:val="single" w:sz="4" w:space="0" w:color="auto"/>
                                  </w:tcBorders>
                                  <w:shd w:val="clear" w:color="auto" w:fill="auto"/>
                                  <w:vAlign w:val="center"/>
                                </w:tcPr>
                                <w:p w14:paraId="65209A35" w14:textId="70DC6478"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r w:rsidRPr="00282D7D">
                                    <w:rPr>
                                      <w:rFonts w:ascii="標楷體" w:eastAsia="標楷體" w:hAnsi="標楷體" w:cs="新細明體" w:hint="eastAsia"/>
                                      <w:color w:val="000000"/>
                                      <w:kern w:val="0"/>
                                      <w:sz w:val="20"/>
                                      <w:szCs w:val="24"/>
                                    </w:rPr>
                                    <w:t>再被通報率</w:t>
                                  </w:r>
                                </w:p>
                              </w:tc>
                            </w:tr>
                            <w:tr w:rsidR="00595985" w:rsidRPr="00E87171" w14:paraId="6B2BF4B5" w14:textId="77777777" w:rsidTr="00282D7D">
                              <w:trPr>
                                <w:trHeight w:val="23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69C02"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109</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243BDA0F"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891</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2729496B"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F24AC9"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19.53</w:t>
                                  </w:r>
                                </w:p>
                              </w:tc>
                            </w:tr>
                            <w:tr w:rsidR="00595985" w:rsidRPr="00E87171" w14:paraId="7C539D99" w14:textId="77777777" w:rsidTr="006A4791">
                              <w:trPr>
                                <w:trHeight w:val="156"/>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057AEFB"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110</w:t>
                                  </w:r>
                                </w:p>
                              </w:tc>
                              <w:tc>
                                <w:tcPr>
                                  <w:tcW w:w="1134" w:type="dxa"/>
                                  <w:gridSpan w:val="2"/>
                                  <w:tcBorders>
                                    <w:top w:val="nil"/>
                                    <w:left w:val="nil"/>
                                    <w:bottom w:val="single" w:sz="4" w:space="0" w:color="auto"/>
                                    <w:right w:val="single" w:sz="4" w:space="0" w:color="auto"/>
                                  </w:tcBorders>
                                  <w:shd w:val="clear" w:color="auto" w:fill="auto"/>
                                  <w:vAlign w:val="center"/>
                                  <w:hideMark/>
                                </w:tcPr>
                                <w:p w14:paraId="0EE083F7"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729</w:t>
                                  </w:r>
                                </w:p>
                              </w:tc>
                              <w:tc>
                                <w:tcPr>
                                  <w:tcW w:w="1134" w:type="dxa"/>
                                  <w:gridSpan w:val="2"/>
                                  <w:tcBorders>
                                    <w:top w:val="nil"/>
                                    <w:left w:val="nil"/>
                                    <w:bottom w:val="single" w:sz="4" w:space="0" w:color="auto"/>
                                    <w:right w:val="single" w:sz="4" w:space="0" w:color="auto"/>
                                  </w:tcBorders>
                                  <w:shd w:val="clear" w:color="auto" w:fill="auto"/>
                                  <w:vAlign w:val="center"/>
                                  <w:hideMark/>
                                </w:tcPr>
                                <w:p w14:paraId="563357B9"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177</w:t>
                                  </w:r>
                                </w:p>
                              </w:tc>
                              <w:tc>
                                <w:tcPr>
                                  <w:tcW w:w="1134" w:type="dxa"/>
                                  <w:tcBorders>
                                    <w:top w:val="nil"/>
                                    <w:left w:val="nil"/>
                                    <w:bottom w:val="single" w:sz="4" w:space="0" w:color="auto"/>
                                    <w:right w:val="single" w:sz="4" w:space="0" w:color="auto"/>
                                  </w:tcBorders>
                                  <w:shd w:val="clear" w:color="auto" w:fill="auto"/>
                                  <w:vAlign w:val="center"/>
                                  <w:hideMark/>
                                </w:tcPr>
                                <w:p w14:paraId="0AB92881"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24.28</w:t>
                                  </w:r>
                                </w:p>
                              </w:tc>
                            </w:tr>
                            <w:tr w:rsidR="00595985" w:rsidRPr="00E87171" w14:paraId="18DB0C31" w14:textId="77777777" w:rsidTr="006A4791">
                              <w:trPr>
                                <w:trHeight w:val="20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ED1F463"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111</w:t>
                                  </w:r>
                                </w:p>
                              </w:tc>
                              <w:tc>
                                <w:tcPr>
                                  <w:tcW w:w="1134" w:type="dxa"/>
                                  <w:gridSpan w:val="2"/>
                                  <w:tcBorders>
                                    <w:top w:val="nil"/>
                                    <w:left w:val="nil"/>
                                    <w:bottom w:val="single" w:sz="4" w:space="0" w:color="auto"/>
                                    <w:right w:val="single" w:sz="4" w:space="0" w:color="auto"/>
                                  </w:tcBorders>
                                  <w:shd w:val="clear" w:color="auto" w:fill="auto"/>
                                  <w:vAlign w:val="center"/>
                                  <w:hideMark/>
                                </w:tcPr>
                                <w:p w14:paraId="479952E8"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630</w:t>
                                  </w:r>
                                </w:p>
                              </w:tc>
                              <w:tc>
                                <w:tcPr>
                                  <w:tcW w:w="1134" w:type="dxa"/>
                                  <w:gridSpan w:val="2"/>
                                  <w:tcBorders>
                                    <w:top w:val="nil"/>
                                    <w:left w:val="nil"/>
                                    <w:bottom w:val="single" w:sz="4" w:space="0" w:color="auto"/>
                                    <w:right w:val="single" w:sz="4" w:space="0" w:color="auto"/>
                                  </w:tcBorders>
                                  <w:shd w:val="clear" w:color="auto" w:fill="auto"/>
                                  <w:vAlign w:val="center"/>
                                  <w:hideMark/>
                                </w:tcPr>
                                <w:p w14:paraId="600E590F"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166</w:t>
                                  </w:r>
                                </w:p>
                              </w:tc>
                              <w:tc>
                                <w:tcPr>
                                  <w:tcW w:w="1134" w:type="dxa"/>
                                  <w:tcBorders>
                                    <w:top w:val="nil"/>
                                    <w:left w:val="nil"/>
                                    <w:bottom w:val="single" w:sz="4" w:space="0" w:color="auto"/>
                                    <w:right w:val="single" w:sz="4" w:space="0" w:color="auto"/>
                                  </w:tcBorders>
                                  <w:shd w:val="clear" w:color="auto" w:fill="auto"/>
                                  <w:vAlign w:val="center"/>
                                  <w:hideMark/>
                                </w:tcPr>
                                <w:p w14:paraId="217B78EE"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26.35</w:t>
                                  </w:r>
                                </w:p>
                              </w:tc>
                            </w:tr>
                            <w:tr w:rsidR="00595985" w:rsidRPr="00E87171" w14:paraId="44718368" w14:textId="77777777" w:rsidTr="006A4791">
                              <w:trPr>
                                <w:trHeight w:val="97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66F8374"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112</w:t>
                                  </w:r>
                                  <w:r w:rsidRPr="00E87171">
                                    <w:rPr>
                                      <w:rFonts w:ascii="標楷體" w:eastAsia="標楷體" w:hAnsi="標楷體" w:cs="新細明體" w:hint="eastAsia"/>
                                      <w:color w:val="000000"/>
                                      <w:kern w:val="0"/>
                                      <w:sz w:val="20"/>
                                      <w:szCs w:val="24"/>
                                    </w:rPr>
                                    <w:br/>
                                  </w:r>
                                  <w:r>
                                    <w:rPr>
                                      <w:rFonts w:ascii="標楷體" w:eastAsia="標楷體" w:hAnsi="標楷體" w:cs="新細明體" w:hint="eastAsia"/>
                                      <w:color w:val="000000"/>
                                      <w:spacing w:val="-10"/>
                                      <w:kern w:val="0"/>
                                      <w:sz w:val="20"/>
                                      <w:szCs w:val="24"/>
                                    </w:rPr>
                                    <w:t>（</w:t>
                                  </w:r>
                                  <w:r w:rsidRPr="00E87171">
                                    <w:rPr>
                                      <w:rFonts w:ascii="標楷體" w:eastAsia="標楷體" w:hAnsi="標楷體" w:cs="新細明體" w:hint="eastAsia"/>
                                      <w:color w:val="000000"/>
                                      <w:spacing w:val="-10"/>
                                      <w:kern w:val="0"/>
                                      <w:sz w:val="20"/>
                                      <w:szCs w:val="24"/>
                                    </w:rPr>
                                    <w:t>追蹤至114年2月底</w:t>
                                  </w:r>
                                  <w:r>
                                    <w:rPr>
                                      <w:rFonts w:ascii="標楷體" w:eastAsia="標楷體" w:hAnsi="標楷體" w:cs="新細明體" w:hint="eastAsia"/>
                                      <w:color w:val="000000"/>
                                      <w:spacing w:val="-10"/>
                                      <w:kern w:val="0"/>
                                      <w:sz w:val="20"/>
                                      <w:szCs w:val="24"/>
                                    </w:rPr>
                                    <w:t>）</w:t>
                                  </w:r>
                                </w:p>
                              </w:tc>
                              <w:tc>
                                <w:tcPr>
                                  <w:tcW w:w="1134" w:type="dxa"/>
                                  <w:gridSpan w:val="2"/>
                                  <w:tcBorders>
                                    <w:top w:val="nil"/>
                                    <w:left w:val="nil"/>
                                    <w:bottom w:val="single" w:sz="4" w:space="0" w:color="auto"/>
                                    <w:right w:val="single" w:sz="4" w:space="0" w:color="auto"/>
                                  </w:tcBorders>
                                  <w:shd w:val="clear" w:color="auto" w:fill="auto"/>
                                  <w:vAlign w:val="center"/>
                                  <w:hideMark/>
                                </w:tcPr>
                                <w:p w14:paraId="1F12AFD7"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819</w:t>
                                  </w:r>
                                </w:p>
                              </w:tc>
                              <w:tc>
                                <w:tcPr>
                                  <w:tcW w:w="1134" w:type="dxa"/>
                                  <w:gridSpan w:val="2"/>
                                  <w:tcBorders>
                                    <w:top w:val="nil"/>
                                    <w:left w:val="nil"/>
                                    <w:bottom w:val="single" w:sz="4" w:space="0" w:color="auto"/>
                                    <w:right w:val="single" w:sz="4" w:space="0" w:color="auto"/>
                                  </w:tcBorders>
                                  <w:shd w:val="clear" w:color="auto" w:fill="auto"/>
                                  <w:vAlign w:val="center"/>
                                  <w:hideMark/>
                                </w:tcPr>
                                <w:p w14:paraId="2AF09583"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221</w:t>
                                  </w:r>
                                </w:p>
                              </w:tc>
                              <w:tc>
                                <w:tcPr>
                                  <w:tcW w:w="1134" w:type="dxa"/>
                                  <w:tcBorders>
                                    <w:top w:val="nil"/>
                                    <w:left w:val="nil"/>
                                    <w:bottom w:val="single" w:sz="4" w:space="0" w:color="auto"/>
                                    <w:right w:val="single" w:sz="4" w:space="0" w:color="auto"/>
                                  </w:tcBorders>
                                  <w:shd w:val="clear" w:color="auto" w:fill="auto"/>
                                  <w:vAlign w:val="center"/>
                                  <w:hideMark/>
                                </w:tcPr>
                                <w:p w14:paraId="6AA4843A"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26.98</w:t>
                                  </w:r>
                                </w:p>
                              </w:tc>
                            </w:tr>
                            <w:tr w:rsidR="00595985" w:rsidRPr="00E87171" w14:paraId="72FB0841" w14:textId="77777777" w:rsidTr="00B9245A">
                              <w:trPr>
                                <w:trHeight w:val="330"/>
                              </w:trPr>
                              <w:tc>
                                <w:tcPr>
                                  <w:tcW w:w="4536" w:type="dxa"/>
                                  <w:gridSpan w:val="6"/>
                                  <w:tcBorders>
                                    <w:top w:val="nil"/>
                                    <w:left w:val="nil"/>
                                    <w:bottom w:val="nil"/>
                                    <w:right w:val="nil"/>
                                  </w:tcBorders>
                                  <w:shd w:val="clear" w:color="auto" w:fill="auto"/>
                                  <w:noWrap/>
                                  <w:vAlign w:val="center"/>
                                  <w:hideMark/>
                                </w:tcPr>
                                <w:p w14:paraId="51CAFA8E" w14:textId="77777777" w:rsidR="00595985" w:rsidRPr="00E87171" w:rsidRDefault="00595985" w:rsidP="00E87171">
                                  <w:pPr>
                                    <w:widowControl/>
                                    <w:rPr>
                                      <w:rFonts w:eastAsia="Times New Roman"/>
                                      <w:kern w:val="0"/>
                                      <w:sz w:val="20"/>
                                    </w:rPr>
                                  </w:pPr>
                                  <w:r w:rsidRPr="00E87171">
                                    <w:rPr>
                                      <w:rFonts w:ascii="標楷體" w:eastAsia="標楷體" w:hAnsi="標楷體" w:cs="新細明體" w:hint="eastAsia"/>
                                      <w:color w:val="000000"/>
                                      <w:kern w:val="0"/>
                                      <w:sz w:val="18"/>
                                      <w:szCs w:val="18"/>
                                    </w:rPr>
                                    <w:t>資料來源：整理自</w:t>
                                  </w:r>
                                  <w:r w:rsidRPr="00B83B90">
                                    <w:rPr>
                                      <w:rFonts w:ascii="標楷體" w:eastAsia="標楷體" w:hAnsi="標楷體" w:cs="新細明體" w:hint="eastAsia"/>
                                      <w:color w:val="000000"/>
                                      <w:kern w:val="0"/>
                                      <w:sz w:val="18"/>
                                      <w:szCs w:val="18"/>
                                    </w:rPr>
                                    <w:t>衛生福利部</w:t>
                                  </w:r>
                                  <w:r w:rsidRPr="00E87171">
                                    <w:rPr>
                                      <w:rFonts w:ascii="標楷體" w:eastAsia="標楷體" w:hAnsi="標楷體" w:cs="新細明體" w:hint="eastAsia"/>
                                      <w:color w:val="000000"/>
                                      <w:kern w:val="0"/>
                                      <w:sz w:val="18"/>
                                      <w:szCs w:val="18"/>
                                    </w:rPr>
                                    <w:t>提供資料。</w:t>
                                  </w:r>
                                </w:p>
                              </w:tc>
                            </w:tr>
                          </w:tbl>
                          <w:p w14:paraId="23788A52" w14:textId="77777777" w:rsidR="00595985" w:rsidRPr="00E87171" w:rsidRDefault="00595985" w:rsidP="0059598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BCE5D7" id="_x0000_s1075" type="#_x0000_t202" style="position:absolute;left:0;text-align:left;margin-left:229.95pt;margin-top:329.15pt;width:252.75pt;height:173.25pt;z-index:251630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" filled="f" stroked="f">
                <v:textbox>
                  <w:txbxContent>
                    <w:tbl>
                      <w:tblPr>
                        <w:tblW w:w="4536" w:type="dxa"/>
                        <w:tblInd w:w="142" w:type="dxa"/>
                        <w:tblCellMar>
                          <w:left w:w="28" w:type="dxa"/>
                          <w:right w:w="28" w:type="dxa"/>
                        </w:tblCellMar>
                        <w:tblLook w:val="04A0" w:firstRow="1" w:lastRow="0" w:firstColumn="1" w:lastColumn="0" w:noHBand="0" w:noVBand="1"/>
                      </w:tblPr>
                      <w:tblGrid>
                        <w:gridCol w:w="1134"/>
                        <w:gridCol w:w="851"/>
                        <w:gridCol w:w="283"/>
                        <w:gridCol w:w="851"/>
                        <w:gridCol w:w="283"/>
                        <w:gridCol w:w="1134"/>
                      </w:tblGrid>
                      <w:tr w:rsidR="00595985" w:rsidRPr="00E87171" w14:paraId="732FB961" w14:textId="77777777" w:rsidTr="00B9245A">
                        <w:trPr>
                          <w:trHeight w:val="330"/>
                        </w:trPr>
                        <w:tc>
                          <w:tcPr>
                            <w:tcW w:w="4536" w:type="dxa"/>
                            <w:gridSpan w:val="6"/>
                            <w:tcBorders>
                              <w:top w:val="nil"/>
                              <w:left w:val="nil"/>
                              <w:bottom w:val="nil"/>
                              <w:right w:val="nil"/>
                            </w:tcBorders>
                            <w:shd w:val="clear" w:color="auto" w:fill="auto"/>
                            <w:noWrap/>
                            <w:vAlign w:val="center"/>
                            <w:hideMark/>
                          </w:tcPr>
                          <w:p w14:paraId="6803C1D3" w14:textId="71BCA63C" w:rsidR="00595985" w:rsidRPr="00E87171" w:rsidRDefault="00595985" w:rsidP="00DF3C82">
                            <w:pPr>
                              <w:widowControl/>
                              <w:spacing w:line="0" w:lineRule="atLeast"/>
                              <w:jc w:val="center"/>
                              <w:rPr>
                                <w:rFonts w:ascii="標楷體" w:eastAsia="標楷體" w:hAnsi="標楷體" w:cs="新細明體"/>
                                <w:b/>
                                <w:color w:val="000000"/>
                                <w:kern w:val="0"/>
                                <w:szCs w:val="24"/>
                              </w:rPr>
                            </w:pPr>
                            <w:bookmarkStart w:id="18" w:name="RANGE!A1:D8"/>
                            <w:r>
                              <w:rPr>
                                <w:rFonts w:ascii="標楷體" w:eastAsia="標楷體" w:hAnsi="標楷體" w:cs="新細明體" w:hint="eastAsia"/>
                                <w:b/>
                                <w:color w:val="000000"/>
                                <w:kern w:val="0"/>
                                <w:szCs w:val="24"/>
                              </w:rPr>
                              <w:t>表2</w:t>
                            </w:r>
                            <w:r w:rsidR="002232CA">
                              <w:rPr>
                                <w:rFonts w:ascii="標楷體" w:eastAsia="標楷體" w:hAnsi="標楷體" w:cs="新細明體"/>
                                <w:b/>
                                <w:color w:val="000000"/>
                                <w:kern w:val="0"/>
                                <w:szCs w:val="24"/>
                              </w:rPr>
                              <w:t>4</w:t>
                            </w:r>
                            <w:r w:rsidR="00A74334">
                              <w:rPr>
                                <w:rFonts w:ascii="標楷體" w:eastAsia="標楷體" w:hAnsi="標楷體" w:cs="新細明體" w:hint="eastAsia"/>
                                <w:b/>
                                <w:color w:val="000000"/>
                                <w:kern w:val="0"/>
                                <w:szCs w:val="24"/>
                              </w:rPr>
                              <w:t xml:space="preserve">　</w:t>
                            </w:r>
                            <w:r w:rsidRPr="00E87171">
                              <w:rPr>
                                <w:rFonts w:ascii="標楷體" w:eastAsia="標楷體" w:hAnsi="標楷體" w:cs="新細明體" w:hint="eastAsia"/>
                                <w:b/>
                                <w:color w:val="000000"/>
                                <w:kern w:val="0"/>
                                <w:szCs w:val="24"/>
                              </w:rPr>
                              <w:t>施用毒品兒少2年內再被通報情形</w:t>
                            </w:r>
                            <w:bookmarkEnd w:id="18"/>
                          </w:p>
                        </w:tc>
                      </w:tr>
                      <w:tr w:rsidR="00595985" w:rsidRPr="00E87171" w14:paraId="0679630B" w14:textId="77777777" w:rsidTr="00B9245A">
                        <w:trPr>
                          <w:trHeight w:val="330"/>
                        </w:trPr>
                        <w:tc>
                          <w:tcPr>
                            <w:tcW w:w="1134" w:type="dxa"/>
                            <w:tcBorders>
                              <w:top w:val="nil"/>
                              <w:left w:val="nil"/>
                              <w:bottom w:val="nil"/>
                              <w:right w:val="nil"/>
                            </w:tcBorders>
                            <w:shd w:val="clear" w:color="auto" w:fill="auto"/>
                            <w:noWrap/>
                            <w:vAlign w:val="center"/>
                            <w:hideMark/>
                          </w:tcPr>
                          <w:p w14:paraId="08E7B680" w14:textId="77777777" w:rsidR="00595985" w:rsidRPr="00E87171" w:rsidRDefault="00595985" w:rsidP="00DF3C82">
                            <w:pPr>
                              <w:widowControl/>
                              <w:spacing w:line="0" w:lineRule="atLeast"/>
                              <w:jc w:val="center"/>
                              <w:rPr>
                                <w:rFonts w:ascii="標楷體" w:eastAsia="標楷體" w:hAnsi="標楷體" w:cs="新細明體"/>
                                <w:color w:val="000000"/>
                                <w:kern w:val="0"/>
                                <w:szCs w:val="24"/>
                              </w:rPr>
                            </w:pPr>
                          </w:p>
                        </w:tc>
                        <w:tc>
                          <w:tcPr>
                            <w:tcW w:w="851" w:type="dxa"/>
                            <w:tcBorders>
                              <w:top w:val="nil"/>
                              <w:left w:val="nil"/>
                              <w:bottom w:val="nil"/>
                              <w:right w:val="nil"/>
                            </w:tcBorders>
                            <w:shd w:val="clear" w:color="auto" w:fill="auto"/>
                            <w:noWrap/>
                            <w:vAlign w:val="center"/>
                            <w:hideMark/>
                          </w:tcPr>
                          <w:p w14:paraId="3C511482" w14:textId="77777777" w:rsidR="00595985" w:rsidRPr="00E87171" w:rsidRDefault="00595985" w:rsidP="00DF3C82">
                            <w:pPr>
                              <w:widowControl/>
                              <w:spacing w:line="0" w:lineRule="atLeast"/>
                              <w:rPr>
                                <w:rFonts w:eastAsia="Times New Roman"/>
                                <w:kern w:val="0"/>
                                <w:sz w:val="20"/>
                              </w:rPr>
                            </w:pPr>
                          </w:p>
                        </w:tc>
                        <w:tc>
                          <w:tcPr>
                            <w:tcW w:w="1134" w:type="dxa"/>
                            <w:gridSpan w:val="2"/>
                            <w:tcBorders>
                              <w:top w:val="nil"/>
                              <w:left w:val="nil"/>
                              <w:bottom w:val="nil"/>
                              <w:right w:val="nil"/>
                            </w:tcBorders>
                            <w:shd w:val="clear" w:color="auto" w:fill="auto"/>
                            <w:noWrap/>
                            <w:vAlign w:val="center"/>
                            <w:hideMark/>
                          </w:tcPr>
                          <w:p w14:paraId="0D8C880F" w14:textId="77777777" w:rsidR="00595985" w:rsidRPr="00E87171" w:rsidRDefault="00595985" w:rsidP="00DF3C82">
                            <w:pPr>
                              <w:widowControl/>
                              <w:spacing w:line="0" w:lineRule="atLeast"/>
                              <w:rPr>
                                <w:rFonts w:eastAsia="Times New Roman"/>
                                <w:kern w:val="0"/>
                                <w:sz w:val="20"/>
                              </w:rPr>
                            </w:pPr>
                          </w:p>
                        </w:tc>
                        <w:tc>
                          <w:tcPr>
                            <w:tcW w:w="1417" w:type="dxa"/>
                            <w:gridSpan w:val="2"/>
                            <w:tcBorders>
                              <w:top w:val="nil"/>
                              <w:left w:val="nil"/>
                              <w:bottom w:val="nil"/>
                              <w:right w:val="nil"/>
                            </w:tcBorders>
                            <w:shd w:val="clear" w:color="auto" w:fill="auto"/>
                            <w:noWrap/>
                            <w:vAlign w:val="center"/>
                            <w:hideMark/>
                          </w:tcPr>
                          <w:p w14:paraId="634C7034" w14:textId="77777777" w:rsidR="00595985" w:rsidRPr="00E87171" w:rsidRDefault="00595985" w:rsidP="00DF3C82">
                            <w:pPr>
                              <w:widowControl/>
                              <w:spacing w:line="0" w:lineRule="atLeast"/>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單位：人、％</w:t>
                            </w:r>
                          </w:p>
                        </w:tc>
                      </w:tr>
                      <w:tr w:rsidR="00282D7D" w:rsidRPr="00E87171" w14:paraId="691AB674" w14:textId="77777777" w:rsidTr="006C7C6C">
                        <w:trPr>
                          <w:trHeight w:val="237"/>
                        </w:trPr>
                        <w:tc>
                          <w:tcPr>
                            <w:tcW w:w="1134" w:type="dxa"/>
                            <w:vMerge w:val="restart"/>
                            <w:tcBorders>
                              <w:top w:val="single" w:sz="4" w:space="0" w:color="auto"/>
                              <w:left w:val="single" w:sz="4" w:space="0" w:color="auto"/>
                              <w:right w:val="single" w:sz="4" w:space="0" w:color="auto"/>
                            </w:tcBorders>
                            <w:shd w:val="clear" w:color="auto" w:fill="auto"/>
                            <w:vAlign w:val="center"/>
                          </w:tcPr>
                          <w:p w14:paraId="11631D41" w14:textId="020EC782"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年度</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14:paraId="2265FA3E" w14:textId="0C0882FF"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被通報人數</w:t>
                            </w:r>
                          </w:p>
                        </w:tc>
                        <w:tc>
                          <w:tcPr>
                            <w:tcW w:w="1134" w:type="dxa"/>
                            <w:gridSpan w:val="2"/>
                            <w:tcBorders>
                              <w:top w:val="single" w:sz="4" w:space="0" w:color="auto"/>
                              <w:left w:val="single" w:sz="4" w:space="0" w:color="auto"/>
                            </w:tcBorders>
                            <w:shd w:val="clear" w:color="auto" w:fill="auto"/>
                            <w:vAlign w:val="center"/>
                          </w:tcPr>
                          <w:p w14:paraId="3D3DD5C5" w14:textId="3792E4EC"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r w:rsidRPr="00282D7D">
                              <w:rPr>
                                <w:rFonts w:ascii="標楷體" w:eastAsia="標楷體" w:hAnsi="標楷體" w:cs="新細明體" w:hint="eastAsia"/>
                                <w:color w:val="000000"/>
                                <w:kern w:val="0"/>
                                <w:sz w:val="20"/>
                                <w:szCs w:val="24"/>
                              </w:rPr>
                              <w:t>2年內再被</w:t>
                            </w:r>
                          </w:p>
                        </w:tc>
                        <w:tc>
                          <w:tcPr>
                            <w:tcW w:w="1134" w:type="dxa"/>
                            <w:tcBorders>
                              <w:top w:val="single" w:sz="4" w:space="0" w:color="auto"/>
                              <w:bottom w:val="single" w:sz="4" w:space="0" w:color="auto"/>
                              <w:right w:val="single" w:sz="4" w:space="0" w:color="auto"/>
                            </w:tcBorders>
                            <w:shd w:val="clear" w:color="auto" w:fill="auto"/>
                            <w:vAlign w:val="center"/>
                          </w:tcPr>
                          <w:p w14:paraId="083EB7B8" w14:textId="77777777"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p>
                        </w:tc>
                      </w:tr>
                      <w:tr w:rsidR="00282D7D" w:rsidRPr="00E87171" w14:paraId="2EC8E196" w14:textId="77777777" w:rsidTr="006C7C6C">
                        <w:trPr>
                          <w:trHeight w:val="237"/>
                        </w:trPr>
                        <w:tc>
                          <w:tcPr>
                            <w:tcW w:w="1134" w:type="dxa"/>
                            <w:vMerge/>
                            <w:tcBorders>
                              <w:left w:val="single" w:sz="4" w:space="0" w:color="auto"/>
                              <w:bottom w:val="single" w:sz="4" w:space="0" w:color="auto"/>
                              <w:right w:val="single" w:sz="4" w:space="0" w:color="auto"/>
                            </w:tcBorders>
                            <w:shd w:val="clear" w:color="auto" w:fill="auto"/>
                            <w:vAlign w:val="center"/>
                          </w:tcPr>
                          <w:p w14:paraId="118D2314" w14:textId="77777777"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14:paraId="6E876BB0" w14:textId="77777777"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p>
                        </w:tc>
                        <w:tc>
                          <w:tcPr>
                            <w:tcW w:w="1134" w:type="dxa"/>
                            <w:gridSpan w:val="2"/>
                            <w:tcBorders>
                              <w:left w:val="single" w:sz="4" w:space="0" w:color="auto"/>
                              <w:bottom w:val="single" w:sz="4" w:space="0" w:color="auto"/>
                              <w:right w:val="single" w:sz="4" w:space="0" w:color="auto"/>
                            </w:tcBorders>
                            <w:shd w:val="clear" w:color="auto" w:fill="auto"/>
                            <w:vAlign w:val="center"/>
                          </w:tcPr>
                          <w:p w14:paraId="5C3B2C55" w14:textId="156D7A86" w:rsidR="00282D7D" w:rsidRPr="00E87171" w:rsidRDefault="00282D7D" w:rsidP="00282D7D">
                            <w:pPr>
                              <w:widowControl/>
                              <w:spacing w:line="0" w:lineRule="atLeast"/>
                              <w:jc w:val="center"/>
                              <w:rPr>
                                <w:rFonts w:ascii="標楷體" w:eastAsia="標楷體" w:hAnsi="標楷體" w:cs="新細明體"/>
                                <w:color w:val="000000"/>
                                <w:kern w:val="0"/>
                                <w:sz w:val="20"/>
                                <w:szCs w:val="24"/>
                              </w:rPr>
                            </w:pPr>
                            <w:r w:rsidRPr="00282D7D">
                              <w:rPr>
                                <w:rFonts w:ascii="標楷體" w:eastAsia="標楷體" w:hAnsi="標楷體" w:cs="新細明體" w:hint="eastAsia"/>
                                <w:color w:val="000000"/>
                                <w:kern w:val="0"/>
                                <w:sz w:val="20"/>
                                <w:szCs w:val="24"/>
                              </w:rPr>
                              <w:t>通報人數</w:t>
                            </w:r>
                          </w:p>
                        </w:tc>
                        <w:tc>
                          <w:tcPr>
                            <w:tcW w:w="1134" w:type="dxa"/>
                            <w:tcBorders>
                              <w:top w:val="single" w:sz="4" w:space="0" w:color="auto"/>
                              <w:left w:val="nil"/>
                              <w:bottom w:val="single" w:sz="4" w:space="0" w:color="auto"/>
                              <w:right w:val="single" w:sz="4" w:space="0" w:color="auto"/>
                            </w:tcBorders>
                            <w:shd w:val="clear" w:color="auto" w:fill="auto"/>
                            <w:vAlign w:val="center"/>
                          </w:tcPr>
                          <w:p w14:paraId="65209A35" w14:textId="70DC6478" w:rsidR="00282D7D" w:rsidRPr="00E87171" w:rsidRDefault="00282D7D" w:rsidP="00282D7D">
                            <w:pPr>
                              <w:widowControl/>
                              <w:spacing w:line="0" w:lineRule="atLeast"/>
                              <w:jc w:val="right"/>
                              <w:rPr>
                                <w:rFonts w:ascii="標楷體" w:eastAsia="標楷體" w:hAnsi="標楷體" w:cs="新細明體"/>
                                <w:color w:val="000000"/>
                                <w:kern w:val="0"/>
                                <w:sz w:val="20"/>
                                <w:szCs w:val="24"/>
                              </w:rPr>
                            </w:pPr>
                            <w:r w:rsidRPr="00282D7D">
                              <w:rPr>
                                <w:rFonts w:ascii="標楷體" w:eastAsia="標楷體" w:hAnsi="標楷體" w:cs="新細明體" w:hint="eastAsia"/>
                                <w:color w:val="000000"/>
                                <w:kern w:val="0"/>
                                <w:sz w:val="20"/>
                                <w:szCs w:val="24"/>
                              </w:rPr>
                              <w:t>再被通報率</w:t>
                            </w:r>
                          </w:p>
                        </w:tc>
                      </w:tr>
                      <w:tr w:rsidR="00595985" w:rsidRPr="00E87171" w14:paraId="6B2BF4B5" w14:textId="77777777" w:rsidTr="00282D7D">
                        <w:trPr>
                          <w:trHeight w:val="23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69C02"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109</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243BDA0F"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891</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2729496B"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F24AC9"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19.53</w:t>
                            </w:r>
                          </w:p>
                        </w:tc>
                      </w:tr>
                      <w:tr w:rsidR="00595985" w:rsidRPr="00E87171" w14:paraId="7C539D99" w14:textId="77777777" w:rsidTr="006A4791">
                        <w:trPr>
                          <w:trHeight w:val="156"/>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057AEFB"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110</w:t>
                            </w:r>
                          </w:p>
                        </w:tc>
                        <w:tc>
                          <w:tcPr>
                            <w:tcW w:w="1134" w:type="dxa"/>
                            <w:gridSpan w:val="2"/>
                            <w:tcBorders>
                              <w:top w:val="nil"/>
                              <w:left w:val="nil"/>
                              <w:bottom w:val="single" w:sz="4" w:space="0" w:color="auto"/>
                              <w:right w:val="single" w:sz="4" w:space="0" w:color="auto"/>
                            </w:tcBorders>
                            <w:shd w:val="clear" w:color="auto" w:fill="auto"/>
                            <w:vAlign w:val="center"/>
                            <w:hideMark/>
                          </w:tcPr>
                          <w:p w14:paraId="0EE083F7"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729</w:t>
                            </w:r>
                          </w:p>
                        </w:tc>
                        <w:tc>
                          <w:tcPr>
                            <w:tcW w:w="1134" w:type="dxa"/>
                            <w:gridSpan w:val="2"/>
                            <w:tcBorders>
                              <w:top w:val="nil"/>
                              <w:left w:val="nil"/>
                              <w:bottom w:val="single" w:sz="4" w:space="0" w:color="auto"/>
                              <w:right w:val="single" w:sz="4" w:space="0" w:color="auto"/>
                            </w:tcBorders>
                            <w:shd w:val="clear" w:color="auto" w:fill="auto"/>
                            <w:vAlign w:val="center"/>
                            <w:hideMark/>
                          </w:tcPr>
                          <w:p w14:paraId="563357B9"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177</w:t>
                            </w:r>
                          </w:p>
                        </w:tc>
                        <w:tc>
                          <w:tcPr>
                            <w:tcW w:w="1134" w:type="dxa"/>
                            <w:tcBorders>
                              <w:top w:val="nil"/>
                              <w:left w:val="nil"/>
                              <w:bottom w:val="single" w:sz="4" w:space="0" w:color="auto"/>
                              <w:right w:val="single" w:sz="4" w:space="0" w:color="auto"/>
                            </w:tcBorders>
                            <w:shd w:val="clear" w:color="auto" w:fill="auto"/>
                            <w:vAlign w:val="center"/>
                            <w:hideMark/>
                          </w:tcPr>
                          <w:p w14:paraId="0AB92881"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24.28</w:t>
                            </w:r>
                          </w:p>
                        </w:tc>
                      </w:tr>
                      <w:tr w:rsidR="00595985" w:rsidRPr="00E87171" w14:paraId="18DB0C31" w14:textId="77777777" w:rsidTr="006A4791">
                        <w:trPr>
                          <w:trHeight w:val="20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ED1F463"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111</w:t>
                            </w:r>
                          </w:p>
                        </w:tc>
                        <w:tc>
                          <w:tcPr>
                            <w:tcW w:w="1134" w:type="dxa"/>
                            <w:gridSpan w:val="2"/>
                            <w:tcBorders>
                              <w:top w:val="nil"/>
                              <w:left w:val="nil"/>
                              <w:bottom w:val="single" w:sz="4" w:space="0" w:color="auto"/>
                              <w:right w:val="single" w:sz="4" w:space="0" w:color="auto"/>
                            </w:tcBorders>
                            <w:shd w:val="clear" w:color="auto" w:fill="auto"/>
                            <w:vAlign w:val="center"/>
                            <w:hideMark/>
                          </w:tcPr>
                          <w:p w14:paraId="479952E8"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630</w:t>
                            </w:r>
                          </w:p>
                        </w:tc>
                        <w:tc>
                          <w:tcPr>
                            <w:tcW w:w="1134" w:type="dxa"/>
                            <w:gridSpan w:val="2"/>
                            <w:tcBorders>
                              <w:top w:val="nil"/>
                              <w:left w:val="nil"/>
                              <w:bottom w:val="single" w:sz="4" w:space="0" w:color="auto"/>
                              <w:right w:val="single" w:sz="4" w:space="0" w:color="auto"/>
                            </w:tcBorders>
                            <w:shd w:val="clear" w:color="auto" w:fill="auto"/>
                            <w:vAlign w:val="center"/>
                            <w:hideMark/>
                          </w:tcPr>
                          <w:p w14:paraId="600E590F"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166</w:t>
                            </w:r>
                          </w:p>
                        </w:tc>
                        <w:tc>
                          <w:tcPr>
                            <w:tcW w:w="1134" w:type="dxa"/>
                            <w:tcBorders>
                              <w:top w:val="nil"/>
                              <w:left w:val="nil"/>
                              <w:bottom w:val="single" w:sz="4" w:space="0" w:color="auto"/>
                              <w:right w:val="single" w:sz="4" w:space="0" w:color="auto"/>
                            </w:tcBorders>
                            <w:shd w:val="clear" w:color="auto" w:fill="auto"/>
                            <w:vAlign w:val="center"/>
                            <w:hideMark/>
                          </w:tcPr>
                          <w:p w14:paraId="217B78EE"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26.35</w:t>
                            </w:r>
                          </w:p>
                        </w:tc>
                      </w:tr>
                      <w:tr w:rsidR="00595985" w:rsidRPr="00E87171" w14:paraId="44718368" w14:textId="77777777" w:rsidTr="006A4791">
                        <w:trPr>
                          <w:trHeight w:val="97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66F8374" w14:textId="77777777" w:rsidR="00595985" w:rsidRPr="00E87171" w:rsidRDefault="00595985" w:rsidP="00DF3C82">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112</w:t>
                            </w:r>
                            <w:r w:rsidRPr="00E87171">
                              <w:rPr>
                                <w:rFonts w:ascii="標楷體" w:eastAsia="標楷體" w:hAnsi="標楷體" w:cs="新細明體" w:hint="eastAsia"/>
                                <w:color w:val="000000"/>
                                <w:kern w:val="0"/>
                                <w:sz w:val="20"/>
                                <w:szCs w:val="24"/>
                              </w:rPr>
                              <w:br/>
                            </w:r>
                            <w:r>
                              <w:rPr>
                                <w:rFonts w:ascii="標楷體" w:eastAsia="標楷體" w:hAnsi="標楷體" w:cs="新細明體" w:hint="eastAsia"/>
                                <w:color w:val="000000"/>
                                <w:spacing w:val="-10"/>
                                <w:kern w:val="0"/>
                                <w:sz w:val="20"/>
                                <w:szCs w:val="24"/>
                              </w:rPr>
                              <w:t>（</w:t>
                            </w:r>
                            <w:r w:rsidRPr="00E87171">
                              <w:rPr>
                                <w:rFonts w:ascii="標楷體" w:eastAsia="標楷體" w:hAnsi="標楷體" w:cs="新細明體" w:hint="eastAsia"/>
                                <w:color w:val="000000"/>
                                <w:spacing w:val="-10"/>
                                <w:kern w:val="0"/>
                                <w:sz w:val="20"/>
                                <w:szCs w:val="24"/>
                              </w:rPr>
                              <w:t>追蹤至114年2月底</w:t>
                            </w:r>
                            <w:r>
                              <w:rPr>
                                <w:rFonts w:ascii="標楷體" w:eastAsia="標楷體" w:hAnsi="標楷體" w:cs="新細明體" w:hint="eastAsia"/>
                                <w:color w:val="000000"/>
                                <w:spacing w:val="-10"/>
                                <w:kern w:val="0"/>
                                <w:sz w:val="20"/>
                                <w:szCs w:val="24"/>
                              </w:rPr>
                              <w:t>）</w:t>
                            </w:r>
                          </w:p>
                        </w:tc>
                        <w:tc>
                          <w:tcPr>
                            <w:tcW w:w="1134" w:type="dxa"/>
                            <w:gridSpan w:val="2"/>
                            <w:tcBorders>
                              <w:top w:val="nil"/>
                              <w:left w:val="nil"/>
                              <w:bottom w:val="single" w:sz="4" w:space="0" w:color="auto"/>
                              <w:right w:val="single" w:sz="4" w:space="0" w:color="auto"/>
                            </w:tcBorders>
                            <w:shd w:val="clear" w:color="auto" w:fill="auto"/>
                            <w:vAlign w:val="center"/>
                            <w:hideMark/>
                          </w:tcPr>
                          <w:p w14:paraId="1F12AFD7"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819</w:t>
                            </w:r>
                          </w:p>
                        </w:tc>
                        <w:tc>
                          <w:tcPr>
                            <w:tcW w:w="1134" w:type="dxa"/>
                            <w:gridSpan w:val="2"/>
                            <w:tcBorders>
                              <w:top w:val="nil"/>
                              <w:left w:val="nil"/>
                              <w:bottom w:val="single" w:sz="4" w:space="0" w:color="auto"/>
                              <w:right w:val="single" w:sz="4" w:space="0" w:color="auto"/>
                            </w:tcBorders>
                            <w:shd w:val="clear" w:color="auto" w:fill="auto"/>
                            <w:vAlign w:val="center"/>
                            <w:hideMark/>
                          </w:tcPr>
                          <w:p w14:paraId="2AF09583"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221</w:t>
                            </w:r>
                          </w:p>
                        </w:tc>
                        <w:tc>
                          <w:tcPr>
                            <w:tcW w:w="1134" w:type="dxa"/>
                            <w:tcBorders>
                              <w:top w:val="nil"/>
                              <w:left w:val="nil"/>
                              <w:bottom w:val="single" w:sz="4" w:space="0" w:color="auto"/>
                              <w:right w:val="single" w:sz="4" w:space="0" w:color="auto"/>
                            </w:tcBorders>
                            <w:shd w:val="clear" w:color="auto" w:fill="auto"/>
                            <w:vAlign w:val="center"/>
                            <w:hideMark/>
                          </w:tcPr>
                          <w:p w14:paraId="6AA4843A" w14:textId="77777777" w:rsidR="00595985" w:rsidRPr="00E87171" w:rsidRDefault="00595985" w:rsidP="00DF3C82">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26.98</w:t>
                            </w:r>
                          </w:p>
                        </w:tc>
                      </w:tr>
                      <w:tr w:rsidR="00595985" w:rsidRPr="00E87171" w14:paraId="72FB0841" w14:textId="77777777" w:rsidTr="00B9245A">
                        <w:trPr>
                          <w:trHeight w:val="330"/>
                        </w:trPr>
                        <w:tc>
                          <w:tcPr>
                            <w:tcW w:w="4536" w:type="dxa"/>
                            <w:gridSpan w:val="6"/>
                            <w:tcBorders>
                              <w:top w:val="nil"/>
                              <w:left w:val="nil"/>
                              <w:bottom w:val="nil"/>
                              <w:right w:val="nil"/>
                            </w:tcBorders>
                            <w:shd w:val="clear" w:color="auto" w:fill="auto"/>
                            <w:noWrap/>
                            <w:vAlign w:val="center"/>
                            <w:hideMark/>
                          </w:tcPr>
                          <w:p w14:paraId="51CAFA8E" w14:textId="77777777" w:rsidR="00595985" w:rsidRPr="00E87171" w:rsidRDefault="00595985" w:rsidP="00E87171">
                            <w:pPr>
                              <w:widowControl/>
                              <w:rPr>
                                <w:rFonts w:eastAsia="Times New Roman"/>
                                <w:kern w:val="0"/>
                                <w:sz w:val="20"/>
                              </w:rPr>
                            </w:pPr>
                            <w:r w:rsidRPr="00E87171">
                              <w:rPr>
                                <w:rFonts w:ascii="標楷體" w:eastAsia="標楷體" w:hAnsi="標楷體" w:cs="新細明體" w:hint="eastAsia"/>
                                <w:color w:val="000000"/>
                                <w:kern w:val="0"/>
                                <w:sz w:val="18"/>
                                <w:szCs w:val="18"/>
                              </w:rPr>
                              <w:t>資料來源：整理自</w:t>
                            </w:r>
                            <w:r w:rsidRPr="00B83B90">
                              <w:rPr>
                                <w:rFonts w:ascii="標楷體" w:eastAsia="標楷體" w:hAnsi="標楷體" w:cs="新細明體" w:hint="eastAsia"/>
                                <w:color w:val="000000"/>
                                <w:kern w:val="0"/>
                                <w:sz w:val="18"/>
                                <w:szCs w:val="18"/>
                              </w:rPr>
                              <w:t>衛生福利部</w:t>
                            </w:r>
                            <w:r w:rsidRPr="00E87171">
                              <w:rPr>
                                <w:rFonts w:ascii="標楷體" w:eastAsia="標楷體" w:hAnsi="標楷體" w:cs="新細明體" w:hint="eastAsia"/>
                                <w:color w:val="000000"/>
                                <w:kern w:val="0"/>
                                <w:sz w:val="18"/>
                                <w:szCs w:val="18"/>
                              </w:rPr>
                              <w:t>提供資料。</w:t>
                            </w:r>
                          </w:p>
                        </w:tc>
                      </w:tr>
                    </w:tbl>
                    <w:p w14:paraId="23788A52" w14:textId="77777777" w:rsidR="00595985" w:rsidRPr="00E87171" w:rsidRDefault="00595985" w:rsidP="00595985"/>
                  </w:txbxContent>
                </v:textbox>
                <w10:wrap type="square" anchorx="margin"/>
              </v:shape>
            </w:pict>
          </mc:Fallback>
        </mc:AlternateContent>
      </w:r>
      <w:r w:rsidR="00595985">
        <w:rPr>
          <w:rFonts w:ascii="標楷體" w:eastAsia="標楷體" w:hAnsi="標楷體" w:hint="eastAsia"/>
        </w:rPr>
        <w:t>至</w:t>
      </w:r>
      <w:proofErr w:type="gramStart"/>
      <w:r w:rsidR="00595985">
        <w:rPr>
          <w:rFonts w:ascii="標楷體" w:eastAsia="標楷體" w:hAnsi="標楷體" w:hint="eastAsia"/>
        </w:rPr>
        <w:t>108</w:t>
      </w:r>
      <w:proofErr w:type="gramEnd"/>
      <w:r w:rsidR="00595985">
        <w:rPr>
          <w:rFonts w:ascii="標楷體" w:eastAsia="標楷體" w:hAnsi="標楷體" w:hint="eastAsia"/>
        </w:rPr>
        <w:t>年度平均值減少1.5個百分點。</w:t>
      </w:r>
      <w:r w:rsidR="00595985" w:rsidRPr="004F00C8">
        <w:rPr>
          <w:rFonts w:ascii="標楷體" w:eastAsia="標楷體" w:hAnsi="標楷體" w:hint="eastAsia"/>
        </w:rPr>
        <w:t>經查毒品防制政策</w:t>
      </w:r>
      <w:r w:rsidR="00595985">
        <w:rPr>
          <w:rFonts w:ascii="標楷體" w:eastAsia="標楷體" w:hAnsi="標楷體" w:hint="eastAsia"/>
        </w:rPr>
        <w:t>及再犯防止推進計畫</w:t>
      </w:r>
      <w:r w:rsidR="00595985" w:rsidRPr="004F00C8">
        <w:rPr>
          <w:rFonts w:ascii="標楷體" w:eastAsia="標楷體" w:hAnsi="標楷體" w:hint="eastAsia"/>
        </w:rPr>
        <w:t>執行情形</w:t>
      </w:r>
      <w:r w:rsidR="00595985">
        <w:rPr>
          <w:rFonts w:ascii="標楷體" w:eastAsia="標楷體" w:hAnsi="標楷體" w:hint="eastAsia"/>
        </w:rPr>
        <w:t>，核有：（1）</w:t>
      </w:r>
      <w:proofErr w:type="gramStart"/>
      <w:r w:rsidR="00595985" w:rsidRPr="00895E76">
        <w:rPr>
          <w:rFonts w:ascii="標楷體" w:eastAsia="標楷體" w:hAnsi="標楷體" w:hint="eastAsia"/>
        </w:rPr>
        <w:t>111</w:t>
      </w:r>
      <w:proofErr w:type="gramEnd"/>
      <w:r w:rsidR="00595985" w:rsidRPr="00895E76">
        <w:rPr>
          <w:rFonts w:ascii="標楷體" w:eastAsia="標楷體" w:hAnsi="標楷體" w:hint="eastAsia"/>
        </w:rPr>
        <w:t>年度施用毒品之成人，</w:t>
      </w:r>
      <w:r w:rsidR="00595985">
        <w:rPr>
          <w:rFonts w:ascii="標楷體" w:eastAsia="標楷體" w:hAnsi="標楷體" w:hint="eastAsia"/>
        </w:rPr>
        <w:t>經</w:t>
      </w:r>
      <w:r w:rsidR="00595985" w:rsidRPr="00895E76">
        <w:rPr>
          <w:rFonts w:ascii="標楷體" w:eastAsia="標楷體" w:hAnsi="標楷體" w:hint="eastAsia"/>
        </w:rPr>
        <w:t>追蹤2年</w:t>
      </w:r>
      <w:r w:rsidR="00595985">
        <w:rPr>
          <w:rFonts w:ascii="標楷體" w:eastAsia="標楷體" w:hAnsi="標楷體" w:hint="eastAsia"/>
        </w:rPr>
        <w:t>內</w:t>
      </w:r>
      <w:r w:rsidR="00595985" w:rsidRPr="00895E76">
        <w:rPr>
          <w:rFonts w:ascii="標楷體" w:eastAsia="標楷體" w:hAnsi="標楷體" w:hint="eastAsia"/>
        </w:rPr>
        <w:t>再犯</w:t>
      </w:r>
      <w:r w:rsidR="00595985">
        <w:rPr>
          <w:rFonts w:ascii="標楷體" w:eastAsia="標楷體" w:hAnsi="標楷體" w:hint="eastAsia"/>
        </w:rPr>
        <w:t>比</w:t>
      </w:r>
      <w:r w:rsidR="00595985" w:rsidRPr="00895E76">
        <w:rPr>
          <w:rFonts w:ascii="標楷體" w:eastAsia="標楷體" w:hAnsi="標楷體" w:hint="eastAsia"/>
        </w:rPr>
        <w:t>率為43.96％，</w:t>
      </w:r>
      <w:r w:rsidR="00595985">
        <w:rPr>
          <w:rFonts w:ascii="標楷體" w:eastAsia="標楷體" w:hAnsi="標楷體" w:hint="eastAsia"/>
        </w:rPr>
        <w:t>已</w:t>
      </w:r>
      <w:r w:rsidR="00595985" w:rsidRPr="00895E76">
        <w:rPr>
          <w:rFonts w:ascii="標楷體" w:eastAsia="標楷體" w:hAnsi="標楷體" w:hint="eastAsia"/>
        </w:rPr>
        <w:t>較目標值44.66％略降，惟出獄受刑人</w:t>
      </w:r>
      <w:r w:rsidR="00595985">
        <w:rPr>
          <w:rFonts w:ascii="標楷體" w:eastAsia="標楷體" w:hAnsi="標楷體" w:hint="eastAsia"/>
        </w:rPr>
        <w:t>及</w:t>
      </w:r>
      <w:r w:rsidR="00595985" w:rsidRPr="00895E76">
        <w:rPr>
          <w:rFonts w:ascii="標楷體" w:eastAsia="標楷體" w:hAnsi="標楷體" w:hint="eastAsia"/>
        </w:rPr>
        <w:t>出所受觀察勒戒人再犯</w:t>
      </w:r>
      <w:r w:rsidR="00595985">
        <w:rPr>
          <w:rFonts w:ascii="標楷體" w:eastAsia="標楷體" w:hAnsi="標楷體" w:hint="eastAsia"/>
        </w:rPr>
        <w:t>比</w:t>
      </w:r>
      <w:r w:rsidR="00595985" w:rsidRPr="00895E76">
        <w:rPr>
          <w:rFonts w:ascii="標楷體" w:eastAsia="標楷體" w:hAnsi="標楷體" w:hint="eastAsia"/>
        </w:rPr>
        <w:t>率分別</w:t>
      </w:r>
      <w:r w:rsidR="00595985">
        <w:rPr>
          <w:rFonts w:ascii="標楷體" w:eastAsia="標楷體" w:hAnsi="標楷體" w:hint="eastAsia"/>
        </w:rPr>
        <w:t>為</w:t>
      </w:r>
      <w:r w:rsidR="00595985" w:rsidRPr="00895E76">
        <w:rPr>
          <w:rFonts w:ascii="標楷體" w:eastAsia="標楷體" w:hAnsi="標楷體" w:hint="eastAsia"/>
        </w:rPr>
        <w:t>51.79％及45.24％，較106至108年</w:t>
      </w:r>
      <w:r w:rsidR="00595985">
        <w:rPr>
          <w:rFonts w:ascii="標楷體" w:eastAsia="標楷體" w:hAnsi="標楷體" w:hint="eastAsia"/>
        </w:rPr>
        <w:t>度</w:t>
      </w:r>
      <w:r w:rsidR="00595985" w:rsidRPr="00895E76">
        <w:rPr>
          <w:rFonts w:ascii="標楷體" w:eastAsia="標楷體" w:hAnsi="標楷體" w:hint="eastAsia"/>
        </w:rPr>
        <w:t>平均</w:t>
      </w:r>
      <w:r w:rsidR="00595985">
        <w:rPr>
          <w:rFonts w:ascii="標楷體" w:eastAsia="標楷體" w:hAnsi="標楷體" w:hint="eastAsia"/>
        </w:rPr>
        <w:t>值</w:t>
      </w:r>
      <w:r w:rsidR="00595985" w:rsidRPr="00895E76">
        <w:rPr>
          <w:rFonts w:ascii="標楷體" w:eastAsia="標楷體" w:hAnsi="標楷體" w:hint="eastAsia"/>
        </w:rPr>
        <w:t>上升0.4</w:t>
      </w:r>
      <w:r w:rsidR="00595985">
        <w:rPr>
          <w:rFonts w:ascii="標楷體" w:eastAsia="標楷體" w:hAnsi="標楷體" w:hint="eastAsia"/>
        </w:rPr>
        <w:t>及</w:t>
      </w:r>
      <w:r w:rsidR="00595985" w:rsidRPr="00895E76">
        <w:rPr>
          <w:rFonts w:ascii="標楷體" w:eastAsia="標楷體" w:hAnsi="標楷體" w:hint="eastAsia"/>
        </w:rPr>
        <w:t>8.1個百分點，未達下降</w:t>
      </w:r>
      <w:r w:rsidR="00595985">
        <w:rPr>
          <w:rFonts w:ascii="標楷體" w:eastAsia="標楷體" w:hAnsi="標楷體" w:hint="eastAsia"/>
        </w:rPr>
        <w:t>1.5個百分點之</w:t>
      </w:r>
      <w:r w:rsidR="00595985" w:rsidRPr="00895E76">
        <w:rPr>
          <w:rFonts w:ascii="標楷體" w:eastAsia="標楷體" w:hAnsi="標楷體" w:hint="eastAsia"/>
        </w:rPr>
        <w:t>目標</w:t>
      </w:r>
      <w:r w:rsidR="00595985">
        <w:rPr>
          <w:rFonts w:ascii="標楷體" w:eastAsia="標楷體" w:hAnsi="標楷體" w:hint="eastAsia"/>
        </w:rPr>
        <w:t>，且</w:t>
      </w:r>
      <w:r w:rsidR="00595985" w:rsidRPr="00895E76">
        <w:rPr>
          <w:rFonts w:ascii="標楷體" w:eastAsia="標楷體" w:hAnsi="標楷體" w:hint="eastAsia"/>
        </w:rPr>
        <w:t>成人再犯</w:t>
      </w:r>
      <w:r w:rsidR="00595985">
        <w:rPr>
          <w:rFonts w:ascii="標楷體" w:eastAsia="標楷體" w:hAnsi="標楷體" w:hint="eastAsia"/>
        </w:rPr>
        <w:t>比</w:t>
      </w:r>
      <w:r w:rsidR="00595985" w:rsidRPr="00895E76">
        <w:rPr>
          <w:rFonts w:ascii="標楷體" w:eastAsia="標楷體" w:hAnsi="標楷體" w:hint="eastAsia"/>
        </w:rPr>
        <w:t>率自</w:t>
      </w:r>
      <w:proofErr w:type="gramStart"/>
      <w:r w:rsidR="00595985" w:rsidRPr="00895E76">
        <w:rPr>
          <w:rFonts w:ascii="標楷體" w:eastAsia="標楷體" w:hAnsi="標楷體" w:hint="eastAsia"/>
        </w:rPr>
        <w:t>109</w:t>
      </w:r>
      <w:proofErr w:type="gramEnd"/>
      <w:r w:rsidR="00595985" w:rsidRPr="00895E76">
        <w:rPr>
          <w:rFonts w:ascii="標楷體" w:eastAsia="標楷體" w:hAnsi="標楷體" w:hint="eastAsia"/>
        </w:rPr>
        <w:t>年</w:t>
      </w:r>
      <w:r w:rsidR="00595985">
        <w:rPr>
          <w:rFonts w:ascii="標楷體" w:eastAsia="標楷體" w:hAnsi="標楷體" w:hint="eastAsia"/>
        </w:rPr>
        <w:t>度之41.60</w:t>
      </w:r>
      <w:r w:rsidR="00595985" w:rsidRPr="00895E76">
        <w:rPr>
          <w:rFonts w:ascii="標楷體" w:eastAsia="標楷體" w:hAnsi="標楷體" w:hint="eastAsia"/>
        </w:rPr>
        <w:t>％</w:t>
      </w:r>
      <w:r w:rsidR="00595985">
        <w:rPr>
          <w:rFonts w:ascii="標楷體" w:eastAsia="標楷體" w:hAnsi="標楷體" w:hint="eastAsia"/>
        </w:rPr>
        <w:t>上升至</w:t>
      </w:r>
      <w:proofErr w:type="gramStart"/>
      <w:r w:rsidR="00595985">
        <w:rPr>
          <w:rFonts w:ascii="標楷體" w:eastAsia="標楷體" w:hAnsi="標楷體" w:hint="eastAsia"/>
        </w:rPr>
        <w:t>111</w:t>
      </w:r>
      <w:proofErr w:type="gramEnd"/>
      <w:r w:rsidR="00595985">
        <w:rPr>
          <w:rFonts w:ascii="標楷體" w:eastAsia="標楷體" w:hAnsi="標楷體" w:hint="eastAsia"/>
        </w:rPr>
        <w:t>年</w:t>
      </w:r>
      <w:r w:rsidR="00595985" w:rsidRPr="00683DEC">
        <w:rPr>
          <w:rFonts w:ascii="標楷體" w:eastAsia="標楷體" w:hAnsi="標楷體" w:hint="eastAsia"/>
          <w:color w:val="000000" w:themeColor="text1"/>
        </w:rPr>
        <w:t>度之43.96％，尤以出所受觀察勒戒人及出所受戒治人員分別上升8.86及8.16個百分點較高（表</w:t>
      </w:r>
      <w:r w:rsidR="00AA477D">
        <w:rPr>
          <w:rFonts w:ascii="標楷體" w:eastAsia="標楷體" w:hAnsi="標楷體" w:cs="新細明體" w:hint="eastAsia"/>
          <w:color w:val="000000" w:themeColor="text1"/>
          <w:kern w:val="0"/>
          <w:szCs w:val="24"/>
        </w:rPr>
        <w:t>23</w:t>
      </w:r>
      <w:r w:rsidR="00595985" w:rsidRPr="00683DEC">
        <w:rPr>
          <w:rFonts w:ascii="標楷體" w:eastAsia="標楷體" w:hAnsi="標楷體" w:hint="eastAsia"/>
          <w:color w:val="000000" w:themeColor="text1"/>
        </w:rPr>
        <w:t>）；另</w:t>
      </w:r>
      <w:proofErr w:type="gramStart"/>
      <w:r w:rsidR="00595985" w:rsidRPr="00683DEC">
        <w:rPr>
          <w:rFonts w:ascii="標楷體" w:eastAsia="標楷體" w:hAnsi="標楷體" w:hint="eastAsia"/>
          <w:color w:val="000000" w:themeColor="text1"/>
        </w:rPr>
        <w:t>111</w:t>
      </w:r>
      <w:proofErr w:type="gramEnd"/>
      <w:r w:rsidR="00595985" w:rsidRPr="00683DEC">
        <w:rPr>
          <w:rFonts w:ascii="標楷體" w:eastAsia="標楷體" w:hAnsi="標楷體" w:hint="eastAsia"/>
          <w:color w:val="000000" w:themeColor="text1"/>
        </w:rPr>
        <w:t>年度施用毒品之兒少，經追蹤2年內再被通報率為26.35％，已較目標值26.50％略降，惟施用毒品兒少再被通報比率自</w:t>
      </w:r>
      <w:proofErr w:type="gramStart"/>
      <w:r w:rsidR="00595985" w:rsidRPr="00683DEC">
        <w:rPr>
          <w:rFonts w:ascii="標楷體" w:eastAsia="標楷體" w:hAnsi="標楷體" w:hint="eastAsia"/>
          <w:color w:val="000000" w:themeColor="text1"/>
        </w:rPr>
        <w:t>109</w:t>
      </w:r>
      <w:proofErr w:type="gramEnd"/>
      <w:r w:rsidR="00595985" w:rsidRPr="00683DEC">
        <w:rPr>
          <w:rFonts w:ascii="標楷體" w:eastAsia="標楷體" w:hAnsi="標楷體" w:hint="eastAsia"/>
          <w:color w:val="000000" w:themeColor="text1"/>
        </w:rPr>
        <w:t>年度之19.53％上升至</w:t>
      </w:r>
      <w:proofErr w:type="gramStart"/>
      <w:r w:rsidR="00595985" w:rsidRPr="00683DEC">
        <w:rPr>
          <w:rFonts w:ascii="標楷體" w:eastAsia="標楷體" w:hAnsi="標楷體" w:hint="eastAsia"/>
          <w:color w:val="000000" w:themeColor="text1"/>
        </w:rPr>
        <w:t>111</w:t>
      </w:r>
      <w:proofErr w:type="gramEnd"/>
      <w:r w:rsidR="00595985" w:rsidRPr="00683DEC">
        <w:rPr>
          <w:rFonts w:ascii="標楷體" w:eastAsia="標楷體" w:hAnsi="標楷體" w:hint="eastAsia"/>
          <w:color w:val="000000" w:themeColor="text1"/>
        </w:rPr>
        <w:t>年度之26.35％，且</w:t>
      </w:r>
      <w:proofErr w:type="gramStart"/>
      <w:r w:rsidR="00595985" w:rsidRPr="00683DEC">
        <w:rPr>
          <w:rFonts w:ascii="標楷體" w:eastAsia="標楷體" w:hAnsi="標楷體" w:hint="eastAsia"/>
          <w:color w:val="000000" w:themeColor="text1"/>
        </w:rPr>
        <w:t>112</w:t>
      </w:r>
      <w:proofErr w:type="gramEnd"/>
      <w:r w:rsidR="00595985" w:rsidRPr="00683DEC">
        <w:rPr>
          <w:rFonts w:ascii="標楷體" w:eastAsia="標楷體" w:hAnsi="標楷體" w:hint="eastAsia"/>
          <w:color w:val="000000" w:themeColor="text1"/>
        </w:rPr>
        <w:t>年度施用毒品之兒少，截至114年2月底止，再被通報比率達26.98％</w:t>
      </w:r>
      <w:r w:rsidR="002232CA">
        <w:rPr>
          <w:rFonts w:ascii="標楷體" w:eastAsia="標楷體" w:hAnsi="標楷體" w:hint="eastAsia"/>
          <w:color w:val="000000" w:themeColor="text1"/>
        </w:rPr>
        <w:t>（</w:t>
      </w:r>
      <w:r w:rsidR="00595985" w:rsidRPr="00683DEC">
        <w:rPr>
          <w:rFonts w:ascii="標楷體" w:eastAsia="標楷體" w:hAnsi="標楷體" w:hint="eastAsia"/>
          <w:color w:val="000000" w:themeColor="text1"/>
        </w:rPr>
        <w:t>表</w:t>
      </w:r>
      <w:r w:rsidR="00595985" w:rsidRPr="00683DEC">
        <w:rPr>
          <w:rFonts w:ascii="標楷體" w:eastAsia="標楷體" w:hAnsi="標楷體" w:cs="新細明體" w:hint="eastAsia"/>
          <w:color w:val="000000" w:themeColor="text1"/>
          <w:kern w:val="0"/>
          <w:szCs w:val="24"/>
        </w:rPr>
        <w:t>2</w:t>
      </w:r>
      <w:r w:rsidR="002232CA">
        <w:rPr>
          <w:rFonts w:ascii="標楷體" w:eastAsia="標楷體" w:hAnsi="標楷體" w:cs="新細明體" w:hint="eastAsia"/>
          <w:color w:val="000000" w:themeColor="text1"/>
          <w:kern w:val="0"/>
          <w:szCs w:val="24"/>
        </w:rPr>
        <w:t>4</w:t>
      </w:r>
      <w:r w:rsidR="00595985" w:rsidRPr="00683DEC">
        <w:rPr>
          <w:rFonts w:ascii="標楷體" w:eastAsia="標楷體" w:hAnsi="標楷體" w:hint="eastAsia"/>
          <w:color w:val="000000" w:themeColor="text1"/>
        </w:rPr>
        <w:t>），為近4年最高，</w:t>
      </w:r>
      <w:proofErr w:type="gramStart"/>
      <w:r w:rsidR="00595985" w:rsidRPr="00683DEC">
        <w:rPr>
          <w:rFonts w:ascii="標楷體" w:eastAsia="標楷體" w:hAnsi="標楷體" w:hint="eastAsia"/>
          <w:color w:val="000000" w:themeColor="text1"/>
        </w:rPr>
        <w:t>凸</w:t>
      </w:r>
      <w:proofErr w:type="gramEnd"/>
      <w:r w:rsidR="00595985" w:rsidRPr="00683DEC">
        <w:rPr>
          <w:rFonts w:ascii="標楷體" w:eastAsia="標楷體" w:hAnsi="標楷體" w:hint="eastAsia"/>
          <w:color w:val="000000" w:themeColor="text1"/>
        </w:rPr>
        <w:t>顯施用毒品兒少再被通報情形仍嚴峻，允宜</w:t>
      </w:r>
      <w:proofErr w:type="gramStart"/>
      <w:r w:rsidR="00595985" w:rsidRPr="00683DEC">
        <w:rPr>
          <w:rFonts w:ascii="標楷體" w:eastAsia="標楷體" w:hAnsi="標楷體" w:hint="eastAsia"/>
          <w:color w:val="000000" w:themeColor="text1"/>
        </w:rPr>
        <w:t>研謀善策</w:t>
      </w:r>
      <w:proofErr w:type="gramEnd"/>
      <w:r w:rsidR="00595985" w:rsidRPr="00683DEC">
        <w:rPr>
          <w:rFonts w:ascii="標楷體" w:eastAsia="標楷體" w:hAnsi="標楷體" w:hint="eastAsia"/>
          <w:color w:val="000000" w:themeColor="text1"/>
        </w:rPr>
        <w:t>因應，以有效抑制成人施用毒</w:t>
      </w:r>
      <w:r w:rsidR="00595985" w:rsidRPr="00F238C7">
        <w:rPr>
          <w:rFonts w:ascii="標楷體" w:eastAsia="標楷體" w:hAnsi="標楷體" w:hint="eastAsia"/>
        </w:rPr>
        <w:t>品再犯率</w:t>
      </w:r>
      <w:r w:rsidR="00595985">
        <w:rPr>
          <w:rFonts w:ascii="標楷體" w:eastAsia="標楷體" w:hAnsi="標楷體" w:hint="eastAsia"/>
        </w:rPr>
        <w:t>及</w:t>
      </w:r>
      <w:r w:rsidR="00595985" w:rsidRPr="00F238C7">
        <w:rPr>
          <w:rFonts w:ascii="標楷體" w:eastAsia="標楷體" w:hAnsi="標楷體" w:hint="eastAsia"/>
        </w:rPr>
        <w:t>改善兒少毒品問題</w:t>
      </w:r>
      <w:r w:rsidR="00595985">
        <w:rPr>
          <w:rFonts w:ascii="標楷體" w:eastAsia="標楷體" w:hAnsi="標楷體" w:hint="eastAsia"/>
        </w:rPr>
        <w:t>；（2）</w:t>
      </w:r>
      <w:proofErr w:type="gramStart"/>
      <w:r w:rsidR="00595985" w:rsidRPr="00D742E6">
        <w:rPr>
          <w:rFonts w:ascii="標楷體" w:eastAsia="標楷體" w:hAnsi="標楷體" w:hint="eastAsia"/>
        </w:rPr>
        <w:t>113</w:t>
      </w:r>
      <w:proofErr w:type="gramEnd"/>
      <w:r w:rsidR="00595985" w:rsidRPr="00D742E6">
        <w:rPr>
          <w:rFonts w:ascii="標楷體" w:eastAsia="標楷體" w:hAnsi="標楷體" w:hint="eastAsia"/>
        </w:rPr>
        <w:t>年度警察及檢察機關</w:t>
      </w:r>
      <w:r w:rsidR="00595985">
        <w:rPr>
          <w:rFonts w:ascii="標楷體" w:eastAsia="標楷體" w:hAnsi="標楷體" w:hint="eastAsia"/>
        </w:rPr>
        <w:t>於調查、偵查階段</w:t>
      </w:r>
      <w:r w:rsidR="00595985" w:rsidRPr="00D742E6">
        <w:rPr>
          <w:rFonts w:ascii="標楷體" w:eastAsia="標楷體" w:hAnsi="標楷體" w:hint="eastAsia"/>
        </w:rPr>
        <w:t>開立轉</w:t>
      </w:r>
      <w:proofErr w:type="gramStart"/>
      <w:r w:rsidR="00595985" w:rsidRPr="00D742E6">
        <w:rPr>
          <w:rFonts w:ascii="標楷體" w:eastAsia="標楷體" w:hAnsi="標楷體" w:hint="eastAsia"/>
        </w:rPr>
        <w:t>介</w:t>
      </w:r>
      <w:proofErr w:type="gramEnd"/>
      <w:r w:rsidR="00595985" w:rsidRPr="00D742E6">
        <w:rPr>
          <w:rFonts w:ascii="標楷體" w:eastAsia="標楷體" w:hAnsi="標楷體" w:hint="eastAsia"/>
        </w:rPr>
        <w:t>單</w:t>
      </w:r>
      <w:r w:rsidR="00595985">
        <w:rPr>
          <w:rFonts w:ascii="標楷體" w:eastAsia="標楷體" w:hAnsi="標楷體" w:hint="eastAsia"/>
        </w:rPr>
        <w:t>轉</w:t>
      </w:r>
      <w:proofErr w:type="gramStart"/>
      <w:r w:rsidR="00595985">
        <w:rPr>
          <w:rFonts w:ascii="標楷體" w:eastAsia="標楷體" w:hAnsi="標楷體" w:hint="eastAsia"/>
        </w:rPr>
        <w:t>介</w:t>
      </w:r>
      <w:proofErr w:type="gramEnd"/>
      <w:r w:rsidR="00595985">
        <w:rPr>
          <w:rFonts w:ascii="標楷體" w:eastAsia="標楷體" w:hAnsi="標楷體" w:hint="eastAsia"/>
        </w:rPr>
        <w:t>個案</w:t>
      </w:r>
      <w:proofErr w:type="gramStart"/>
      <w:r w:rsidR="00595985">
        <w:rPr>
          <w:rFonts w:ascii="標楷體" w:eastAsia="標楷體" w:hAnsi="標楷體" w:hint="eastAsia"/>
        </w:rPr>
        <w:t>至毒防中心</w:t>
      </w:r>
      <w:proofErr w:type="gramEnd"/>
      <w:r w:rsidR="00595985">
        <w:rPr>
          <w:rFonts w:ascii="標楷體" w:eastAsia="標楷體" w:hAnsi="標楷體" w:hint="eastAsia"/>
        </w:rPr>
        <w:t>者</w:t>
      </w:r>
      <w:r w:rsidR="00595985" w:rsidRPr="00D742E6">
        <w:rPr>
          <w:rFonts w:ascii="標楷體" w:eastAsia="標楷體" w:hAnsi="標楷體" w:hint="eastAsia"/>
        </w:rPr>
        <w:t>1,974人，其中</w:t>
      </w:r>
      <w:r w:rsidR="00595985">
        <w:rPr>
          <w:rFonts w:ascii="標楷體" w:eastAsia="標楷體" w:hAnsi="標楷體" w:hint="eastAsia"/>
        </w:rPr>
        <w:t>個案</w:t>
      </w:r>
      <w:r w:rsidR="00595985" w:rsidRPr="00D742E6">
        <w:rPr>
          <w:rFonts w:ascii="標楷體" w:eastAsia="標楷體" w:hAnsi="標楷體" w:hint="eastAsia"/>
        </w:rPr>
        <w:t>親持轉</w:t>
      </w:r>
      <w:proofErr w:type="gramStart"/>
      <w:r w:rsidR="00595985" w:rsidRPr="00D742E6">
        <w:rPr>
          <w:rFonts w:ascii="標楷體" w:eastAsia="標楷體" w:hAnsi="標楷體" w:hint="eastAsia"/>
        </w:rPr>
        <w:t>介</w:t>
      </w:r>
      <w:proofErr w:type="gramEnd"/>
      <w:r w:rsidR="00595985" w:rsidRPr="00D742E6">
        <w:rPr>
          <w:rFonts w:ascii="標楷體" w:eastAsia="標楷體" w:hAnsi="標楷體" w:hint="eastAsia"/>
        </w:rPr>
        <w:t>單</w:t>
      </w:r>
      <w:proofErr w:type="gramStart"/>
      <w:r w:rsidR="00595985" w:rsidRPr="00D742E6">
        <w:rPr>
          <w:rFonts w:ascii="標楷體" w:eastAsia="標楷體" w:hAnsi="標楷體" w:hint="eastAsia"/>
        </w:rPr>
        <w:t>至毒防中心</w:t>
      </w:r>
      <w:proofErr w:type="gramEnd"/>
      <w:r w:rsidR="00595985" w:rsidRPr="00D742E6">
        <w:rPr>
          <w:rFonts w:ascii="標楷體" w:eastAsia="標楷體" w:hAnsi="標楷體" w:hint="eastAsia"/>
        </w:rPr>
        <w:t>求助</w:t>
      </w:r>
      <w:r w:rsidR="00595985">
        <w:rPr>
          <w:rFonts w:ascii="標楷體" w:eastAsia="標楷體" w:hAnsi="標楷體" w:hint="eastAsia"/>
        </w:rPr>
        <w:t>者</w:t>
      </w:r>
      <w:r w:rsidR="00595985" w:rsidRPr="00D742E6">
        <w:rPr>
          <w:rFonts w:ascii="標楷體" w:eastAsia="標楷體" w:hAnsi="標楷體" w:hint="eastAsia"/>
        </w:rPr>
        <w:t>990人，開案輔導比率僅50.15％，主要</w:t>
      </w:r>
      <w:proofErr w:type="gramStart"/>
      <w:r w:rsidR="00595985" w:rsidRPr="00D742E6">
        <w:rPr>
          <w:rFonts w:ascii="標楷體" w:eastAsia="標楷體" w:hAnsi="標楷體" w:hint="eastAsia"/>
        </w:rPr>
        <w:t>係毒防</w:t>
      </w:r>
      <w:proofErr w:type="gramEnd"/>
      <w:r w:rsidR="00595985" w:rsidRPr="00D742E6">
        <w:rPr>
          <w:rFonts w:ascii="標楷體" w:eastAsia="標楷體" w:hAnsi="標楷體" w:hint="eastAsia"/>
        </w:rPr>
        <w:t>中心人力不足，未能主動聯繫通知個案</w:t>
      </w:r>
      <w:proofErr w:type="gramStart"/>
      <w:r w:rsidR="00595985" w:rsidRPr="00D742E6">
        <w:rPr>
          <w:rFonts w:ascii="標楷體" w:eastAsia="標楷體" w:hAnsi="標楷體" w:hint="eastAsia"/>
        </w:rPr>
        <w:t>至毒防中心</w:t>
      </w:r>
      <w:proofErr w:type="gramEnd"/>
      <w:r w:rsidR="00595985" w:rsidRPr="00D742E6">
        <w:rPr>
          <w:rFonts w:ascii="標楷體" w:eastAsia="標楷體" w:hAnsi="標楷體" w:hint="eastAsia"/>
        </w:rPr>
        <w:t>接受服務及追蹤輔導</w:t>
      </w:r>
      <w:r w:rsidR="00595985">
        <w:rPr>
          <w:rFonts w:ascii="標楷體" w:eastAsia="標楷體" w:hAnsi="標楷體" w:hint="eastAsia"/>
        </w:rPr>
        <w:t>；另統計</w:t>
      </w:r>
      <w:proofErr w:type="gramStart"/>
      <w:r w:rsidR="00595985" w:rsidRPr="00D742E6">
        <w:rPr>
          <w:rFonts w:ascii="標楷體" w:eastAsia="標楷體" w:hAnsi="標楷體" w:hint="eastAsia"/>
        </w:rPr>
        <w:t>113</w:t>
      </w:r>
      <w:proofErr w:type="gramEnd"/>
      <w:r w:rsidR="00595985" w:rsidRPr="00D742E6">
        <w:rPr>
          <w:rFonts w:ascii="標楷體" w:eastAsia="標楷體" w:hAnsi="標楷體" w:hint="eastAsia"/>
        </w:rPr>
        <w:lastRenderedPageBreak/>
        <w:t>年度全國22個市縣計有12個市</w:t>
      </w:r>
      <w:proofErr w:type="gramStart"/>
      <w:r w:rsidR="00595985" w:rsidRPr="00D742E6">
        <w:rPr>
          <w:rFonts w:ascii="標楷體" w:eastAsia="標楷體" w:hAnsi="標楷體" w:hint="eastAsia"/>
        </w:rPr>
        <w:t>縣毒防</w:t>
      </w:r>
      <w:proofErr w:type="gramEnd"/>
      <w:r w:rsidR="00595985" w:rsidRPr="00D742E6">
        <w:rPr>
          <w:rFonts w:ascii="標楷體" w:eastAsia="標楷體" w:hAnsi="標楷體" w:hint="eastAsia"/>
        </w:rPr>
        <w:t>中心個案管理人力未達1：30之案量比目標值，案量比最高之3個縣分別為澎湖縣</w:t>
      </w:r>
      <w:proofErr w:type="gramStart"/>
      <w:r w:rsidR="00595985" w:rsidRPr="006B3013">
        <w:rPr>
          <w:rFonts w:ascii="標楷體" w:eastAsia="標楷體" w:hAnsi="標楷體" w:hint="eastAsia"/>
        </w:rPr>
        <w:t>（</w:t>
      </w:r>
      <w:proofErr w:type="gramEnd"/>
      <w:r w:rsidR="00595985">
        <w:rPr>
          <w:rFonts w:ascii="標楷體" w:eastAsia="標楷體" w:hAnsi="標楷體" w:hint="eastAsia"/>
        </w:rPr>
        <w:t>1</w:t>
      </w:r>
      <w:r w:rsidR="00595985" w:rsidRPr="00D742E6">
        <w:rPr>
          <w:rFonts w:ascii="標楷體" w:eastAsia="標楷體" w:hAnsi="標楷體" w:hint="eastAsia"/>
        </w:rPr>
        <w:t>：</w:t>
      </w:r>
      <w:r w:rsidR="00595985">
        <w:rPr>
          <w:rFonts w:ascii="標楷體" w:eastAsia="標楷體" w:hAnsi="標楷體" w:hint="eastAsia"/>
        </w:rPr>
        <w:t>7</w:t>
      </w:r>
      <w:r w:rsidR="00595985">
        <w:rPr>
          <w:rFonts w:ascii="標楷體" w:eastAsia="標楷體" w:hAnsi="標楷體"/>
        </w:rPr>
        <w:t>1</w:t>
      </w:r>
      <w:proofErr w:type="gramStart"/>
      <w:r w:rsidR="00595985" w:rsidRPr="006B3013">
        <w:rPr>
          <w:rFonts w:ascii="標楷體" w:eastAsia="標楷體" w:hAnsi="標楷體" w:hint="eastAsia"/>
        </w:rPr>
        <w:t>）</w:t>
      </w:r>
      <w:proofErr w:type="gramEnd"/>
      <w:r w:rsidR="00595985" w:rsidRPr="00D742E6">
        <w:rPr>
          <w:rFonts w:ascii="標楷體" w:eastAsia="標楷體" w:hAnsi="標楷體" w:hint="eastAsia"/>
        </w:rPr>
        <w:t>、彰化縣</w:t>
      </w:r>
      <w:proofErr w:type="gramStart"/>
      <w:r w:rsidR="00595985" w:rsidRPr="006B3013">
        <w:rPr>
          <w:rFonts w:ascii="標楷體" w:eastAsia="標楷體" w:hAnsi="標楷體" w:hint="eastAsia"/>
        </w:rPr>
        <w:t>（</w:t>
      </w:r>
      <w:proofErr w:type="gramEnd"/>
      <w:r w:rsidR="00595985">
        <w:rPr>
          <w:rFonts w:ascii="標楷體" w:eastAsia="標楷體" w:hAnsi="標楷體" w:hint="eastAsia"/>
        </w:rPr>
        <w:t>1</w:t>
      </w:r>
      <w:r w:rsidR="00595985" w:rsidRPr="00D742E6">
        <w:rPr>
          <w:rFonts w:ascii="標楷體" w:eastAsia="標楷體" w:hAnsi="標楷體" w:hint="eastAsia"/>
        </w:rPr>
        <w:t>：</w:t>
      </w:r>
      <w:r w:rsidR="00595985">
        <w:rPr>
          <w:rFonts w:ascii="標楷體" w:eastAsia="標楷體" w:hAnsi="標楷體"/>
        </w:rPr>
        <w:t>62</w:t>
      </w:r>
      <w:proofErr w:type="gramStart"/>
      <w:r w:rsidR="00595985" w:rsidRPr="006B3013">
        <w:rPr>
          <w:rFonts w:ascii="標楷體" w:eastAsia="標楷體" w:hAnsi="標楷體" w:hint="eastAsia"/>
        </w:rPr>
        <w:t>）</w:t>
      </w:r>
      <w:proofErr w:type="gramEnd"/>
      <w:r w:rsidR="00595985" w:rsidRPr="00D742E6">
        <w:rPr>
          <w:rFonts w:ascii="標楷體" w:eastAsia="標楷體" w:hAnsi="標楷體" w:hint="eastAsia"/>
        </w:rPr>
        <w:t>、花蓮縣</w:t>
      </w:r>
      <w:proofErr w:type="gramStart"/>
      <w:r w:rsidR="00595985" w:rsidRPr="006B3013">
        <w:rPr>
          <w:rFonts w:ascii="標楷體" w:eastAsia="標楷體" w:hAnsi="標楷體" w:hint="eastAsia"/>
        </w:rPr>
        <w:t>（</w:t>
      </w:r>
      <w:proofErr w:type="gramEnd"/>
      <w:r w:rsidR="00595985">
        <w:rPr>
          <w:rFonts w:ascii="標楷體" w:eastAsia="標楷體" w:hAnsi="標楷體" w:hint="eastAsia"/>
        </w:rPr>
        <w:t>1</w:t>
      </w:r>
      <w:r w:rsidR="00595985" w:rsidRPr="00D742E6">
        <w:rPr>
          <w:rFonts w:ascii="標楷體" w:eastAsia="標楷體" w:hAnsi="標楷體" w:hint="eastAsia"/>
        </w:rPr>
        <w:t>：</w:t>
      </w:r>
      <w:r w:rsidR="00595985">
        <w:rPr>
          <w:rFonts w:ascii="標楷體" w:eastAsia="標楷體" w:hAnsi="標楷體"/>
        </w:rPr>
        <w:t>46</w:t>
      </w:r>
      <w:proofErr w:type="gramStart"/>
      <w:r w:rsidR="00595985" w:rsidRPr="006B3013">
        <w:rPr>
          <w:rFonts w:ascii="標楷體" w:eastAsia="標楷體" w:hAnsi="標楷體" w:hint="eastAsia"/>
        </w:rPr>
        <w:t>）</w:t>
      </w:r>
      <w:proofErr w:type="gramEnd"/>
      <w:r w:rsidR="00595985">
        <w:rPr>
          <w:rFonts w:ascii="標楷體" w:eastAsia="標楷體" w:hAnsi="標楷體" w:hint="eastAsia"/>
        </w:rPr>
        <w:t>；同</w:t>
      </w:r>
      <w:r w:rsidR="00595985" w:rsidRPr="00D742E6">
        <w:rPr>
          <w:rFonts w:ascii="標楷體" w:eastAsia="標楷體" w:hAnsi="標楷體" w:hint="eastAsia"/>
        </w:rPr>
        <w:t>年度各市</w:t>
      </w:r>
      <w:proofErr w:type="gramStart"/>
      <w:r w:rsidR="00595985" w:rsidRPr="00D742E6">
        <w:rPr>
          <w:rFonts w:ascii="標楷體" w:eastAsia="標楷體" w:hAnsi="標楷體" w:hint="eastAsia"/>
        </w:rPr>
        <w:t>縣毒防</w:t>
      </w:r>
      <w:proofErr w:type="gramEnd"/>
      <w:r w:rsidR="00595985" w:rsidRPr="00D742E6">
        <w:rPr>
          <w:rFonts w:ascii="標楷體" w:eastAsia="標楷體" w:hAnsi="標楷體" w:hint="eastAsia"/>
        </w:rPr>
        <w:t>中心個案管理人力</w:t>
      </w:r>
      <w:r w:rsidR="00595985" w:rsidRPr="007C1960">
        <w:rPr>
          <w:rFonts w:ascii="標楷體" w:eastAsia="標楷體" w:hAnsi="標楷體" w:hint="eastAsia"/>
        </w:rPr>
        <w:t>年資滿</w:t>
      </w:r>
      <w:r w:rsidR="00595985" w:rsidRPr="00D742E6">
        <w:rPr>
          <w:rFonts w:ascii="標楷體" w:eastAsia="標楷體" w:hAnsi="標楷體" w:hint="eastAsia"/>
        </w:rPr>
        <w:t>12個月及18個月之留任率，分別有12個及10個市縣未達80％及70％之目標值，</w:t>
      </w:r>
      <w:r w:rsidR="00595985">
        <w:rPr>
          <w:rFonts w:ascii="標楷體" w:eastAsia="標楷體" w:hAnsi="標楷體" w:hint="eastAsia"/>
        </w:rPr>
        <w:t>亦</w:t>
      </w:r>
      <w:r w:rsidR="00595985" w:rsidRPr="00D742E6">
        <w:rPr>
          <w:rFonts w:ascii="標楷體" w:eastAsia="標楷體" w:hAnsi="標楷體" w:hint="eastAsia"/>
        </w:rPr>
        <w:t>顯示部分</w:t>
      </w:r>
      <w:r w:rsidR="00595985">
        <w:rPr>
          <w:rFonts w:ascii="標楷體" w:eastAsia="標楷體" w:hAnsi="標楷體" w:hint="eastAsia"/>
        </w:rPr>
        <w:t>市縣</w:t>
      </w:r>
      <w:r w:rsidR="00595985" w:rsidRPr="00D742E6">
        <w:rPr>
          <w:rFonts w:ascii="標楷體" w:eastAsia="標楷體" w:hAnsi="標楷體" w:hint="eastAsia"/>
        </w:rPr>
        <w:t>政府毒防中心個案管理人力負擔沉重及人員流動頻繁，不利深化個案管理服務品質</w:t>
      </w:r>
      <w:r w:rsidR="00595985">
        <w:rPr>
          <w:rFonts w:ascii="標楷體" w:eastAsia="標楷體" w:hAnsi="標楷體" w:hint="eastAsia"/>
        </w:rPr>
        <w:t>。又</w:t>
      </w:r>
      <w:r w:rsidR="00595985" w:rsidRPr="006B3013">
        <w:rPr>
          <w:rFonts w:ascii="標楷體" w:eastAsia="標楷體" w:hAnsi="標楷體" w:hint="eastAsia"/>
        </w:rPr>
        <w:t>全國21個市縣（連江縣112及</w:t>
      </w:r>
      <w:proofErr w:type="gramStart"/>
      <w:r w:rsidR="00595985" w:rsidRPr="006B3013">
        <w:rPr>
          <w:rFonts w:ascii="標楷體" w:eastAsia="標楷體" w:hAnsi="標楷體" w:hint="eastAsia"/>
        </w:rPr>
        <w:t>113</w:t>
      </w:r>
      <w:proofErr w:type="gramEnd"/>
      <w:r w:rsidR="00595985" w:rsidRPr="006B3013">
        <w:rPr>
          <w:rFonts w:ascii="標楷體" w:eastAsia="標楷體" w:hAnsi="標楷體" w:hint="eastAsia"/>
        </w:rPr>
        <w:t>年度無應參與毒品講習人數）應參與毒品</w:t>
      </w:r>
      <w:r w:rsidR="00595985">
        <w:rPr>
          <w:rFonts w:ascii="標楷體" w:eastAsia="標楷體" w:hAnsi="標楷體" w:hint="eastAsia"/>
        </w:rPr>
        <w:t>危害</w:t>
      </w:r>
      <w:r w:rsidR="00595985" w:rsidRPr="006B3013">
        <w:rPr>
          <w:rFonts w:ascii="標楷體" w:eastAsia="標楷體" w:hAnsi="標楷體" w:hint="eastAsia"/>
        </w:rPr>
        <w:t>講習</w:t>
      </w:r>
      <w:r w:rsidR="00595985">
        <w:rPr>
          <w:rFonts w:ascii="標楷體" w:eastAsia="標楷體" w:hAnsi="標楷體" w:hint="eastAsia"/>
        </w:rPr>
        <w:t>之參與比率</w:t>
      </w:r>
      <w:r w:rsidR="00595985" w:rsidRPr="006B3013">
        <w:rPr>
          <w:rFonts w:ascii="標楷體" w:eastAsia="標楷體" w:hAnsi="標楷體" w:hint="eastAsia"/>
        </w:rPr>
        <w:t>自</w:t>
      </w:r>
      <w:proofErr w:type="gramStart"/>
      <w:r w:rsidR="00595985" w:rsidRPr="006B3013">
        <w:rPr>
          <w:rFonts w:ascii="標楷體" w:eastAsia="標楷體" w:hAnsi="標楷體" w:hint="eastAsia"/>
        </w:rPr>
        <w:t>112</w:t>
      </w:r>
      <w:proofErr w:type="gramEnd"/>
      <w:r w:rsidR="00595985" w:rsidRPr="006B3013">
        <w:rPr>
          <w:rFonts w:ascii="標楷體" w:eastAsia="標楷體" w:hAnsi="標楷體" w:hint="eastAsia"/>
        </w:rPr>
        <w:t>年度之54.57％下降至</w:t>
      </w:r>
      <w:proofErr w:type="gramStart"/>
      <w:r w:rsidR="00595985" w:rsidRPr="006B3013">
        <w:rPr>
          <w:rFonts w:ascii="標楷體" w:eastAsia="標楷體" w:hAnsi="標楷體" w:hint="eastAsia"/>
        </w:rPr>
        <w:t>113</w:t>
      </w:r>
      <w:proofErr w:type="gramEnd"/>
      <w:r w:rsidR="00595985" w:rsidRPr="006B3013">
        <w:rPr>
          <w:rFonts w:ascii="標楷體" w:eastAsia="標楷體" w:hAnsi="標楷體" w:hint="eastAsia"/>
        </w:rPr>
        <w:t>年度之51.34％，</w:t>
      </w:r>
      <w:r w:rsidR="00595985">
        <w:rPr>
          <w:rFonts w:ascii="標楷體" w:eastAsia="標楷體" w:hAnsi="標楷體" w:hint="eastAsia"/>
        </w:rPr>
        <w:t>講習參與率偏低，且僅桃園市、</w:t>
      </w:r>
      <w:proofErr w:type="gramStart"/>
      <w:r w:rsidR="00595985">
        <w:rPr>
          <w:rFonts w:ascii="標楷體" w:eastAsia="標楷體" w:hAnsi="標楷體" w:hint="eastAsia"/>
        </w:rPr>
        <w:t>臺</w:t>
      </w:r>
      <w:proofErr w:type="gramEnd"/>
      <w:r w:rsidR="00595985">
        <w:rPr>
          <w:rFonts w:ascii="標楷體" w:eastAsia="標楷體" w:hAnsi="標楷體" w:hint="eastAsia"/>
        </w:rPr>
        <w:t>中市、苗栗縣及彰化縣等</w:t>
      </w:r>
      <w:r w:rsidR="00595985" w:rsidRPr="006B3013">
        <w:rPr>
          <w:rFonts w:ascii="標楷體" w:eastAsia="標楷體" w:hAnsi="標楷體" w:hint="eastAsia"/>
        </w:rPr>
        <w:t>4個市縣講習參與率上升，</w:t>
      </w:r>
      <w:r w:rsidR="00595985" w:rsidRPr="00D742E6">
        <w:rPr>
          <w:rFonts w:ascii="標楷體" w:eastAsia="標楷體" w:hAnsi="標楷體" w:hint="eastAsia"/>
        </w:rPr>
        <w:t>允宜充實各</w:t>
      </w:r>
      <w:proofErr w:type="gramStart"/>
      <w:r w:rsidR="00595985" w:rsidRPr="00D742E6">
        <w:rPr>
          <w:rFonts w:ascii="標楷體" w:eastAsia="標楷體" w:hAnsi="標楷體" w:hint="eastAsia"/>
        </w:rPr>
        <w:t>地方毒防中心</w:t>
      </w:r>
      <w:proofErr w:type="gramEnd"/>
      <w:r w:rsidR="00595985" w:rsidRPr="00D742E6">
        <w:rPr>
          <w:rFonts w:ascii="標楷體" w:eastAsia="標楷體" w:hAnsi="標楷體" w:hint="eastAsia"/>
        </w:rPr>
        <w:t>個案管理人力</w:t>
      </w:r>
      <w:r w:rsidR="00595985">
        <w:rPr>
          <w:rFonts w:ascii="標楷體" w:eastAsia="標楷體" w:hAnsi="標楷體" w:hint="eastAsia"/>
        </w:rPr>
        <w:t>，積極</w:t>
      </w:r>
      <w:proofErr w:type="gramStart"/>
      <w:r w:rsidR="00595985" w:rsidRPr="00D742E6">
        <w:rPr>
          <w:rFonts w:ascii="標楷體" w:eastAsia="標楷體" w:hAnsi="標楷體" w:hint="eastAsia"/>
        </w:rPr>
        <w:t>研</w:t>
      </w:r>
      <w:proofErr w:type="gramEnd"/>
      <w:r w:rsidR="00595985" w:rsidRPr="00D742E6">
        <w:rPr>
          <w:rFonts w:ascii="標楷體" w:eastAsia="標楷體" w:hAnsi="標楷體" w:hint="eastAsia"/>
        </w:rPr>
        <w:t>謀降低人員流動率，</w:t>
      </w:r>
      <w:r w:rsidR="00595985">
        <w:rPr>
          <w:rFonts w:ascii="標楷體" w:eastAsia="標楷體" w:hAnsi="標楷體" w:hint="eastAsia"/>
        </w:rPr>
        <w:t>並</w:t>
      </w:r>
      <w:r w:rsidR="00595985" w:rsidRPr="006B3013">
        <w:rPr>
          <w:rFonts w:ascii="標楷體" w:eastAsia="標楷體" w:hAnsi="標楷體" w:hint="eastAsia"/>
        </w:rPr>
        <w:t>檢討講習參與率下降</w:t>
      </w:r>
      <w:r w:rsidR="00595985">
        <w:rPr>
          <w:rFonts w:ascii="標楷體" w:eastAsia="標楷體" w:hAnsi="標楷體" w:hint="eastAsia"/>
        </w:rPr>
        <w:t>與</w:t>
      </w:r>
      <w:r w:rsidR="00595985" w:rsidRPr="006B3013">
        <w:rPr>
          <w:rFonts w:ascii="標楷體" w:eastAsia="標楷體" w:hAnsi="標楷體" w:hint="eastAsia"/>
        </w:rPr>
        <w:t>偏低</w:t>
      </w:r>
      <w:r w:rsidR="00595985" w:rsidRPr="00683DEC">
        <w:rPr>
          <w:rFonts w:ascii="標楷體" w:eastAsia="標楷體" w:hAnsi="標楷體" w:hint="eastAsia"/>
          <w:color w:val="000000" w:themeColor="text1"/>
        </w:rPr>
        <w:t>原因，及參酌部分市縣提升講習參與率之精進作為，以落實推動各項毒品防</w:t>
      </w:r>
      <w:r w:rsidR="00595985" w:rsidRPr="009F1095">
        <w:rPr>
          <w:rFonts w:ascii="標楷體" w:eastAsia="標楷體" w:hAnsi="標楷體" w:hint="eastAsia"/>
          <w:color w:val="000000" w:themeColor="text1"/>
        </w:rPr>
        <w:t>制策略；（3）據臺灣高等檢察署（下稱高檢署）統計，大麻查獲量自</w:t>
      </w:r>
      <w:proofErr w:type="gramStart"/>
      <w:r w:rsidR="00595985" w:rsidRPr="009F1095">
        <w:rPr>
          <w:rFonts w:ascii="標楷體" w:eastAsia="標楷體" w:hAnsi="標楷體" w:hint="eastAsia"/>
          <w:color w:val="000000" w:themeColor="text1"/>
        </w:rPr>
        <w:t>109</w:t>
      </w:r>
      <w:proofErr w:type="gramEnd"/>
      <w:r w:rsidR="00595985" w:rsidRPr="009F1095">
        <w:rPr>
          <w:rFonts w:ascii="標楷體" w:eastAsia="標楷體" w:hAnsi="標楷體" w:hint="eastAsia"/>
          <w:color w:val="000000" w:themeColor="text1"/>
        </w:rPr>
        <w:t>年度之109.4公斤大幅增加至</w:t>
      </w:r>
      <w:proofErr w:type="gramStart"/>
      <w:r w:rsidR="00595985" w:rsidRPr="009F1095">
        <w:rPr>
          <w:rFonts w:ascii="標楷體" w:eastAsia="標楷體" w:hAnsi="標楷體" w:hint="eastAsia"/>
          <w:color w:val="000000" w:themeColor="text1"/>
        </w:rPr>
        <w:t>113</w:t>
      </w:r>
      <w:proofErr w:type="gramEnd"/>
      <w:r w:rsidR="00595985" w:rsidRPr="009F1095">
        <w:rPr>
          <w:rFonts w:ascii="標楷體" w:eastAsia="標楷體" w:hAnsi="標楷體" w:hint="eastAsia"/>
          <w:color w:val="000000" w:themeColor="text1"/>
        </w:rPr>
        <w:t>年度之2,323.3公斤，增加20.24倍</w:t>
      </w:r>
      <w:r w:rsidR="00595985" w:rsidRPr="00D8006F">
        <w:rPr>
          <w:rFonts w:ascii="標楷體" w:eastAsia="標楷體" w:hAnsi="標楷體" w:hint="eastAsia"/>
          <w:color w:val="000000" w:themeColor="text1"/>
        </w:rPr>
        <w:t>，查獲來源以加拿大最多，泰國及美國次之，主要係加拿大、美國加州（2018年）及泰國（2022年）通過娛樂大麻合法法案，使國內透過該等國家走私大麻較以往增加，惟大麻施用人數自</w:t>
      </w:r>
      <w:proofErr w:type="gramStart"/>
      <w:r w:rsidR="00595985" w:rsidRPr="00D8006F">
        <w:rPr>
          <w:rFonts w:ascii="標楷體" w:eastAsia="標楷體" w:hAnsi="標楷體" w:hint="eastAsia"/>
          <w:color w:val="000000" w:themeColor="text1"/>
        </w:rPr>
        <w:t>109</w:t>
      </w:r>
      <w:proofErr w:type="gramEnd"/>
      <w:r w:rsidR="00595985" w:rsidRPr="00D8006F">
        <w:rPr>
          <w:rFonts w:ascii="標楷體" w:eastAsia="標楷體" w:hAnsi="標楷體" w:hint="eastAsia"/>
          <w:color w:val="000000" w:themeColor="text1"/>
        </w:rPr>
        <w:t>年度之563人增加至</w:t>
      </w:r>
      <w:proofErr w:type="gramStart"/>
      <w:r w:rsidR="00595985" w:rsidRPr="00D8006F">
        <w:rPr>
          <w:rFonts w:ascii="標楷體" w:eastAsia="標楷體" w:hAnsi="標楷體" w:hint="eastAsia"/>
          <w:color w:val="000000" w:themeColor="text1"/>
        </w:rPr>
        <w:t>113</w:t>
      </w:r>
      <w:proofErr w:type="gramEnd"/>
      <w:r w:rsidR="00595985" w:rsidRPr="00D8006F">
        <w:rPr>
          <w:rFonts w:ascii="標楷體" w:eastAsia="標楷體" w:hAnsi="標楷體" w:hint="eastAsia"/>
          <w:color w:val="000000" w:themeColor="text1"/>
        </w:rPr>
        <w:t>年度之1,305人，增加1.32倍，遠較查獲大麻數量增幅為低，恐有施用</w:t>
      </w:r>
      <w:proofErr w:type="gramStart"/>
      <w:r w:rsidR="00595985" w:rsidRPr="00D8006F">
        <w:rPr>
          <w:rFonts w:ascii="標楷體" w:eastAsia="標楷體" w:hAnsi="標楷體" w:hint="eastAsia"/>
          <w:color w:val="000000" w:themeColor="text1"/>
        </w:rPr>
        <w:t>黑數尚待</w:t>
      </w:r>
      <w:proofErr w:type="gramEnd"/>
      <w:r w:rsidR="00595985" w:rsidRPr="00D8006F">
        <w:rPr>
          <w:rFonts w:ascii="標楷體" w:eastAsia="標楷體" w:hAnsi="標楷體" w:hint="eastAsia"/>
          <w:color w:val="000000" w:themeColor="text1"/>
        </w:rPr>
        <w:t xml:space="preserve">發掘；據法務部統計，109至 </w:t>
      </w:r>
      <w:proofErr w:type="gramStart"/>
      <w:r w:rsidR="00595985" w:rsidRPr="00D8006F">
        <w:rPr>
          <w:rFonts w:ascii="標楷體" w:eastAsia="標楷體" w:hAnsi="標楷體" w:hint="eastAsia"/>
          <w:color w:val="000000" w:themeColor="text1"/>
        </w:rPr>
        <w:t>113</w:t>
      </w:r>
      <w:proofErr w:type="gramEnd"/>
      <w:r w:rsidR="00595985" w:rsidRPr="00D8006F">
        <w:rPr>
          <w:rFonts w:ascii="標楷體" w:eastAsia="標楷體" w:hAnsi="標楷體" w:hint="eastAsia"/>
          <w:color w:val="000000" w:themeColor="text1"/>
        </w:rPr>
        <w:t>年度國內查獲各級毒品數量計212</w:t>
      </w:r>
      <w:r w:rsidR="00595985" w:rsidRPr="00D8006F">
        <w:rPr>
          <w:rFonts w:ascii="標楷體" w:eastAsia="標楷體" w:hAnsi="標楷體"/>
          <w:color w:val="000000" w:themeColor="text1"/>
        </w:rPr>
        <w:t>,904.8</w:t>
      </w:r>
      <w:r w:rsidR="00595985" w:rsidRPr="00D8006F">
        <w:rPr>
          <w:rFonts w:ascii="標楷體" w:eastAsia="標楷體" w:hAnsi="標楷體" w:hint="eastAsia"/>
          <w:color w:val="000000" w:themeColor="text1"/>
        </w:rPr>
        <w:t>公斤，其中屬境外地區來源者195</w:t>
      </w:r>
      <w:r w:rsidR="00595985" w:rsidRPr="00D8006F">
        <w:rPr>
          <w:rFonts w:ascii="標楷體" w:eastAsia="標楷體" w:hAnsi="標楷體"/>
          <w:color w:val="000000" w:themeColor="text1"/>
        </w:rPr>
        <w:t>,232.6</w:t>
      </w:r>
      <w:r w:rsidR="00595985" w:rsidRPr="00D8006F">
        <w:rPr>
          <w:rFonts w:ascii="標楷體" w:eastAsia="標楷體" w:hAnsi="標楷體" w:hint="eastAsia"/>
          <w:color w:val="000000" w:themeColor="text1"/>
        </w:rPr>
        <w:t>公斤(占9</w:t>
      </w:r>
      <w:r w:rsidR="00810105">
        <w:rPr>
          <w:rFonts w:ascii="標楷體" w:eastAsia="標楷體" w:hAnsi="標楷體" w:hint="eastAsia"/>
          <w:color w:val="000000" w:themeColor="text1"/>
        </w:rPr>
        <w:t>1</w:t>
      </w:r>
      <w:r w:rsidR="00595985" w:rsidRPr="00D8006F">
        <w:rPr>
          <w:rFonts w:ascii="標楷體" w:eastAsia="標楷體" w:hAnsi="標楷體" w:hint="eastAsia"/>
          <w:color w:val="000000" w:themeColor="text1"/>
        </w:rPr>
        <w:t>.7</w:t>
      </w:r>
      <w:r w:rsidR="00810105">
        <w:rPr>
          <w:rFonts w:ascii="標楷體" w:eastAsia="標楷體" w:hAnsi="標楷體" w:hint="eastAsia"/>
          <w:color w:val="000000" w:themeColor="text1"/>
        </w:rPr>
        <w:t>0</w:t>
      </w:r>
      <w:r w:rsidR="00595985" w:rsidRPr="00D8006F">
        <w:rPr>
          <w:rFonts w:ascii="標楷體" w:eastAsia="標楷體" w:hAnsi="標楷體" w:hint="eastAsia"/>
          <w:color w:val="000000" w:themeColor="text1"/>
        </w:rPr>
        <w:t>％</w:t>
      </w:r>
      <w:r w:rsidR="00595985" w:rsidRPr="00D8006F">
        <w:rPr>
          <w:rFonts w:ascii="標楷體" w:eastAsia="標楷體" w:hAnsi="標楷體"/>
          <w:color w:val="000000" w:themeColor="text1"/>
        </w:rPr>
        <w:t>)</w:t>
      </w:r>
      <w:r w:rsidR="00595985" w:rsidRPr="00D8006F">
        <w:rPr>
          <w:rFonts w:ascii="標楷體" w:eastAsia="標楷體" w:hAnsi="標楷體" w:hint="eastAsia"/>
          <w:color w:val="000000" w:themeColor="text1"/>
        </w:rPr>
        <w:t>，主要來源地區為中國大陸及泰國，允宜強化查緝作為及</w:t>
      </w:r>
      <w:proofErr w:type="gramStart"/>
      <w:r w:rsidR="00595985" w:rsidRPr="00D8006F">
        <w:rPr>
          <w:rFonts w:ascii="標楷體" w:eastAsia="標楷體" w:hAnsi="標楷體" w:hint="eastAsia"/>
          <w:color w:val="000000" w:themeColor="text1"/>
        </w:rPr>
        <w:t>跨國緝</w:t>
      </w:r>
      <w:proofErr w:type="gramEnd"/>
      <w:r w:rsidR="00595985" w:rsidRPr="00D8006F">
        <w:rPr>
          <w:rFonts w:ascii="標楷體" w:eastAsia="標楷體" w:hAnsi="標楷體" w:hint="eastAsia"/>
          <w:color w:val="000000" w:themeColor="text1"/>
        </w:rPr>
        <w:t>毒合作；（</w:t>
      </w:r>
      <w:r w:rsidR="00595985" w:rsidRPr="00D8006F">
        <w:rPr>
          <w:rFonts w:ascii="標楷體" w:eastAsia="標楷體" w:hAnsi="標楷體"/>
          <w:color w:val="000000" w:themeColor="text1"/>
        </w:rPr>
        <w:t>4</w:t>
      </w:r>
      <w:r w:rsidR="00595985" w:rsidRPr="00D8006F">
        <w:rPr>
          <w:rFonts w:ascii="標楷體" w:eastAsia="標楷體" w:hAnsi="標楷體" w:hint="eastAsia"/>
          <w:color w:val="000000" w:themeColor="text1"/>
        </w:rPr>
        <w:t>）據</w:t>
      </w:r>
      <w:r w:rsidR="00595985" w:rsidRPr="00D8006F">
        <w:rPr>
          <w:rFonts w:ascii="標楷體" w:eastAsia="標楷體" w:hAnsi="標楷體" w:hint="eastAsia"/>
          <w:bCs/>
          <w:color w:val="000000" w:themeColor="text1"/>
        </w:rPr>
        <w:t>內政部警政署（下稱警政署）</w:t>
      </w:r>
      <w:r w:rsidR="00595985" w:rsidRPr="00D8006F">
        <w:rPr>
          <w:rFonts w:ascii="標楷體" w:eastAsia="標楷體" w:hAnsi="標楷體" w:hint="eastAsia"/>
          <w:color w:val="000000" w:themeColor="text1"/>
        </w:rPr>
        <w:t>統計近6年（108至113年度）查獲網路毒品案件計2</w:t>
      </w:r>
      <w:r w:rsidR="00595985" w:rsidRPr="00D8006F">
        <w:rPr>
          <w:rFonts w:ascii="標楷體" w:eastAsia="標楷體" w:hAnsi="標楷體"/>
          <w:color w:val="000000" w:themeColor="text1"/>
        </w:rPr>
        <w:t>,</w:t>
      </w:r>
      <w:r w:rsidR="00595985" w:rsidRPr="00D8006F">
        <w:rPr>
          <w:rFonts w:ascii="標楷體" w:eastAsia="標楷體" w:hAnsi="標楷體" w:hint="eastAsia"/>
          <w:color w:val="000000" w:themeColor="text1"/>
        </w:rPr>
        <w:t>668件，自</w:t>
      </w:r>
      <w:proofErr w:type="gramStart"/>
      <w:r w:rsidR="00595985" w:rsidRPr="00D8006F">
        <w:rPr>
          <w:rFonts w:ascii="標楷體" w:eastAsia="標楷體" w:hAnsi="標楷體" w:hint="eastAsia"/>
          <w:color w:val="000000" w:themeColor="text1"/>
        </w:rPr>
        <w:t>108</w:t>
      </w:r>
      <w:proofErr w:type="gramEnd"/>
      <w:r w:rsidR="00595985" w:rsidRPr="00D8006F">
        <w:rPr>
          <w:rFonts w:ascii="標楷體" w:eastAsia="標楷體" w:hAnsi="標楷體" w:hint="eastAsia"/>
          <w:color w:val="000000" w:themeColor="text1"/>
        </w:rPr>
        <w:t>年度之219件增加至</w:t>
      </w:r>
      <w:proofErr w:type="gramStart"/>
      <w:r w:rsidR="00595985" w:rsidRPr="00D8006F">
        <w:rPr>
          <w:rFonts w:ascii="標楷體" w:eastAsia="標楷體" w:hAnsi="標楷體" w:hint="eastAsia"/>
          <w:color w:val="000000" w:themeColor="text1"/>
        </w:rPr>
        <w:t>113</w:t>
      </w:r>
      <w:proofErr w:type="gramEnd"/>
      <w:r w:rsidR="00595985" w:rsidRPr="00D8006F">
        <w:rPr>
          <w:rFonts w:ascii="標楷體" w:eastAsia="標楷體" w:hAnsi="標楷體" w:hint="eastAsia"/>
          <w:color w:val="000000" w:themeColor="text1"/>
        </w:rPr>
        <w:t>年度之708件，</w:t>
      </w:r>
      <w:r w:rsidR="00595985" w:rsidRPr="00D8006F">
        <w:rPr>
          <w:rFonts w:ascii="標楷體" w:eastAsia="標楷體" w:hAnsi="標楷體" w:hint="eastAsia"/>
        </w:rPr>
        <w:t>增加2.23倍，顯示查獲網路毒品案</w:t>
      </w:r>
      <w:r w:rsidR="00595985" w:rsidRPr="00D8006F">
        <w:rPr>
          <w:rFonts w:ascii="標楷體" w:eastAsia="標楷體" w:hAnsi="標楷體" w:hint="eastAsia"/>
          <w:color w:val="000000" w:themeColor="text1"/>
        </w:rPr>
        <w:t>件快速增加。另政府已專法明定網路業者知悉網頁內容涉及詐欺及</w:t>
      </w:r>
      <w:proofErr w:type="gramStart"/>
      <w:r w:rsidR="00595985" w:rsidRPr="00D8006F">
        <w:rPr>
          <w:rFonts w:ascii="標楷體" w:eastAsia="標楷體" w:hAnsi="標楷體" w:hint="eastAsia"/>
          <w:color w:val="000000" w:themeColor="text1"/>
        </w:rPr>
        <w:t>兒少性剝削</w:t>
      </w:r>
      <w:proofErr w:type="gramEnd"/>
      <w:r w:rsidR="00595985" w:rsidRPr="00D8006F">
        <w:rPr>
          <w:rFonts w:ascii="標楷體" w:eastAsia="標楷體" w:hAnsi="標楷體" w:hint="eastAsia"/>
          <w:color w:val="000000" w:themeColor="text1"/>
        </w:rPr>
        <w:t>等情事，應主動移除、限制瀏覽、停止播送該廣告或採取其他必要之處置，惟針對網頁出現販毒訊息，目前尚未有網路業者應主動下架相關販毒網頁之規定，允宜健全法規，並透過公私協力合作，有效管制網路及軟體業者，使其主動</w:t>
      </w:r>
      <w:proofErr w:type="gramStart"/>
      <w:r w:rsidR="00595985" w:rsidRPr="00D8006F">
        <w:rPr>
          <w:rFonts w:ascii="標楷體" w:eastAsia="標楷體" w:hAnsi="標楷體" w:hint="eastAsia"/>
          <w:color w:val="000000" w:themeColor="text1"/>
        </w:rPr>
        <w:t>移除涉毒網頁</w:t>
      </w:r>
      <w:proofErr w:type="gramEnd"/>
      <w:r w:rsidR="00595985" w:rsidRPr="00D8006F">
        <w:rPr>
          <w:rFonts w:ascii="標楷體" w:eastAsia="標楷體" w:hAnsi="標楷體" w:hint="eastAsia"/>
          <w:color w:val="000000" w:themeColor="text1"/>
        </w:rPr>
        <w:t>，並通報主管機關，降低毒品危害</w:t>
      </w:r>
      <w:r w:rsidR="005059C8">
        <w:rPr>
          <w:rFonts w:ascii="標楷體" w:eastAsia="標楷體" w:hAnsi="標楷體" w:hint="eastAsia"/>
          <w:color w:val="000000" w:themeColor="text1"/>
        </w:rPr>
        <w:t>等情事，</w:t>
      </w:r>
      <w:r w:rsidR="00595985" w:rsidRPr="00D8006F">
        <w:rPr>
          <w:rFonts w:ascii="標楷體" w:eastAsia="標楷體" w:hAnsi="標楷體" w:hint="eastAsia"/>
          <w:color w:val="000000" w:themeColor="text1"/>
        </w:rPr>
        <w:t>經函請行政院督促權責機關檢討改善。據復：（1）將強化施用毒品成人緩起訴</w:t>
      </w:r>
      <w:proofErr w:type="gramStart"/>
      <w:r w:rsidR="00595985" w:rsidRPr="00D8006F">
        <w:rPr>
          <w:rFonts w:ascii="標楷體" w:eastAsia="標楷體" w:hAnsi="標楷體" w:hint="eastAsia"/>
          <w:color w:val="000000" w:themeColor="text1"/>
        </w:rPr>
        <w:t>附命戒</w:t>
      </w:r>
      <w:proofErr w:type="gramEnd"/>
      <w:r w:rsidR="00595985" w:rsidRPr="00D8006F">
        <w:rPr>
          <w:rFonts w:ascii="標楷體" w:eastAsia="標楷體" w:hAnsi="標楷體" w:hint="eastAsia"/>
          <w:color w:val="000000" w:themeColor="text1"/>
        </w:rPr>
        <w:t>癮多元處遇，並結合社會資源建構支持網絡，深化輔導品質等；另強化兒少網</w:t>
      </w:r>
      <w:r w:rsidR="00530D03">
        <w:rPr>
          <w:rFonts w:ascii="標楷體" w:eastAsia="標楷體" w:hAnsi="標楷體" w:hint="eastAsia"/>
          <w:color w:val="000000" w:themeColor="text1"/>
        </w:rPr>
        <w:t>絡</w:t>
      </w:r>
      <w:r w:rsidR="00595985" w:rsidRPr="00D8006F">
        <w:rPr>
          <w:rFonts w:ascii="標楷體" w:eastAsia="標楷體" w:hAnsi="標楷體" w:hint="eastAsia"/>
          <w:color w:val="000000" w:themeColor="text1"/>
        </w:rPr>
        <w:t>專業人員服務密度，以及時介入輔導或</w:t>
      </w:r>
      <w:proofErr w:type="gramStart"/>
      <w:r w:rsidR="00595985" w:rsidRPr="00D8006F">
        <w:rPr>
          <w:rFonts w:ascii="標楷體" w:eastAsia="標楷體" w:hAnsi="標楷體" w:hint="eastAsia"/>
          <w:color w:val="000000" w:themeColor="text1"/>
        </w:rPr>
        <w:t>挹</w:t>
      </w:r>
      <w:proofErr w:type="gramEnd"/>
      <w:r w:rsidR="00595985" w:rsidRPr="00D8006F">
        <w:rPr>
          <w:rFonts w:ascii="標楷體" w:eastAsia="標楷體" w:hAnsi="標楷體" w:hint="eastAsia"/>
          <w:color w:val="000000" w:themeColor="text1"/>
        </w:rPr>
        <w:t>注</w:t>
      </w:r>
      <w:proofErr w:type="gramStart"/>
      <w:r w:rsidR="00595985" w:rsidRPr="00D8006F">
        <w:rPr>
          <w:rFonts w:ascii="標楷體" w:eastAsia="標楷體" w:hAnsi="標楷體" w:hint="eastAsia"/>
          <w:color w:val="000000" w:themeColor="text1"/>
        </w:rPr>
        <w:t>資源予兒少</w:t>
      </w:r>
      <w:proofErr w:type="gramEnd"/>
      <w:r w:rsidR="00595985" w:rsidRPr="00D8006F">
        <w:rPr>
          <w:rFonts w:ascii="標楷體" w:eastAsia="標楷體" w:hAnsi="標楷體" w:hint="eastAsia"/>
          <w:color w:val="000000" w:themeColor="text1"/>
        </w:rPr>
        <w:t>及其家庭；（2）將持續增加個案管理人力，提升個案管理人員留任誘因，並加強專業訓練，以建立專業久任機制。另各</w:t>
      </w:r>
      <w:proofErr w:type="gramStart"/>
      <w:r w:rsidR="00595985" w:rsidRPr="00D8006F">
        <w:rPr>
          <w:rFonts w:ascii="標楷體" w:eastAsia="標楷體" w:hAnsi="標楷體" w:hint="eastAsia"/>
          <w:color w:val="000000" w:themeColor="text1"/>
        </w:rPr>
        <w:t>地方毒防中心</w:t>
      </w:r>
      <w:proofErr w:type="gramEnd"/>
      <w:r w:rsidR="00595985" w:rsidRPr="00D8006F">
        <w:rPr>
          <w:rFonts w:ascii="標楷體" w:eastAsia="標楷體" w:hAnsi="標楷體" w:hint="eastAsia"/>
          <w:color w:val="000000" w:themeColor="text1"/>
        </w:rPr>
        <w:t>將依個案查獲次數，發展不同內容之講習課程，並以多元、彈性時間方式辦理，提升講習出席率；（3）已將大麻列為安居緝毒查緝重點項目，全力打擊製造、運輸、販賣供應端，並持續與美國緝毒署等機關進行業務聯繫</w:t>
      </w:r>
      <w:proofErr w:type="gramStart"/>
      <w:r w:rsidR="00595985" w:rsidRPr="00D8006F">
        <w:rPr>
          <w:rFonts w:ascii="標楷體" w:eastAsia="標楷體" w:hAnsi="標楷體" w:hint="eastAsia"/>
          <w:color w:val="000000" w:themeColor="text1"/>
        </w:rPr>
        <w:t>及情資整合</w:t>
      </w:r>
      <w:proofErr w:type="gramEnd"/>
      <w:r w:rsidR="00595985" w:rsidRPr="00D8006F">
        <w:rPr>
          <w:rFonts w:ascii="標楷體" w:eastAsia="標楷體" w:hAnsi="標楷體" w:hint="eastAsia"/>
          <w:color w:val="000000" w:themeColor="text1"/>
        </w:rPr>
        <w:t>、交換，分享跨國毒品查緝經驗，加強國際緝毒合作；（4）將由法務部召集相關部會</w:t>
      </w:r>
      <w:proofErr w:type="gramStart"/>
      <w:r w:rsidR="00595985" w:rsidRPr="00D8006F">
        <w:rPr>
          <w:rFonts w:ascii="標楷體" w:eastAsia="標楷體" w:hAnsi="標楷體" w:hint="eastAsia"/>
          <w:color w:val="000000" w:themeColor="text1"/>
        </w:rPr>
        <w:t>研</w:t>
      </w:r>
      <w:proofErr w:type="gramEnd"/>
      <w:r w:rsidR="00595985" w:rsidRPr="00D8006F">
        <w:rPr>
          <w:rFonts w:ascii="標楷體" w:eastAsia="標楷體" w:hAnsi="標楷體" w:hint="eastAsia"/>
          <w:color w:val="000000" w:themeColor="text1"/>
        </w:rPr>
        <w:t>議是否於毒品危害防制條例增訂相關條文，作為管制販毒網域之依據。</w:t>
      </w:r>
    </w:p>
    <w:p w14:paraId="5B85CEAD" w14:textId="77777777" w:rsidR="00B72B6C" w:rsidRDefault="00595985" w:rsidP="00B72B6C">
      <w:pPr>
        <w:overflowPunct w:val="0"/>
        <w:adjustRightInd w:val="0"/>
        <w:snapToGrid w:val="0"/>
        <w:spacing w:line="460" w:lineRule="exact"/>
        <w:ind w:firstLineChars="450" w:firstLine="1081"/>
        <w:jc w:val="distribute"/>
        <w:rPr>
          <w:rFonts w:ascii="標楷體" w:eastAsia="標楷體" w:hAnsi="標楷體"/>
          <w:color w:val="000000" w:themeColor="text1"/>
        </w:rPr>
      </w:pPr>
      <w:r w:rsidRPr="00C83E66">
        <w:rPr>
          <w:rFonts w:ascii="標楷體" w:eastAsia="標楷體" w:hAnsi="標楷體" w:hint="eastAsia"/>
          <w:b/>
        </w:rPr>
        <w:t>2.　兒少施用第三級及第四級毒品</w:t>
      </w:r>
      <w:r>
        <w:rPr>
          <w:rFonts w:ascii="標楷體" w:eastAsia="標楷體" w:hAnsi="標楷體" w:hint="eastAsia"/>
          <w:b/>
        </w:rPr>
        <w:t>之</w:t>
      </w:r>
      <w:r w:rsidRPr="00C83E66">
        <w:rPr>
          <w:rFonts w:ascii="標楷體" w:eastAsia="標楷體" w:hAnsi="標楷體" w:hint="eastAsia"/>
          <w:b/>
        </w:rPr>
        <w:t>案件占比逐年上升，</w:t>
      </w:r>
      <w:r>
        <w:rPr>
          <w:rFonts w:ascii="標楷體" w:eastAsia="標楷體" w:hAnsi="標楷體" w:hint="eastAsia"/>
          <w:b/>
        </w:rPr>
        <w:t>且部分市縣少年輔導委員會人力尚未達配置人力基準</w:t>
      </w:r>
      <w:r w:rsidRPr="00C83E66">
        <w:rPr>
          <w:rFonts w:ascii="標楷體" w:eastAsia="標楷體" w:hAnsi="標楷體" w:hint="eastAsia"/>
          <w:b/>
        </w:rPr>
        <w:t>：</w:t>
      </w:r>
      <w:r w:rsidRPr="00C83E66">
        <w:rPr>
          <w:rFonts w:ascii="標楷體" w:eastAsia="標楷體" w:hAnsi="標楷體" w:hint="eastAsia"/>
        </w:rPr>
        <w:t>政府為避免未成年兒少接觸毒品，由各權責主管機關辦理兒少毒品防制，其中施用第一、二級毒品</w:t>
      </w:r>
      <w:r>
        <w:rPr>
          <w:rFonts w:ascii="標楷體" w:eastAsia="標楷體" w:hAnsi="標楷體" w:hint="eastAsia"/>
        </w:rPr>
        <w:t>之</w:t>
      </w:r>
      <w:r w:rsidRPr="00C83E66">
        <w:rPr>
          <w:rFonts w:ascii="標楷體" w:eastAsia="標楷體" w:hAnsi="標楷體" w:hint="eastAsia"/>
        </w:rPr>
        <w:t>涉</w:t>
      </w:r>
      <w:r w:rsidRPr="00683DEC">
        <w:rPr>
          <w:rFonts w:ascii="標楷體" w:eastAsia="標楷體" w:hAnsi="標楷體" w:hint="eastAsia"/>
          <w:color w:val="000000" w:themeColor="text1"/>
        </w:rPr>
        <w:t>及刑事案件少年，由少年法院依法處理；施用第三、四級</w:t>
      </w:r>
    </w:p>
    <w:p w14:paraId="4DC601AF" w14:textId="59145FD9" w:rsidR="00595985" w:rsidRPr="00CE2C69" w:rsidRDefault="00595985" w:rsidP="00B72B6C">
      <w:pPr>
        <w:overflowPunct w:val="0"/>
        <w:adjustRightInd w:val="0"/>
        <w:snapToGrid w:val="0"/>
        <w:spacing w:line="400" w:lineRule="exact"/>
        <w:jc w:val="both"/>
        <w:rPr>
          <w:rFonts w:ascii="標楷體" w:eastAsia="標楷體" w:hAnsi="標楷體"/>
          <w:color w:val="000000" w:themeColor="text1"/>
        </w:rPr>
      </w:pPr>
      <w:r w:rsidRPr="00683DEC">
        <w:rPr>
          <w:rFonts w:ascii="標楷體" w:eastAsia="標楷體" w:hAnsi="標楷體" w:hint="eastAsia"/>
          <w:color w:val="000000" w:themeColor="text1"/>
        </w:rPr>
        <w:lastRenderedPageBreak/>
        <w:t>毒品</w:t>
      </w:r>
      <w:proofErr w:type="gramStart"/>
      <w:r w:rsidRPr="00683DEC">
        <w:rPr>
          <w:rFonts w:ascii="標楷體" w:eastAsia="標楷體" w:hAnsi="標楷體" w:hint="eastAsia"/>
          <w:color w:val="000000" w:themeColor="text1"/>
        </w:rPr>
        <w:t>之曝險少年</w:t>
      </w:r>
      <w:proofErr w:type="gramEnd"/>
      <w:r w:rsidRPr="00683DEC">
        <w:rPr>
          <w:rFonts w:ascii="標楷體" w:eastAsia="標楷體" w:hAnsi="標楷體" w:hint="eastAsia"/>
          <w:color w:val="000000" w:themeColor="text1"/>
        </w:rPr>
        <w:t>自112年7月起由少年輔導委員會（下稱少輔會）</w:t>
      </w:r>
      <w:proofErr w:type="gramStart"/>
      <w:r w:rsidRPr="00683DEC">
        <w:rPr>
          <w:rFonts w:ascii="標楷體" w:eastAsia="標楷體" w:hAnsi="標楷體" w:hint="eastAsia"/>
          <w:color w:val="000000" w:themeColor="text1"/>
        </w:rPr>
        <w:t>採</w:t>
      </w:r>
      <w:proofErr w:type="gramEnd"/>
      <w:r w:rsidRPr="00683DEC">
        <w:rPr>
          <w:rFonts w:ascii="標楷體" w:eastAsia="標楷體" w:hAnsi="標楷體" w:hint="eastAsia"/>
          <w:color w:val="000000" w:themeColor="text1"/>
        </w:rPr>
        <w:t>輔導先行；另依在學與否分由教育單位、社政單位輔導。</w:t>
      </w:r>
      <w:proofErr w:type="gramStart"/>
      <w:r w:rsidRPr="00683DEC">
        <w:rPr>
          <w:rFonts w:ascii="標楷體" w:eastAsia="標楷體" w:hAnsi="標楷體" w:hint="eastAsia"/>
          <w:color w:val="000000" w:themeColor="text1"/>
        </w:rPr>
        <w:t>經查兒少</w:t>
      </w:r>
      <w:proofErr w:type="gramEnd"/>
      <w:r w:rsidRPr="00683DEC">
        <w:rPr>
          <w:rFonts w:ascii="標楷體" w:eastAsia="標楷體" w:hAnsi="標楷體" w:hint="eastAsia"/>
          <w:color w:val="000000" w:themeColor="text1"/>
        </w:rPr>
        <w:t>毒品防制執行情形，核有：（1）據衛生福利部（下稱衛福部）統計，108至113年度「關懷e起來」通報施用毒品</w:t>
      </w:r>
      <w:proofErr w:type="gramStart"/>
      <w:r w:rsidRPr="00683DEC">
        <w:rPr>
          <w:rFonts w:ascii="標楷體" w:eastAsia="標楷體" w:hAnsi="標楷體" w:hint="eastAsia"/>
          <w:color w:val="000000" w:themeColor="text1"/>
        </w:rPr>
        <w:t>兒少計</w:t>
      </w:r>
      <w:proofErr w:type="gramEnd"/>
      <w:r w:rsidRPr="00683DEC">
        <w:rPr>
          <w:rFonts w:ascii="標楷體" w:eastAsia="標楷體" w:hAnsi="標楷體" w:hint="eastAsia"/>
          <w:color w:val="000000" w:themeColor="text1"/>
        </w:rPr>
        <w:t>4,920人，自</w:t>
      </w:r>
      <w:proofErr w:type="gramStart"/>
      <w:r w:rsidRPr="00683DEC">
        <w:rPr>
          <w:rFonts w:ascii="標楷體" w:eastAsia="標楷體" w:hAnsi="標楷體" w:hint="eastAsia"/>
          <w:color w:val="000000" w:themeColor="text1"/>
        </w:rPr>
        <w:t>108</w:t>
      </w:r>
      <w:proofErr w:type="gramEnd"/>
      <w:r w:rsidRPr="00683DEC">
        <w:rPr>
          <w:rFonts w:ascii="標楷體" w:eastAsia="標楷體" w:hAnsi="標楷體" w:hint="eastAsia"/>
          <w:color w:val="000000" w:themeColor="text1"/>
        </w:rPr>
        <w:t>年度之806人上升至</w:t>
      </w:r>
      <w:proofErr w:type="gramStart"/>
      <w:r w:rsidRPr="00683DEC">
        <w:rPr>
          <w:rFonts w:ascii="標楷體" w:eastAsia="標楷體" w:hAnsi="標楷體" w:hint="eastAsia"/>
          <w:color w:val="000000" w:themeColor="text1"/>
        </w:rPr>
        <w:t>113</w:t>
      </w:r>
      <w:proofErr w:type="gramEnd"/>
      <w:r w:rsidRPr="00683DEC">
        <w:rPr>
          <w:rFonts w:ascii="標楷體" w:eastAsia="標楷體" w:hAnsi="標楷體" w:hint="eastAsia"/>
          <w:color w:val="000000" w:themeColor="text1"/>
        </w:rPr>
        <w:t>年度之1,078人，增幅33.75</w:t>
      </w:r>
      <w:r w:rsidRPr="00F07C3B">
        <w:rPr>
          <w:noProof/>
        </w:rPr>
        <w:t xml:space="preserve"> </w:t>
      </w:r>
      <w:r w:rsidRPr="00683DEC">
        <w:rPr>
          <w:rFonts w:ascii="標楷體" w:eastAsia="標楷體" w:hAnsi="標楷體" w:hint="eastAsia"/>
          <w:color w:val="000000" w:themeColor="text1"/>
        </w:rPr>
        <w:t>％，主要係以12歲以上未滿18歲之少年，且施用第三級及第四級毒品為大宗；以在學與否分析，為非在學兒少居多，而在學兒少人數自</w:t>
      </w:r>
      <w:proofErr w:type="gramStart"/>
      <w:r w:rsidRPr="00683DEC">
        <w:rPr>
          <w:rFonts w:ascii="標楷體" w:eastAsia="標楷體" w:hAnsi="標楷體" w:hint="eastAsia"/>
          <w:color w:val="000000" w:themeColor="text1"/>
        </w:rPr>
        <w:t>108</w:t>
      </w:r>
      <w:proofErr w:type="gramEnd"/>
      <w:r w:rsidRPr="00683DEC">
        <w:rPr>
          <w:rFonts w:ascii="標楷體" w:eastAsia="標楷體" w:hAnsi="標楷體" w:hint="eastAsia"/>
          <w:color w:val="000000" w:themeColor="text1"/>
        </w:rPr>
        <w:t>年度之345人上升至</w:t>
      </w:r>
      <w:proofErr w:type="gramStart"/>
      <w:r w:rsidRPr="00683DEC">
        <w:rPr>
          <w:rFonts w:ascii="標楷體" w:eastAsia="標楷體" w:hAnsi="標楷體" w:hint="eastAsia"/>
          <w:color w:val="000000" w:themeColor="text1"/>
        </w:rPr>
        <w:t>113</w:t>
      </w:r>
      <w:proofErr w:type="gramEnd"/>
      <w:r w:rsidRPr="00683DEC">
        <w:rPr>
          <w:rFonts w:ascii="標楷體" w:eastAsia="標楷體" w:hAnsi="標楷體" w:hint="eastAsia"/>
          <w:color w:val="000000" w:themeColor="text1"/>
        </w:rPr>
        <w:t>年度之529人（表</w:t>
      </w:r>
      <w:r w:rsidR="00436CD4">
        <w:rPr>
          <w:rFonts w:ascii="標楷體" w:eastAsia="標楷體" w:hAnsi="標楷體" w:cs="新細明體" w:hint="eastAsia"/>
          <w:color w:val="000000" w:themeColor="text1"/>
          <w:kern w:val="0"/>
          <w:szCs w:val="24"/>
        </w:rPr>
        <w:t>25</w:t>
      </w:r>
      <w:r w:rsidRPr="00683DEC">
        <w:rPr>
          <w:rFonts w:ascii="標楷體" w:eastAsia="標楷體" w:hAnsi="標楷體" w:hint="eastAsia"/>
          <w:color w:val="000000" w:themeColor="text1"/>
        </w:rPr>
        <w:t>）。另以少年犯毒品刑事犯罪分析</w:t>
      </w:r>
      <w:r w:rsidRPr="00A07DF4">
        <w:rPr>
          <w:rFonts w:ascii="標楷體" w:eastAsia="標楷體" w:hAnsi="標楷體" w:hint="eastAsia"/>
        </w:rPr>
        <w:t>，全國各警察機</w:t>
      </w:r>
      <w:r w:rsidR="000B61FD" w:rsidRPr="00F37808">
        <w:rPr>
          <w:rFonts w:ascii="標楷體" w:eastAsia="標楷體" w:hAnsi="標楷體"/>
          <w:b/>
          <w:noProof/>
        </w:rPr>
        <mc:AlternateContent>
          <mc:Choice Requires="wps">
            <w:drawing>
              <wp:anchor distT="45720" distB="45720" distL="114300" distR="114300" simplePos="0" relativeHeight="251633664" behindDoc="0" locked="0" layoutInCell="1" allowOverlap="1" wp14:anchorId="3793A700" wp14:editId="6A60C853">
                <wp:simplePos x="0" y="0"/>
                <wp:positionH relativeFrom="margin">
                  <wp:posOffset>909320</wp:posOffset>
                </wp:positionH>
                <wp:positionV relativeFrom="paragraph">
                  <wp:posOffset>1720215</wp:posOffset>
                </wp:positionV>
                <wp:extent cx="5387340" cy="2865120"/>
                <wp:effectExtent l="0" t="0" r="3810" b="0"/>
                <wp:wrapSquare wrapText="bothSides"/>
                <wp:docPr id="20083270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7340" cy="2865120"/>
                        </a:xfrm>
                        <a:prstGeom prst="rect">
                          <a:avLst/>
                        </a:prstGeom>
                        <a:solidFill>
                          <a:sysClr val="window" lastClr="FFFFFF"/>
                        </a:solidFill>
                        <a:ln w="9525">
                          <a:noFill/>
                          <a:miter lim="800000"/>
                          <a:headEnd/>
                          <a:tailEnd/>
                        </a:ln>
                      </wps:spPr>
                      <wps:txbx>
                        <w:txbxContent>
                          <w:tbl>
                            <w:tblPr>
                              <w:tblW w:w="8179" w:type="dxa"/>
                              <w:tblInd w:w="28" w:type="dxa"/>
                              <w:tblCellMar>
                                <w:left w:w="28" w:type="dxa"/>
                                <w:right w:w="28" w:type="dxa"/>
                              </w:tblCellMar>
                              <w:tblLook w:val="04A0" w:firstRow="1" w:lastRow="0" w:firstColumn="1" w:lastColumn="0" w:noHBand="0" w:noVBand="1"/>
                            </w:tblPr>
                            <w:tblGrid>
                              <w:gridCol w:w="709"/>
                              <w:gridCol w:w="557"/>
                              <w:gridCol w:w="534"/>
                              <w:gridCol w:w="567"/>
                              <w:gridCol w:w="567"/>
                              <w:gridCol w:w="656"/>
                              <w:gridCol w:w="620"/>
                              <w:gridCol w:w="567"/>
                              <w:gridCol w:w="557"/>
                              <w:gridCol w:w="557"/>
                              <w:gridCol w:w="587"/>
                              <w:gridCol w:w="567"/>
                              <w:gridCol w:w="567"/>
                              <w:gridCol w:w="567"/>
                            </w:tblGrid>
                            <w:tr w:rsidR="007C3F72" w:rsidRPr="00CB775A" w14:paraId="14994B68" w14:textId="77777777" w:rsidTr="00E02692">
                              <w:trPr>
                                <w:trHeight w:val="330"/>
                              </w:trPr>
                              <w:tc>
                                <w:tcPr>
                                  <w:tcW w:w="8179" w:type="dxa"/>
                                  <w:gridSpan w:val="14"/>
                                  <w:tcBorders>
                                    <w:top w:val="nil"/>
                                    <w:left w:val="nil"/>
                                    <w:bottom w:val="nil"/>
                                    <w:right w:val="nil"/>
                                  </w:tcBorders>
                                  <w:shd w:val="clear" w:color="auto" w:fill="auto"/>
                                  <w:noWrap/>
                                  <w:vAlign w:val="center"/>
                                  <w:hideMark/>
                                </w:tcPr>
                                <w:p w14:paraId="74CDC206" w14:textId="3E12BAAD" w:rsidR="007C3F72" w:rsidRPr="00CB775A" w:rsidRDefault="007C3F72" w:rsidP="00CB775A">
                                  <w:pPr>
                                    <w:widowControl/>
                                    <w:jc w:val="center"/>
                                    <w:rPr>
                                      <w:rFonts w:ascii="標楷體" w:eastAsia="標楷體" w:hAnsi="標楷體" w:cs="新細明體"/>
                                      <w:b/>
                                      <w:bCs/>
                                      <w:color w:val="000000"/>
                                      <w:kern w:val="0"/>
                                      <w:szCs w:val="24"/>
                                    </w:rPr>
                                  </w:pPr>
                                  <w:r w:rsidRPr="00CB775A">
                                    <w:rPr>
                                      <w:rFonts w:ascii="標楷體" w:eastAsia="標楷體" w:hAnsi="標楷體" w:cs="新細明體" w:hint="eastAsia"/>
                                      <w:b/>
                                      <w:color w:val="000000"/>
                                      <w:kern w:val="0"/>
                                      <w:szCs w:val="28"/>
                                    </w:rPr>
                                    <w:t>表</w:t>
                                  </w:r>
                                  <w:r>
                                    <w:rPr>
                                      <w:rFonts w:ascii="標楷體" w:eastAsia="標楷體" w:hAnsi="標楷體" w:cs="新細明體" w:hint="eastAsia"/>
                                      <w:b/>
                                      <w:color w:val="000000"/>
                                      <w:kern w:val="0"/>
                                      <w:szCs w:val="28"/>
                                    </w:rPr>
                                    <w:t>2</w:t>
                                  </w:r>
                                  <w:r>
                                    <w:rPr>
                                      <w:rFonts w:ascii="標楷體" w:eastAsia="標楷體" w:hAnsi="標楷體" w:cs="新細明體"/>
                                      <w:b/>
                                      <w:color w:val="000000"/>
                                      <w:kern w:val="0"/>
                                      <w:szCs w:val="28"/>
                                    </w:rPr>
                                    <w:t>5</w:t>
                                  </w:r>
                                  <w:r w:rsidR="00D55E09">
                                    <w:rPr>
                                      <w:rFonts w:ascii="標楷體" w:eastAsia="標楷體" w:hAnsi="標楷體" w:cs="新細明體" w:hint="eastAsia"/>
                                      <w:b/>
                                      <w:color w:val="000000"/>
                                      <w:kern w:val="0"/>
                                      <w:szCs w:val="28"/>
                                    </w:rPr>
                                    <w:t xml:space="preserve">　</w:t>
                                  </w:r>
                                  <w:r w:rsidRPr="00CB775A">
                                    <w:rPr>
                                      <w:rFonts w:ascii="標楷體" w:eastAsia="標楷體" w:hAnsi="標楷體" w:cs="新細明體" w:hint="eastAsia"/>
                                      <w:b/>
                                      <w:bCs/>
                                      <w:color w:val="000000"/>
                                      <w:kern w:val="0"/>
                                      <w:szCs w:val="24"/>
                                    </w:rPr>
                                    <w:t>兒少施用毒品</w:t>
                                  </w:r>
                                  <w:r w:rsidRPr="00CB775A">
                                    <w:rPr>
                                      <w:rFonts w:ascii="標楷體" w:eastAsia="標楷體" w:hAnsi="標楷體" w:cs="新細明體" w:hint="eastAsia"/>
                                      <w:b/>
                                      <w:bCs/>
                                      <w:color w:val="000000" w:themeColor="text1"/>
                                      <w:kern w:val="0"/>
                                      <w:szCs w:val="24"/>
                                    </w:rPr>
                                    <w:t>於「關懷e起來」</w:t>
                                  </w:r>
                                  <w:r w:rsidRPr="00CB775A">
                                    <w:rPr>
                                      <w:rFonts w:ascii="標楷體" w:eastAsia="標楷體" w:hAnsi="標楷體" w:cs="新細明體" w:hint="eastAsia"/>
                                      <w:b/>
                                      <w:bCs/>
                                      <w:color w:val="000000"/>
                                      <w:kern w:val="0"/>
                                      <w:szCs w:val="24"/>
                                    </w:rPr>
                                    <w:t>通報情形</w:t>
                                  </w:r>
                                </w:p>
                              </w:tc>
                            </w:tr>
                            <w:tr w:rsidR="007C3F72" w:rsidRPr="00CB775A" w14:paraId="7486A24D" w14:textId="77777777" w:rsidTr="00E02692">
                              <w:trPr>
                                <w:trHeight w:val="345"/>
                              </w:trPr>
                              <w:tc>
                                <w:tcPr>
                                  <w:tcW w:w="8179" w:type="dxa"/>
                                  <w:gridSpan w:val="14"/>
                                  <w:tcBorders>
                                    <w:top w:val="nil"/>
                                    <w:left w:val="nil"/>
                                    <w:bottom w:val="single" w:sz="4" w:space="0" w:color="auto"/>
                                    <w:right w:val="nil"/>
                                  </w:tcBorders>
                                  <w:shd w:val="clear" w:color="auto" w:fill="auto"/>
                                  <w:noWrap/>
                                  <w:vAlign w:val="center"/>
                                  <w:hideMark/>
                                </w:tcPr>
                                <w:p w14:paraId="57EE858F" w14:textId="77777777" w:rsidR="007C3F72" w:rsidRPr="00CB775A" w:rsidRDefault="007C3F72" w:rsidP="00CB775A">
                                  <w:pPr>
                                    <w:widowControl/>
                                    <w:jc w:val="right"/>
                                    <w:rPr>
                                      <w:rFonts w:ascii="標楷體" w:eastAsia="標楷體" w:hAnsi="標楷體" w:cs="新細明體"/>
                                      <w:color w:val="000000"/>
                                      <w:kern w:val="0"/>
                                      <w:sz w:val="22"/>
                                    </w:rPr>
                                  </w:pPr>
                                  <w:r w:rsidRPr="00CB775A">
                                    <w:rPr>
                                      <w:rFonts w:ascii="標楷體" w:eastAsia="標楷體" w:hAnsi="標楷體" w:cs="新細明體" w:hint="eastAsia"/>
                                      <w:color w:val="000000"/>
                                      <w:kern w:val="0"/>
                                      <w:sz w:val="20"/>
                                    </w:rPr>
                                    <w:t>單位：人、％</w:t>
                                  </w:r>
                                </w:p>
                              </w:tc>
                            </w:tr>
                            <w:tr w:rsidR="007C3F72" w:rsidRPr="00CB775A" w14:paraId="5EB56E30" w14:textId="77777777" w:rsidTr="00E02692">
                              <w:trPr>
                                <w:trHeight w:val="281"/>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C0D5EA1" w14:textId="77777777" w:rsidR="007C3F72" w:rsidRPr="00CB775A" w:rsidRDefault="007C3F72" w:rsidP="00CB775A">
                                  <w:pPr>
                                    <w:widowControl/>
                                    <w:spacing w:line="200" w:lineRule="exact"/>
                                    <w:jc w:val="right"/>
                                    <w:rPr>
                                      <w:rFonts w:ascii="標楷體" w:eastAsia="標楷體" w:hAnsi="標楷體" w:cs="新細明體"/>
                                      <w:color w:val="000000"/>
                                      <w:spacing w:val="-22"/>
                                      <w:kern w:val="0"/>
                                      <w:sz w:val="20"/>
                                    </w:rPr>
                                  </w:pPr>
                                  <w:r w:rsidRPr="00CB775A">
                                    <w:rPr>
                                      <w:rFonts w:ascii="標楷體" w:eastAsia="標楷體" w:hAnsi="標楷體" w:cs="新細明體" w:hint="eastAsia"/>
                                      <w:color w:val="000000"/>
                                      <w:spacing w:val="-22"/>
                                      <w:kern w:val="0"/>
                                      <w:sz w:val="20"/>
                                    </w:rPr>
                                    <w:t>項目別</w:t>
                                  </w:r>
                                </w:p>
                                <w:p w14:paraId="57F42DAA" w14:textId="77777777" w:rsidR="007C3F72" w:rsidRPr="00CB775A" w:rsidRDefault="007C3F72" w:rsidP="00CB775A">
                                  <w:pPr>
                                    <w:widowControl/>
                                    <w:spacing w:line="200" w:lineRule="exact"/>
                                    <w:jc w:val="center"/>
                                    <w:rPr>
                                      <w:rFonts w:ascii="標楷體" w:eastAsia="標楷體" w:hAnsi="標楷體" w:cs="新細明體"/>
                                      <w:color w:val="000000"/>
                                      <w:spacing w:val="-22"/>
                                      <w:kern w:val="0"/>
                                      <w:sz w:val="20"/>
                                    </w:rPr>
                                  </w:pPr>
                                </w:p>
                                <w:p w14:paraId="4D88B13E" w14:textId="77777777" w:rsidR="007C3F72" w:rsidRPr="00CB775A" w:rsidRDefault="007C3F72" w:rsidP="00CB775A">
                                  <w:pPr>
                                    <w:widowControl/>
                                    <w:spacing w:line="200" w:lineRule="exact"/>
                                    <w:jc w:val="center"/>
                                    <w:rPr>
                                      <w:rFonts w:ascii="標楷體" w:eastAsia="標楷體" w:hAnsi="標楷體" w:cs="新細明體"/>
                                      <w:color w:val="000000"/>
                                      <w:spacing w:val="-22"/>
                                      <w:kern w:val="0"/>
                                      <w:sz w:val="20"/>
                                    </w:rPr>
                                  </w:pPr>
                                </w:p>
                                <w:p w14:paraId="1004733D" w14:textId="77777777" w:rsidR="007C3F72" w:rsidRPr="00CB775A" w:rsidRDefault="007C3F72" w:rsidP="00CB775A">
                                  <w:pPr>
                                    <w:widowControl/>
                                    <w:spacing w:line="200" w:lineRule="exact"/>
                                    <w:jc w:val="center"/>
                                    <w:rPr>
                                      <w:rFonts w:ascii="標楷體" w:eastAsia="標楷體" w:hAnsi="標楷體" w:cs="新細明體"/>
                                      <w:color w:val="000000"/>
                                      <w:spacing w:val="-22"/>
                                      <w:kern w:val="0"/>
                                      <w:sz w:val="20"/>
                                    </w:rPr>
                                  </w:pPr>
                                </w:p>
                                <w:p w14:paraId="15C5AB3A" w14:textId="77777777" w:rsidR="007C3F72" w:rsidRPr="00CB775A" w:rsidRDefault="007C3F72" w:rsidP="00CB775A">
                                  <w:pPr>
                                    <w:widowControl/>
                                    <w:rPr>
                                      <w:rFonts w:ascii="標楷體" w:eastAsia="標楷體" w:hAnsi="標楷體" w:cs="新細明體"/>
                                      <w:color w:val="000000"/>
                                      <w:kern w:val="0"/>
                                      <w:sz w:val="20"/>
                                    </w:rPr>
                                  </w:pPr>
                                  <w:r w:rsidRPr="00CB775A">
                                    <w:rPr>
                                      <w:rFonts w:ascii="標楷體" w:eastAsia="標楷體" w:hAnsi="標楷體" w:cs="新細明體" w:hint="eastAsia"/>
                                      <w:color w:val="000000"/>
                                      <w:spacing w:val="-22"/>
                                      <w:kern w:val="0"/>
                                      <w:sz w:val="20"/>
                                    </w:rPr>
                                    <w:t>年度</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68F29"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通報人數</w:t>
                                  </w:r>
                                </w:p>
                              </w:tc>
                              <w:tc>
                                <w:tcPr>
                                  <w:tcW w:w="232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CEEEF7C"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年齡</w:t>
                                  </w:r>
                                </w:p>
                              </w:tc>
                              <w:tc>
                                <w:tcPr>
                                  <w:tcW w:w="2301"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5664ED9"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施用毒品</w:t>
                                  </w:r>
                                </w:p>
                              </w:tc>
                              <w:tc>
                                <w:tcPr>
                                  <w:tcW w:w="2288"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0EBBCC4"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在學情形</w:t>
                                  </w:r>
                                </w:p>
                              </w:tc>
                            </w:tr>
                            <w:tr w:rsidR="007C3F72" w:rsidRPr="00CB775A" w14:paraId="6D993632" w14:textId="77777777" w:rsidTr="00E02692">
                              <w:trPr>
                                <w:trHeight w:val="402"/>
                              </w:trPr>
                              <w:tc>
                                <w:tcPr>
                                  <w:tcW w:w="709"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151101C" w14:textId="77777777" w:rsidR="007C3F72" w:rsidRPr="00CB775A" w:rsidRDefault="007C3F72" w:rsidP="00CB775A">
                                  <w:pPr>
                                    <w:widowControl/>
                                    <w:jc w:val="center"/>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4DE3F8DC" w14:textId="77777777" w:rsidR="007C3F72" w:rsidRPr="00CB775A" w:rsidRDefault="007C3F72" w:rsidP="00CB775A">
                                  <w:pPr>
                                    <w:widowControl/>
                                    <w:jc w:val="center"/>
                                    <w:rPr>
                                      <w:rFonts w:ascii="標楷體" w:eastAsia="標楷體" w:hAnsi="標楷體" w:cs="新細明體"/>
                                      <w:b/>
                                      <w:bCs/>
                                      <w:color w:val="000000" w:themeColor="text1"/>
                                      <w:kern w:val="0"/>
                                      <w:sz w:val="20"/>
                                    </w:rPr>
                                  </w:pPr>
                                </w:p>
                              </w:tc>
                              <w:tc>
                                <w:tcPr>
                                  <w:tcW w:w="11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DCEDEF9"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兒童</w:t>
                                  </w:r>
                                  <w:r w:rsidRPr="00CB775A">
                                    <w:rPr>
                                      <w:rFonts w:ascii="標楷體" w:eastAsia="標楷體" w:hAnsi="標楷體" w:cs="新細明體" w:hint="eastAsia"/>
                                      <w:color w:val="000000" w:themeColor="text1"/>
                                      <w:spacing w:val="-10"/>
                                      <w:kern w:val="0"/>
                                      <w:sz w:val="20"/>
                                    </w:rPr>
                                    <w:t>（未滿12歲）</w:t>
                                  </w:r>
                                </w:p>
                              </w:tc>
                              <w:tc>
                                <w:tcPr>
                                  <w:tcW w:w="12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4CC222" w14:textId="77777777" w:rsidR="007C3F72" w:rsidRPr="00245B9D" w:rsidRDefault="007C3F72" w:rsidP="00CB775A">
                                  <w:pPr>
                                    <w:widowControl/>
                                    <w:spacing w:line="0" w:lineRule="atLeast"/>
                                    <w:jc w:val="center"/>
                                    <w:rPr>
                                      <w:rFonts w:ascii="標楷體" w:eastAsia="標楷體" w:hAnsi="標楷體" w:cs="新細明體"/>
                                      <w:color w:val="000000" w:themeColor="text1"/>
                                      <w:spacing w:val="-20"/>
                                      <w:kern w:val="0"/>
                                      <w:sz w:val="20"/>
                                    </w:rPr>
                                  </w:pPr>
                                  <w:r w:rsidRPr="00245B9D">
                                    <w:rPr>
                                      <w:rFonts w:ascii="標楷體" w:eastAsia="標楷體" w:hAnsi="標楷體" w:cs="新細明體" w:hint="eastAsia"/>
                                      <w:color w:val="000000" w:themeColor="text1"/>
                                      <w:spacing w:val="-20"/>
                                      <w:kern w:val="0"/>
                                      <w:sz w:val="20"/>
                                    </w:rPr>
                                    <w:t>少年（12歲以上未滿18歲）</w:t>
                                  </w:r>
                                </w:p>
                              </w:tc>
                              <w:tc>
                                <w:tcPr>
                                  <w:tcW w:w="118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FC07DB9"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第一、二級</w:t>
                                  </w:r>
                                </w:p>
                              </w:tc>
                              <w:tc>
                                <w:tcPr>
                                  <w:tcW w:w="111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6A40736"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第三、四級</w:t>
                                  </w:r>
                                </w:p>
                              </w:tc>
                              <w:tc>
                                <w:tcPr>
                                  <w:tcW w:w="11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B576C2"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在學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599F001"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非在學</w:t>
                                  </w:r>
                                </w:p>
                              </w:tc>
                            </w:tr>
                            <w:tr w:rsidR="007C3F72" w:rsidRPr="00CB775A" w14:paraId="6E5A8484" w14:textId="77777777" w:rsidTr="00E02692">
                              <w:trPr>
                                <w:trHeight w:val="292"/>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29C10238" w14:textId="77777777" w:rsidR="007C3F72" w:rsidRPr="00CB775A" w:rsidRDefault="007C3F72" w:rsidP="00CB775A">
                                  <w:pPr>
                                    <w:widowControl/>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vAlign w:val="center"/>
                                  <w:hideMark/>
                                </w:tcPr>
                                <w:p w14:paraId="6C7EE11A" w14:textId="77777777" w:rsidR="007C3F72" w:rsidRPr="00CB775A" w:rsidRDefault="007C3F72" w:rsidP="00CB775A">
                                  <w:pPr>
                                    <w:widowControl/>
                                    <w:rPr>
                                      <w:rFonts w:ascii="標楷體" w:eastAsia="標楷體" w:hAnsi="標楷體" w:cs="新細明體"/>
                                      <w:b/>
                                      <w:bCs/>
                                      <w:color w:val="000000" w:themeColor="text1"/>
                                      <w:kern w:val="0"/>
                                      <w:sz w:val="20"/>
                                    </w:rPr>
                                  </w:pP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E9C94"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9B69A"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F0DCE"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18C33"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C5DD1"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7D3DF"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7EDA6"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D8C3"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C9A6A"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CABCD"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7A266"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E1579"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r>
                            <w:tr w:rsidR="007C3F72" w:rsidRPr="00CB775A" w14:paraId="26D1EC55" w14:textId="77777777" w:rsidTr="00A129F3">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AB9AF" w14:textId="77777777" w:rsidR="007C3F72" w:rsidRPr="00CB775A" w:rsidRDefault="007C3F72" w:rsidP="00CB775A">
                                  <w:pPr>
                                    <w:widowControl/>
                                    <w:jc w:val="center"/>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合計</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2409F"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4,920</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5E9A1"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0A57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0.18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8E095"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4,911</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C94DC"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99.82</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7A8DF"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916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D62A8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18.62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941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4,004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06F9E"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81.38</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6CB2E"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2,176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D61D3"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44.23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ECBBF"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2,744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B2E0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55.77</w:t>
                                  </w:r>
                                </w:p>
                              </w:tc>
                            </w:tr>
                            <w:tr w:rsidR="00A129F3" w:rsidRPr="00CB775A" w14:paraId="7DDAAA7B" w14:textId="77777777" w:rsidTr="00A129F3">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37B84" w14:textId="307D5F31" w:rsidR="00A129F3" w:rsidRPr="00CB775A" w:rsidRDefault="00A129F3" w:rsidP="00A129F3">
                                  <w:pPr>
                                    <w:widowControl/>
                                    <w:jc w:val="center"/>
                                    <w:rPr>
                                      <w:rFonts w:ascii="標楷體" w:eastAsia="標楷體" w:hAnsi="標楷體" w:cs="新細明體"/>
                                      <w:b/>
                                      <w:bCs/>
                                      <w:color w:val="000000"/>
                                      <w:kern w:val="0"/>
                                      <w:sz w:val="20"/>
                                    </w:rPr>
                                  </w:pPr>
                                  <w:r w:rsidRPr="00CB775A">
                                    <w:rPr>
                                      <w:rFonts w:ascii="標楷體" w:eastAsia="標楷體" w:hAnsi="標楷體" w:cs="新細明體" w:hint="eastAsia"/>
                                      <w:color w:val="000000"/>
                                      <w:kern w:val="0"/>
                                      <w:sz w:val="20"/>
                                    </w:rPr>
                                    <w:t>108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6579D" w14:textId="54B9B04B"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kern w:val="0"/>
                                      <w:sz w:val="20"/>
                                    </w:rPr>
                                    <w:t>806</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BE1A7" w14:textId="72AD10C0"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C7F51" w14:textId="746877FA"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0.37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CEA05" w14:textId="66CFB71E"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803</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A8002" w14:textId="49B0D922"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99.63</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D9D6C" w14:textId="2086C206"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183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2A20" w14:textId="6CCE1D65"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22.70</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5EB0F" w14:textId="3A4A94E4"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623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78BB1" w14:textId="5A3EC991"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77.30</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6FF0F" w14:textId="35C7983E"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345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3C2BB" w14:textId="452850D3"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42.80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696F" w14:textId="36B18160"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461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39793" w14:textId="52BD07BB"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57.20</w:t>
                                  </w:r>
                                </w:p>
                              </w:tc>
                            </w:tr>
                            <w:tr w:rsidR="007C3F72" w:rsidRPr="00CB775A" w14:paraId="60B88729"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7C32B" w14:textId="77777777" w:rsidR="007C3F72" w:rsidRPr="00CB775A" w:rsidRDefault="007C3F72" w:rsidP="00CB775A">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109</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729F3" w14:textId="77777777" w:rsidR="007C3F72" w:rsidRPr="00CB775A" w:rsidRDefault="007C3F72" w:rsidP="00CB775A">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880</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14D9B" w14:textId="77777777" w:rsidR="007C3F72" w:rsidRDefault="007C3F72" w:rsidP="00524428">
                                  <w:pPr>
                                    <w:widowControl/>
                                    <w:wordWrap w:val="0"/>
                                    <w:jc w:val="right"/>
                                    <w:rPr>
                                      <w:rFonts w:ascii="標楷體" w:eastAsia="標楷體" w:hAnsi="標楷體" w:cs="新細明體"/>
                                      <w:color w:val="000000"/>
                                      <w:kern w:val="0"/>
                                      <w:sz w:val="20"/>
                                    </w:rPr>
                                  </w:pPr>
                                  <w:bookmarkStart w:id="19" w:name="_Hlk201333908"/>
                                  <w:r>
                                    <w:rPr>
                                      <w:rFonts w:ascii="標楷體" w:eastAsia="標楷體" w:hAnsi="標楷體" w:cs="新細明體" w:hint="eastAsia"/>
                                      <w:color w:val="000000"/>
                                      <w:kern w:val="0"/>
                                      <w:sz w:val="20"/>
                                    </w:rPr>
                                    <w:t>－</w:t>
                                  </w:r>
                                </w:p>
                                <w:bookmarkEnd w:id="19"/>
                                <w:p w14:paraId="05AB16BE" w14:textId="77777777" w:rsidR="007C3F72" w:rsidRPr="00CB775A" w:rsidRDefault="007C3F72" w:rsidP="00C8017C">
                                  <w:pPr>
                                    <w:widowControl/>
                                    <w:ind w:right="800"/>
                                    <w:jc w:val="center"/>
                                    <w:rPr>
                                      <w:rFonts w:ascii="標楷體" w:eastAsia="標楷體" w:hAnsi="標楷體" w:cs="新細明體"/>
                                      <w:color w:val="000000"/>
                                      <w:kern w:val="0"/>
                                      <w:sz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42BED" w14:textId="77777777" w:rsidR="007C3F72" w:rsidRPr="00CB775A" w:rsidRDefault="007C3F72" w:rsidP="00CB775A">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5DFB7"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880</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4474C"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003F4"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187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47D36"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21.25</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444BA"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693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D71AF"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78.75</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F1673"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374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D0561"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42.50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43EA4"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506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402B3"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57.50</w:t>
                                  </w:r>
                                </w:p>
                              </w:tc>
                            </w:tr>
                            <w:tr w:rsidR="00A129F3" w:rsidRPr="00CB775A" w14:paraId="32076CCA"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682A0" w14:textId="2B3D114E" w:rsidR="00A129F3" w:rsidRPr="00CB775A" w:rsidRDefault="00A129F3" w:rsidP="00A129F3">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110</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E007A" w14:textId="60CD9B26" w:rsidR="00A129F3" w:rsidRPr="00CB775A" w:rsidRDefault="00A129F3" w:rsidP="00A129F3">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724</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525AF" w14:textId="4AC5FB63" w:rsidR="00A129F3" w:rsidRDefault="00A129F3" w:rsidP="00A129F3">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36A7D" w14:textId="2849E51A" w:rsidR="00A129F3"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914EC" w14:textId="35E6CBA5"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721</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4A7EF" w14:textId="721F516E"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99.59</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B3B97" w14:textId="3683D6A8"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9D970" w14:textId="7ACEC1DF"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22.51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75F67" w14:textId="68F075DB"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561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3B15B" w14:textId="6BE6377C"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77.49</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E013" w14:textId="79EB8395"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C2806" w14:textId="5B23EEED"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42.68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8300C" w14:textId="0C91E76C"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415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7E2E0" w14:textId="5467CE3C"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57.32</w:t>
                                  </w:r>
                                </w:p>
                              </w:tc>
                            </w:tr>
                            <w:tr w:rsidR="00B35D86" w:rsidRPr="00CB775A" w14:paraId="0175E8A5"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E9FC2" w14:textId="07AB430D" w:rsidR="00B35D86" w:rsidRPr="00CB775A" w:rsidRDefault="00B35D86" w:rsidP="00B35D86">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39325" w14:textId="5038072A" w:rsidR="00B35D86" w:rsidRPr="00CB775A" w:rsidRDefault="00B35D86" w:rsidP="00B35D86">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624</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0B8B9" w14:textId="1077AE01" w:rsidR="00B35D86" w:rsidRPr="00CB775A" w:rsidRDefault="00B35D86" w:rsidP="00B35D86">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B7996" w14:textId="5A5B0460"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0.16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42403" w14:textId="70C3B090"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623</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693F5" w14:textId="1E596E6A"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99.84</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E410" w14:textId="67ED93C6"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80D49" w14:textId="204B06C5"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22.92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26A55" w14:textId="794F865C"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481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61D49" w14:textId="7AE26C9B"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77.08</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E74A1" w14:textId="5B6D79C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D08AD" w14:textId="11E6CBA6"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41.19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29390" w14:textId="5E1F63CA"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367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D66E" w14:textId="754416F8"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58.81</w:t>
                                  </w:r>
                                </w:p>
                              </w:tc>
                            </w:tr>
                            <w:tr w:rsidR="00B35D86" w:rsidRPr="00CB775A" w14:paraId="4731DE9A"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DF0FB" w14:textId="0D2FB869" w:rsidR="00B35D86" w:rsidRPr="00CB775A" w:rsidRDefault="00B35D86" w:rsidP="00B35D86">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28561" w14:textId="7AC24CC9" w:rsidR="00B35D86" w:rsidRPr="00CB775A" w:rsidRDefault="00B35D86" w:rsidP="00B35D86">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808</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3BCEC" w14:textId="0B08C783" w:rsidR="00B35D86" w:rsidRPr="00CB775A" w:rsidRDefault="00B35D86" w:rsidP="00B35D86">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365AD" w14:textId="6ADAB63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0.12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083AC" w14:textId="638E5791"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807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857EB" w14:textId="66C23701"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99.88</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1A4B7" w14:textId="43C51FB1"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8F239" w14:textId="7C5DAC94"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11.14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14434" w14:textId="30B29D75"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718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27462" w14:textId="4F4F565D"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88.86</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77FE3" w14:textId="31B104DA"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1E85B" w14:textId="6F13FB94"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44.80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BAA14" w14:textId="6CA75B8B"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86B87" w14:textId="6B6FCA38"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55.20</w:t>
                                  </w:r>
                                </w:p>
                              </w:tc>
                            </w:tr>
                            <w:tr w:rsidR="00B35D86" w:rsidRPr="00CB775A" w14:paraId="4F6944E0"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929EA" w14:textId="541B38B4" w:rsidR="00B35D86" w:rsidRPr="00CB775A" w:rsidRDefault="00B35D86" w:rsidP="00B35D86">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9E906" w14:textId="335B34AC" w:rsidR="00B35D86" w:rsidRPr="00CB775A" w:rsidRDefault="00B35D86" w:rsidP="00B35D86">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1,078</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D5E0C" w14:textId="4D0077CF" w:rsidR="00B35D86" w:rsidRPr="00CB775A" w:rsidRDefault="00B35D86" w:rsidP="00B35D86">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DEE84" w14:textId="26012B6C"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416F8" w14:textId="15EBA54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1,077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1F9D6" w14:textId="0C31575D"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99.91</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A8D77" w14:textId="5BF13CD6"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1D87C" w14:textId="50B7C478"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13.91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AE71D" w14:textId="34F90A8F"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928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103C0" w14:textId="5116D70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86.09</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9A9C7" w14:textId="74451C62"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529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306A5" w14:textId="1A5ED5D0"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A922" w14:textId="433D49E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F31E0" w14:textId="214A003C"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50.93</w:t>
                                  </w:r>
                                </w:p>
                              </w:tc>
                            </w:tr>
                            <w:tr w:rsidR="007C3F72" w:rsidRPr="00CB775A" w14:paraId="6D0E171E" w14:textId="77777777" w:rsidTr="00E02692">
                              <w:trPr>
                                <w:trHeight w:val="330"/>
                              </w:trPr>
                              <w:tc>
                                <w:tcPr>
                                  <w:tcW w:w="8179" w:type="dxa"/>
                                  <w:gridSpan w:val="14"/>
                                  <w:tcBorders>
                                    <w:top w:val="single" w:sz="4" w:space="0" w:color="auto"/>
                                    <w:left w:val="nil"/>
                                    <w:bottom w:val="nil"/>
                                    <w:right w:val="nil"/>
                                  </w:tcBorders>
                                  <w:shd w:val="clear" w:color="auto" w:fill="auto"/>
                                  <w:noWrap/>
                                  <w:vAlign w:val="center"/>
                                  <w:hideMark/>
                                </w:tcPr>
                                <w:p w14:paraId="0953C08A" w14:textId="77777777" w:rsidR="007C3F72" w:rsidRPr="00CB775A" w:rsidRDefault="007C3F72" w:rsidP="00CB775A">
                                  <w:pPr>
                                    <w:widowControl/>
                                    <w:ind w:leftChars="-18" w:left="-43"/>
                                    <w:rPr>
                                      <w:rFonts w:ascii="標楷體" w:eastAsia="標楷體" w:hAnsi="標楷體"/>
                                      <w:kern w:val="0"/>
                                      <w:szCs w:val="24"/>
                                    </w:rPr>
                                  </w:pPr>
                                  <w:r w:rsidRPr="00CB775A">
                                    <w:rPr>
                                      <w:rFonts w:ascii="標楷體" w:eastAsia="標楷體" w:hAnsi="標楷體" w:cs="新細明體" w:hint="eastAsia"/>
                                      <w:color w:val="000000"/>
                                      <w:kern w:val="0"/>
                                      <w:sz w:val="18"/>
                                      <w:szCs w:val="18"/>
                                    </w:rPr>
                                    <w:t>資料來源：整理自衛</w:t>
                                  </w:r>
                                  <w:r>
                                    <w:rPr>
                                      <w:rFonts w:ascii="標楷體" w:eastAsia="標楷體" w:hAnsi="標楷體" w:cs="新細明體" w:hint="eastAsia"/>
                                      <w:color w:val="000000"/>
                                      <w:kern w:val="0"/>
                                      <w:sz w:val="18"/>
                                      <w:szCs w:val="18"/>
                                    </w:rPr>
                                    <w:t>生</w:t>
                                  </w:r>
                                  <w:r w:rsidRPr="00CB775A">
                                    <w:rPr>
                                      <w:rFonts w:ascii="標楷體" w:eastAsia="標楷體" w:hAnsi="標楷體" w:cs="新細明體" w:hint="eastAsia"/>
                                      <w:color w:val="000000"/>
                                      <w:kern w:val="0"/>
                                      <w:sz w:val="18"/>
                                      <w:szCs w:val="18"/>
                                    </w:rPr>
                                    <w:t>福</w:t>
                                  </w:r>
                                  <w:r>
                                    <w:rPr>
                                      <w:rFonts w:ascii="標楷體" w:eastAsia="標楷體" w:hAnsi="標楷體" w:cs="新細明體" w:hint="eastAsia"/>
                                      <w:color w:val="000000"/>
                                      <w:kern w:val="0"/>
                                      <w:sz w:val="18"/>
                                      <w:szCs w:val="18"/>
                                    </w:rPr>
                                    <w:t>利</w:t>
                                  </w:r>
                                  <w:r w:rsidRPr="00CB775A">
                                    <w:rPr>
                                      <w:rFonts w:ascii="標楷體" w:eastAsia="標楷體" w:hAnsi="標楷體" w:cs="新細明體" w:hint="eastAsia"/>
                                      <w:color w:val="000000"/>
                                      <w:kern w:val="0"/>
                                      <w:sz w:val="18"/>
                                      <w:szCs w:val="18"/>
                                    </w:rPr>
                                    <w:t>部提供資料。</w:t>
                                  </w:r>
                                </w:p>
                              </w:tc>
                            </w:tr>
                          </w:tbl>
                          <w:p w14:paraId="5099C173" w14:textId="77777777" w:rsidR="007C3F72" w:rsidRPr="00CB775A" w:rsidRDefault="007C3F72" w:rsidP="007C3F7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3A700" id="_x0000_s1076" type="#_x0000_t202" style="position:absolute;left:0;text-align:left;margin-left:71.6pt;margin-top:135.45pt;width:424.2pt;height:225.6pt;z-index:251633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" fillcolor="window" stroked="f">
                <v:textbox>
                  <w:txbxContent>
                    <w:tbl>
                      <w:tblPr>
                        <w:tblW w:w="8179" w:type="dxa"/>
                        <w:tblInd w:w="28" w:type="dxa"/>
                        <w:tblCellMar>
                          <w:left w:w="28" w:type="dxa"/>
                          <w:right w:w="28" w:type="dxa"/>
                        </w:tblCellMar>
                        <w:tblLook w:val="04A0" w:firstRow="1" w:lastRow="0" w:firstColumn="1" w:lastColumn="0" w:noHBand="0" w:noVBand="1"/>
                      </w:tblPr>
                      <w:tblGrid>
                        <w:gridCol w:w="709"/>
                        <w:gridCol w:w="557"/>
                        <w:gridCol w:w="534"/>
                        <w:gridCol w:w="567"/>
                        <w:gridCol w:w="567"/>
                        <w:gridCol w:w="656"/>
                        <w:gridCol w:w="620"/>
                        <w:gridCol w:w="567"/>
                        <w:gridCol w:w="557"/>
                        <w:gridCol w:w="557"/>
                        <w:gridCol w:w="587"/>
                        <w:gridCol w:w="567"/>
                        <w:gridCol w:w="567"/>
                        <w:gridCol w:w="567"/>
                      </w:tblGrid>
                      <w:tr w:rsidR="007C3F72" w:rsidRPr="00CB775A" w14:paraId="14994B68" w14:textId="77777777" w:rsidTr="00E02692">
                        <w:trPr>
                          <w:trHeight w:val="330"/>
                        </w:trPr>
                        <w:tc>
                          <w:tcPr>
                            <w:tcW w:w="8179" w:type="dxa"/>
                            <w:gridSpan w:val="14"/>
                            <w:tcBorders>
                              <w:top w:val="nil"/>
                              <w:left w:val="nil"/>
                              <w:bottom w:val="nil"/>
                              <w:right w:val="nil"/>
                            </w:tcBorders>
                            <w:shd w:val="clear" w:color="auto" w:fill="auto"/>
                            <w:noWrap/>
                            <w:vAlign w:val="center"/>
                            <w:hideMark/>
                          </w:tcPr>
                          <w:p w14:paraId="74CDC206" w14:textId="3E12BAAD" w:rsidR="007C3F72" w:rsidRPr="00CB775A" w:rsidRDefault="007C3F72" w:rsidP="00CB775A">
                            <w:pPr>
                              <w:widowControl/>
                              <w:jc w:val="center"/>
                              <w:rPr>
                                <w:rFonts w:ascii="標楷體" w:eastAsia="標楷體" w:hAnsi="標楷體" w:cs="新細明體"/>
                                <w:b/>
                                <w:bCs/>
                                <w:color w:val="000000"/>
                                <w:kern w:val="0"/>
                                <w:szCs w:val="24"/>
                              </w:rPr>
                            </w:pPr>
                            <w:r w:rsidRPr="00CB775A">
                              <w:rPr>
                                <w:rFonts w:ascii="標楷體" w:eastAsia="標楷體" w:hAnsi="標楷體" w:cs="新細明體" w:hint="eastAsia"/>
                                <w:b/>
                                <w:color w:val="000000"/>
                                <w:kern w:val="0"/>
                                <w:szCs w:val="28"/>
                              </w:rPr>
                              <w:t>表</w:t>
                            </w:r>
                            <w:r>
                              <w:rPr>
                                <w:rFonts w:ascii="標楷體" w:eastAsia="標楷體" w:hAnsi="標楷體" w:cs="新細明體" w:hint="eastAsia"/>
                                <w:b/>
                                <w:color w:val="000000"/>
                                <w:kern w:val="0"/>
                                <w:szCs w:val="28"/>
                              </w:rPr>
                              <w:t>2</w:t>
                            </w:r>
                            <w:r>
                              <w:rPr>
                                <w:rFonts w:ascii="標楷體" w:eastAsia="標楷體" w:hAnsi="標楷體" w:cs="新細明體"/>
                                <w:b/>
                                <w:color w:val="000000"/>
                                <w:kern w:val="0"/>
                                <w:szCs w:val="28"/>
                              </w:rPr>
                              <w:t>5</w:t>
                            </w:r>
                            <w:r w:rsidR="00D55E09">
                              <w:rPr>
                                <w:rFonts w:ascii="標楷體" w:eastAsia="標楷體" w:hAnsi="標楷體" w:cs="新細明體" w:hint="eastAsia"/>
                                <w:b/>
                                <w:color w:val="000000"/>
                                <w:kern w:val="0"/>
                                <w:szCs w:val="28"/>
                              </w:rPr>
                              <w:t xml:space="preserve">　</w:t>
                            </w:r>
                            <w:r w:rsidRPr="00CB775A">
                              <w:rPr>
                                <w:rFonts w:ascii="標楷體" w:eastAsia="標楷體" w:hAnsi="標楷體" w:cs="新細明體" w:hint="eastAsia"/>
                                <w:b/>
                                <w:bCs/>
                                <w:color w:val="000000"/>
                                <w:kern w:val="0"/>
                                <w:szCs w:val="24"/>
                              </w:rPr>
                              <w:t>兒少施用毒品</w:t>
                            </w:r>
                            <w:r w:rsidRPr="00CB775A">
                              <w:rPr>
                                <w:rFonts w:ascii="標楷體" w:eastAsia="標楷體" w:hAnsi="標楷體" w:cs="新細明體" w:hint="eastAsia"/>
                                <w:b/>
                                <w:bCs/>
                                <w:color w:val="000000" w:themeColor="text1"/>
                                <w:kern w:val="0"/>
                                <w:szCs w:val="24"/>
                              </w:rPr>
                              <w:t>於「關懷e起來」</w:t>
                            </w:r>
                            <w:r w:rsidRPr="00CB775A">
                              <w:rPr>
                                <w:rFonts w:ascii="標楷體" w:eastAsia="標楷體" w:hAnsi="標楷體" w:cs="新細明體" w:hint="eastAsia"/>
                                <w:b/>
                                <w:bCs/>
                                <w:color w:val="000000"/>
                                <w:kern w:val="0"/>
                                <w:szCs w:val="24"/>
                              </w:rPr>
                              <w:t>通報情形</w:t>
                            </w:r>
                          </w:p>
                        </w:tc>
                      </w:tr>
                      <w:tr w:rsidR="007C3F72" w:rsidRPr="00CB775A" w14:paraId="7486A24D" w14:textId="77777777" w:rsidTr="00E02692">
                        <w:trPr>
                          <w:trHeight w:val="345"/>
                        </w:trPr>
                        <w:tc>
                          <w:tcPr>
                            <w:tcW w:w="8179" w:type="dxa"/>
                            <w:gridSpan w:val="14"/>
                            <w:tcBorders>
                              <w:top w:val="nil"/>
                              <w:left w:val="nil"/>
                              <w:bottom w:val="single" w:sz="4" w:space="0" w:color="auto"/>
                              <w:right w:val="nil"/>
                            </w:tcBorders>
                            <w:shd w:val="clear" w:color="auto" w:fill="auto"/>
                            <w:noWrap/>
                            <w:vAlign w:val="center"/>
                            <w:hideMark/>
                          </w:tcPr>
                          <w:p w14:paraId="57EE858F" w14:textId="77777777" w:rsidR="007C3F72" w:rsidRPr="00CB775A" w:rsidRDefault="007C3F72" w:rsidP="00CB775A">
                            <w:pPr>
                              <w:widowControl/>
                              <w:jc w:val="right"/>
                              <w:rPr>
                                <w:rFonts w:ascii="標楷體" w:eastAsia="標楷體" w:hAnsi="標楷體" w:cs="新細明體"/>
                                <w:color w:val="000000"/>
                                <w:kern w:val="0"/>
                                <w:sz w:val="22"/>
                              </w:rPr>
                            </w:pPr>
                            <w:r w:rsidRPr="00CB775A">
                              <w:rPr>
                                <w:rFonts w:ascii="標楷體" w:eastAsia="標楷體" w:hAnsi="標楷體" w:cs="新細明體" w:hint="eastAsia"/>
                                <w:color w:val="000000"/>
                                <w:kern w:val="0"/>
                                <w:sz w:val="20"/>
                              </w:rPr>
                              <w:t>單位：人、％</w:t>
                            </w:r>
                          </w:p>
                        </w:tc>
                      </w:tr>
                      <w:tr w:rsidR="007C3F72" w:rsidRPr="00CB775A" w14:paraId="5EB56E30" w14:textId="77777777" w:rsidTr="00E02692">
                        <w:trPr>
                          <w:trHeight w:val="281"/>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C0D5EA1" w14:textId="77777777" w:rsidR="007C3F72" w:rsidRPr="00CB775A" w:rsidRDefault="007C3F72" w:rsidP="00CB775A">
                            <w:pPr>
                              <w:widowControl/>
                              <w:spacing w:line="200" w:lineRule="exact"/>
                              <w:jc w:val="right"/>
                              <w:rPr>
                                <w:rFonts w:ascii="標楷體" w:eastAsia="標楷體" w:hAnsi="標楷體" w:cs="新細明體"/>
                                <w:color w:val="000000"/>
                                <w:spacing w:val="-22"/>
                                <w:kern w:val="0"/>
                                <w:sz w:val="20"/>
                              </w:rPr>
                            </w:pPr>
                            <w:r w:rsidRPr="00CB775A">
                              <w:rPr>
                                <w:rFonts w:ascii="標楷體" w:eastAsia="標楷體" w:hAnsi="標楷體" w:cs="新細明體" w:hint="eastAsia"/>
                                <w:color w:val="000000"/>
                                <w:spacing w:val="-22"/>
                                <w:kern w:val="0"/>
                                <w:sz w:val="20"/>
                              </w:rPr>
                              <w:t>項目別</w:t>
                            </w:r>
                          </w:p>
                          <w:p w14:paraId="57F42DAA" w14:textId="77777777" w:rsidR="007C3F72" w:rsidRPr="00CB775A" w:rsidRDefault="007C3F72" w:rsidP="00CB775A">
                            <w:pPr>
                              <w:widowControl/>
                              <w:spacing w:line="200" w:lineRule="exact"/>
                              <w:jc w:val="center"/>
                              <w:rPr>
                                <w:rFonts w:ascii="標楷體" w:eastAsia="標楷體" w:hAnsi="標楷體" w:cs="新細明體"/>
                                <w:color w:val="000000"/>
                                <w:spacing w:val="-22"/>
                                <w:kern w:val="0"/>
                                <w:sz w:val="20"/>
                              </w:rPr>
                            </w:pPr>
                          </w:p>
                          <w:p w14:paraId="4D88B13E" w14:textId="77777777" w:rsidR="007C3F72" w:rsidRPr="00CB775A" w:rsidRDefault="007C3F72" w:rsidP="00CB775A">
                            <w:pPr>
                              <w:widowControl/>
                              <w:spacing w:line="200" w:lineRule="exact"/>
                              <w:jc w:val="center"/>
                              <w:rPr>
                                <w:rFonts w:ascii="標楷體" w:eastAsia="標楷體" w:hAnsi="標楷體" w:cs="新細明體"/>
                                <w:color w:val="000000"/>
                                <w:spacing w:val="-22"/>
                                <w:kern w:val="0"/>
                                <w:sz w:val="20"/>
                              </w:rPr>
                            </w:pPr>
                          </w:p>
                          <w:p w14:paraId="1004733D" w14:textId="77777777" w:rsidR="007C3F72" w:rsidRPr="00CB775A" w:rsidRDefault="007C3F72" w:rsidP="00CB775A">
                            <w:pPr>
                              <w:widowControl/>
                              <w:spacing w:line="200" w:lineRule="exact"/>
                              <w:jc w:val="center"/>
                              <w:rPr>
                                <w:rFonts w:ascii="標楷體" w:eastAsia="標楷體" w:hAnsi="標楷體" w:cs="新細明體"/>
                                <w:color w:val="000000"/>
                                <w:spacing w:val="-22"/>
                                <w:kern w:val="0"/>
                                <w:sz w:val="20"/>
                              </w:rPr>
                            </w:pPr>
                          </w:p>
                          <w:p w14:paraId="15C5AB3A" w14:textId="77777777" w:rsidR="007C3F72" w:rsidRPr="00CB775A" w:rsidRDefault="007C3F72" w:rsidP="00CB775A">
                            <w:pPr>
                              <w:widowControl/>
                              <w:rPr>
                                <w:rFonts w:ascii="標楷體" w:eastAsia="標楷體" w:hAnsi="標楷體" w:cs="新細明體"/>
                                <w:color w:val="000000"/>
                                <w:kern w:val="0"/>
                                <w:sz w:val="20"/>
                              </w:rPr>
                            </w:pPr>
                            <w:r w:rsidRPr="00CB775A">
                              <w:rPr>
                                <w:rFonts w:ascii="標楷體" w:eastAsia="標楷體" w:hAnsi="標楷體" w:cs="新細明體" w:hint="eastAsia"/>
                                <w:color w:val="000000"/>
                                <w:spacing w:val="-22"/>
                                <w:kern w:val="0"/>
                                <w:sz w:val="20"/>
                              </w:rPr>
                              <w:t>年度</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68F29"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通報人數</w:t>
                            </w:r>
                          </w:p>
                        </w:tc>
                        <w:tc>
                          <w:tcPr>
                            <w:tcW w:w="232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CEEEF7C"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年齡</w:t>
                            </w:r>
                          </w:p>
                        </w:tc>
                        <w:tc>
                          <w:tcPr>
                            <w:tcW w:w="2301"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5664ED9"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施用毒品</w:t>
                            </w:r>
                          </w:p>
                        </w:tc>
                        <w:tc>
                          <w:tcPr>
                            <w:tcW w:w="2288"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0EBBCC4"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在學情形</w:t>
                            </w:r>
                          </w:p>
                        </w:tc>
                      </w:tr>
                      <w:tr w:rsidR="007C3F72" w:rsidRPr="00CB775A" w14:paraId="6D993632" w14:textId="77777777" w:rsidTr="00E02692">
                        <w:trPr>
                          <w:trHeight w:val="402"/>
                        </w:trPr>
                        <w:tc>
                          <w:tcPr>
                            <w:tcW w:w="709"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151101C" w14:textId="77777777" w:rsidR="007C3F72" w:rsidRPr="00CB775A" w:rsidRDefault="007C3F72" w:rsidP="00CB775A">
                            <w:pPr>
                              <w:widowControl/>
                              <w:jc w:val="center"/>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4DE3F8DC" w14:textId="77777777" w:rsidR="007C3F72" w:rsidRPr="00CB775A" w:rsidRDefault="007C3F72" w:rsidP="00CB775A">
                            <w:pPr>
                              <w:widowControl/>
                              <w:jc w:val="center"/>
                              <w:rPr>
                                <w:rFonts w:ascii="標楷體" w:eastAsia="標楷體" w:hAnsi="標楷體" w:cs="新細明體"/>
                                <w:b/>
                                <w:bCs/>
                                <w:color w:val="000000" w:themeColor="text1"/>
                                <w:kern w:val="0"/>
                                <w:sz w:val="20"/>
                              </w:rPr>
                            </w:pPr>
                          </w:p>
                        </w:tc>
                        <w:tc>
                          <w:tcPr>
                            <w:tcW w:w="11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DCEDEF9"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兒童</w:t>
                            </w:r>
                            <w:r w:rsidRPr="00CB775A">
                              <w:rPr>
                                <w:rFonts w:ascii="標楷體" w:eastAsia="標楷體" w:hAnsi="標楷體" w:cs="新細明體" w:hint="eastAsia"/>
                                <w:color w:val="000000" w:themeColor="text1"/>
                                <w:spacing w:val="-10"/>
                                <w:kern w:val="0"/>
                                <w:sz w:val="20"/>
                              </w:rPr>
                              <w:t>（未滿12歲）</w:t>
                            </w:r>
                          </w:p>
                        </w:tc>
                        <w:tc>
                          <w:tcPr>
                            <w:tcW w:w="12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4CC222" w14:textId="77777777" w:rsidR="007C3F72" w:rsidRPr="00245B9D" w:rsidRDefault="007C3F72" w:rsidP="00CB775A">
                            <w:pPr>
                              <w:widowControl/>
                              <w:spacing w:line="0" w:lineRule="atLeast"/>
                              <w:jc w:val="center"/>
                              <w:rPr>
                                <w:rFonts w:ascii="標楷體" w:eastAsia="標楷體" w:hAnsi="標楷體" w:cs="新細明體"/>
                                <w:color w:val="000000" w:themeColor="text1"/>
                                <w:spacing w:val="-20"/>
                                <w:kern w:val="0"/>
                                <w:sz w:val="20"/>
                              </w:rPr>
                            </w:pPr>
                            <w:r w:rsidRPr="00245B9D">
                              <w:rPr>
                                <w:rFonts w:ascii="標楷體" w:eastAsia="標楷體" w:hAnsi="標楷體" w:cs="新細明體" w:hint="eastAsia"/>
                                <w:color w:val="000000" w:themeColor="text1"/>
                                <w:spacing w:val="-20"/>
                                <w:kern w:val="0"/>
                                <w:sz w:val="20"/>
                              </w:rPr>
                              <w:t>少年（12歲以上未滿18歲）</w:t>
                            </w:r>
                          </w:p>
                        </w:tc>
                        <w:tc>
                          <w:tcPr>
                            <w:tcW w:w="118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FC07DB9"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第一、二級</w:t>
                            </w:r>
                          </w:p>
                        </w:tc>
                        <w:tc>
                          <w:tcPr>
                            <w:tcW w:w="111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6A40736"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第三、四級</w:t>
                            </w:r>
                          </w:p>
                        </w:tc>
                        <w:tc>
                          <w:tcPr>
                            <w:tcW w:w="11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B576C2"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在學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599F001" w14:textId="77777777" w:rsidR="007C3F72" w:rsidRPr="00CB775A" w:rsidRDefault="007C3F72" w:rsidP="00CB775A">
                            <w:pPr>
                              <w:widowControl/>
                              <w:spacing w:line="0" w:lineRule="atLeast"/>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非在學</w:t>
                            </w:r>
                          </w:p>
                        </w:tc>
                      </w:tr>
                      <w:tr w:rsidR="007C3F72" w:rsidRPr="00CB775A" w14:paraId="6E5A8484" w14:textId="77777777" w:rsidTr="00E02692">
                        <w:trPr>
                          <w:trHeight w:val="292"/>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29C10238" w14:textId="77777777" w:rsidR="007C3F72" w:rsidRPr="00CB775A" w:rsidRDefault="007C3F72" w:rsidP="00CB775A">
                            <w:pPr>
                              <w:widowControl/>
                              <w:rPr>
                                <w:rFonts w:ascii="標楷體" w:eastAsia="標楷體" w:hAnsi="標楷體" w:cs="新細明體"/>
                                <w:color w:val="000000"/>
                                <w:kern w:val="0"/>
                                <w:sz w:val="20"/>
                              </w:rPr>
                            </w:pPr>
                          </w:p>
                        </w:tc>
                        <w:tc>
                          <w:tcPr>
                            <w:tcW w:w="557" w:type="dxa"/>
                            <w:vMerge/>
                            <w:tcBorders>
                              <w:top w:val="single" w:sz="4" w:space="0" w:color="auto"/>
                              <w:left w:val="single" w:sz="4" w:space="0" w:color="auto"/>
                              <w:bottom w:val="single" w:sz="4" w:space="0" w:color="auto"/>
                              <w:right w:val="single" w:sz="4" w:space="0" w:color="auto"/>
                            </w:tcBorders>
                            <w:vAlign w:val="center"/>
                            <w:hideMark/>
                          </w:tcPr>
                          <w:p w14:paraId="6C7EE11A" w14:textId="77777777" w:rsidR="007C3F72" w:rsidRPr="00CB775A" w:rsidRDefault="007C3F72" w:rsidP="00CB775A">
                            <w:pPr>
                              <w:widowControl/>
                              <w:rPr>
                                <w:rFonts w:ascii="標楷體" w:eastAsia="標楷體" w:hAnsi="標楷體" w:cs="新細明體"/>
                                <w:b/>
                                <w:bCs/>
                                <w:color w:val="000000" w:themeColor="text1"/>
                                <w:kern w:val="0"/>
                                <w:sz w:val="20"/>
                              </w:rPr>
                            </w:pP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E9C94"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9B69A"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F0DCE"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18C33"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C5DD1"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7D3DF"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7EDA6"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D8C3"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C9A6A"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CABCD"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7A266"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E1579" w14:textId="77777777" w:rsidR="007C3F72" w:rsidRPr="00CB775A" w:rsidRDefault="007C3F72" w:rsidP="00CB775A">
                            <w:pPr>
                              <w:widowControl/>
                              <w:jc w:val="center"/>
                              <w:rPr>
                                <w:rFonts w:ascii="標楷體" w:eastAsia="標楷體" w:hAnsi="標楷體" w:cs="新細明體"/>
                                <w:color w:val="000000" w:themeColor="text1"/>
                                <w:kern w:val="0"/>
                                <w:sz w:val="20"/>
                              </w:rPr>
                            </w:pPr>
                            <w:r w:rsidRPr="00CB775A">
                              <w:rPr>
                                <w:rFonts w:ascii="標楷體" w:eastAsia="標楷體" w:hAnsi="標楷體" w:cs="新細明體" w:hint="eastAsia"/>
                                <w:color w:val="000000" w:themeColor="text1"/>
                                <w:kern w:val="0"/>
                                <w:sz w:val="20"/>
                              </w:rPr>
                              <w:t>占比</w:t>
                            </w:r>
                          </w:p>
                        </w:tc>
                      </w:tr>
                      <w:tr w:rsidR="007C3F72" w:rsidRPr="00CB775A" w14:paraId="26D1EC55" w14:textId="77777777" w:rsidTr="00A129F3">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AB9AF" w14:textId="77777777" w:rsidR="007C3F72" w:rsidRPr="00CB775A" w:rsidRDefault="007C3F72" w:rsidP="00CB775A">
                            <w:pPr>
                              <w:widowControl/>
                              <w:jc w:val="center"/>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合計</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2409F"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4,920</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5E9A1"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0A57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0.18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8E095"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4,911</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C94DC"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99.82</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7A8DF"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916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D62A8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18.62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941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4,004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06F9E"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81.38</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6CB2E"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2,176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D61D3"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44.23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ECBBF"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2,744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B2E09" w14:textId="77777777" w:rsidR="007C3F72" w:rsidRPr="00CB775A" w:rsidRDefault="007C3F72" w:rsidP="00CB775A">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themeColor="text1"/>
                                <w:kern w:val="0"/>
                                <w:sz w:val="20"/>
                              </w:rPr>
                              <w:t>55.77</w:t>
                            </w:r>
                          </w:p>
                        </w:tc>
                      </w:tr>
                      <w:tr w:rsidR="00A129F3" w:rsidRPr="00CB775A" w14:paraId="7DDAAA7B" w14:textId="77777777" w:rsidTr="00A129F3">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37B84" w14:textId="307D5F31" w:rsidR="00A129F3" w:rsidRPr="00CB775A" w:rsidRDefault="00A129F3" w:rsidP="00A129F3">
                            <w:pPr>
                              <w:widowControl/>
                              <w:jc w:val="center"/>
                              <w:rPr>
                                <w:rFonts w:ascii="標楷體" w:eastAsia="標楷體" w:hAnsi="標楷體" w:cs="新細明體"/>
                                <w:b/>
                                <w:bCs/>
                                <w:color w:val="000000"/>
                                <w:kern w:val="0"/>
                                <w:sz w:val="20"/>
                              </w:rPr>
                            </w:pPr>
                            <w:r w:rsidRPr="00CB775A">
                              <w:rPr>
                                <w:rFonts w:ascii="標楷體" w:eastAsia="標楷體" w:hAnsi="標楷體" w:cs="新細明體" w:hint="eastAsia"/>
                                <w:color w:val="000000"/>
                                <w:kern w:val="0"/>
                                <w:sz w:val="20"/>
                              </w:rPr>
                              <w:t>108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6579D" w14:textId="54B9B04B"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b/>
                                <w:bCs/>
                                <w:color w:val="000000"/>
                                <w:kern w:val="0"/>
                                <w:sz w:val="20"/>
                              </w:rPr>
                              <w:t>806</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BE1A7" w14:textId="72AD10C0"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C7F51" w14:textId="746877FA"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0.37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CEA05" w14:textId="66CFB71E"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803</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A8002" w14:textId="49B0D922"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99.63</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D9D6C" w14:textId="2086C206"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183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2A20" w14:textId="6CCE1D65"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22.70</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5EB0F" w14:textId="3A4A94E4"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623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78BB1" w14:textId="5A3EC991"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77.30</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6FF0F" w14:textId="35C7983E"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345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3C2BB" w14:textId="452850D3"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42.80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696F" w14:textId="36B18160"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461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39793" w14:textId="52BD07BB" w:rsidR="00A129F3" w:rsidRPr="00CB775A" w:rsidRDefault="00A129F3" w:rsidP="00A129F3">
                            <w:pPr>
                              <w:widowControl/>
                              <w:jc w:val="right"/>
                              <w:rPr>
                                <w:rFonts w:ascii="標楷體" w:eastAsia="標楷體" w:hAnsi="標楷體" w:cs="新細明體"/>
                                <w:b/>
                                <w:bCs/>
                                <w:color w:val="000000" w:themeColor="text1"/>
                                <w:kern w:val="0"/>
                                <w:sz w:val="20"/>
                              </w:rPr>
                            </w:pPr>
                            <w:r w:rsidRPr="00CB775A">
                              <w:rPr>
                                <w:rFonts w:ascii="標楷體" w:eastAsia="標楷體" w:hAnsi="標楷體" w:cs="新細明體" w:hint="eastAsia"/>
                                <w:color w:val="000000"/>
                                <w:kern w:val="0"/>
                                <w:sz w:val="20"/>
                              </w:rPr>
                              <w:t>57.20</w:t>
                            </w:r>
                          </w:p>
                        </w:tc>
                      </w:tr>
                      <w:tr w:rsidR="007C3F72" w:rsidRPr="00CB775A" w14:paraId="60B88729"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7C32B" w14:textId="77777777" w:rsidR="007C3F72" w:rsidRPr="00CB775A" w:rsidRDefault="007C3F72" w:rsidP="00CB775A">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109</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729F3" w14:textId="77777777" w:rsidR="007C3F72" w:rsidRPr="00CB775A" w:rsidRDefault="007C3F72" w:rsidP="00CB775A">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880</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14D9B" w14:textId="77777777" w:rsidR="007C3F72" w:rsidRDefault="007C3F72" w:rsidP="00524428">
                            <w:pPr>
                              <w:widowControl/>
                              <w:wordWrap w:val="0"/>
                              <w:jc w:val="right"/>
                              <w:rPr>
                                <w:rFonts w:ascii="標楷體" w:eastAsia="標楷體" w:hAnsi="標楷體" w:cs="新細明體"/>
                                <w:color w:val="000000"/>
                                <w:kern w:val="0"/>
                                <w:sz w:val="20"/>
                              </w:rPr>
                            </w:pPr>
                            <w:bookmarkStart w:id="20" w:name="_Hlk201333908"/>
                            <w:r>
                              <w:rPr>
                                <w:rFonts w:ascii="標楷體" w:eastAsia="標楷體" w:hAnsi="標楷體" w:cs="新細明體" w:hint="eastAsia"/>
                                <w:color w:val="000000"/>
                                <w:kern w:val="0"/>
                                <w:sz w:val="20"/>
                              </w:rPr>
                              <w:t>－</w:t>
                            </w:r>
                          </w:p>
                          <w:bookmarkEnd w:id="20"/>
                          <w:p w14:paraId="05AB16BE" w14:textId="77777777" w:rsidR="007C3F72" w:rsidRPr="00CB775A" w:rsidRDefault="007C3F72" w:rsidP="00C8017C">
                            <w:pPr>
                              <w:widowControl/>
                              <w:ind w:right="800"/>
                              <w:jc w:val="center"/>
                              <w:rPr>
                                <w:rFonts w:ascii="標楷體" w:eastAsia="標楷體" w:hAnsi="標楷體" w:cs="新細明體"/>
                                <w:color w:val="000000"/>
                                <w:kern w:val="0"/>
                                <w:sz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42BED" w14:textId="77777777" w:rsidR="007C3F72" w:rsidRPr="00CB775A" w:rsidRDefault="007C3F72" w:rsidP="00CB775A">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5DFB7"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880</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4474C"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100.00</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003F4"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187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47D36"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21.25</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444BA"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693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D71AF"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78.75</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F1673"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374</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D0561"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42.50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43EA4"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506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402B3" w14:textId="77777777" w:rsidR="007C3F72" w:rsidRPr="00CB775A" w:rsidRDefault="007C3F72" w:rsidP="00CB775A">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57.50</w:t>
                            </w:r>
                          </w:p>
                        </w:tc>
                      </w:tr>
                      <w:tr w:rsidR="00A129F3" w:rsidRPr="00CB775A" w14:paraId="32076CCA"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682A0" w14:textId="2B3D114E" w:rsidR="00A129F3" w:rsidRPr="00CB775A" w:rsidRDefault="00A129F3" w:rsidP="00A129F3">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110</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E007A" w14:textId="60CD9B26" w:rsidR="00A129F3" w:rsidRPr="00CB775A" w:rsidRDefault="00A129F3" w:rsidP="00A129F3">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724</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525AF" w14:textId="4AC5FB63" w:rsidR="00A129F3" w:rsidRDefault="00A129F3" w:rsidP="00A129F3">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36A7D" w14:textId="2849E51A" w:rsidR="00A129F3"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914EC" w14:textId="35E6CBA5"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721</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4A7EF" w14:textId="721F516E"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99.59</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B3B97" w14:textId="3683D6A8"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163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9D970" w14:textId="7ACEC1DF"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22.51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75F67" w14:textId="68F075DB"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561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3B15B" w14:textId="6BE6377C"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77.49</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E013" w14:textId="79EB8395"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C2806" w14:textId="5B23EEED"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42.68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8300C" w14:textId="0C91E76C"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415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7E2E0" w14:textId="5467CE3C" w:rsidR="00A129F3" w:rsidRPr="00CB775A" w:rsidRDefault="00A129F3" w:rsidP="00A129F3">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57.32</w:t>
                            </w:r>
                          </w:p>
                        </w:tc>
                      </w:tr>
                      <w:tr w:rsidR="00B35D86" w:rsidRPr="00CB775A" w14:paraId="0175E8A5"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E9FC2" w14:textId="07AB430D" w:rsidR="00B35D86" w:rsidRPr="00CB775A" w:rsidRDefault="00B35D86" w:rsidP="00B35D86">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39325" w14:textId="5038072A" w:rsidR="00B35D86" w:rsidRPr="00CB775A" w:rsidRDefault="00B35D86" w:rsidP="00B35D86">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624</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0B8B9" w14:textId="1077AE01" w:rsidR="00B35D86" w:rsidRPr="00CB775A" w:rsidRDefault="00B35D86" w:rsidP="00B35D86">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B7996" w14:textId="5A5B0460"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0.16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42403" w14:textId="70C3B090"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623</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693F5" w14:textId="1E596E6A"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99.84</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E410" w14:textId="67ED93C6"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143</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80D49" w14:textId="204B06C5"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22.92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26A55" w14:textId="794F865C"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481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61D49" w14:textId="7AE26C9B"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77.08</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E74A1" w14:textId="5B6D79C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257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D08AD" w14:textId="11E6CBA6"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41.19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29390" w14:textId="5E1F63CA"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367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D66E" w14:textId="754416F8"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58.81</w:t>
                            </w:r>
                          </w:p>
                        </w:tc>
                      </w:tr>
                      <w:tr w:rsidR="00B35D86" w:rsidRPr="00CB775A" w14:paraId="4731DE9A"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DF0FB" w14:textId="0D2FB869" w:rsidR="00B35D86" w:rsidRPr="00CB775A" w:rsidRDefault="00B35D86" w:rsidP="00B35D86">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112</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28561" w14:textId="7AC24CC9" w:rsidR="00B35D86" w:rsidRPr="00CB775A" w:rsidRDefault="00B35D86" w:rsidP="00B35D86">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808</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3BCEC" w14:textId="0B08C783" w:rsidR="00B35D86" w:rsidRPr="00CB775A" w:rsidRDefault="00B35D86" w:rsidP="00B35D86">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365AD" w14:textId="6ADAB63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0.12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083AC" w14:textId="638E5791"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807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857EB" w14:textId="66C23701"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99.88</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1A4B7" w14:textId="43C51FB1"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8F239" w14:textId="7C5DAC94"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11.14</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14434" w14:textId="30B29D75"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718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27462" w14:textId="4F4F565D"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88.86</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77FE3" w14:textId="31B104DA"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362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1E85B" w14:textId="6F13FB94"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44.80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BAA14" w14:textId="6CA75B8B"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446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86B87" w14:textId="6B6FCA38"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55.20</w:t>
                            </w:r>
                          </w:p>
                        </w:tc>
                      </w:tr>
                      <w:tr w:rsidR="00B35D86" w:rsidRPr="00CB775A" w14:paraId="4F6944E0" w14:textId="77777777" w:rsidTr="00E02692">
                        <w:trPr>
                          <w:trHeight w:val="30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929EA" w14:textId="541B38B4" w:rsidR="00B35D86" w:rsidRPr="00CB775A" w:rsidRDefault="00B35D86" w:rsidP="00B35D86">
                            <w:pPr>
                              <w:widowControl/>
                              <w:jc w:val="center"/>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113</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9E906" w14:textId="335B34AC" w:rsidR="00B35D86" w:rsidRPr="00CB775A" w:rsidRDefault="00B35D86" w:rsidP="00B35D86">
                            <w:pPr>
                              <w:widowControl/>
                              <w:jc w:val="right"/>
                              <w:rPr>
                                <w:rFonts w:ascii="標楷體" w:eastAsia="標楷體" w:hAnsi="標楷體" w:cs="新細明體"/>
                                <w:b/>
                                <w:bCs/>
                                <w:color w:val="000000"/>
                                <w:kern w:val="0"/>
                                <w:sz w:val="20"/>
                              </w:rPr>
                            </w:pPr>
                            <w:r w:rsidRPr="00CB775A">
                              <w:rPr>
                                <w:rFonts w:ascii="標楷體" w:eastAsia="標楷體" w:hAnsi="標楷體" w:cs="新細明體" w:hint="eastAsia"/>
                                <w:b/>
                                <w:bCs/>
                                <w:color w:val="000000"/>
                                <w:kern w:val="0"/>
                                <w:sz w:val="20"/>
                              </w:rPr>
                              <w:t>1,078</w:t>
                            </w:r>
                          </w:p>
                        </w:tc>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D5E0C" w14:textId="4D0077CF" w:rsidR="00B35D86" w:rsidRPr="00CB775A" w:rsidRDefault="00B35D86" w:rsidP="00B35D86">
                            <w:pPr>
                              <w:widowControl/>
                              <w:wordWrap w:val="0"/>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DEE84" w14:textId="26012B6C"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0.09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416F8" w14:textId="15EBA54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1,077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1F9D6" w14:textId="0C31575D"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99.91</w:t>
                            </w:r>
                          </w:p>
                        </w:tc>
                        <w:tc>
                          <w:tcPr>
                            <w:tcW w:w="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A8D77" w14:textId="5BF13CD6"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150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1D87C" w14:textId="50B7C478"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13.91</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AE71D" w14:textId="34F90A8F"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928</w:t>
                            </w:r>
                          </w:p>
                        </w:tc>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103C0" w14:textId="5116D70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86.09</w:t>
                            </w:r>
                          </w:p>
                        </w:tc>
                        <w:tc>
                          <w:tcPr>
                            <w:tcW w:w="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9A9C7" w14:textId="74451C62"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529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306A5" w14:textId="1A5ED5D0"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A922" w14:textId="433D49EE"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549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F31E0" w14:textId="214A003C" w:rsidR="00B35D86" w:rsidRPr="00CB775A" w:rsidRDefault="00B35D86" w:rsidP="00B35D86">
                            <w:pPr>
                              <w:widowControl/>
                              <w:jc w:val="right"/>
                              <w:rPr>
                                <w:rFonts w:ascii="標楷體" w:eastAsia="標楷體" w:hAnsi="標楷體" w:cs="新細明體"/>
                                <w:color w:val="000000"/>
                                <w:kern w:val="0"/>
                                <w:sz w:val="20"/>
                              </w:rPr>
                            </w:pPr>
                            <w:r w:rsidRPr="00CB775A">
                              <w:rPr>
                                <w:rFonts w:ascii="標楷體" w:eastAsia="標楷體" w:hAnsi="標楷體" w:cs="新細明體" w:hint="eastAsia"/>
                                <w:color w:val="000000"/>
                                <w:kern w:val="0"/>
                                <w:sz w:val="20"/>
                              </w:rPr>
                              <w:t>50.93</w:t>
                            </w:r>
                          </w:p>
                        </w:tc>
                      </w:tr>
                      <w:tr w:rsidR="007C3F72" w:rsidRPr="00CB775A" w14:paraId="6D0E171E" w14:textId="77777777" w:rsidTr="00E02692">
                        <w:trPr>
                          <w:trHeight w:val="330"/>
                        </w:trPr>
                        <w:tc>
                          <w:tcPr>
                            <w:tcW w:w="8179" w:type="dxa"/>
                            <w:gridSpan w:val="14"/>
                            <w:tcBorders>
                              <w:top w:val="single" w:sz="4" w:space="0" w:color="auto"/>
                              <w:left w:val="nil"/>
                              <w:bottom w:val="nil"/>
                              <w:right w:val="nil"/>
                            </w:tcBorders>
                            <w:shd w:val="clear" w:color="auto" w:fill="auto"/>
                            <w:noWrap/>
                            <w:vAlign w:val="center"/>
                            <w:hideMark/>
                          </w:tcPr>
                          <w:p w14:paraId="0953C08A" w14:textId="77777777" w:rsidR="007C3F72" w:rsidRPr="00CB775A" w:rsidRDefault="007C3F72" w:rsidP="00CB775A">
                            <w:pPr>
                              <w:widowControl/>
                              <w:ind w:leftChars="-18" w:left="-43"/>
                              <w:rPr>
                                <w:rFonts w:ascii="標楷體" w:eastAsia="標楷體" w:hAnsi="標楷體"/>
                                <w:kern w:val="0"/>
                                <w:szCs w:val="24"/>
                              </w:rPr>
                            </w:pPr>
                            <w:r w:rsidRPr="00CB775A">
                              <w:rPr>
                                <w:rFonts w:ascii="標楷體" w:eastAsia="標楷體" w:hAnsi="標楷體" w:cs="新細明體" w:hint="eastAsia"/>
                                <w:color w:val="000000"/>
                                <w:kern w:val="0"/>
                                <w:sz w:val="18"/>
                                <w:szCs w:val="18"/>
                              </w:rPr>
                              <w:t>資料來源：整理自衛</w:t>
                            </w:r>
                            <w:r>
                              <w:rPr>
                                <w:rFonts w:ascii="標楷體" w:eastAsia="標楷體" w:hAnsi="標楷體" w:cs="新細明體" w:hint="eastAsia"/>
                                <w:color w:val="000000"/>
                                <w:kern w:val="0"/>
                                <w:sz w:val="18"/>
                                <w:szCs w:val="18"/>
                              </w:rPr>
                              <w:t>生</w:t>
                            </w:r>
                            <w:r w:rsidRPr="00CB775A">
                              <w:rPr>
                                <w:rFonts w:ascii="標楷體" w:eastAsia="標楷體" w:hAnsi="標楷體" w:cs="新細明體" w:hint="eastAsia"/>
                                <w:color w:val="000000"/>
                                <w:kern w:val="0"/>
                                <w:sz w:val="18"/>
                                <w:szCs w:val="18"/>
                              </w:rPr>
                              <w:t>福</w:t>
                            </w:r>
                            <w:r>
                              <w:rPr>
                                <w:rFonts w:ascii="標楷體" w:eastAsia="標楷體" w:hAnsi="標楷體" w:cs="新細明體" w:hint="eastAsia"/>
                                <w:color w:val="000000"/>
                                <w:kern w:val="0"/>
                                <w:sz w:val="18"/>
                                <w:szCs w:val="18"/>
                              </w:rPr>
                              <w:t>利</w:t>
                            </w:r>
                            <w:r w:rsidRPr="00CB775A">
                              <w:rPr>
                                <w:rFonts w:ascii="標楷體" w:eastAsia="標楷體" w:hAnsi="標楷體" w:cs="新細明體" w:hint="eastAsia"/>
                                <w:color w:val="000000"/>
                                <w:kern w:val="0"/>
                                <w:sz w:val="18"/>
                                <w:szCs w:val="18"/>
                              </w:rPr>
                              <w:t>部提供資料。</w:t>
                            </w:r>
                          </w:p>
                        </w:tc>
                      </w:tr>
                    </w:tbl>
                    <w:p w14:paraId="5099C173" w14:textId="77777777" w:rsidR="007C3F72" w:rsidRPr="00CB775A" w:rsidRDefault="007C3F72" w:rsidP="007C3F72"/>
                  </w:txbxContent>
                </v:textbox>
                <w10:wrap type="square" anchorx="margin"/>
              </v:shape>
            </w:pict>
          </mc:Fallback>
        </mc:AlternateContent>
      </w:r>
      <w:r w:rsidRPr="00A07DF4">
        <w:rPr>
          <w:rFonts w:ascii="標楷體" w:eastAsia="標楷體" w:hAnsi="標楷體" w:hint="eastAsia"/>
        </w:rPr>
        <w:t>關查獲少年涉嫌毒品刑事犯罪人數自</w:t>
      </w:r>
      <w:proofErr w:type="gramStart"/>
      <w:r w:rsidRPr="00A07DF4">
        <w:rPr>
          <w:rFonts w:ascii="標楷體" w:eastAsia="標楷體" w:hAnsi="標楷體" w:hint="eastAsia"/>
        </w:rPr>
        <w:t>108</w:t>
      </w:r>
      <w:proofErr w:type="gramEnd"/>
      <w:r w:rsidRPr="00A07DF4">
        <w:rPr>
          <w:rFonts w:ascii="標楷體" w:eastAsia="標楷體" w:hAnsi="標楷體" w:hint="eastAsia"/>
        </w:rPr>
        <w:t>年度之940人下降至</w:t>
      </w:r>
      <w:proofErr w:type="gramStart"/>
      <w:r w:rsidRPr="00A07DF4">
        <w:rPr>
          <w:rFonts w:ascii="標楷體" w:eastAsia="標楷體" w:hAnsi="標楷體" w:hint="eastAsia"/>
        </w:rPr>
        <w:t>111</w:t>
      </w:r>
      <w:proofErr w:type="gramEnd"/>
      <w:r w:rsidRPr="00A07DF4">
        <w:rPr>
          <w:rFonts w:ascii="標楷體" w:eastAsia="標楷體" w:hAnsi="標楷體" w:hint="eastAsia"/>
        </w:rPr>
        <w:t>年度之456人，</w:t>
      </w:r>
      <w:proofErr w:type="gramStart"/>
      <w:r w:rsidRPr="00A07DF4">
        <w:rPr>
          <w:rFonts w:ascii="標楷體" w:eastAsia="標楷體" w:hAnsi="標楷體" w:hint="eastAsia"/>
        </w:rPr>
        <w:t>惟又逐漸</w:t>
      </w:r>
      <w:proofErr w:type="gramEnd"/>
      <w:r w:rsidRPr="00A07DF4">
        <w:rPr>
          <w:rFonts w:ascii="標楷體" w:eastAsia="標楷體" w:hAnsi="標楷體" w:hint="eastAsia"/>
        </w:rPr>
        <w:t>上升至</w:t>
      </w:r>
      <w:proofErr w:type="gramStart"/>
      <w:r w:rsidRPr="00A07DF4">
        <w:rPr>
          <w:rFonts w:ascii="標楷體" w:eastAsia="標楷體" w:hAnsi="標楷體" w:hint="eastAsia"/>
        </w:rPr>
        <w:t>113</w:t>
      </w:r>
      <w:proofErr w:type="gramEnd"/>
      <w:r w:rsidRPr="00A07DF4">
        <w:rPr>
          <w:rFonts w:ascii="標楷體" w:eastAsia="標楷體" w:hAnsi="標楷體" w:hint="eastAsia"/>
        </w:rPr>
        <w:t>年度之603人</w:t>
      </w:r>
      <w:r>
        <w:rPr>
          <w:rFonts w:ascii="標楷體" w:eastAsia="標楷體" w:hAnsi="標楷體" w:hint="eastAsia"/>
        </w:rPr>
        <w:t>；又</w:t>
      </w:r>
      <w:r w:rsidRPr="00A07DF4">
        <w:rPr>
          <w:rFonts w:ascii="標楷體" w:eastAsia="標楷體" w:hAnsi="標楷體" w:hint="eastAsia"/>
        </w:rPr>
        <w:t>108至112</w:t>
      </w:r>
      <w:r w:rsidR="000B61FD">
        <w:rPr>
          <w:noProof/>
        </w:rPr>
        <mc:AlternateContent>
          <mc:Choice Requires="wps">
            <w:drawing>
              <wp:anchor distT="45720" distB="45720" distL="114300" distR="114300" simplePos="0" relativeHeight="251632640" behindDoc="1" locked="0" layoutInCell="1" allowOverlap="1" wp14:anchorId="1444842C" wp14:editId="1DF20733">
                <wp:simplePos x="0" y="0"/>
                <wp:positionH relativeFrom="margin">
                  <wp:posOffset>2100580</wp:posOffset>
                </wp:positionH>
                <wp:positionV relativeFrom="margin">
                  <wp:posOffset>4885055</wp:posOffset>
                </wp:positionV>
                <wp:extent cx="4198620" cy="2491740"/>
                <wp:effectExtent l="0" t="0" r="0" b="3810"/>
                <wp:wrapTight wrapText="bothSides">
                  <wp:wrapPolygon edited="0">
                    <wp:start x="0" y="0"/>
                    <wp:lineTo x="0" y="21468"/>
                    <wp:lineTo x="21463" y="21468"/>
                    <wp:lineTo x="21463" y="0"/>
                    <wp:lineTo x="0" y="0"/>
                  </wp:wrapPolygon>
                </wp:wrapTight>
                <wp:docPr id="20083270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8620" cy="2491740"/>
                        </a:xfrm>
                        <a:prstGeom prst="rect">
                          <a:avLst/>
                        </a:prstGeom>
                        <a:solidFill>
                          <a:srgbClr val="FFFFFF"/>
                        </a:solidFill>
                        <a:ln w="9525">
                          <a:noFill/>
                          <a:miter lim="800000"/>
                          <a:headEnd/>
                          <a:tailEnd/>
                        </a:ln>
                      </wps:spPr>
                      <wps:txbx>
                        <w:txbxContent>
                          <w:p w14:paraId="5304EC48" w14:textId="101FE42E" w:rsidR="009B76EF" w:rsidRPr="00A95C88" w:rsidRDefault="009B76EF" w:rsidP="009B76EF">
                            <w:pPr>
                              <w:widowControl/>
                              <w:spacing w:line="240" w:lineRule="exact"/>
                              <w:jc w:val="center"/>
                              <w:rPr>
                                <w:rFonts w:ascii="標楷體" w:eastAsia="標楷體" w:hAnsi="標楷體" w:cs="新細明體"/>
                                <w:b/>
                                <w:bCs/>
                                <w:color w:val="000000"/>
                                <w:kern w:val="0"/>
                                <w:szCs w:val="24"/>
                              </w:rPr>
                            </w:pPr>
                            <w:r w:rsidRPr="00A95C88">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26</w:t>
                            </w:r>
                            <w:r w:rsidR="00D55E09">
                              <w:rPr>
                                <w:rFonts w:ascii="標楷體" w:eastAsia="標楷體" w:hAnsi="標楷體" w:cs="新細明體" w:hint="eastAsia"/>
                                <w:b/>
                                <w:bCs/>
                                <w:color w:val="000000"/>
                                <w:kern w:val="0"/>
                                <w:szCs w:val="24"/>
                              </w:rPr>
                              <w:t xml:space="preserve">　</w:t>
                            </w:r>
                            <w:r w:rsidRPr="00A95C88">
                              <w:rPr>
                                <w:rFonts w:ascii="標楷體" w:eastAsia="標楷體" w:hAnsi="標楷體" w:cs="新細明體" w:hint="eastAsia"/>
                                <w:b/>
                                <w:bCs/>
                                <w:color w:val="000000"/>
                                <w:kern w:val="0"/>
                                <w:szCs w:val="24"/>
                              </w:rPr>
                              <w:t>少年犯毒品刑事犯罪情形</w:t>
                            </w:r>
                          </w:p>
                          <w:p w14:paraId="7EE9592C" w14:textId="77777777" w:rsidR="009B76EF" w:rsidRPr="0061707C" w:rsidRDefault="009B76EF" w:rsidP="009B76EF">
                            <w:pPr>
                              <w:spacing w:line="240" w:lineRule="exact"/>
                              <w:ind w:rightChars="142" w:right="341"/>
                              <w:jc w:val="right"/>
                              <w:rPr>
                                <w:rFonts w:ascii="標楷體" w:eastAsia="標楷體" w:hAnsi="標楷體"/>
                                <w:sz w:val="20"/>
                              </w:rPr>
                            </w:pPr>
                            <w:r w:rsidRPr="0061707C">
                              <w:rPr>
                                <w:rFonts w:ascii="標楷體" w:eastAsia="標楷體" w:hAnsi="標楷體" w:hint="eastAsia"/>
                                <w:sz w:val="20"/>
                              </w:rPr>
                              <w:t>單位：人</w:t>
                            </w:r>
                          </w:p>
                          <w:tbl>
                            <w:tblPr>
                              <w:tblW w:w="4471" w:type="pct"/>
                              <w:jc w:val="center"/>
                              <w:tblCellMar>
                                <w:left w:w="28" w:type="dxa"/>
                                <w:right w:w="28" w:type="dxa"/>
                              </w:tblCellMar>
                              <w:tblLook w:val="04A0" w:firstRow="1" w:lastRow="0" w:firstColumn="1" w:lastColumn="0" w:noHBand="0" w:noVBand="1"/>
                            </w:tblPr>
                            <w:tblGrid>
                              <w:gridCol w:w="541"/>
                              <w:gridCol w:w="765"/>
                              <w:gridCol w:w="880"/>
                              <w:gridCol w:w="881"/>
                              <w:gridCol w:w="880"/>
                              <w:gridCol w:w="881"/>
                              <w:gridCol w:w="878"/>
                            </w:tblGrid>
                            <w:tr w:rsidR="009B76EF" w:rsidRPr="009278C7" w14:paraId="1CF52232" w14:textId="77777777" w:rsidTr="006A4791">
                              <w:trPr>
                                <w:trHeight w:val="324"/>
                                <w:jc w:val="center"/>
                              </w:trPr>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0EF713"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年度</w:t>
                                  </w:r>
                                </w:p>
                              </w:tc>
                              <w:tc>
                                <w:tcPr>
                                  <w:tcW w:w="670" w:type="pct"/>
                                  <w:vMerge w:val="restart"/>
                                  <w:tcBorders>
                                    <w:top w:val="single" w:sz="4" w:space="0" w:color="auto"/>
                                    <w:left w:val="single" w:sz="4" w:space="0" w:color="auto"/>
                                    <w:right w:val="single" w:sz="4" w:space="0" w:color="auto"/>
                                  </w:tcBorders>
                                  <w:vAlign w:val="center"/>
                                </w:tcPr>
                                <w:p w14:paraId="2E298B1D"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涉嫌犯罪人數</w:t>
                                  </w:r>
                                </w:p>
                              </w:tc>
                              <w:tc>
                                <w:tcPr>
                                  <w:tcW w:w="3856"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AB101"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地方檢察署執行裁判確定有罪少年犯人數</w:t>
                                  </w:r>
                                </w:p>
                              </w:tc>
                            </w:tr>
                            <w:tr w:rsidR="009B76EF" w:rsidRPr="009278C7" w14:paraId="410E7F75" w14:textId="77777777" w:rsidTr="006A4791">
                              <w:trPr>
                                <w:trHeight w:val="324"/>
                                <w:jc w:val="center"/>
                              </w:trPr>
                              <w:tc>
                                <w:tcPr>
                                  <w:tcW w:w="475" w:type="pct"/>
                                  <w:vMerge/>
                                  <w:tcBorders>
                                    <w:left w:val="single" w:sz="4" w:space="0" w:color="auto"/>
                                    <w:bottom w:val="single" w:sz="4" w:space="0" w:color="auto"/>
                                    <w:right w:val="single" w:sz="4" w:space="0" w:color="auto"/>
                                  </w:tcBorders>
                                  <w:vAlign w:val="center"/>
                                  <w:hideMark/>
                                </w:tcPr>
                                <w:p w14:paraId="032D9FCD" w14:textId="77777777" w:rsidR="009B76EF" w:rsidRPr="00A95C88" w:rsidRDefault="009B76EF" w:rsidP="00A95C88">
                                  <w:pPr>
                                    <w:widowControl/>
                                    <w:spacing w:line="0" w:lineRule="atLeast"/>
                                    <w:rPr>
                                      <w:rFonts w:ascii="標楷體" w:eastAsia="標楷體" w:hAnsi="標楷體" w:cs="新細明體"/>
                                      <w:color w:val="000000"/>
                                      <w:kern w:val="0"/>
                                      <w:sz w:val="20"/>
                                    </w:rPr>
                                  </w:pPr>
                                </w:p>
                              </w:tc>
                              <w:tc>
                                <w:tcPr>
                                  <w:tcW w:w="670" w:type="pct"/>
                                  <w:vMerge/>
                                  <w:tcBorders>
                                    <w:left w:val="single" w:sz="4" w:space="0" w:color="auto"/>
                                    <w:bottom w:val="single" w:sz="4" w:space="0" w:color="auto"/>
                                    <w:right w:val="single" w:sz="4" w:space="0" w:color="auto"/>
                                  </w:tcBorders>
                                  <w:vAlign w:val="center"/>
                                </w:tcPr>
                                <w:p w14:paraId="08582177" w14:textId="77777777" w:rsidR="009B76EF" w:rsidRPr="00A95C88" w:rsidRDefault="009B76EF" w:rsidP="00A95C88">
                                  <w:pPr>
                                    <w:widowControl/>
                                    <w:spacing w:line="0" w:lineRule="atLeast"/>
                                    <w:rPr>
                                      <w:rFonts w:ascii="標楷體" w:eastAsia="標楷體" w:hAnsi="標楷體" w:cs="新細明體"/>
                                      <w:color w:val="000000"/>
                                      <w:kern w:val="0"/>
                                      <w:sz w:val="20"/>
                                    </w:rPr>
                                  </w:pPr>
                                </w:p>
                              </w:tc>
                              <w:tc>
                                <w:tcPr>
                                  <w:tcW w:w="771" w:type="pct"/>
                                  <w:tcBorders>
                                    <w:top w:val="nil"/>
                                    <w:left w:val="single" w:sz="4" w:space="0" w:color="auto"/>
                                    <w:bottom w:val="single" w:sz="4" w:space="0" w:color="auto"/>
                                    <w:right w:val="single" w:sz="4" w:space="0" w:color="auto"/>
                                  </w:tcBorders>
                                  <w:vAlign w:val="center"/>
                                  <w:hideMark/>
                                </w:tcPr>
                                <w:p w14:paraId="3808893B" w14:textId="77777777" w:rsidR="009B76EF" w:rsidRPr="00A95C88" w:rsidRDefault="009B76EF" w:rsidP="002F389A">
                                  <w:pPr>
                                    <w:widowControl/>
                                    <w:spacing w:line="0" w:lineRule="atLeast"/>
                                    <w:jc w:val="center"/>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合計</w:t>
                                  </w:r>
                                </w:p>
                              </w:tc>
                              <w:tc>
                                <w:tcPr>
                                  <w:tcW w:w="772" w:type="pct"/>
                                  <w:tcBorders>
                                    <w:top w:val="nil"/>
                                    <w:left w:val="nil"/>
                                    <w:bottom w:val="single" w:sz="4" w:space="0" w:color="auto"/>
                                    <w:right w:val="single" w:sz="4" w:space="0" w:color="auto"/>
                                  </w:tcBorders>
                                  <w:shd w:val="clear" w:color="auto" w:fill="auto"/>
                                  <w:noWrap/>
                                  <w:vAlign w:val="center"/>
                                  <w:hideMark/>
                                </w:tcPr>
                                <w:p w14:paraId="3A857357"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14歲</w:t>
                                  </w:r>
                                </w:p>
                              </w:tc>
                              <w:tc>
                                <w:tcPr>
                                  <w:tcW w:w="771" w:type="pct"/>
                                  <w:tcBorders>
                                    <w:top w:val="nil"/>
                                    <w:left w:val="nil"/>
                                    <w:bottom w:val="single" w:sz="4" w:space="0" w:color="auto"/>
                                    <w:right w:val="single" w:sz="4" w:space="0" w:color="auto"/>
                                  </w:tcBorders>
                                  <w:shd w:val="clear" w:color="auto" w:fill="auto"/>
                                  <w:noWrap/>
                                  <w:vAlign w:val="center"/>
                                  <w:hideMark/>
                                </w:tcPr>
                                <w:p w14:paraId="2CA6B623"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15歲</w:t>
                                  </w:r>
                                </w:p>
                              </w:tc>
                              <w:tc>
                                <w:tcPr>
                                  <w:tcW w:w="772" w:type="pct"/>
                                  <w:tcBorders>
                                    <w:top w:val="nil"/>
                                    <w:left w:val="nil"/>
                                    <w:bottom w:val="single" w:sz="4" w:space="0" w:color="auto"/>
                                    <w:right w:val="single" w:sz="4" w:space="0" w:color="auto"/>
                                  </w:tcBorders>
                                  <w:shd w:val="clear" w:color="auto" w:fill="auto"/>
                                  <w:noWrap/>
                                  <w:vAlign w:val="center"/>
                                  <w:hideMark/>
                                </w:tcPr>
                                <w:p w14:paraId="12A614EA"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16歲</w:t>
                                  </w:r>
                                </w:p>
                              </w:tc>
                              <w:tc>
                                <w:tcPr>
                                  <w:tcW w:w="772" w:type="pct"/>
                                  <w:tcBorders>
                                    <w:top w:val="nil"/>
                                    <w:left w:val="nil"/>
                                    <w:bottom w:val="single" w:sz="4" w:space="0" w:color="auto"/>
                                    <w:right w:val="single" w:sz="4" w:space="0" w:color="auto"/>
                                  </w:tcBorders>
                                  <w:shd w:val="clear" w:color="auto" w:fill="auto"/>
                                  <w:noWrap/>
                                  <w:vAlign w:val="center"/>
                                  <w:hideMark/>
                                </w:tcPr>
                                <w:p w14:paraId="087D1154"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17歲</w:t>
                                  </w:r>
                                </w:p>
                              </w:tc>
                            </w:tr>
                            <w:tr w:rsidR="009B76EF" w:rsidRPr="009278C7" w14:paraId="625D8792" w14:textId="77777777" w:rsidTr="006A4791">
                              <w:trPr>
                                <w:trHeight w:val="324"/>
                                <w:jc w:val="center"/>
                              </w:trPr>
                              <w:tc>
                                <w:tcPr>
                                  <w:tcW w:w="4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C9154" w14:textId="77777777" w:rsidR="009B76EF" w:rsidRPr="00A95C88" w:rsidRDefault="009B76EF" w:rsidP="00A95C88">
                                  <w:pPr>
                                    <w:widowControl/>
                                    <w:spacing w:line="0" w:lineRule="atLeast"/>
                                    <w:jc w:val="center"/>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合計</w:t>
                                  </w:r>
                                </w:p>
                              </w:tc>
                              <w:tc>
                                <w:tcPr>
                                  <w:tcW w:w="670" w:type="pct"/>
                                  <w:tcBorders>
                                    <w:top w:val="nil"/>
                                    <w:left w:val="nil"/>
                                    <w:bottom w:val="single" w:sz="4" w:space="0" w:color="auto"/>
                                    <w:right w:val="single" w:sz="4" w:space="0" w:color="auto"/>
                                  </w:tcBorders>
                                  <w:vAlign w:val="center"/>
                                </w:tcPr>
                                <w:p w14:paraId="02A03DF4"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4,107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8756579"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1,145 </w:t>
                                  </w:r>
                                </w:p>
                              </w:tc>
                              <w:tc>
                                <w:tcPr>
                                  <w:tcW w:w="772" w:type="pct"/>
                                  <w:tcBorders>
                                    <w:top w:val="nil"/>
                                    <w:left w:val="nil"/>
                                    <w:bottom w:val="single" w:sz="4" w:space="0" w:color="auto"/>
                                    <w:right w:val="single" w:sz="4" w:space="0" w:color="auto"/>
                                  </w:tcBorders>
                                  <w:shd w:val="clear" w:color="auto" w:fill="auto"/>
                                  <w:noWrap/>
                                  <w:vAlign w:val="center"/>
                                  <w:hideMark/>
                                </w:tcPr>
                                <w:p w14:paraId="2AC2B6C4"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37</w:t>
                                  </w:r>
                                </w:p>
                              </w:tc>
                              <w:tc>
                                <w:tcPr>
                                  <w:tcW w:w="771" w:type="pct"/>
                                  <w:tcBorders>
                                    <w:top w:val="nil"/>
                                    <w:left w:val="nil"/>
                                    <w:bottom w:val="single" w:sz="4" w:space="0" w:color="auto"/>
                                    <w:right w:val="single" w:sz="4" w:space="0" w:color="auto"/>
                                  </w:tcBorders>
                                  <w:shd w:val="clear" w:color="auto" w:fill="auto"/>
                                  <w:noWrap/>
                                  <w:vAlign w:val="center"/>
                                  <w:hideMark/>
                                </w:tcPr>
                                <w:p w14:paraId="0AEA4596"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136</w:t>
                                  </w:r>
                                </w:p>
                              </w:tc>
                              <w:tc>
                                <w:tcPr>
                                  <w:tcW w:w="772" w:type="pct"/>
                                  <w:tcBorders>
                                    <w:top w:val="nil"/>
                                    <w:left w:val="nil"/>
                                    <w:bottom w:val="single" w:sz="4" w:space="0" w:color="auto"/>
                                    <w:right w:val="single" w:sz="4" w:space="0" w:color="auto"/>
                                  </w:tcBorders>
                                  <w:shd w:val="clear" w:color="auto" w:fill="auto"/>
                                  <w:noWrap/>
                                  <w:vAlign w:val="center"/>
                                  <w:hideMark/>
                                </w:tcPr>
                                <w:p w14:paraId="587C50CD"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296</w:t>
                                  </w:r>
                                </w:p>
                              </w:tc>
                              <w:tc>
                                <w:tcPr>
                                  <w:tcW w:w="772" w:type="pct"/>
                                  <w:tcBorders>
                                    <w:top w:val="nil"/>
                                    <w:left w:val="nil"/>
                                    <w:bottom w:val="single" w:sz="4" w:space="0" w:color="auto"/>
                                    <w:right w:val="single" w:sz="4" w:space="0" w:color="auto"/>
                                  </w:tcBorders>
                                  <w:shd w:val="clear" w:color="auto" w:fill="auto"/>
                                  <w:noWrap/>
                                  <w:vAlign w:val="center"/>
                                  <w:hideMark/>
                                </w:tcPr>
                                <w:p w14:paraId="3434A2FD"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676</w:t>
                                  </w:r>
                                </w:p>
                              </w:tc>
                            </w:tr>
                            <w:tr w:rsidR="009B76EF" w:rsidRPr="009278C7" w14:paraId="345E25F7"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3926C6B4"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108</w:t>
                                  </w:r>
                                </w:p>
                              </w:tc>
                              <w:tc>
                                <w:tcPr>
                                  <w:tcW w:w="670" w:type="pct"/>
                                  <w:tcBorders>
                                    <w:top w:val="nil"/>
                                    <w:left w:val="nil"/>
                                    <w:bottom w:val="single" w:sz="4" w:space="0" w:color="auto"/>
                                    <w:right w:val="single" w:sz="4" w:space="0" w:color="auto"/>
                                  </w:tcBorders>
                                  <w:vAlign w:val="center"/>
                                </w:tcPr>
                                <w:p w14:paraId="1FA1B8F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940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A429455"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280 </w:t>
                                  </w:r>
                                </w:p>
                              </w:tc>
                              <w:tc>
                                <w:tcPr>
                                  <w:tcW w:w="772" w:type="pct"/>
                                  <w:tcBorders>
                                    <w:top w:val="nil"/>
                                    <w:left w:val="nil"/>
                                    <w:bottom w:val="single" w:sz="4" w:space="0" w:color="auto"/>
                                    <w:right w:val="single" w:sz="4" w:space="0" w:color="auto"/>
                                  </w:tcBorders>
                                  <w:shd w:val="clear" w:color="auto" w:fill="auto"/>
                                  <w:noWrap/>
                                  <w:vAlign w:val="center"/>
                                  <w:hideMark/>
                                </w:tcPr>
                                <w:p w14:paraId="0741533B"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8</w:t>
                                  </w:r>
                                </w:p>
                              </w:tc>
                              <w:tc>
                                <w:tcPr>
                                  <w:tcW w:w="771" w:type="pct"/>
                                  <w:tcBorders>
                                    <w:top w:val="nil"/>
                                    <w:left w:val="nil"/>
                                    <w:bottom w:val="single" w:sz="4" w:space="0" w:color="auto"/>
                                    <w:right w:val="single" w:sz="4" w:space="0" w:color="auto"/>
                                  </w:tcBorders>
                                  <w:shd w:val="clear" w:color="auto" w:fill="auto"/>
                                  <w:noWrap/>
                                  <w:vAlign w:val="center"/>
                                  <w:hideMark/>
                                </w:tcPr>
                                <w:p w14:paraId="7022A372"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37</w:t>
                                  </w:r>
                                </w:p>
                              </w:tc>
                              <w:tc>
                                <w:tcPr>
                                  <w:tcW w:w="772" w:type="pct"/>
                                  <w:tcBorders>
                                    <w:top w:val="nil"/>
                                    <w:left w:val="nil"/>
                                    <w:bottom w:val="single" w:sz="4" w:space="0" w:color="auto"/>
                                    <w:right w:val="single" w:sz="4" w:space="0" w:color="auto"/>
                                  </w:tcBorders>
                                  <w:shd w:val="clear" w:color="auto" w:fill="auto"/>
                                  <w:noWrap/>
                                  <w:vAlign w:val="center"/>
                                  <w:hideMark/>
                                </w:tcPr>
                                <w:p w14:paraId="7BE54246"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65</w:t>
                                  </w:r>
                                </w:p>
                              </w:tc>
                              <w:tc>
                                <w:tcPr>
                                  <w:tcW w:w="772" w:type="pct"/>
                                  <w:tcBorders>
                                    <w:top w:val="nil"/>
                                    <w:left w:val="nil"/>
                                    <w:bottom w:val="single" w:sz="4" w:space="0" w:color="auto"/>
                                    <w:right w:val="single" w:sz="4" w:space="0" w:color="auto"/>
                                  </w:tcBorders>
                                  <w:shd w:val="clear" w:color="auto" w:fill="auto"/>
                                  <w:noWrap/>
                                  <w:vAlign w:val="center"/>
                                  <w:hideMark/>
                                </w:tcPr>
                                <w:p w14:paraId="252C6CF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170</w:t>
                                  </w:r>
                                </w:p>
                              </w:tc>
                            </w:tr>
                            <w:tr w:rsidR="009B76EF" w:rsidRPr="009278C7" w14:paraId="5FC46911"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1AE33878"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109</w:t>
                                  </w:r>
                                </w:p>
                              </w:tc>
                              <w:tc>
                                <w:tcPr>
                                  <w:tcW w:w="670" w:type="pct"/>
                                  <w:tcBorders>
                                    <w:top w:val="nil"/>
                                    <w:left w:val="nil"/>
                                    <w:bottom w:val="single" w:sz="4" w:space="0" w:color="auto"/>
                                    <w:right w:val="single" w:sz="4" w:space="0" w:color="auto"/>
                                  </w:tcBorders>
                                  <w:vAlign w:val="center"/>
                                </w:tcPr>
                                <w:p w14:paraId="19FA0ED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949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91901C3"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194 </w:t>
                                  </w:r>
                                </w:p>
                              </w:tc>
                              <w:tc>
                                <w:tcPr>
                                  <w:tcW w:w="772" w:type="pct"/>
                                  <w:tcBorders>
                                    <w:top w:val="nil"/>
                                    <w:left w:val="nil"/>
                                    <w:bottom w:val="single" w:sz="4" w:space="0" w:color="auto"/>
                                    <w:right w:val="single" w:sz="4" w:space="0" w:color="auto"/>
                                  </w:tcBorders>
                                  <w:shd w:val="clear" w:color="auto" w:fill="auto"/>
                                  <w:noWrap/>
                                  <w:vAlign w:val="center"/>
                                  <w:hideMark/>
                                </w:tcPr>
                                <w:p w14:paraId="3F6568A3"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4</w:t>
                                  </w:r>
                                </w:p>
                              </w:tc>
                              <w:tc>
                                <w:tcPr>
                                  <w:tcW w:w="771" w:type="pct"/>
                                  <w:tcBorders>
                                    <w:top w:val="nil"/>
                                    <w:left w:val="nil"/>
                                    <w:bottom w:val="single" w:sz="4" w:space="0" w:color="auto"/>
                                    <w:right w:val="single" w:sz="4" w:space="0" w:color="auto"/>
                                  </w:tcBorders>
                                  <w:shd w:val="clear" w:color="auto" w:fill="auto"/>
                                  <w:noWrap/>
                                  <w:vAlign w:val="center"/>
                                  <w:hideMark/>
                                </w:tcPr>
                                <w:p w14:paraId="306C040A"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20</w:t>
                                  </w:r>
                                </w:p>
                              </w:tc>
                              <w:tc>
                                <w:tcPr>
                                  <w:tcW w:w="772" w:type="pct"/>
                                  <w:tcBorders>
                                    <w:top w:val="nil"/>
                                    <w:left w:val="nil"/>
                                    <w:bottom w:val="single" w:sz="4" w:space="0" w:color="auto"/>
                                    <w:right w:val="single" w:sz="4" w:space="0" w:color="auto"/>
                                  </w:tcBorders>
                                  <w:shd w:val="clear" w:color="auto" w:fill="auto"/>
                                  <w:noWrap/>
                                  <w:vAlign w:val="center"/>
                                  <w:hideMark/>
                                </w:tcPr>
                                <w:p w14:paraId="3AE3D0C5"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45</w:t>
                                  </w:r>
                                </w:p>
                              </w:tc>
                              <w:tc>
                                <w:tcPr>
                                  <w:tcW w:w="772" w:type="pct"/>
                                  <w:tcBorders>
                                    <w:top w:val="nil"/>
                                    <w:left w:val="nil"/>
                                    <w:bottom w:val="single" w:sz="4" w:space="0" w:color="auto"/>
                                    <w:right w:val="single" w:sz="4" w:space="0" w:color="auto"/>
                                  </w:tcBorders>
                                  <w:shd w:val="clear" w:color="auto" w:fill="auto"/>
                                  <w:noWrap/>
                                  <w:vAlign w:val="center"/>
                                  <w:hideMark/>
                                </w:tcPr>
                                <w:p w14:paraId="50CCE6F0"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125</w:t>
                                  </w:r>
                                </w:p>
                              </w:tc>
                            </w:tr>
                            <w:tr w:rsidR="009B76EF" w:rsidRPr="009278C7" w14:paraId="7F140903"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0CFF8FE3"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110</w:t>
                                  </w:r>
                                </w:p>
                              </w:tc>
                              <w:tc>
                                <w:tcPr>
                                  <w:tcW w:w="670" w:type="pct"/>
                                  <w:tcBorders>
                                    <w:top w:val="nil"/>
                                    <w:left w:val="nil"/>
                                    <w:bottom w:val="single" w:sz="4" w:space="0" w:color="auto"/>
                                    <w:right w:val="single" w:sz="4" w:space="0" w:color="auto"/>
                                  </w:tcBorders>
                                  <w:vAlign w:val="center"/>
                                </w:tcPr>
                                <w:p w14:paraId="433FC1B8"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664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FF789E7"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205 </w:t>
                                  </w:r>
                                </w:p>
                              </w:tc>
                              <w:tc>
                                <w:tcPr>
                                  <w:tcW w:w="772" w:type="pct"/>
                                  <w:tcBorders>
                                    <w:top w:val="nil"/>
                                    <w:left w:val="nil"/>
                                    <w:bottom w:val="single" w:sz="4" w:space="0" w:color="auto"/>
                                    <w:right w:val="single" w:sz="4" w:space="0" w:color="auto"/>
                                  </w:tcBorders>
                                  <w:shd w:val="clear" w:color="auto" w:fill="auto"/>
                                  <w:noWrap/>
                                  <w:vAlign w:val="center"/>
                                  <w:hideMark/>
                                </w:tcPr>
                                <w:p w14:paraId="56726FDB"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5</w:t>
                                  </w:r>
                                </w:p>
                              </w:tc>
                              <w:tc>
                                <w:tcPr>
                                  <w:tcW w:w="771" w:type="pct"/>
                                  <w:tcBorders>
                                    <w:top w:val="nil"/>
                                    <w:left w:val="nil"/>
                                    <w:bottom w:val="single" w:sz="4" w:space="0" w:color="auto"/>
                                    <w:right w:val="single" w:sz="4" w:space="0" w:color="auto"/>
                                  </w:tcBorders>
                                  <w:shd w:val="clear" w:color="auto" w:fill="auto"/>
                                  <w:noWrap/>
                                  <w:vAlign w:val="center"/>
                                  <w:hideMark/>
                                </w:tcPr>
                                <w:p w14:paraId="7F3A1805"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16</w:t>
                                  </w:r>
                                </w:p>
                              </w:tc>
                              <w:tc>
                                <w:tcPr>
                                  <w:tcW w:w="772" w:type="pct"/>
                                  <w:tcBorders>
                                    <w:top w:val="nil"/>
                                    <w:left w:val="nil"/>
                                    <w:bottom w:val="single" w:sz="4" w:space="0" w:color="auto"/>
                                    <w:right w:val="single" w:sz="4" w:space="0" w:color="auto"/>
                                  </w:tcBorders>
                                  <w:shd w:val="clear" w:color="auto" w:fill="auto"/>
                                  <w:noWrap/>
                                  <w:vAlign w:val="center"/>
                                  <w:hideMark/>
                                </w:tcPr>
                                <w:p w14:paraId="72B8747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52</w:t>
                                  </w:r>
                                </w:p>
                              </w:tc>
                              <w:tc>
                                <w:tcPr>
                                  <w:tcW w:w="772" w:type="pct"/>
                                  <w:tcBorders>
                                    <w:top w:val="nil"/>
                                    <w:left w:val="nil"/>
                                    <w:bottom w:val="single" w:sz="4" w:space="0" w:color="auto"/>
                                    <w:right w:val="single" w:sz="4" w:space="0" w:color="auto"/>
                                  </w:tcBorders>
                                  <w:shd w:val="clear" w:color="auto" w:fill="auto"/>
                                  <w:noWrap/>
                                  <w:vAlign w:val="center"/>
                                  <w:hideMark/>
                                </w:tcPr>
                                <w:p w14:paraId="295A0F91"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132</w:t>
                                  </w:r>
                                </w:p>
                              </w:tc>
                            </w:tr>
                            <w:tr w:rsidR="009B76EF" w:rsidRPr="009278C7" w14:paraId="364A52B5"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3EAAA20A"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111</w:t>
                                  </w:r>
                                </w:p>
                              </w:tc>
                              <w:tc>
                                <w:tcPr>
                                  <w:tcW w:w="670" w:type="pct"/>
                                  <w:tcBorders>
                                    <w:top w:val="nil"/>
                                    <w:left w:val="nil"/>
                                    <w:bottom w:val="single" w:sz="4" w:space="0" w:color="auto"/>
                                    <w:right w:val="single" w:sz="4" w:space="0" w:color="auto"/>
                                  </w:tcBorders>
                                  <w:vAlign w:val="center"/>
                                </w:tcPr>
                                <w:p w14:paraId="33172D7B"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456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B3884FA"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264 </w:t>
                                  </w:r>
                                </w:p>
                              </w:tc>
                              <w:tc>
                                <w:tcPr>
                                  <w:tcW w:w="772" w:type="pct"/>
                                  <w:tcBorders>
                                    <w:top w:val="nil"/>
                                    <w:left w:val="nil"/>
                                    <w:bottom w:val="single" w:sz="4" w:space="0" w:color="auto"/>
                                    <w:right w:val="single" w:sz="4" w:space="0" w:color="auto"/>
                                  </w:tcBorders>
                                  <w:shd w:val="clear" w:color="auto" w:fill="auto"/>
                                  <w:noWrap/>
                                  <w:vAlign w:val="center"/>
                                  <w:hideMark/>
                                </w:tcPr>
                                <w:p w14:paraId="6252349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w:t>
                                  </w:r>
                                </w:p>
                              </w:tc>
                              <w:tc>
                                <w:tcPr>
                                  <w:tcW w:w="771" w:type="pct"/>
                                  <w:tcBorders>
                                    <w:top w:val="nil"/>
                                    <w:left w:val="nil"/>
                                    <w:bottom w:val="single" w:sz="4" w:space="0" w:color="auto"/>
                                    <w:right w:val="single" w:sz="4" w:space="0" w:color="auto"/>
                                  </w:tcBorders>
                                  <w:shd w:val="clear" w:color="auto" w:fill="auto"/>
                                  <w:noWrap/>
                                  <w:vAlign w:val="center"/>
                                  <w:hideMark/>
                                </w:tcPr>
                                <w:p w14:paraId="06B9B4B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31</w:t>
                                  </w:r>
                                </w:p>
                              </w:tc>
                              <w:tc>
                                <w:tcPr>
                                  <w:tcW w:w="772" w:type="pct"/>
                                  <w:tcBorders>
                                    <w:top w:val="nil"/>
                                    <w:left w:val="nil"/>
                                    <w:bottom w:val="single" w:sz="4" w:space="0" w:color="auto"/>
                                    <w:right w:val="single" w:sz="4" w:space="0" w:color="auto"/>
                                  </w:tcBorders>
                                  <w:shd w:val="clear" w:color="auto" w:fill="auto"/>
                                  <w:noWrap/>
                                  <w:vAlign w:val="center"/>
                                  <w:hideMark/>
                                </w:tcPr>
                                <w:p w14:paraId="1D57B5F7"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82</w:t>
                                  </w:r>
                                </w:p>
                              </w:tc>
                              <w:tc>
                                <w:tcPr>
                                  <w:tcW w:w="772" w:type="pct"/>
                                  <w:tcBorders>
                                    <w:top w:val="nil"/>
                                    <w:left w:val="nil"/>
                                    <w:bottom w:val="single" w:sz="4" w:space="0" w:color="auto"/>
                                    <w:right w:val="single" w:sz="4" w:space="0" w:color="auto"/>
                                  </w:tcBorders>
                                  <w:shd w:val="clear" w:color="auto" w:fill="auto"/>
                                  <w:noWrap/>
                                  <w:vAlign w:val="center"/>
                                  <w:hideMark/>
                                </w:tcPr>
                                <w:p w14:paraId="48EC8F82"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141</w:t>
                                  </w:r>
                                </w:p>
                              </w:tc>
                            </w:tr>
                            <w:tr w:rsidR="009B76EF" w:rsidRPr="009278C7" w14:paraId="634D369C"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5C53B37B"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112</w:t>
                                  </w:r>
                                </w:p>
                              </w:tc>
                              <w:tc>
                                <w:tcPr>
                                  <w:tcW w:w="670" w:type="pct"/>
                                  <w:tcBorders>
                                    <w:top w:val="nil"/>
                                    <w:left w:val="nil"/>
                                    <w:bottom w:val="single" w:sz="4" w:space="0" w:color="auto"/>
                                    <w:right w:val="single" w:sz="4" w:space="0" w:color="auto"/>
                                  </w:tcBorders>
                                  <w:vAlign w:val="center"/>
                                </w:tcPr>
                                <w:p w14:paraId="12196BB3"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495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44568B9"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202 </w:t>
                                  </w:r>
                                </w:p>
                              </w:tc>
                              <w:tc>
                                <w:tcPr>
                                  <w:tcW w:w="772" w:type="pct"/>
                                  <w:tcBorders>
                                    <w:top w:val="nil"/>
                                    <w:left w:val="nil"/>
                                    <w:bottom w:val="single" w:sz="4" w:space="0" w:color="auto"/>
                                    <w:right w:val="single" w:sz="4" w:space="0" w:color="auto"/>
                                  </w:tcBorders>
                                  <w:shd w:val="clear" w:color="auto" w:fill="auto"/>
                                  <w:noWrap/>
                                  <w:vAlign w:val="center"/>
                                  <w:hideMark/>
                                </w:tcPr>
                                <w:p w14:paraId="25CF71FA"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w:t>
                                  </w:r>
                                </w:p>
                              </w:tc>
                              <w:tc>
                                <w:tcPr>
                                  <w:tcW w:w="771" w:type="pct"/>
                                  <w:tcBorders>
                                    <w:top w:val="nil"/>
                                    <w:left w:val="nil"/>
                                    <w:bottom w:val="single" w:sz="4" w:space="0" w:color="auto"/>
                                    <w:right w:val="single" w:sz="4" w:space="0" w:color="auto"/>
                                  </w:tcBorders>
                                  <w:shd w:val="clear" w:color="auto" w:fill="auto"/>
                                  <w:noWrap/>
                                  <w:vAlign w:val="center"/>
                                  <w:hideMark/>
                                </w:tcPr>
                                <w:p w14:paraId="22544589"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32</w:t>
                                  </w:r>
                                </w:p>
                              </w:tc>
                              <w:tc>
                                <w:tcPr>
                                  <w:tcW w:w="772" w:type="pct"/>
                                  <w:tcBorders>
                                    <w:top w:val="nil"/>
                                    <w:left w:val="nil"/>
                                    <w:bottom w:val="single" w:sz="4" w:space="0" w:color="auto"/>
                                    <w:right w:val="single" w:sz="4" w:space="0" w:color="auto"/>
                                  </w:tcBorders>
                                  <w:shd w:val="clear" w:color="auto" w:fill="auto"/>
                                  <w:noWrap/>
                                  <w:vAlign w:val="center"/>
                                  <w:hideMark/>
                                </w:tcPr>
                                <w:p w14:paraId="15FC57B6"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52</w:t>
                                  </w:r>
                                </w:p>
                              </w:tc>
                              <w:tc>
                                <w:tcPr>
                                  <w:tcW w:w="772" w:type="pct"/>
                                  <w:tcBorders>
                                    <w:top w:val="nil"/>
                                    <w:left w:val="nil"/>
                                    <w:bottom w:val="single" w:sz="4" w:space="0" w:color="auto"/>
                                    <w:right w:val="single" w:sz="4" w:space="0" w:color="auto"/>
                                  </w:tcBorders>
                                  <w:shd w:val="clear" w:color="auto" w:fill="auto"/>
                                  <w:noWrap/>
                                  <w:vAlign w:val="center"/>
                                  <w:hideMark/>
                                </w:tcPr>
                                <w:p w14:paraId="0CBDAAC6"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108</w:t>
                                  </w:r>
                                </w:p>
                              </w:tc>
                            </w:tr>
                            <w:tr w:rsidR="009B76EF" w:rsidRPr="009278C7" w14:paraId="19968F9E"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2434DFDB"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113</w:t>
                                  </w:r>
                                </w:p>
                              </w:tc>
                              <w:tc>
                                <w:tcPr>
                                  <w:tcW w:w="670" w:type="pct"/>
                                  <w:tcBorders>
                                    <w:top w:val="single" w:sz="4" w:space="0" w:color="auto"/>
                                    <w:left w:val="single" w:sz="4" w:space="0" w:color="auto"/>
                                    <w:bottom w:val="single" w:sz="4" w:space="0" w:color="auto"/>
                                    <w:right w:val="single" w:sz="4" w:space="0" w:color="auto"/>
                                  </w:tcBorders>
                                  <w:vAlign w:val="center"/>
                                </w:tcPr>
                                <w:p w14:paraId="1B7C9E97"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603 </w:t>
                                  </w:r>
                                </w:p>
                              </w:tc>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CCC04"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2F8B8208"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160838D0"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478371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22E72C2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r>
                          </w:tbl>
                          <w:p w14:paraId="40106F00" w14:textId="77777777" w:rsidR="009B76EF" w:rsidRPr="0023427B" w:rsidRDefault="009B76EF" w:rsidP="009B76EF">
                            <w:pPr>
                              <w:ind w:leftChars="118" w:left="283" w:rightChars="202" w:right="485" w:firstLine="1"/>
                              <w:jc w:val="both"/>
                              <w:rPr>
                                <w:rFonts w:ascii="標楷體" w:eastAsia="標楷體" w:hAnsi="標楷體"/>
                                <w:sz w:val="18"/>
                              </w:rPr>
                            </w:pPr>
                            <w:r w:rsidRPr="0023427B">
                              <w:rPr>
                                <w:rFonts w:ascii="標楷體" w:eastAsia="標楷體" w:hAnsi="標楷體" w:hint="eastAsia"/>
                                <w:sz w:val="18"/>
                              </w:rPr>
                              <w:t>資料來源：整理自聯合國兒童權利公約資訊網網站資料。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44842C" id="_x0000_s1077" type="#_x0000_t202" style="position:absolute;left:0;text-align:left;margin-left:165.4pt;margin-top:384.65pt;width:330.6pt;height:196.2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" stroked="f">
                <v:textbox>
                  <w:txbxContent>
                    <w:p w14:paraId="5304EC48" w14:textId="101FE42E" w:rsidR="009B76EF" w:rsidRPr="00A95C88" w:rsidRDefault="009B76EF" w:rsidP="009B76EF">
                      <w:pPr>
                        <w:widowControl/>
                        <w:spacing w:line="240" w:lineRule="exact"/>
                        <w:jc w:val="center"/>
                        <w:rPr>
                          <w:rFonts w:ascii="標楷體" w:eastAsia="標楷體" w:hAnsi="標楷體" w:cs="新細明體"/>
                          <w:b/>
                          <w:bCs/>
                          <w:color w:val="000000"/>
                          <w:kern w:val="0"/>
                          <w:szCs w:val="24"/>
                        </w:rPr>
                      </w:pPr>
                      <w:r w:rsidRPr="00A95C88">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26</w:t>
                      </w:r>
                      <w:r w:rsidR="00D55E09">
                        <w:rPr>
                          <w:rFonts w:ascii="標楷體" w:eastAsia="標楷體" w:hAnsi="標楷體" w:cs="新細明體" w:hint="eastAsia"/>
                          <w:b/>
                          <w:bCs/>
                          <w:color w:val="000000"/>
                          <w:kern w:val="0"/>
                          <w:szCs w:val="24"/>
                        </w:rPr>
                        <w:t xml:space="preserve">　</w:t>
                      </w:r>
                      <w:r w:rsidRPr="00A95C88">
                        <w:rPr>
                          <w:rFonts w:ascii="標楷體" w:eastAsia="標楷體" w:hAnsi="標楷體" w:cs="新細明體" w:hint="eastAsia"/>
                          <w:b/>
                          <w:bCs/>
                          <w:color w:val="000000"/>
                          <w:kern w:val="0"/>
                          <w:szCs w:val="24"/>
                        </w:rPr>
                        <w:t>少年犯毒品刑事犯罪情形</w:t>
                      </w:r>
                    </w:p>
                    <w:p w14:paraId="7EE9592C" w14:textId="77777777" w:rsidR="009B76EF" w:rsidRPr="0061707C" w:rsidRDefault="009B76EF" w:rsidP="009B76EF">
                      <w:pPr>
                        <w:spacing w:line="240" w:lineRule="exact"/>
                        <w:ind w:rightChars="142" w:right="341"/>
                        <w:jc w:val="right"/>
                        <w:rPr>
                          <w:rFonts w:ascii="標楷體" w:eastAsia="標楷體" w:hAnsi="標楷體"/>
                          <w:sz w:val="20"/>
                        </w:rPr>
                      </w:pPr>
                      <w:r w:rsidRPr="0061707C">
                        <w:rPr>
                          <w:rFonts w:ascii="標楷體" w:eastAsia="標楷體" w:hAnsi="標楷體" w:hint="eastAsia"/>
                          <w:sz w:val="20"/>
                        </w:rPr>
                        <w:t>單位：人</w:t>
                      </w:r>
                    </w:p>
                    <w:tbl>
                      <w:tblPr>
                        <w:tblW w:w="4471" w:type="pct"/>
                        <w:jc w:val="center"/>
                        <w:tblCellMar>
                          <w:left w:w="28" w:type="dxa"/>
                          <w:right w:w="28" w:type="dxa"/>
                        </w:tblCellMar>
                        <w:tblLook w:val="04A0" w:firstRow="1" w:lastRow="0" w:firstColumn="1" w:lastColumn="0" w:noHBand="0" w:noVBand="1"/>
                      </w:tblPr>
                      <w:tblGrid>
                        <w:gridCol w:w="541"/>
                        <w:gridCol w:w="765"/>
                        <w:gridCol w:w="880"/>
                        <w:gridCol w:w="881"/>
                        <w:gridCol w:w="880"/>
                        <w:gridCol w:w="881"/>
                        <w:gridCol w:w="878"/>
                      </w:tblGrid>
                      <w:tr w:rsidR="009B76EF" w:rsidRPr="009278C7" w14:paraId="1CF52232" w14:textId="77777777" w:rsidTr="006A4791">
                        <w:trPr>
                          <w:trHeight w:val="324"/>
                          <w:jc w:val="center"/>
                        </w:trPr>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0EF713"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年度</w:t>
                            </w:r>
                          </w:p>
                        </w:tc>
                        <w:tc>
                          <w:tcPr>
                            <w:tcW w:w="670" w:type="pct"/>
                            <w:vMerge w:val="restart"/>
                            <w:tcBorders>
                              <w:top w:val="single" w:sz="4" w:space="0" w:color="auto"/>
                              <w:left w:val="single" w:sz="4" w:space="0" w:color="auto"/>
                              <w:right w:val="single" w:sz="4" w:space="0" w:color="auto"/>
                            </w:tcBorders>
                            <w:vAlign w:val="center"/>
                          </w:tcPr>
                          <w:p w14:paraId="2E298B1D"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涉嫌犯罪人數</w:t>
                            </w:r>
                          </w:p>
                        </w:tc>
                        <w:tc>
                          <w:tcPr>
                            <w:tcW w:w="3856"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AB101"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地方檢察署執行裁判確定有罪少年犯人數</w:t>
                            </w:r>
                          </w:p>
                        </w:tc>
                      </w:tr>
                      <w:tr w:rsidR="009B76EF" w:rsidRPr="009278C7" w14:paraId="410E7F75" w14:textId="77777777" w:rsidTr="006A4791">
                        <w:trPr>
                          <w:trHeight w:val="324"/>
                          <w:jc w:val="center"/>
                        </w:trPr>
                        <w:tc>
                          <w:tcPr>
                            <w:tcW w:w="475" w:type="pct"/>
                            <w:vMerge/>
                            <w:tcBorders>
                              <w:left w:val="single" w:sz="4" w:space="0" w:color="auto"/>
                              <w:bottom w:val="single" w:sz="4" w:space="0" w:color="auto"/>
                              <w:right w:val="single" w:sz="4" w:space="0" w:color="auto"/>
                            </w:tcBorders>
                            <w:vAlign w:val="center"/>
                            <w:hideMark/>
                          </w:tcPr>
                          <w:p w14:paraId="032D9FCD" w14:textId="77777777" w:rsidR="009B76EF" w:rsidRPr="00A95C88" w:rsidRDefault="009B76EF" w:rsidP="00A95C88">
                            <w:pPr>
                              <w:widowControl/>
                              <w:spacing w:line="0" w:lineRule="atLeast"/>
                              <w:rPr>
                                <w:rFonts w:ascii="標楷體" w:eastAsia="標楷體" w:hAnsi="標楷體" w:cs="新細明體"/>
                                <w:color w:val="000000"/>
                                <w:kern w:val="0"/>
                                <w:sz w:val="20"/>
                              </w:rPr>
                            </w:pPr>
                          </w:p>
                        </w:tc>
                        <w:tc>
                          <w:tcPr>
                            <w:tcW w:w="670" w:type="pct"/>
                            <w:vMerge/>
                            <w:tcBorders>
                              <w:left w:val="single" w:sz="4" w:space="0" w:color="auto"/>
                              <w:bottom w:val="single" w:sz="4" w:space="0" w:color="auto"/>
                              <w:right w:val="single" w:sz="4" w:space="0" w:color="auto"/>
                            </w:tcBorders>
                            <w:vAlign w:val="center"/>
                          </w:tcPr>
                          <w:p w14:paraId="08582177" w14:textId="77777777" w:rsidR="009B76EF" w:rsidRPr="00A95C88" w:rsidRDefault="009B76EF" w:rsidP="00A95C88">
                            <w:pPr>
                              <w:widowControl/>
                              <w:spacing w:line="0" w:lineRule="atLeast"/>
                              <w:rPr>
                                <w:rFonts w:ascii="標楷體" w:eastAsia="標楷體" w:hAnsi="標楷體" w:cs="新細明體"/>
                                <w:color w:val="000000"/>
                                <w:kern w:val="0"/>
                                <w:sz w:val="20"/>
                              </w:rPr>
                            </w:pPr>
                          </w:p>
                        </w:tc>
                        <w:tc>
                          <w:tcPr>
                            <w:tcW w:w="771" w:type="pct"/>
                            <w:tcBorders>
                              <w:top w:val="nil"/>
                              <w:left w:val="single" w:sz="4" w:space="0" w:color="auto"/>
                              <w:bottom w:val="single" w:sz="4" w:space="0" w:color="auto"/>
                              <w:right w:val="single" w:sz="4" w:space="0" w:color="auto"/>
                            </w:tcBorders>
                            <w:vAlign w:val="center"/>
                            <w:hideMark/>
                          </w:tcPr>
                          <w:p w14:paraId="3808893B" w14:textId="77777777" w:rsidR="009B76EF" w:rsidRPr="00A95C88" w:rsidRDefault="009B76EF" w:rsidP="002F389A">
                            <w:pPr>
                              <w:widowControl/>
                              <w:spacing w:line="0" w:lineRule="atLeast"/>
                              <w:jc w:val="center"/>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合計</w:t>
                            </w:r>
                          </w:p>
                        </w:tc>
                        <w:tc>
                          <w:tcPr>
                            <w:tcW w:w="772" w:type="pct"/>
                            <w:tcBorders>
                              <w:top w:val="nil"/>
                              <w:left w:val="nil"/>
                              <w:bottom w:val="single" w:sz="4" w:space="0" w:color="auto"/>
                              <w:right w:val="single" w:sz="4" w:space="0" w:color="auto"/>
                            </w:tcBorders>
                            <w:shd w:val="clear" w:color="auto" w:fill="auto"/>
                            <w:noWrap/>
                            <w:vAlign w:val="center"/>
                            <w:hideMark/>
                          </w:tcPr>
                          <w:p w14:paraId="3A857357"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14歲</w:t>
                            </w:r>
                          </w:p>
                        </w:tc>
                        <w:tc>
                          <w:tcPr>
                            <w:tcW w:w="771" w:type="pct"/>
                            <w:tcBorders>
                              <w:top w:val="nil"/>
                              <w:left w:val="nil"/>
                              <w:bottom w:val="single" w:sz="4" w:space="0" w:color="auto"/>
                              <w:right w:val="single" w:sz="4" w:space="0" w:color="auto"/>
                            </w:tcBorders>
                            <w:shd w:val="clear" w:color="auto" w:fill="auto"/>
                            <w:noWrap/>
                            <w:vAlign w:val="center"/>
                            <w:hideMark/>
                          </w:tcPr>
                          <w:p w14:paraId="2CA6B623"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15歲</w:t>
                            </w:r>
                          </w:p>
                        </w:tc>
                        <w:tc>
                          <w:tcPr>
                            <w:tcW w:w="772" w:type="pct"/>
                            <w:tcBorders>
                              <w:top w:val="nil"/>
                              <w:left w:val="nil"/>
                              <w:bottom w:val="single" w:sz="4" w:space="0" w:color="auto"/>
                              <w:right w:val="single" w:sz="4" w:space="0" w:color="auto"/>
                            </w:tcBorders>
                            <w:shd w:val="clear" w:color="auto" w:fill="auto"/>
                            <w:noWrap/>
                            <w:vAlign w:val="center"/>
                            <w:hideMark/>
                          </w:tcPr>
                          <w:p w14:paraId="12A614EA"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16歲</w:t>
                            </w:r>
                          </w:p>
                        </w:tc>
                        <w:tc>
                          <w:tcPr>
                            <w:tcW w:w="772" w:type="pct"/>
                            <w:tcBorders>
                              <w:top w:val="nil"/>
                              <w:left w:val="nil"/>
                              <w:bottom w:val="single" w:sz="4" w:space="0" w:color="auto"/>
                              <w:right w:val="single" w:sz="4" w:space="0" w:color="auto"/>
                            </w:tcBorders>
                            <w:shd w:val="clear" w:color="auto" w:fill="auto"/>
                            <w:noWrap/>
                            <w:vAlign w:val="center"/>
                            <w:hideMark/>
                          </w:tcPr>
                          <w:p w14:paraId="087D1154" w14:textId="77777777" w:rsidR="009B76EF" w:rsidRPr="00A95C88" w:rsidRDefault="009B76EF" w:rsidP="002F389A">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17歲</w:t>
                            </w:r>
                          </w:p>
                        </w:tc>
                      </w:tr>
                      <w:tr w:rsidR="009B76EF" w:rsidRPr="009278C7" w14:paraId="625D8792" w14:textId="77777777" w:rsidTr="006A4791">
                        <w:trPr>
                          <w:trHeight w:val="324"/>
                          <w:jc w:val="center"/>
                        </w:trPr>
                        <w:tc>
                          <w:tcPr>
                            <w:tcW w:w="4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C9154" w14:textId="77777777" w:rsidR="009B76EF" w:rsidRPr="00A95C88" w:rsidRDefault="009B76EF" w:rsidP="00A95C88">
                            <w:pPr>
                              <w:widowControl/>
                              <w:spacing w:line="0" w:lineRule="atLeast"/>
                              <w:jc w:val="center"/>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合計</w:t>
                            </w:r>
                          </w:p>
                        </w:tc>
                        <w:tc>
                          <w:tcPr>
                            <w:tcW w:w="670" w:type="pct"/>
                            <w:tcBorders>
                              <w:top w:val="nil"/>
                              <w:left w:val="nil"/>
                              <w:bottom w:val="single" w:sz="4" w:space="0" w:color="auto"/>
                              <w:right w:val="single" w:sz="4" w:space="0" w:color="auto"/>
                            </w:tcBorders>
                            <w:vAlign w:val="center"/>
                          </w:tcPr>
                          <w:p w14:paraId="02A03DF4"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4,107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8756579"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1,145 </w:t>
                            </w:r>
                          </w:p>
                        </w:tc>
                        <w:tc>
                          <w:tcPr>
                            <w:tcW w:w="772" w:type="pct"/>
                            <w:tcBorders>
                              <w:top w:val="nil"/>
                              <w:left w:val="nil"/>
                              <w:bottom w:val="single" w:sz="4" w:space="0" w:color="auto"/>
                              <w:right w:val="single" w:sz="4" w:space="0" w:color="auto"/>
                            </w:tcBorders>
                            <w:shd w:val="clear" w:color="auto" w:fill="auto"/>
                            <w:noWrap/>
                            <w:vAlign w:val="center"/>
                            <w:hideMark/>
                          </w:tcPr>
                          <w:p w14:paraId="2AC2B6C4"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37</w:t>
                            </w:r>
                          </w:p>
                        </w:tc>
                        <w:tc>
                          <w:tcPr>
                            <w:tcW w:w="771" w:type="pct"/>
                            <w:tcBorders>
                              <w:top w:val="nil"/>
                              <w:left w:val="nil"/>
                              <w:bottom w:val="single" w:sz="4" w:space="0" w:color="auto"/>
                              <w:right w:val="single" w:sz="4" w:space="0" w:color="auto"/>
                            </w:tcBorders>
                            <w:shd w:val="clear" w:color="auto" w:fill="auto"/>
                            <w:noWrap/>
                            <w:vAlign w:val="center"/>
                            <w:hideMark/>
                          </w:tcPr>
                          <w:p w14:paraId="0AEA4596"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136</w:t>
                            </w:r>
                          </w:p>
                        </w:tc>
                        <w:tc>
                          <w:tcPr>
                            <w:tcW w:w="772" w:type="pct"/>
                            <w:tcBorders>
                              <w:top w:val="nil"/>
                              <w:left w:val="nil"/>
                              <w:bottom w:val="single" w:sz="4" w:space="0" w:color="auto"/>
                              <w:right w:val="single" w:sz="4" w:space="0" w:color="auto"/>
                            </w:tcBorders>
                            <w:shd w:val="clear" w:color="auto" w:fill="auto"/>
                            <w:noWrap/>
                            <w:vAlign w:val="center"/>
                            <w:hideMark/>
                          </w:tcPr>
                          <w:p w14:paraId="587C50CD"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296</w:t>
                            </w:r>
                          </w:p>
                        </w:tc>
                        <w:tc>
                          <w:tcPr>
                            <w:tcW w:w="772" w:type="pct"/>
                            <w:tcBorders>
                              <w:top w:val="nil"/>
                              <w:left w:val="nil"/>
                              <w:bottom w:val="single" w:sz="4" w:space="0" w:color="auto"/>
                              <w:right w:val="single" w:sz="4" w:space="0" w:color="auto"/>
                            </w:tcBorders>
                            <w:shd w:val="clear" w:color="auto" w:fill="auto"/>
                            <w:noWrap/>
                            <w:vAlign w:val="center"/>
                            <w:hideMark/>
                          </w:tcPr>
                          <w:p w14:paraId="3434A2FD"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676</w:t>
                            </w:r>
                          </w:p>
                        </w:tc>
                      </w:tr>
                      <w:tr w:rsidR="009B76EF" w:rsidRPr="009278C7" w14:paraId="345E25F7"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3926C6B4"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108</w:t>
                            </w:r>
                          </w:p>
                        </w:tc>
                        <w:tc>
                          <w:tcPr>
                            <w:tcW w:w="670" w:type="pct"/>
                            <w:tcBorders>
                              <w:top w:val="nil"/>
                              <w:left w:val="nil"/>
                              <w:bottom w:val="single" w:sz="4" w:space="0" w:color="auto"/>
                              <w:right w:val="single" w:sz="4" w:space="0" w:color="auto"/>
                            </w:tcBorders>
                            <w:vAlign w:val="center"/>
                          </w:tcPr>
                          <w:p w14:paraId="1FA1B8F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940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A429455"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280 </w:t>
                            </w:r>
                          </w:p>
                        </w:tc>
                        <w:tc>
                          <w:tcPr>
                            <w:tcW w:w="772" w:type="pct"/>
                            <w:tcBorders>
                              <w:top w:val="nil"/>
                              <w:left w:val="nil"/>
                              <w:bottom w:val="single" w:sz="4" w:space="0" w:color="auto"/>
                              <w:right w:val="single" w:sz="4" w:space="0" w:color="auto"/>
                            </w:tcBorders>
                            <w:shd w:val="clear" w:color="auto" w:fill="auto"/>
                            <w:noWrap/>
                            <w:vAlign w:val="center"/>
                            <w:hideMark/>
                          </w:tcPr>
                          <w:p w14:paraId="0741533B"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8</w:t>
                            </w:r>
                          </w:p>
                        </w:tc>
                        <w:tc>
                          <w:tcPr>
                            <w:tcW w:w="771" w:type="pct"/>
                            <w:tcBorders>
                              <w:top w:val="nil"/>
                              <w:left w:val="nil"/>
                              <w:bottom w:val="single" w:sz="4" w:space="0" w:color="auto"/>
                              <w:right w:val="single" w:sz="4" w:space="0" w:color="auto"/>
                            </w:tcBorders>
                            <w:shd w:val="clear" w:color="auto" w:fill="auto"/>
                            <w:noWrap/>
                            <w:vAlign w:val="center"/>
                            <w:hideMark/>
                          </w:tcPr>
                          <w:p w14:paraId="7022A372"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37</w:t>
                            </w:r>
                          </w:p>
                        </w:tc>
                        <w:tc>
                          <w:tcPr>
                            <w:tcW w:w="772" w:type="pct"/>
                            <w:tcBorders>
                              <w:top w:val="nil"/>
                              <w:left w:val="nil"/>
                              <w:bottom w:val="single" w:sz="4" w:space="0" w:color="auto"/>
                              <w:right w:val="single" w:sz="4" w:space="0" w:color="auto"/>
                            </w:tcBorders>
                            <w:shd w:val="clear" w:color="auto" w:fill="auto"/>
                            <w:noWrap/>
                            <w:vAlign w:val="center"/>
                            <w:hideMark/>
                          </w:tcPr>
                          <w:p w14:paraId="7BE54246"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65</w:t>
                            </w:r>
                          </w:p>
                        </w:tc>
                        <w:tc>
                          <w:tcPr>
                            <w:tcW w:w="772" w:type="pct"/>
                            <w:tcBorders>
                              <w:top w:val="nil"/>
                              <w:left w:val="nil"/>
                              <w:bottom w:val="single" w:sz="4" w:space="0" w:color="auto"/>
                              <w:right w:val="single" w:sz="4" w:space="0" w:color="auto"/>
                            </w:tcBorders>
                            <w:shd w:val="clear" w:color="auto" w:fill="auto"/>
                            <w:noWrap/>
                            <w:vAlign w:val="center"/>
                            <w:hideMark/>
                          </w:tcPr>
                          <w:p w14:paraId="252C6CF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170</w:t>
                            </w:r>
                          </w:p>
                        </w:tc>
                      </w:tr>
                      <w:tr w:rsidR="009B76EF" w:rsidRPr="009278C7" w14:paraId="5FC46911"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1AE33878"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109</w:t>
                            </w:r>
                          </w:p>
                        </w:tc>
                        <w:tc>
                          <w:tcPr>
                            <w:tcW w:w="670" w:type="pct"/>
                            <w:tcBorders>
                              <w:top w:val="nil"/>
                              <w:left w:val="nil"/>
                              <w:bottom w:val="single" w:sz="4" w:space="0" w:color="auto"/>
                              <w:right w:val="single" w:sz="4" w:space="0" w:color="auto"/>
                            </w:tcBorders>
                            <w:vAlign w:val="center"/>
                          </w:tcPr>
                          <w:p w14:paraId="19FA0ED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949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91901C3"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194 </w:t>
                            </w:r>
                          </w:p>
                        </w:tc>
                        <w:tc>
                          <w:tcPr>
                            <w:tcW w:w="772" w:type="pct"/>
                            <w:tcBorders>
                              <w:top w:val="nil"/>
                              <w:left w:val="nil"/>
                              <w:bottom w:val="single" w:sz="4" w:space="0" w:color="auto"/>
                              <w:right w:val="single" w:sz="4" w:space="0" w:color="auto"/>
                            </w:tcBorders>
                            <w:shd w:val="clear" w:color="auto" w:fill="auto"/>
                            <w:noWrap/>
                            <w:vAlign w:val="center"/>
                            <w:hideMark/>
                          </w:tcPr>
                          <w:p w14:paraId="3F6568A3"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4</w:t>
                            </w:r>
                          </w:p>
                        </w:tc>
                        <w:tc>
                          <w:tcPr>
                            <w:tcW w:w="771" w:type="pct"/>
                            <w:tcBorders>
                              <w:top w:val="nil"/>
                              <w:left w:val="nil"/>
                              <w:bottom w:val="single" w:sz="4" w:space="0" w:color="auto"/>
                              <w:right w:val="single" w:sz="4" w:space="0" w:color="auto"/>
                            </w:tcBorders>
                            <w:shd w:val="clear" w:color="auto" w:fill="auto"/>
                            <w:noWrap/>
                            <w:vAlign w:val="center"/>
                            <w:hideMark/>
                          </w:tcPr>
                          <w:p w14:paraId="306C040A"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20</w:t>
                            </w:r>
                          </w:p>
                        </w:tc>
                        <w:tc>
                          <w:tcPr>
                            <w:tcW w:w="772" w:type="pct"/>
                            <w:tcBorders>
                              <w:top w:val="nil"/>
                              <w:left w:val="nil"/>
                              <w:bottom w:val="single" w:sz="4" w:space="0" w:color="auto"/>
                              <w:right w:val="single" w:sz="4" w:space="0" w:color="auto"/>
                            </w:tcBorders>
                            <w:shd w:val="clear" w:color="auto" w:fill="auto"/>
                            <w:noWrap/>
                            <w:vAlign w:val="center"/>
                            <w:hideMark/>
                          </w:tcPr>
                          <w:p w14:paraId="3AE3D0C5"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45</w:t>
                            </w:r>
                          </w:p>
                        </w:tc>
                        <w:tc>
                          <w:tcPr>
                            <w:tcW w:w="772" w:type="pct"/>
                            <w:tcBorders>
                              <w:top w:val="nil"/>
                              <w:left w:val="nil"/>
                              <w:bottom w:val="single" w:sz="4" w:space="0" w:color="auto"/>
                              <w:right w:val="single" w:sz="4" w:space="0" w:color="auto"/>
                            </w:tcBorders>
                            <w:shd w:val="clear" w:color="auto" w:fill="auto"/>
                            <w:noWrap/>
                            <w:vAlign w:val="center"/>
                            <w:hideMark/>
                          </w:tcPr>
                          <w:p w14:paraId="50CCE6F0"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125</w:t>
                            </w:r>
                          </w:p>
                        </w:tc>
                      </w:tr>
                      <w:tr w:rsidR="009B76EF" w:rsidRPr="009278C7" w14:paraId="7F140903"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0CFF8FE3"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110</w:t>
                            </w:r>
                          </w:p>
                        </w:tc>
                        <w:tc>
                          <w:tcPr>
                            <w:tcW w:w="670" w:type="pct"/>
                            <w:tcBorders>
                              <w:top w:val="nil"/>
                              <w:left w:val="nil"/>
                              <w:bottom w:val="single" w:sz="4" w:space="0" w:color="auto"/>
                              <w:right w:val="single" w:sz="4" w:space="0" w:color="auto"/>
                            </w:tcBorders>
                            <w:vAlign w:val="center"/>
                          </w:tcPr>
                          <w:p w14:paraId="433FC1B8"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664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FF789E7"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205 </w:t>
                            </w:r>
                          </w:p>
                        </w:tc>
                        <w:tc>
                          <w:tcPr>
                            <w:tcW w:w="772" w:type="pct"/>
                            <w:tcBorders>
                              <w:top w:val="nil"/>
                              <w:left w:val="nil"/>
                              <w:bottom w:val="single" w:sz="4" w:space="0" w:color="auto"/>
                              <w:right w:val="single" w:sz="4" w:space="0" w:color="auto"/>
                            </w:tcBorders>
                            <w:shd w:val="clear" w:color="auto" w:fill="auto"/>
                            <w:noWrap/>
                            <w:vAlign w:val="center"/>
                            <w:hideMark/>
                          </w:tcPr>
                          <w:p w14:paraId="56726FDB"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5</w:t>
                            </w:r>
                          </w:p>
                        </w:tc>
                        <w:tc>
                          <w:tcPr>
                            <w:tcW w:w="771" w:type="pct"/>
                            <w:tcBorders>
                              <w:top w:val="nil"/>
                              <w:left w:val="nil"/>
                              <w:bottom w:val="single" w:sz="4" w:space="0" w:color="auto"/>
                              <w:right w:val="single" w:sz="4" w:space="0" w:color="auto"/>
                            </w:tcBorders>
                            <w:shd w:val="clear" w:color="auto" w:fill="auto"/>
                            <w:noWrap/>
                            <w:vAlign w:val="center"/>
                            <w:hideMark/>
                          </w:tcPr>
                          <w:p w14:paraId="7F3A1805"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16</w:t>
                            </w:r>
                          </w:p>
                        </w:tc>
                        <w:tc>
                          <w:tcPr>
                            <w:tcW w:w="772" w:type="pct"/>
                            <w:tcBorders>
                              <w:top w:val="nil"/>
                              <w:left w:val="nil"/>
                              <w:bottom w:val="single" w:sz="4" w:space="0" w:color="auto"/>
                              <w:right w:val="single" w:sz="4" w:space="0" w:color="auto"/>
                            </w:tcBorders>
                            <w:shd w:val="clear" w:color="auto" w:fill="auto"/>
                            <w:noWrap/>
                            <w:vAlign w:val="center"/>
                            <w:hideMark/>
                          </w:tcPr>
                          <w:p w14:paraId="72B8747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52</w:t>
                            </w:r>
                          </w:p>
                        </w:tc>
                        <w:tc>
                          <w:tcPr>
                            <w:tcW w:w="772" w:type="pct"/>
                            <w:tcBorders>
                              <w:top w:val="nil"/>
                              <w:left w:val="nil"/>
                              <w:bottom w:val="single" w:sz="4" w:space="0" w:color="auto"/>
                              <w:right w:val="single" w:sz="4" w:space="0" w:color="auto"/>
                            </w:tcBorders>
                            <w:shd w:val="clear" w:color="auto" w:fill="auto"/>
                            <w:noWrap/>
                            <w:vAlign w:val="center"/>
                            <w:hideMark/>
                          </w:tcPr>
                          <w:p w14:paraId="295A0F91"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132</w:t>
                            </w:r>
                          </w:p>
                        </w:tc>
                      </w:tr>
                      <w:tr w:rsidR="009B76EF" w:rsidRPr="009278C7" w14:paraId="364A52B5"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3EAAA20A"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111</w:t>
                            </w:r>
                          </w:p>
                        </w:tc>
                        <w:tc>
                          <w:tcPr>
                            <w:tcW w:w="670" w:type="pct"/>
                            <w:tcBorders>
                              <w:top w:val="nil"/>
                              <w:left w:val="nil"/>
                              <w:bottom w:val="single" w:sz="4" w:space="0" w:color="auto"/>
                              <w:right w:val="single" w:sz="4" w:space="0" w:color="auto"/>
                            </w:tcBorders>
                            <w:vAlign w:val="center"/>
                          </w:tcPr>
                          <w:p w14:paraId="33172D7B"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456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B3884FA"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264 </w:t>
                            </w:r>
                          </w:p>
                        </w:tc>
                        <w:tc>
                          <w:tcPr>
                            <w:tcW w:w="772" w:type="pct"/>
                            <w:tcBorders>
                              <w:top w:val="nil"/>
                              <w:left w:val="nil"/>
                              <w:bottom w:val="single" w:sz="4" w:space="0" w:color="auto"/>
                              <w:right w:val="single" w:sz="4" w:space="0" w:color="auto"/>
                            </w:tcBorders>
                            <w:shd w:val="clear" w:color="auto" w:fill="auto"/>
                            <w:noWrap/>
                            <w:vAlign w:val="center"/>
                            <w:hideMark/>
                          </w:tcPr>
                          <w:p w14:paraId="6252349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w:t>
                            </w:r>
                          </w:p>
                        </w:tc>
                        <w:tc>
                          <w:tcPr>
                            <w:tcW w:w="771" w:type="pct"/>
                            <w:tcBorders>
                              <w:top w:val="nil"/>
                              <w:left w:val="nil"/>
                              <w:bottom w:val="single" w:sz="4" w:space="0" w:color="auto"/>
                              <w:right w:val="single" w:sz="4" w:space="0" w:color="auto"/>
                            </w:tcBorders>
                            <w:shd w:val="clear" w:color="auto" w:fill="auto"/>
                            <w:noWrap/>
                            <w:vAlign w:val="center"/>
                            <w:hideMark/>
                          </w:tcPr>
                          <w:p w14:paraId="06B9B4BF"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31</w:t>
                            </w:r>
                          </w:p>
                        </w:tc>
                        <w:tc>
                          <w:tcPr>
                            <w:tcW w:w="772" w:type="pct"/>
                            <w:tcBorders>
                              <w:top w:val="nil"/>
                              <w:left w:val="nil"/>
                              <w:bottom w:val="single" w:sz="4" w:space="0" w:color="auto"/>
                              <w:right w:val="single" w:sz="4" w:space="0" w:color="auto"/>
                            </w:tcBorders>
                            <w:shd w:val="clear" w:color="auto" w:fill="auto"/>
                            <w:noWrap/>
                            <w:vAlign w:val="center"/>
                            <w:hideMark/>
                          </w:tcPr>
                          <w:p w14:paraId="1D57B5F7"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82</w:t>
                            </w:r>
                          </w:p>
                        </w:tc>
                        <w:tc>
                          <w:tcPr>
                            <w:tcW w:w="772" w:type="pct"/>
                            <w:tcBorders>
                              <w:top w:val="nil"/>
                              <w:left w:val="nil"/>
                              <w:bottom w:val="single" w:sz="4" w:space="0" w:color="auto"/>
                              <w:right w:val="single" w:sz="4" w:space="0" w:color="auto"/>
                            </w:tcBorders>
                            <w:shd w:val="clear" w:color="auto" w:fill="auto"/>
                            <w:noWrap/>
                            <w:vAlign w:val="center"/>
                            <w:hideMark/>
                          </w:tcPr>
                          <w:p w14:paraId="48EC8F82"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141</w:t>
                            </w:r>
                          </w:p>
                        </w:tc>
                      </w:tr>
                      <w:tr w:rsidR="009B76EF" w:rsidRPr="009278C7" w14:paraId="634D369C"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5C53B37B"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112</w:t>
                            </w:r>
                          </w:p>
                        </w:tc>
                        <w:tc>
                          <w:tcPr>
                            <w:tcW w:w="670" w:type="pct"/>
                            <w:tcBorders>
                              <w:top w:val="nil"/>
                              <w:left w:val="nil"/>
                              <w:bottom w:val="single" w:sz="4" w:space="0" w:color="auto"/>
                              <w:right w:val="single" w:sz="4" w:space="0" w:color="auto"/>
                            </w:tcBorders>
                            <w:vAlign w:val="center"/>
                          </w:tcPr>
                          <w:p w14:paraId="12196BB3"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495 </w:t>
                            </w:r>
                          </w:p>
                        </w:tc>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44568B9" w14:textId="77777777" w:rsidR="009B76EF" w:rsidRPr="00A95C88" w:rsidRDefault="009B76EF" w:rsidP="00A95C88">
                            <w:pPr>
                              <w:widowControl/>
                              <w:spacing w:line="0" w:lineRule="atLeast"/>
                              <w:jc w:val="right"/>
                              <w:rPr>
                                <w:rFonts w:ascii="標楷體" w:eastAsia="標楷體" w:hAnsi="標楷體" w:cs="新細明體"/>
                                <w:b/>
                                <w:bCs/>
                                <w:color w:val="000000"/>
                                <w:kern w:val="0"/>
                                <w:sz w:val="20"/>
                              </w:rPr>
                            </w:pPr>
                            <w:r w:rsidRPr="00A95C88">
                              <w:rPr>
                                <w:rFonts w:ascii="標楷體" w:eastAsia="標楷體" w:hAnsi="標楷體" w:cs="新細明體" w:hint="eastAsia"/>
                                <w:b/>
                                <w:bCs/>
                                <w:color w:val="000000"/>
                                <w:kern w:val="0"/>
                                <w:sz w:val="20"/>
                              </w:rPr>
                              <w:t xml:space="preserve">    202 </w:t>
                            </w:r>
                          </w:p>
                        </w:tc>
                        <w:tc>
                          <w:tcPr>
                            <w:tcW w:w="772" w:type="pct"/>
                            <w:tcBorders>
                              <w:top w:val="nil"/>
                              <w:left w:val="nil"/>
                              <w:bottom w:val="single" w:sz="4" w:space="0" w:color="auto"/>
                              <w:right w:val="single" w:sz="4" w:space="0" w:color="auto"/>
                            </w:tcBorders>
                            <w:shd w:val="clear" w:color="auto" w:fill="auto"/>
                            <w:noWrap/>
                            <w:vAlign w:val="center"/>
                            <w:hideMark/>
                          </w:tcPr>
                          <w:p w14:paraId="25CF71FA"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w:t>
                            </w:r>
                          </w:p>
                        </w:tc>
                        <w:tc>
                          <w:tcPr>
                            <w:tcW w:w="771" w:type="pct"/>
                            <w:tcBorders>
                              <w:top w:val="nil"/>
                              <w:left w:val="nil"/>
                              <w:bottom w:val="single" w:sz="4" w:space="0" w:color="auto"/>
                              <w:right w:val="single" w:sz="4" w:space="0" w:color="auto"/>
                            </w:tcBorders>
                            <w:shd w:val="clear" w:color="auto" w:fill="auto"/>
                            <w:noWrap/>
                            <w:vAlign w:val="center"/>
                            <w:hideMark/>
                          </w:tcPr>
                          <w:p w14:paraId="22544589"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32</w:t>
                            </w:r>
                          </w:p>
                        </w:tc>
                        <w:tc>
                          <w:tcPr>
                            <w:tcW w:w="772" w:type="pct"/>
                            <w:tcBorders>
                              <w:top w:val="nil"/>
                              <w:left w:val="nil"/>
                              <w:bottom w:val="single" w:sz="4" w:space="0" w:color="auto"/>
                              <w:right w:val="single" w:sz="4" w:space="0" w:color="auto"/>
                            </w:tcBorders>
                            <w:shd w:val="clear" w:color="auto" w:fill="auto"/>
                            <w:noWrap/>
                            <w:vAlign w:val="center"/>
                            <w:hideMark/>
                          </w:tcPr>
                          <w:p w14:paraId="15FC57B6"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52</w:t>
                            </w:r>
                          </w:p>
                        </w:tc>
                        <w:tc>
                          <w:tcPr>
                            <w:tcW w:w="772" w:type="pct"/>
                            <w:tcBorders>
                              <w:top w:val="nil"/>
                              <w:left w:val="nil"/>
                              <w:bottom w:val="single" w:sz="4" w:space="0" w:color="auto"/>
                              <w:right w:val="single" w:sz="4" w:space="0" w:color="auto"/>
                            </w:tcBorders>
                            <w:shd w:val="clear" w:color="auto" w:fill="auto"/>
                            <w:noWrap/>
                            <w:vAlign w:val="center"/>
                            <w:hideMark/>
                          </w:tcPr>
                          <w:p w14:paraId="0CBDAAC6"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108</w:t>
                            </w:r>
                          </w:p>
                        </w:tc>
                      </w:tr>
                      <w:tr w:rsidR="009B76EF" w:rsidRPr="009278C7" w14:paraId="19968F9E" w14:textId="77777777" w:rsidTr="006A4791">
                        <w:trPr>
                          <w:trHeight w:val="324"/>
                          <w:jc w:val="center"/>
                        </w:trPr>
                        <w:tc>
                          <w:tcPr>
                            <w:tcW w:w="475" w:type="pct"/>
                            <w:tcBorders>
                              <w:top w:val="nil"/>
                              <w:left w:val="single" w:sz="4" w:space="0" w:color="auto"/>
                              <w:bottom w:val="single" w:sz="4" w:space="0" w:color="auto"/>
                              <w:right w:val="single" w:sz="4" w:space="0" w:color="auto"/>
                            </w:tcBorders>
                            <w:shd w:val="clear" w:color="auto" w:fill="auto"/>
                            <w:noWrap/>
                            <w:vAlign w:val="center"/>
                            <w:hideMark/>
                          </w:tcPr>
                          <w:p w14:paraId="2434DFDB" w14:textId="77777777" w:rsidR="009B76EF" w:rsidRPr="00A95C88" w:rsidRDefault="009B76EF" w:rsidP="00A95C88">
                            <w:pPr>
                              <w:widowControl/>
                              <w:spacing w:line="0" w:lineRule="atLeast"/>
                              <w:jc w:val="center"/>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113</w:t>
                            </w:r>
                          </w:p>
                        </w:tc>
                        <w:tc>
                          <w:tcPr>
                            <w:tcW w:w="670" w:type="pct"/>
                            <w:tcBorders>
                              <w:top w:val="single" w:sz="4" w:space="0" w:color="auto"/>
                              <w:left w:val="single" w:sz="4" w:space="0" w:color="auto"/>
                              <w:bottom w:val="single" w:sz="4" w:space="0" w:color="auto"/>
                              <w:right w:val="single" w:sz="4" w:space="0" w:color="auto"/>
                            </w:tcBorders>
                            <w:vAlign w:val="center"/>
                          </w:tcPr>
                          <w:p w14:paraId="1B7C9E97"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rFonts w:ascii="標楷體" w:eastAsia="標楷體" w:hAnsi="標楷體" w:cs="新細明體" w:hint="eastAsia"/>
                                <w:color w:val="000000"/>
                                <w:kern w:val="0"/>
                                <w:sz w:val="20"/>
                              </w:rPr>
                              <w:t xml:space="preserve">    603 </w:t>
                            </w:r>
                          </w:p>
                        </w:tc>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CCC04"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2F8B8208"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14:paraId="160838D0"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478371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22E72C2D" w14:textId="77777777" w:rsidR="009B76EF" w:rsidRPr="00A95C88" w:rsidRDefault="009B76EF" w:rsidP="00A95C88">
                            <w:pPr>
                              <w:widowControl/>
                              <w:spacing w:line="0" w:lineRule="atLeast"/>
                              <w:jc w:val="right"/>
                              <w:rPr>
                                <w:rFonts w:ascii="標楷體" w:eastAsia="標楷體" w:hAnsi="標楷體" w:cs="新細明體"/>
                                <w:color w:val="000000"/>
                                <w:kern w:val="0"/>
                                <w:sz w:val="20"/>
                              </w:rPr>
                            </w:pPr>
                            <w:r w:rsidRPr="00A95C88">
                              <w:rPr>
                                <w:sz w:val="20"/>
                              </w:rPr>
                              <w:t>…</w:t>
                            </w:r>
                          </w:p>
                        </w:tc>
                      </w:tr>
                    </w:tbl>
                    <w:p w14:paraId="40106F00" w14:textId="77777777" w:rsidR="009B76EF" w:rsidRPr="0023427B" w:rsidRDefault="009B76EF" w:rsidP="009B76EF">
                      <w:pPr>
                        <w:ind w:leftChars="118" w:left="283" w:rightChars="202" w:right="485" w:firstLine="1"/>
                        <w:jc w:val="both"/>
                        <w:rPr>
                          <w:rFonts w:ascii="標楷體" w:eastAsia="標楷體" w:hAnsi="標楷體"/>
                          <w:sz w:val="18"/>
                        </w:rPr>
                      </w:pPr>
                      <w:r w:rsidRPr="0023427B">
                        <w:rPr>
                          <w:rFonts w:ascii="標楷體" w:eastAsia="標楷體" w:hAnsi="標楷體" w:hint="eastAsia"/>
                          <w:sz w:val="18"/>
                        </w:rPr>
                        <w:t>資料來源：整理自聯合國兒童權利公約資訊網網站資料。</w:t>
                      </w:r>
                    </w:p>
                  </w:txbxContent>
                </v:textbox>
                <w10:wrap type="tight" anchorx="margin" anchory="margin"/>
              </v:shape>
            </w:pict>
          </mc:Fallback>
        </mc:AlternateContent>
      </w:r>
      <w:r w:rsidRPr="00A07DF4">
        <w:rPr>
          <w:rFonts w:ascii="標楷體" w:eastAsia="標楷體" w:hAnsi="標楷體" w:hint="eastAsia"/>
        </w:rPr>
        <w:t>年度地方檢察署辦理少年犯製造運輸販賣毒品案件，執行裁判確定有罪人數計1,145人，主要以17歲少年居多，惟</w:t>
      </w:r>
      <w:r>
        <w:rPr>
          <w:rFonts w:ascii="標楷體" w:eastAsia="標楷體" w:hAnsi="標楷體" w:hint="eastAsia"/>
        </w:rPr>
        <w:t>14歲、</w:t>
      </w:r>
      <w:r w:rsidRPr="00A07DF4">
        <w:rPr>
          <w:rFonts w:ascii="標楷體" w:eastAsia="標楷體" w:hAnsi="標楷體" w:hint="eastAsia"/>
        </w:rPr>
        <w:t>15歲少年</w:t>
      </w:r>
      <w:r>
        <w:rPr>
          <w:rFonts w:ascii="標楷體" w:eastAsia="標楷體" w:hAnsi="標楷體" w:hint="eastAsia"/>
        </w:rPr>
        <w:t>分別</w:t>
      </w:r>
      <w:r w:rsidRPr="00A07DF4">
        <w:rPr>
          <w:rFonts w:ascii="標楷體" w:eastAsia="標楷體" w:hAnsi="標楷體" w:hint="eastAsia"/>
        </w:rPr>
        <w:t>自</w:t>
      </w:r>
      <w:proofErr w:type="gramStart"/>
      <w:r>
        <w:rPr>
          <w:rFonts w:ascii="標楷體" w:eastAsia="標楷體" w:hAnsi="標楷體" w:hint="eastAsia"/>
        </w:rPr>
        <w:t>109</w:t>
      </w:r>
      <w:proofErr w:type="gramEnd"/>
      <w:r>
        <w:rPr>
          <w:rFonts w:ascii="標楷體" w:eastAsia="標楷體" w:hAnsi="標楷體" w:hint="eastAsia"/>
        </w:rPr>
        <w:t>年度、</w:t>
      </w:r>
      <w:proofErr w:type="gramStart"/>
      <w:r w:rsidRPr="00A07DF4">
        <w:rPr>
          <w:rFonts w:ascii="標楷體" w:eastAsia="標楷體" w:hAnsi="標楷體" w:hint="eastAsia"/>
        </w:rPr>
        <w:t>110</w:t>
      </w:r>
      <w:proofErr w:type="gramEnd"/>
      <w:r w:rsidRPr="00A07DF4">
        <w:rPr>
          <w:rFonts w:ascii="標楷體" w:eastAsia="標楷體" w:hAnsi="標楷體" w:hint="eastAsia"/>
        </w:rPr>
        <w:t>年度之</w:t>
      </w:r>
      <w:r>
        <w:rPr>
          <w:rFonts w:ascii="標楷體" w:eastAsia="標楷體" w:hAnsi="標楷體" w:hint="eastAsia"/>
        </w:rPr>
        <w:t>4人、</w:t>
      </w:r>
      <w:r w:rsidRPr="00A07DF4">
        <w:rPr>
          <w:rFonts w:ascii="標楷體" w:eastAsia="標楷體" w:hAnsi="標楷體" w:hint="eastAsia"/>
        </w:rPr>
        <w:t>16人逐漸上升至</w:t>
      </w:r>
      <w:proofErr w:type="gramStart"/>
      <w:r w:rsidRPr="00A07DF4">
        <w:rPr>
          <w:rFonts w:ascii="標楷體" w:eastAsia="標楷體" w:hAnsi="標楷體" w:hint="eastAsia"/>
        </w:rPr>
        <w:t>112</w:t>
      </w:r>
      <w:proofErr w:type="gramEnd"/>
      <w:r w:rsidRPr="00A07DF4">
        <w:rPr>
          <w:rFonts w:ascii="標楷體" w:eastAsia="標楷體" w:hAnsi="標楷體" w:hint="eastAsia"/>
        </w:rPr>
        <w:t>年</w:t>
      </w:r>
      <w:r w:rsidRPr="00683DEC">
        <w:rPr>
          <w:rFonts w:ascii="標楷體" w:eastAsia="標楷體" w:hAnsi="標楷體" w:hint="eastAsia"/>
          <w:color w:val="000000" w:themeColor="text1"/>
        </w:rPr>
        <w:t>度之10人、32人（表</w:t>
      </w:r>
      <w:r w:rsidR="00436CD4">
        <w:rPr>
          <w:rFonts w:ascii="標楷體" w:eastAsia="標楷體" w:hAnsi="標楷體" w:cs="新細明體" w:hint="eastAsia"/>
          <w:color w:val="000000" w:themeColor="text1"/>
          <w:kern w:val="0"/>
          <w:szCs w:val="24"/>
        </w:rPr>
        <w:t>26</w:t>
      </w:r>
      <w:r w:rsidRPr="00683DEC">
        <w:rPr>
          <w:rFonts w:ascii="標楷體" w:eastAsia="標楷體" w:hAnsi="標楷體" w:hint="eastAsia"/>
          <w:color w:val="000000" w:themeColor="text1"/>
        </w:rPr>
        <w:t>），顯示兒少</w:t>
      </w:r>
      <w:r w:rsidRPr="00A07DF4">
        <w:rPr>
          <w:rFonts w:ascii="標楷體" w:eastAsia="標楷體" w:hAnsi="標楷體" w:hint="eastAsia"/>
        </w:rPr>
        <w:t>毒品問題仍然嚴峻，且接觸毒品少年亦有年齡層逐漸下降之趨勢，允宜持續</w:t>
      </w:r>
      <w:proofErr w:type="gramStart"/>
      <w:r w:rsidRPr="00A07DF4">
        <w:rPr>
          <w:rFonts w:ascii="標楷體" w:eastAsia="標楷體" w:hAnsi="標楷體" w:hint="eastAsia"/>
        </w:rPr>
        <w:t>加強跨</w:t>
      </w:r>
      <w:r w:rsidRPr="009F1095">
        <w:rPr>
          <w:rFonts w:ascii="標楷體" w:eastAsia="標楷體" w:hAnsi="標楷體" w:hint="eastAsia"/>
          <w:color w:val="000000" w:themeColor="text1"/>
        </w:rPr>
        <w:t>域合作</w:t>
      </w:r>
      <w:proofErr w:type="gramEnd"/>
      <w:r w:rsidRPr="009F1095">
        <w:rPr>
          <w:rFonts w:ascii="標楷體" w:eastAsia="標楷體" w:hAnsi="標楷體" w:hint="eastAsia"/>
          <w:color w:val="000000" w:themeColor="text1"/>
        </w:rPr>
        <w:t>，</w:t>
      </w:r>
      <w:proofErr w:type="gramStart"/>
      <w:r w:rsidRPr="009F1095">
        <w:rPr>
          <w:rFonts w:ascii="標楷體" w:eastAsia="標楷體" w:hAnsi="標楷體" w:hint="eastAsia"/>
          <w:color w:val="000000" w:themeColor="text1"/>
        </w:rPr>
        <w:t>研</w:t>
      </w:r>
      <w:proofErr w:type="gramEnd"/>
      <w:r w:rsidRPr="009F1095">
        <w:rPr>
          <w:rFonts w:ascii="標楷體" w:eastAsia="標楷體" w:hAnsi="標楷體" w:hint="eastAsia"/>
          <w:color w:val="000000" w:themeColor="text1"/>
        </w:rPr>
        <w:t>謀有效預防及減少兒少接觸毒品措施，避免毒品危害兒少健康；（2）113年底各</w:t>
      </w:r>
      <w:r w:rsidRPr="000F65EB">
        <w:rPr>
          <w:rFonts w:ascii="標楷體" w:eastAsia="標楷體" w:hAnsi="標楷體" w:hint="eastAsia"/>
          <w:color w:val="000000" w:themeColor="text1"/>
        </w:rPr>
        <w:t>市縣政府</w:t>
      </w:r>
      <w:r w:rsidRPr="009F1095">
        <w:rPr>
          <w:rFonts w:ascii="標楷體" w:eastAsia="標楷體" w:hAnsi="標楷體" w:hint="eastAsia"/>
          <w:color w:val="000000" w:themeColor="text1"/>
        </w:rPr>
        <w:t>少輔會輔導人力僅264員，尚未達</w:t>
      </w:r>
      <w:proofErr w:type="gramStart"/>
      <w:r w:rsidRPr="009F1095">
        <w:rPr>
          <w:rFonts w:ascii="標楷體" w:eastAsia="標楷體" w:hAnsi="標楷體" w:hint="eastAsia"/>
          <w:color w:val="000000" w:themeColor="text1"/>
        </w:rPr>
        <w:t>113</w:t>
      </w:r>
      <w:proofErr w:type="gramEnd"/>
      <w:r w:rsidRPr="009F1095">
        <w:rPr>
          <w:rFonts w:ascii="標楷體" w:eastAsia="標楷體" w:hAnsi="標楷體" w:hint="eastAsia"/>
          <w:color w:val="000000" w:themeColor="text1"/>
        </w:rPr>
        <w:t>年度配置人力基準288員，其中</w:t>
      </w:r>
      <w:proofErr w:type="gramStart"/>
      <w:r w:rsidRPr="009F1095">
        <w:rPr>
          <w:rFonts w:ascii="標楷體" w:eastAsia="標楷體" w:hAnsi="標楷體" w:hint="eastAsia"/>
          <w:color w:val="000000" w:themeColor="text1"/>
        </w:rPr>
        <w:t>臺</w:t>
      </w:r>
      <w:proofErr w:type="gramEnd"/>
      <w:r w:rsidRPr="009F1095">
        <w:rPr>
          <w:rFonts w:ascii="標楷體" w:eastAsia="標楷體" w:hAnsi="標楷體" w:hint="eastAsia"/>
          <w:color w:val="000000" w:themeColor="text1"/>
        </w:rPr>
        <w:t>中市及高雄市等12市</w:t>
      </w:r>
      <w:proofErr w:type="gramStart"/>
      <w:r w:rsidRPr="009F1095">
        <w:rPr>
          <w:rFonts w:ascii="標楷體" w:eastAsia="標楷體" w:hAnsi="標楷體" w:hint="eastAsia"/>
          <w:color w:val="000000" w:themeColor="text1"/>
        </w:rPr>
        <w:t>縣均未達</w:t>
      </w:r>
      <w:proofErr w:type="gramEnd"/>
      <w:r w:rsidRPr="009F1095">
        <w:rPr>
          <w:rFonts w:ascii="標楷體" w:eastAsia="標楷體" w:hAnsi="標楷體" w:hint="eastAsia"/>
          <w:color w:val="000000" w:themeColor="text1"/>
        </w:rPr>
        <w:t>各別配置人力基準，主要係各市縣政府對少輔會輔導工作投注資源不</w:t>
      </w:r>
      <w:r w:rsidRPr="003E339E">
        <w:rPr>
          <w:rFonts w:ascii="標楷體" w:eastAsia="標楷體" w:hAnsi="標楷體" w:hint="eastAsia"/>
          <w:color w:val="000000" w:themeColor="text1"/>
        </w:rPr>
        <w:t>足</w:t>
      </w:r>
      <w:r w:rsidRPr="009F1095">
        <w:rPr>
          <w:rFonts w:ascii="標楷體" w:eastAsia="標楷體" w:hAnsi="標楷體" w:hint="eastAsia"/>
          <w:color w:val="000000" w:themeColor="text1"/>
        </w:rPr>
        <w:t>所致。經統計112年7月1日至113年12月31日輔導案件總開案數計4</w:t>
      </w:r>
      <w:r w:rsidRPr="009F1095">
        <w:rPr>
          <w:rFonts w:ascii="標楷體" w:eastAsia="標楷體" w:hAnsi="標楷體"/>
          <w:color w:val="000000" w:themeColor="text1"/>
        </w:rPr>
        <w:t>,022</w:t>
      </w:r>
      <w:r w:rsidRPr="009F1095">
        <w:rPr>
          <w:rFonts w:ascii="標楷體" w:eastAsia="標楷體" w:hAnsi="標楷體" w:hint="eastAsia"/>
          <w:color w:val="000000" w:themeColor="text1"/>
        </w:rPr>
        <w:t>件，屬施用毒品</w:t>
      </w:r>
      <w:proofErr w:type="gramStart"/>
      <w:r w:rsidRPr="009F1095">
        <w:rPr>
          <w:rFonts w:ascii="標楷體" w:eastAsia="標楷體" w:hAnsi="標楷體" w:hint="eastAsia"/>
          <w:color w:val="000000" w:themeColor="text1"/>
        </w:rPr>
        <w:t>之曝險少年</w:t>
      </w:r>
      <w:proofErr w:type="gramEnd"/>
      <w:r w:rsidRPr="009F1095">
        <w:rPr>
          <w:rFonts w:ascii="標楷體" w:eastAsia="標楷體" w:hAnsi="標楷體" w:hint="eastAsia"/>
          <w:color w:val="000000" w:themeColor="text1"/>
        </w:rPr>
        <w:t>計1,256件，按各市縣</w:t>
      </w:r>
      <w:r w:rsidRPr="00AD56F8">
        <w:rPr>
          <w:rFonts w:ascii="標楷體" w:eastAsia="標楷體" w:hAnsi="標楷體" w:hint="eastAsia"/>
          <w:color w:val="000000" w:themeColor="text1"/>
        </w:rPr>
        <w:t>政府少輔會輔導人力264員估算平均案量比為1：15.23，其中新北市案件量1,673件最多，雖輔導人力有38人，僅次於臺北市，惟案量比1：44.03，較整體平均</w:t>
      </w:r>
      <w:r w:rsidRPr="00AD56F8">
        <w:rPr>
          <w:rFonts w:ascii="標楷體" w:eastAsia="標楷體" w:hAnsi="標楷體" w:hint="eastAsia"/>
          <w:color w:val="000000" w:themeColor="text1"/>
        </w:rPr>
        <w:lastRenderedPageBreak/>
        <w:t>增加1.89倍；另各市縣政府少輔會</w:t>
      </w:r>
      <w:proofErr w:type="gramStart"/>
      <w:r w:rsidRPr="00AD56F8">
        <w:rPr>
          <w:rFonts w:ascii="標楷體" w:eastAsia="標楷體" w:hAnsi="標楷體" w:hint="eastAsia"/>
          <w:color w:val="000000" w:themeColor="text1"/>
        </w:rPr>
        <w:t>113</w:t>
      </w:r>
      <w:proofErr w:type="gramEnd"/>
      <w:r w:rsidRPr="00AD56F8">
        <w:rPr>
          <w:rFonts w:ascii="標楷體" w:eastAsia="標楷體" w:hAnsi="標楷體" w:hint="eastAsia"/>
          <w:color w:val="000000" w:themeColor="text1"/>
        </w:rPr>
        <w:t>年度少年再次進案輔導案件計1,173件，其中以施用毒品計374件最高，</w:t>
      </w:r>
      <w:proofErr w:type="gramStart"/>
      <w:r w:rsidRPr="00AD56F8">
        <w:rPr>
          <w:rFonts w:ascii="標楷體" w:eastAsia="標楷體" w:hAnsi="標楷體" w:hint="eastAsia"/>
          <w:color w:val="000000" w:themeColor="text1"/>
        </w:rPr>
        <w:t>主要係少輔</w:t>
      </w:r>
      <w:proofErr w:type="gramEnd"/>
      <w:r w:rsidRPr="00AD56F8">
        <w:rPr>
          <w:rFonts w:ascii="標楷體" w:eastAsia="標楷體" w:hAnsi="標楷體" w:hint="eastAsia"/>
          <w:color w:val="000000" w:themeColor="text1"/>
        </w:rPr>
        <w:t>會並無強制力，僅能參照</w:t>
      </w:r>
      <w:proofErr w:type="gramStart"/>
      <w:r w:rsidRPr="00AD56F8">
        <w:rPr>
          <w:rFonts w:ascii="標楷體" w:eastAsia="標楷體" w:hAnsi="標楷體" w:hint="eastAsia"/>
          <w:color w:val="000000" w:themeColor="text1"/>
        </w:rPr>
        <w:t>衛福部</w:t>
      </w:r>
      <w:proofErr w:type="gramEnd"/>
      <w:r w:rsidRPr="00AD56F8">
        <w:rPr>
          <w:rFonts w:ascii="標楷體" w:eastAsia="標楷體" w:hAnsi="標楷體" w:hint="eastAsia"/>
          <w:color w:val="000000" w:themeColor="text1"/>
        </w:rPr>
        <w:t>社工個案服務模式與少年建立信任關係，尚難有效發揮輔導功能，致有重複進案輔導情形，允宜促請各市</w:t>
      </w:r>
      <w:proofErr w:type="gramStart"/>
      <w:r w:rsidRPr="00AD56F8">
        <w:rPr>
          <w:rFonts w:ascii="標楷體" w:eastAsia="標楷體" w:hAnsi="標楷體" w:hint="eastAsia"/>
          <w:color w:val="000000" w:themeColor="text1"/>
        </w:rPr>
        <w:t>縣政府妥編預算</w:t>
      </w:r>
      <w:proofErr w:type="gramEnd"/>
      <w:r w:rsidRPr="00AD56F8">
        <w:rPr>
          <w:rFonts w:ascii="標楷體" w:eastAsia="標楷體" w:hAnsi="標楷體" w:hint="eastAsia"/>
          <w:color w:val="000000" w:themeColor="text1"/>
        </w:rPr>
        <w:t>聘用輔導人力，並透過輔導分析少年偏差行為原因，積極整合及連結福利、教育、心理及醫療等相關資源，以優化各市縣政府少輔會少年輔導政策</w:t>
      </w:r>
      <w:r w:rsidR="00CE2C69">
        <w:rPr>
          <w:rFonts w:ascii="標楷體" w:eastAsia="標楷體" w:hAnsi="標楷體" w:hint="eastAsia"/>
          <w:color w:val="000000" w:themeColor="text1"/>
        </w:rPr>
        <w:t>等情事，</w:t>
      </w:r>
      <w:r w:rsidRPr="00AD56F8">
        <w:rPr>
          <w:rFonts w:ascii="標楷體" w:eastAsia="標楷體" w:hAnsi="標楷體" w:hint="eastAsia"/>
          <w:color w:val="000000" w:themeColor="text1"/>
        </w:rPr>
        <w:t>經函請行政院督促權責機關檢討改善。據復：（1）將持續強化跨部會通報與聯繫機制，全面掌握</w:t>
      </w:r>
      <w:proofErr w:type="gramStart"/>
      <w:r w:rsidRPr="00AD56F8">
        <w:rPr>
          <w:rFonts w:ascii="標楷體" w:eastAsia="標楷體" w:hAnsi="標楷體" w:hint="eastAsia"/>
          <w:color w:val="000000" w:themeColor="text1"/>
        </w:rPr>
        <w:t>涉毒兒</w:t>
      </w:r>
      <w:proofErr w:type="gramEnd"/>
      <w:r w:rsidRPr="00AD56F8">
        <w:rPr>
          <w:rFonts w:ascii="標楷體" w:eastAsia="標楷體" w:hAnsi="標楷體" w:hint="eastAsia"/>
          <w:color w:val="000000" w:themeColor="text1"/>
        </w:rPr>
        <w:t>少資訊，並完善個案輔導與醫療服務；（2）將持續依各市縣政府少輔會實際輔導案量及相關工作時間成本，合理推估人力基準，並積極增聘人力，持續強化服務品質及輔導量能。</w:t>
      </w:r>
    </w:p>
    <w:p w14:paraId="403B71FD" w14:textId="7A138D23" w:rsidR="00595985" w:rsidRPr="00CD4F85" w:rsidRDefault="00595985" w:rsidP="00710793">
      <w:pPr>
        <w:adjustRightInd w:val="0"/>
        <w:snapToGrid w:val="0"/>
        <w:spacing w:line="450" w:lineRule="exact"/>
        <w:ind w:firstLineChars="450" w:firstLine="1081"/>
        <w:jc w:val="both"/>
        <w:rPr>
          <w:rFonts w:ascii="標楷體" w:eastAsia="標楷體" w:hAnsi="標楷體"/>
          <w:color w:val="000000" w:themeColor="text1"/>
        </w:rPr>
      </w:pPr>
      <w:bookmarkStart w:id="21" w:name="_Hlk199864963"/>
      <w:r w:rsidRPr="00CD4F85">
        <w:rPr>
          <w:rFonts w:ascii="標楷體" w:eastAsia="標楷體" w:hAnsi="標楷體" w:hint="eastAsia"/>
          <w:b/>
          <w:color w:val="000000" w:themeColor="text1"/>
        </w:rPr>
        <w:t>3.　政府已建立定期監控國內毒品發展趨勢及納管之機制，惟面對新興影響精神物質快速擴散及化學物質</w:t>
      </w:r>
      <w:proofErr w:type="gramStart"/>
      <w:r w:rsidRPr="00CD4F85">
        <w:rPr>
          <w:rFonts w:ascii="標楷體" w:eastAsia="標楷體" w:hAnsi="標楷體" w:hint="eastAsia"/>
          <w:b/>
          <w:color w:val="000000" w:themeColor="text1"/>
        </w:rPr>
        <w:t>流供製</w:t>
      </w:r>
      <w:proofErr w:type="gramEnd"/>
      <w:r w:rsidRPr="00CD4F85">
        <w:rPr>
          <w:rFonts w:ascii="標楷體" w:eastAsia="標楷體" w:hAnsi="標楷體" w:hint="eastAsia"/>
          <w:b/>
          <w:color w:val="000000" w:themeColor="text1"/>
        </w:rPr>
        <w:t>毒，</w:t>
      </w:r>
      <w:r w:rsidR="00EB3C9C">
        <w:rPr>
          <w:rFonts w:ascii="標楷體" w:eastAsia="標楷體" w:hAnsi="標楷體" w:hint="eastAsia"/>
          <w:b/>
          <w:color w:val="000000" w:themeColor="text1"/>
        </w:rPr>
        <w:t>允宜</w:t>
      </w:r>
      <w:r w:rsidRPr="00CD4F85">
        <w:rPr>
          <w:rFonts w:ascii="標楷體" w:eastAsia="標楷體" w:hAnsi="標楷體" w:hint="eastAsia"/>
          <w:b/>
          <w:color w:val="000000" w:themeColor="text1"/>
        </w:rPr>
        <w:t>及時列管</w:t>
      </w:r>
      <w:proofErr w:type="gramStart"/>
      <w:r w:rsidRPr="00CD4F85">
        <w:rPr>
          <w:rFonts w:ascii="標楷體" w:eastAsia="標楷體" w:hAnsi="標楷體" w:hint="eastAsia"/>
          <w:b/>
          <w:color w:val="000000" w:themeColor="text1"/>
        </w:rPr>
        <w:t>因應妥處</w:t>
      </w:r>
      <w:bookmarkEnd w:id="21"/>
      <w:proofErr w:type="gramEnd"/>
      <w:r w:rsidRPr="00CD4F85">
        <w:rPr>
          <w:rFonts w:ascii="標楷體" w:eastAsia="標楷體" w:hAnsi="標楷體" w:hint="eastAsia"/>
          <w:b/>
          <w:color w:val="000000" w:themeColor="text1"/>
        </w:rPr>
        <w:t>：</w:t>
      </w:r>
      <w:r w:rsidRPr="00CD4F85">
        <w:rPr>
          <w:rFonts w:ascii="標楷體" w:eastAsia="標楷體" w:hAnsi="標楷體" w:hint="eastAsia"/>
          <w:color w:val="000000" w:themeColor="text1"/>
        </w:rPr>
        <w:t>政府為防制毒品危害，維護國民身心健康，制定毒品危害防制條例，並針對具有成癮性、濫用性及對社會危害性之虞的濫用物質及毒品先驅原料，由法務部會同</w:t>
      </w:r>
      <w:proofErr w:type="gramStart"/>
      <w:r w:rsidRPr="00CD4F85">
        <w:rPr>
          <w:rFonts w:ascii="標楷體" w:eastAsia="標楷體" w:hAnsi="標楷體" w:hint="eastAsia"/>
          <w:color w:val="000000" w:themeColor="text1"/>
        </w:rPr>
        <w:t>衛福部</w:t>
      </w:r>
      <w:proofErr w:type="gramEnd"/>
      <w:r w:rsidRPr="00CD4F85">
        <w:rPr>
          <w:rFonts w:ascii="標楷體" w:eastAsia="標楷體" w:hAnsi="標楷體" w:hint="eastAsia"/>
          <w:color w:val="000000" w:themeColor="text1"/>
        </w:rPr>
        <w:t>組成毒品審議委員會（下稱毒審會），透過定期或臨時會議方式進行審議分級管制，再報由行政院公告之。</w:t>
      </w:r>
      <w:r w:rsidRPr="00CD4F85">
        <w:rPr>
          <w:rFonts w:ascii="標楷體" w:eastAsia="標楷體" w:hAnsi="標楷體" w:hint="eastAsia"/>
        </w:rPr>
        <w:t>經查毒品預警及審議機制運作情形，核有：（1）現行新興影響精神物質預警機制，由各查緝或檢驗機關按國際已列管、國內已檢出或查獲、死亡案例有檢出等情形，監測新興影響精神物質於國內危害程度，如認有列管必要則</w:t>
      </w:r>
      <w:proofErr w:type="gramStart"/>
      <w:r w:rsidRPr="00CD4F85">
        <w:rPr>
          <w:rFonts w:ascii="標楷體" w:eastAsia="標楷體" w:hAnsi="標楷體" w:hint="eastAsia"/>
        </w:rPr>
        <w:t>提報毒審會</w:t>
      </w:r>
      <w:proofErr w:type="gramEnd"/>
      <w:r w:rsidRPr="00CD4F85">
        <w:rPr>
          <w:rFonts w:ascii="標楷體" w:eastAsia="標楷體" w:hAnsi="標楷體" w:hint="eastAsia"/>
        </w:rPr>
        <w:t>審議，惟「列管必要」之認定尚乏客觀標準，且未訂定</w:t>
      </w:r>
      <w:proofErr w:type="gramStart"/>
      <w:r w:rsidRPr="00CD4F85">
        <w:rPr>
          <w:rFonts w:ascii="標楷體" w:eastAsia="標楷體" w:hAnsi="標楷體" w:hint="eastAsia"/>
        </w:rPr>
        <w:t>提報毒審會</w:t>
      </w:r>
      <w:proofErr w:type="gramEnd"/>
      <w:r w:rsidRPr="00CD4F85">
        <w:rPr>
          <w:rFonts w:ascii="標楷體" w:eastAsia="標楷體" w:hAnsi="標楷體" w:hint="eastAsia"/>
        </w:rPr>
        <w:t>審議準則供各機關依循，恐影響早期預警管制之成效。復以113年間引發關注之依托</w:t>
      </w:r>
      <w:proofErr w:type="gramStart"/>
      <w:r w:rsidRPr="00CD4F85">
        <w:rPr>
          <w:rFonts w:ascii="標楷體" w:eastAsia="標楷體" w:hAnsi="標楷體" w:hint="eastAsia"/>
        </w:rPr>
        <w:t>咪</w:t>
      </w:r>
      <w:proofErr w:type="gramEnd"/>
      <w:r w:rsidRPr="00CD4F85">
        <w:rPr>
          <w:rFonts w:ascii="標楷體" w:eastAsia="標楷體" w:hAnsi="標楷體" w:hint="eastAsia"/>
        </w:rPr>
        <w:t>酯為例，該物質於112年間在中國大陸出現濫用，並於112年10月列為第二類精神藥品目錄，我國</w:t>
      </w:r>
      <w:proofErr w:type="gramStart"/>
      <w:r w:rsidRPr="00CD4F85">
        <w:rPr>
          <w:rFonts w:ascii="標楷體" w:eastAsia="標楷體" w:hAnsi="標楷體" w:hint="eastAsia"/>
        </w:rPr>
        <w:t>迄</w:t>
      </w:r>
      <w:proofErr w:type="gramEnd"/>
      <w:r w:rsidRPr="00CD4F85">
        <w:rPr>
          <w:rFonts w:ascii="標楷體" w:eastAsia="標楷體" w:hAnsi="標楷體" w:hint="eastAsia"/>
        </w:rPr>
        <w:t>113年2月發現死亡案例及國人尿液檢體檢出後，於</w:t>
      </w:r>
      <w:proofErr w:type="gramStart"/>
      <w:r w:rsidRPr="00CD4F85">
        <w:rPr>
          <w:rFonts w:ascii="標楷體" w:eastAsia="標楷體" w:hAnsi="標楷體" w:hint="eastAsia"/>
        </w:rPr>
        <w:t>113年3月毒審會</w:t>
      </w:r>
      <w:proofErr w:type="gramEnd"/>
      <w:r w:rsidRPr="00CD4F85">
        <w:rPr>
          <w:rFonts w:ascii="標楷體" w:eastAsia="標楷體" w:hAnsi="標楷體" w:hint="eastAsia"/>
        </w:rPr>
        <w:t>提出預警，於</w:t>
      </w:r>
      <w:proofErr w:type="gramStart"/>
      <w:r w:rsidRPr="00CD4F85">
        <w:rPr>
          <w:rFonts w:ascii="標楷體" w:eastAsia="標楷體" w:hAnsi="標楷體" w:hint="eastAsia"/>
        </w:rPr>
        <w:t>113年6月毒審會</w:t>
      </w:r>
      <w:proofErr w:type="gramEnd"/>
      <w:r w:rsidRPr="00CD4F85">
        <w:rPr>
          <w:rFonts w:ascii="標楷體" w:eastAsia="標楷體" w:hAnsi="標楷體" w:hint="eastAsia"/>
        </w:rPr>
        <w:t>決議列為第三級毒品管制，惟距中國大陸列管第二類精神藥品目錄時點已逾8個月，</w:t>
      </w:r>
      <w:proofErr w:type="gramStart"/>
      <w:r w:rsidRPr="00CD4F85">
        <w:rPr>
          <w:rFonts w:ascii="標楷體" w:eastAsia="標楷體" w:hAnsi="標楷體" w:hint="eastAsia"/>
        </w:rPr>
        <w:t>嗣</w:t>
      </w:r>
      <w:proofErr w:type="gramEnd"/>
      <w:r w:rsidRPr="00CD4F85">
        <w:rPr>
          <w:rFonts w:ascii="標楷體" w:eastAsia="標楷體" w:hAnsi="標楷體" w:hint="eastAsia"/>
        </w:rPr>
        <w:t>因檢出依托</w:t>
      </w:r>
      <w:proofErr w:type="gramStart"/>
      <w:r w:rsidRPr="00CD4F85">
        <w:rPr>
          <w:rFonts w:ascii="標楷體" w:eastAsia="標楷體" w:hAnsi="標楷體" w:hint="eastAsia"/>
        </w:rPr>
        <w:t>咪</w:t>
      </w:r>
      <w:proofErr w:type="gramEnd"/>
      <w:r w:rsidRPr="00CD4F85">
        <w:rPr>
          <w:rFonts w:ascii="標楷體" w:eastAsia="標楷體" w:hAnsi="標楷體" w:hint="eastAsia"/>
        </w:rPr>
        <w:t>酯案件快速增加，及發生施用後駕車釀成員警殉職等社會重大事件，</w:t>
      </w:r>
      <w:proofErr w:type="gramStart"/>
      <w:r w:rsidRPr="00CD4F85">
        <w:rPr>
          <w:rFonts w:ascii="標楷體" w:eastAsia="標楷體" w:hAnsi="標楷體" w:hint="eastAsia"/>
        </w:rPr>
        <w:t>毒審會</w:t>
      </w:r>
      <w:proofErr w:type="gramEnd"/>
      <w:r w:rsidRPr="00CD4F85">
        <w:rPr>
          <w:rFonts w:ascii="標楷體" w:eastAsia="標楷體" w:hAnsi="標楷體" w:hint="eastAsia"/>
        </w:rPr>
        <w:t>再於113年11月決議列為第二級毒品，國內毒品情勢監測機制</w:t>
      </w:r>
      <w:proofErr w:type="gramStart"/>
      <w:r w:rsidRPr="00CD4F85">
        <w:rPr>
          <w:rFonts w:ascii="標楷體" w:eastAsia="標楷體" w:hAnsi="標楷體" w:hint="eastAsia"/>
        </w:rPr>
        <w:t>尚待</w:t>
      </w:r>
      <w:r w:rsidRPr="00CD4F85">
        <w:rPr>
          <w:rFonts w:ascii="標楷體" w:eastAsia="標楷體" w:hAnsi="標楷體" w:hint="eastAsia"/>
          <w:color w:val="000000" w:themeColor="text1"/>
        </w:rPr>
        <w:t>精進</w:t>
      </w:r>
      <w:proofErr w:type="gramEnd"/>
      <w:r w:rsidRPr="00CD4F85">
        <w:rPr>
          <w:rFonts w:ascii="標楷體" w:eastAsia="標楷體" w:hAnsi="標楷體" w:hint="eastAsia"/>
          <w:color w:val="000000" w:themeColor="text1"/>
        </w:rPr>
        <w:t>，允宜</w:t>
      </w:r>
      <w:proofErr w:type="gramStart"/>
      <w:r w:rsidRPr="00CD4F85">
        <w:rPr>
          <w:rFonts w:ascii="標楷體" w:eastAsia="標楷體" w:hAnsi="標楷體" w:hint="eastAsia"/>
          <w:color w:val="000000" w:themeColor="text1"/>
        </w:rPr>
        <w:t>研</w:t>
      </w:r>
      <w:proofErr w:type="gramEnd"/>
      <w:r w:rsidRPr="00CD4F85">
        <w:rPr>
          <w:rFonts w:ascii="標楷體" w:eastAsia="標楷體" w:hAnsi="標楷體" w:hint="eastAsia"/>
          <w:color w:val="000000" w:themeColor="text1"/>
        </w:rPr>
        <w:t>酌建立</w:t>
      </w:r>
      <w:proofErr w:type="gramStart"/>
      <w:r w:rsidRPr="00CD4F85">
        <w:rPr>
          <w:rFonts w:ascii="標楷體" w:eastAsia="標楷體" w:hAnsi="標楷體" w:hint="eastAsia"/>
          <w:color w:val="000000" w:themeColor="text1"/>
        </w:rPr>
        <w:t>提報毒審會</w:t>
      </w:r>
      <w:proofErr w:type="gramEnd"/>
      <w:r w:rsidRPr="00CD4F85">
        <w:rPr>
          <w:rFonts w:ascii="標楷體" w:eastAsia="標楷體" w:hAnsi="標楷體" w:hint="eastAsia"/>
          <w:color w:val="000000" w:themeColor="text1"/>
        </w:rPr>
        <w:t>之準則，並強化國際交流，及早洞察國外已流行新興毒品及時列管應處，</w:t>
      </w:r>
      <w:proofErr w:type="gramStart"/>
      <w:r w:rsidRPr="00CD4F85">
        <w:rPr>
          <w:rFonts w:ascii="標楷體" w:eastAsia="標楷體" w:hAnsi="標楷體" w:hint="eastAsia"/>
          <w:color w:val="000000" w:themeColor="text1"/>
        </w:rPr>
        <w:t>俾</w:t>
      </w:r>
      <w:proofErr w:type="gramEnd"/>
      <w:r w:rsidRPr="00CD4F85">
        <w:rPr>
          <w:rFonts w:ascii="標楷體" w:eastAsia="標楷體" w:hAnsi="標楷體" w:hint="eastAsia"/>
          <w:color w:val="000000" w:themeColor="text1"/>
        </w:rPr>
        <w:t>利監控新興毒品發展趨勢；（2）高檢署於112年12月建立「毒品先驅原料跨單位預警平</w:t>
      </w:r>
      <w:proofErr w:type="gramStart"/>
      <w:r w:rsidRPr="00CD4F85">
        <w:rPr>
          <w:rFonts w:ascii="標楷體" w:eastAsia="標楷體" w:hAnsi="標楷體" w:hint="eastAsia"/>
          <w:color w:val="000000" w:themeColor="text1"/>
        </w:rPr>
        <w:t>臺</w:t>
      </w:r>
      <w:proofErr w:type="gramEnd"/>
      <w:r w:rsidRPr="00CD4F85">
        <w:rPr>
          <w:rFonts w:ascii="標楷體" w:eastAsia="標楷體" w:hAnsi="標楷體" w:hint="eastAsia"/>
          <w:color w:val="000000" w:themeColor="text1"/>
        </w:rPr>
        <w:t>」（下稱預警平</w:t>
      </w:r>
      <w:proofErr w:type="gramStart"/>
      <w:r w:rsidRPr="00CD4F85">
        <w:rPr>
          <w:rFonts w:ascii="標楷體" w:eastAsia="標楷體" w:hAnsi="標楷體" w:hint="eastAsia"/>
          <w:color w:val="000000" w:themeColor="text1"/>
        </w:rPr>
        <w:t>臺</w:t>
      </w:r>
      <w:proofErr w:type="gramEnd"/>
      <w:r w:rsidRPr="00CD4F85">
        <w:rPr>
          <w:rFonts w:ascii="標楷體" w:eastAsia="標楷體" w:hAnsi="標楷體" w:hint="eastAsia"/>
          <w:color w:val="000000" w:themeColor="text1"/>
        </w:rPr>
        <w:t>），</w:t>
      </w:r>
      <w:proofErr w:type="gramStart"/>
      <w:r w:rsidRPr="00CD4F85">
        <w:rPr>
          <w:rFonts w:ascii="標楷體" w:eastAsia="標楷體" w:hAnsi="標楷體" w:hint="eastAsia"/>
          <w:color w:val="000000" w:themeColor="text1"/>
        </w:rPr>
        <w:t>由各緝毒</w:t>
      </w:r>
      <w:proofErr w:type="gramEnd"/>
      <w:r w:rsidRPr="00CD4F85">
        <w:rPr>
          <w:rFonts w:ascii="標楷體" w:eastAsia="標楷體" w:hAnsi="標楷體" w:hint="eastAsia"/>
          <w:color w:val="000000" w:themeColor="text1"/>
        </w:rPr>
        <w:t>機關發現國內未列管之毒品先驅原料，認有預警必要，提案討論，如討論預警後之毒品先驅原料有列管必要，則提報</w:t>
      </w:r>
      <w:proofErr w:type="gramStart"/>
      <w:r w:rsidRPr="00CD4F85">
        <w:rPr>
          <w:rFonts w:ascii="標楷體" w:eastAsia="標楷體" w:hAnsi="標楷體" w:hint="eastAsia"/>
          <w:color w:val="000000" w:themeColor="text1"/>
        </w:rPr>
        <w:t>至毒審會</w:t>
      </w:r>
      <w:proofErr w:type="gramEnd"/>
      <w:r w:rsidRPr="00CD4F85">
        <w:rPr>
          <w:rFonts w:ascii="標楷體" w:eastAsia="標楷體" w:hAnsi="標楷體" w:hint="eastAsia"/>
          <w:color w:val="000000" w:themeColor="text1"/>
        </w:rPr>
        <w:t>審議。高檢署於113年2月在預警平</w:t>
      </w:r>
      <w:proofErr w:type="gramStart"/>
      <w:r w:rsidRPr="00CD4F85">
        <w:rPr>
          <w:rFonts w:ascii="標楷體" w:eastAsia="標楷體" w:hAnsi="標楷體" w:hint="eastAsia"/>
          <w:color w:val="000000" w:themeColor="text1"/>
        </w:rPr>
        <w:t>臺</w:t>
      </w:r>
      <w:proofErr w:type="gramEnd"/>
      <w:r w:rsidRPr="00CD4F85">
        <w:rPr>
          <w:rFonts w:ascii="標楷體" w:eastAsia="標楷體" w:hAnsi="標楷體" w:hint="eastAsia"/>
          <w:color w:val="000000" w:themeColor="text1"/>
        </w:rPr>
        <w:t>會議提出國內查緝彩虹</w:t>
      </w:r>
      <w:proofErr w:type="gramStart"/>
      <w:r w:rsidRPr="00CD4F85">
        <w:rPr>
          <w:rFonts w:ascii="標楷體" w:eastAsia="標楷體" w:hAnsi="標楷體" w:hint="eastAsia"/>
          <w:color w:val="000000" w:themeColor="text1"/>
        </w:rPr>
        <w:t>菸</w:t>
      </w:r>
      <w:proofErr w:type="gramEnd"/>
      <w:r w:rsidRPr="00CD4F85">
        <w:rPr>
          <w:rFonts w:ascii="標楷體" w:eastAsia="標楷體" w:hAnsi="標楷體" w:hint="eastAsia"/>
          <w:color w:val="000000" w:themeColor="text1"/>
        </w:rPr>
        <w:t>非法工廠，發現有尚未列管之先驅原料「</w:t>
      </w:r>
      <w:r w:rsidRPr="00CD4F85">
        <w:rPr>
          <w:rFonts w:ascii="標楷體" w:eastAsia="標楷體" w:hAnsi="標楷體"/>
          <w:color w:val="000000" w:themeColor="text1"/>
        </w:rPr>
        <w:t>2-</w:t>
      </w:r>
      <w:r w:rsidRPr="00CD4F85">
        <w:rPr>
          <w:rFonts w:ascii="標楷體" w:eastAsia="標楷體" w:hAnsi="標楷體" w:hint="eastAsia"/>
          <w:color w:val="000000" w:themeColor="text1"/>
        </w:rPr>
        <w:t>甲基</w:t>
      </w:r>
      <w:r w:rsidRPr="00CD4F85">
        <w:rPr>
          <w:rFonts w:ascii="標楷體" w:eastAsia="標楷體" w:hAnsi="標楷體"/>
          <w:color w:val="000000" w:themeColor="text1"/>
        </w:rPr>
        <w:t>-4-</w:t>
      </w:r>
      <w:r w:rsidRPr="00CD4F85">
        <w:rPr>
          <w:rFonts w:ascii="標楷體" w:eastAsia="標楷體" w:hAnsi="標楷體" w:hint="eastAsia"/>
          <w:color w:val="000000" w:themeColor="text1"/>
        </w:rPr>
        <w:t>（甲硫基）</w:t>
      </w:r>
      <w:r w:rsidRPr="00CD4F85">
        <w:rPr>
          <w:rFonts w:ascii="標楷體" w:eastAsia="標楷體" w:hAnsi="標楷體"/>
          <w:color w:val="000000" w:themeColor="text1"/>
        </w:rPr>
        <w:t>-2-</w:t>
      </w:r>
      <w:r w:rsidRPr="00CD4F85">
        <w:rPr>
          <w:rFonts w:ascii="標楷體" w:eastAsia="標楷體" w:hAnsi="標楷體" w:hint="eastAsia"/>
          <w:color w:val="000000" w:themeColor="text1"/>
        </w:rPr>
        <w:t>味啉苯丙酮」</w:t>
      </w:r>
      <w:r w:rsidRPr="00CD4F85">
        <w:rPr>
          <w:rFonts w:ascii="標楷體" w:eastAsia="標楷體" w:hAnsi="標楷體" w:hint="eastAsia"/>
          <w:spacing w:val="2"/>
          <w:sz w:val="28"/>
          <w:szCs w:val="32"/>
        </w:rPr>
        <w:t>【</w:t>
      </w:r>
      <w:r w:rsidRPr="00CD4F85">
        <w:rPr>
          <w:rFonts w:ascii="標楷體" w:eastAsia="標楷體" w:hAnsi="標楷體" w:cs="Segoe UI"/>
          <w:color w:val="000000" w:themeColor="text1"/>
          <w:shd w:val="clear" w:color="auto" w:fill="FFFFFF"/>
        </w:rPr>
        <w:t>2-Methyl-4-(</w:t>
      </w:r>
      <w:proofErr w:type="spellStart"/>
      <w:r w:rsidRPr="00CD4F85">
        <w:rPr>
          <w:rFonts w:ascii="標楷體" w:eastAsia="標楷體" w:hAnsi="標楷體" w:cs="Segoe UI"/>
          <w:color w:val="000000" w:themeColor="text1"/>
          <w:shd w:val="clear" w:color="auto" w:fill="FFFFFF"/>
        </w:rPr>
        <w:t>methylthio</w:t>
      </w:r>
      <w:proofErr w:type="spellEnd"/>
      <w:r w:rsidRPr="00CD4F85">
        <w:rPr>
          <w:rFonts w:ascii="標楷體" w:eastAsia="標楷體" w:hAnsi="標楷體" w:cs="Segoe UI"/>
          <w:color w:val="000000" w:themeColor="text1"/>
          <w:shd w:val="clear" w:color="auto" w:fill="FFFFFF"/>
        </w:rPr>
        <w:t>)-2-morpholinopropiophenone</w:t>
      </w:r>
      <w:r w:rsidRPr="00CD4F85">
        <w:rPr>
          <w:rFonts w:ascii="標楷體" w:eastAsia="標楷體" w:hAnsi="標楷體"/>
          <w:color w:val="000000" w:themeColor="text1"/>
        </w:rPr>
        <w:t xml:space="preserve">, </w:t>
      </w:r>
      <w:r w:rsidRPr="00CD4F85">
        <w:rPr>
          <w:rFonts w:ascii="標楷體" w:eastAsia="標楷體" w:hAnsi="標楷體" w:cs="Segoe UI"/>
          <w:color w:val="000000" w:themeColor="text1"/>
          <w:shd w:val="clear" w:color="auto" w:fill="FFFFFF"/>
        </w:rPr>
        <w:t>MMMP</w:t>
      </w:r>
      <w:r w:rsidRPr="00CD4F85">
        <w:rPr>
          <w:rFonts w:ascii="標楷體" w:eastAsia="標楷體" w:hAnsi="標楷體" w:hint="eastAsia"/>
          <w:spacing w:val="2"/>
          <w:sz w:val="28"/>
          <w:szCs w:val="32"/>
        </w:rPr>
        <w:t>】</w:t>
      </w:r>
      <w:r w:rsidRPr="00CD4F85">
        <w:rPr>
          <w:rFonts w:ascii="標楷體" w:eastAsia="標楷體" w:hAnsi="標楷體" w:hint="eastAsia"/>
          <w:color w:val="000000" w:themeColor="text1"/>
        </w:rPr>
        <w:t>物質，爰提經毒審會於113年3月決議，因M</w:t>
      </w:r>
      <w:r w:rsidRPr="00CD4F85">
        <w:rPr>
          <w:rFonts w:ascii="標楷體" w:eastAsia="標楷體" w:hAnsi="標楷體"/>
          <w:color w:val="000000" w:themeColor="text1"/>
        </w:rPr>
        <w:t>MMP</w:t>
      </w:r>
      <w:r w:rsidRPr="00CD4F85">
        <w:rPr>
          <w:rFonts w:ascii="標楷體" w:eastAsia="標楷體" w:hAnsi="標楷體" w:hint="eastAsia"/>
          <w:color w:val="000000" w:themeColor="text1"/>
        </w:rPr>
        <w:t>具工業用途不列入毒品先驅原料管制，另報請行政院指定由環境部列入「關注化學物質」管制，經行政院召集相關機關分別就各業管權責部分提出客觀證據，於114年3月函請環境部評估納入關注化學物質列管，惟距113年2月於預警平臺會議提出國內運用MMMP製造彩虹菸已逾1年，容有精進空間，允宜研謀善策，俾利爾後再生類案能及早因應防止非法</w:t>
      </w:r>
      <w:r w:rsidRPr="00CD4F85">
        <w:rPr>
          <w:rFonts w:ascii="標楷體" w:eastAsia="標楷體" w:hAnsi="標楷體" w:hint="eastAsia"/>
          <w:color w:val="000000" w:themeColor="text1"/>
        </w:rPr>
        <w:lastRenderedPageBreak/>
        <w:t>用於製造毒品</w:t>
      </w:r>
      <w:r w:rsidR="005912ED">
        <w:rPr>
          <w:rFonts w:ascii="標楷體" w:eastAsia="標楷體" w:hAnsi="標楷體" w:hint="eastAsia"/>
          <w:color w:val="000000" w:themeColor="text1"/>
        </w:rPr>
        <w:t>等情事，</w:t>
      </w:r>
      <w:r w:rsidRPr="00CD4F85">
        <w:rPr>
          <w:rFonts w:ascii="標楷體" w:eastAsia="標楷體" w:hAnsi="標楷體" w:hint="eastAsia"/>
          <w:color w:val="000000" w:themeColor="text1"/>
        </w:rPr>
        <w:t>經函請行政院督促權責機關檢討改善。據復：</w:t>
      </w:r>
      <w:r w:rsidRPr="00CD4F85">
        <w:rPr>
          <w:rFonts w:ascii="標楷體" w:eastAsia="標楷體" w:hAnsi="標楷體" w:hint="eastAsia"/>
        </w:rPr>
        <w:t>（1）為</w:t>
      </w:r>
      <w:r w:rsidRPr="00CD4F85">
        <w:rPr>
          <w:rFonts w:ascii="標楷體" w:eastAsia="標楷體" w:hAnsi="標楷體" w:hint="eastAsia"/>
          <w:color w:val="000000" w:themeColor="text1"/>
        </w:rPr>
        <w:t>強化新興影響精神物質</w:t>
      </w:r>
      <w:r w:rsidR="0053620C">
        <w:rPr>
          <w:rFonts w:ascii="標楷體" w:eastAsia="標楷體" w:hAnsi="標楷體" w:hint="eastAsia"/>
          <w:color w:val="000000" w:themeColor="text1"/>
        </w:rPr>
        <w:t>及</w:t>
      </w:r>
      <w:r w:rsidRPr="00CD4F85">
        <w:rPr>
          <w:rFonts w:ascii="標楷體" w:eastAsia="標楷體" w:hAnsi="標楷體" w:hint="eastAsia"/>
          <w:color w:val="000000" w:themeColor="text1"/>
        </w:rPr>
        <w:t>時</w:t>
      </w:r>
      <w:proofErr w:type="gramStart"/>
      <w:r w:rsidRPr="00CD4F85">
        <w:rPr>
          <w:rFonts w:ascii="標楷體" w:eastAsia="標楷體" w:hAnsi="標楷體" w:hint="eastAsia"/>
          <w:color w:val="000000" w:themeColor="text1"/>
        </w:rPr>
        <w:t>提案毒審會</w:t>
      </w:r>
      <w:proofErr w:type="gramEnd"/>
      <w:r w:rsidRPr="00CD4F85">
        <w:rPr>
          <w:rFonts w:ascii="標楷體" w:eastAsia="標楷體" w:hAnsi="標楷體" w:hint="eastAsia"/>
          <w:color w:val="000000" w:themeColor="text1"/>
        </w:rPr>
        <w:t>審議列管，法務部將邀集相關單位</w:t>
      </w:r>
      <w:proofErr w:type="gramStart"/>
      <w:r w:rsidRPr="00CD4F85">
        <w:rPr>
          <w:rFonts w:ascii="標楷體" w:eastAsia="標楷體" w:hAnsi="標楷體" w:hint="eastAsia"/>
          <w:color w:val="000000" w:themeColor="text1"/>
        </w:rPr>
        <w:t>研</w:t>
      </w:r>
      <w:proofErr w:type="gramEnd"/>
      <w:r w:rsidRPr="00CD4F85">
        <w:rPr>
          <w:rFonts w:ascii="標楷體" w:eastAsia="標楷體" w:hAnsi="標楷體" w:hint="eastAsia"/>
          <w:color w:val="000000" w:themeColor="text1"/>
        </w:rPr>
        <w:t>商</w:t>
      </w:r>
      <w:proofErr w:type="gramStart"/>
      <w:r w:rsidRPr="00CD4F85">
        <w:rPr>
          <w:rFonts w:ascii="標楷體" w:eastAsia="標楷體" w:hAnsi="標楷體" w:hint="eastAsia"/>
          <w:color w:val="000000" w:themeColor="text1"/>
        </w:rPr>
        <w:t>檢討毒審會</w:t>
      </w:r>
      <w:proofErr w:type="gramEnd"/>
      <w:r w:rsidRPr="00CD4F85">
        <w:rPr>
          <w:rFonts w:ascii="標楷體" w:eastAsia="標楷體" w:hAnsi="標楷體" w:hint="eastAsia"/>
          <w:color w:val="000000" w:themeColor="text1"/>
        </w:rPr>
        <w:t>提報及列管原則，與新增預警項目之篩選、提案方式；（2）為強化毒品先驅原料之管理機制，將針對具工業用途之製毒原料，審慎評估國內產業需求及發展，發揮管理機制之最大效益。</w:t>
      </w:r>
    </w:p>
    <w:p w14:paraId="7388972C" w14:textId="77777777" w:rsidR="00F63B4C" w:rsidRDefault="00595985" w:rsidP="004D172B">
      <w:pPr>
        <w:adjustRightInd w:val="0"/>
        <w:snapToGrid w:val="0"/>
        <w:spacing w:line="416" w:lineRule="exact"/>
        <w:ind w:firstLineChars="450" w:firstLine="1081"/>
        <w:jc w:val="both"/>
        <w:rPr>
          <w:rFonts w:ascii="標楷體" w:eastAsia="標楷體" w:hAnsi="標楷體"/>
        </w:rPr>
      </w:pPr>
      <w:bookmarkStart w:id="22" w:name="_Hlk198717018"/>
      <w:r>
        <w:rPr>
          <w:rFonts w:ascii="標楷體" w:eastAsia="標楷體" w:hAnsi="標楷體" w:hint="eastAsia"/>
          <w:b/>
        </w:rPr>
        <w:t xml:space="preserve">4.　</w:t>
      </w:r>
      <w:proofErr w:type="gramStart"/>
      <w:r w:rsidRPr="007A22E8">
        <w:rPr>
          <w:rFonts w:ascii="標楷體" w:eastAsia="標楷體" w:hAnsi="標楷體" w:hint="eastAsia"/>
          <w:b/>
        </w:rPr>
        <w:t>毒駕嚴重</w:t>
      </w:r>
      <w:proofErr w:type="gramEnd"/>
      <w:r w:rsidRPr="007A22E8">
        <w:rPr>
          <w:rFonts w:ascii="標楷體" w:eastAsia="標楷體" w:hAnsi="標楷體" w:hint="eastAsia"/>
          <w:b/>
        </w:rPr>
        <w:t>危害</w:t>
      </w:r>
      <w:r>
        <w:rPr>
          <w:rFonts w:ascii="標楷體" w:eastAsia="標楷體" w:hAnsi="標楷體" w:hint="eastAsia"/>
          <w:b/>
        </w:rPr>
        <w:t>道路</w:t>
      </w:r>
      <w:r w:rsidRPr="007A22E8">
        <w:rPr>
          <w:rFonts w:ascii="標楷體" w:eastAsia="標楷體" w:hAnsi="標楷體" w:hint="eastAsia"/>
          <w:b/>
        </w:rPr>
        <w:t>交通安全，刑事訴訟法非侵入性</w:t>
      </w:r>
      <w:proofErr w:type="gramStart"/>
      <w:r w:rsidRPr="007A22E8">
        <w:rPr>
          <w:rFonts w:ascii="標楷體" w:eastAsia="標楷體" w:hAnsi="標楷體" w:hint="eastAsia"/>
          <w:b/>
        </w:rPr>
        <w:t>採</w:t>
      </w:r>
      <w:proofErr w:type="gramEnd"/>
      <w:r w:rsidRPr="007A22E8">
        <w:rPr>
          <w:rFonts w:ascii="標楷體" w:eastAsia="標楷體" w:hAnsi="標楷體" w:hint="eastAsia"/>
          <w:b/>
        </w:rPr>
        <w:t>尿程序</w:t>
      </w:r>
      <w:r w:rsidRPr="00E4381D">
        <w:rPr>
          <w:rFonts w:ascii="標楷體" w:eastAsia="標楷體" w:hAnsi="標楷體" w:hint="eastAsia"/>
          <w:b/>
        </w:rPr>
        <w:t>修正草案雖已送立法院審議，惟尚未完成修法，且實務上尚無及時</w:t>
      </w:r>
      <w:proofErr w:type="gramStart"/>
      <w:r w:rsidRPr="00E4381D">
        <w:rPr>
          <w:rFonts w:ascii="標楷體" w:eastAsia="標楷體" w:hAnsi="標楷體" w:hint="eastAsia"/>
          <w:b/>
        </w:rPr>
        <w:t>遏阻毒駕之</w:t>
      </w:r>
      <w:proofErr w:type="gramEnd"/>
      <w:r w:rsidRPr="00E4381D">
        <w:rPr>
          <w:rFonts w:ascii="標楷體" w:eastAsia="標楷體" w:hAnsi="標楷體" w:hint="eastAsia"/>
          <w:b/>
        </w:rPr>
        <w:t>執法機制：</w:t>
      </w:r>
      <w:bookmarkEnd w:id="22"/>
      <w:r w:rsidRPr="00E4381D">
        <w:rPr>
          <w:rFonts w:ascii="標楷體" w:eastAsia="標楷體" w:hAnsi="標楷體" w:hint="eastAsia"/>
        </w:rPr>
        <w:t>行為人施用毒品後駕駛動力交通工具，因毒品作用影響可能發生事故造成傷亡，為保障社會大眾交通</w:t>
      </w:r>
      <w:r w:rsidRPr="00E67E0C">
        <w:rPr>
          <w:rFonts w:ascii="標楷體" w:eastAsia="標楷體" w:hAnsi="標楷體" w:hint="eastAsia"/>
        </w:rPr>
        <w:t>安全，法務部</w:t>
      </w:r>
      <w:proofErr w:type="gramStart"/>
      <w:r>
        <w:rPr>
          <w:rFonts w:ascii="標楷體" w:eastAsia="標楷體" w:hAnsi="標楷體" w:hint="eastAsia"/>
        </w:rPr>
        <w:t>爰</w:t>
      </w:r>
      <w:r w:rsidRPr="00E67E0C">
        <w:rPr>
          <w:rFonts w:ascii="標楷體" w:eastAsia="標楷體" w:hAnsi="標楷體" w:hint="eastAsia"/>
        </w:rPr>
        <w:t>研</w:t>
      </w:r>
      <w:proofErr w:type="gramEnd"/>
      <w:r w:rsidRPr="00E67E0C">
        <w:rPr>
          <w:rFonts w:ascii="標楷體" w:eastAsia="標楷體" w:hAnsi="標楷體" w:hint="eastAsia"/>
        </w:rPr>
        <w:t>議原刑法第185條之3</w:t>
      </w:r>
      <w:proofErr w:type="gramStart"/>
      <w:r w:rsidRPr="00E67E0C">
        <w:rPr>
          <w:rFonts w:ascii="標楷體" w:eastAsia="標楷體" w:hAnsi="標楷體" w:hint="eastAsia"/>
        </w:rPr>
        <w:t>毒駕案件</w:t>
      </w:r>
      <w:proofErr w:type="gramEnd"/>
      <w:r w:rsidRPr="00E67E0C">
        <w:rPr>
          <w:rFonts w:ascii="標楷體" w:eastAsia="標楷體" w:hAnsi="標楷體" w:hint="eastAsia"/>
        </w:rPr>
        <w:t>有罪判決中，有關「致不能安全駕駛」構成要件之認定標準，提出修法草案，</w:t>
      </w:r>
      <w:r>
        <w:rPr>
          <w:rFonts w:ascii="標楷體" w:eastAsia="標楷體" w:hAnsi="標楷體" w:hint="eastAsia"/>
        </w:rPr>
        <w:t>由行政院訂定</w:t>
      </w:r>
      <w:r w:rsidRPr="004A0EDA">
        <w:rPr>
          <w:rFonts w:ascii="標楷體" w:eastAsia="標楷體" w:hAnsi="標楷體" w:hint="eastAsia"/>
        </w:rPr>
        <w:t>尿液確認檢驗判定檢出毒品</w:t>
      </w:r>
      <w:proofErr w:type="gramStart"/>
      <w:r w:rsidRPr="004A0EDA">
        <w:rPr>
          <w:rFonts w:ascii="標楷體" w:eastAsia="標楷體" w:hAnsi="標楷體" w:hint="eastAsia"/>
        </w:rPr>
        <w:t>品</w:t>
      </w:r>
      <w:proofErr w:type="gramEnd"/>
      <w:r w:rsidRPr="004A0EDA">
        <w:rPr>
          <w:rFonts w:ascii="標楷體" w:eastAsia="標楷體" w:hAnsi="標楷體" w:hint="eastAsia"/>
        </w:rPr>
        <w:t>項及濃度值</w:t>
      </w:r>
      <w:r>
        <w:rPr>
          <w:rFonts w:ascii="標楷體" w:eastAsia="標楷體" w:hAnsi="標楷體" w:hint="eastAsia"/>
        </w:rPr>
        <w:t>，</w:t>
      </w:r>
      <w:proofErr w:type="gramStart"/>
      <w:r w:rsidRPr="00E67E0C">
        <w:rPr>
          <w:rFonts w:ascii="標楷體" w:eastAsia="標楷體" w:hAnsi="標楷體" w:hint="eastAsia"/>
        </w:rPr>
        <w:t>嗣</w:t>
      </w:r>
      <w:proofErr w:type="gramEnd"/>
      <w:r w:rsidRPr="00E67E0C">
        <w:rPr>
          <w:rFonts w:ascii="標楷體" w:eastAsia="標楷體" w:hAnsi="標楷體" w:hint="eastAsia"/>
        </w:rPr>
        <w:t>經立法院審議</w:t>
      </w:r>
      <w:r>
        <w:rPr>
          <w:rFonts w:ascii="標楷體" w:eastAsia="標楷體" w:hAnsi="標楷體" w:hint="eastAsia"/>
        </w:rPr>
        <w:t>通過</w:t>
      </w:r>
      <w:r w:rsidRPr="00E67E0C">
        <w:rPr>
          <w:rFonts w:ascii="標楷體" w:eastAsia="標楷體" w:hAnsi="標楷體" w:hint="eastAsia"/>
        </w:rPr>
        <w:t>，總統於112年12月27日修正公布。</w:t>
      </w:r>
      <w:r w:rsidRPr="004A0EDA">
        <w:rPr>
          <w:rFonts w:ascii="標楷體" w:eastAsia="標楷體" w:hAnsi="標楷體" w:hint="eastAsia"/>
        </w:rPr>
        <w:t>行政院於113年3月29日公告訂定</w:t>
      </w:r>
      <w:r>
        <w:rPr>
          <w:rFonts w:ascii="標楷體" w:eastAsia="標楷體" w:hAnsi="標楷體" w:hint="eastAsia"/>
        </w:rPr>
        <w:t>刑法第185條之3</w:t>
      </w:r>
      <w:r w:rsidRPr="004A0EDA">
        <w:rPr>
          <w:rFonts w:ascii="標楷體" w:eastAsia="標楷體" w:hAnsi="標楷體" w:hint="eastAsia"/>
        </w:rPr>
        <w:t>規定</w:t>
      </w:r>
    </w:p>
    <w:p w14:paraId="4390C177" w14:textId="7F4547DA" w:rsidR="00595985" w:rsidRPr="007739E4" w:rsidRDefault="00595985" w:rsidP="00F63B4C">
      <w:pPr>
        <w:adjustRightInd w:val="0"/>
        <w:snapToGrid w:val="0"/>
        <w:spacing w:line="420" w:lineRule="exact"/>
        <w:jc w:val="both"/>
        <w:rPr>
          <w:rFonts w:ascii="標楷體" w:eastAsia="標楷體" w:hAnsi="標楷體"/>
        </w:rPr>
      </w:pPr>
      <w:r w:rsidRPr="004A0EDA">
        <w:rPr>
          <w:rFonts w:ascii="標楷體" w:eastAsia="標楷體" w:hAnsi="標楷體" w:hint="eastAsia"/>
        </w:rPr>
        <w:t>之尿液確認檢驗判定檢出毒品</w:t>
      </w:r>
      <w:proofErr w:type="gramStart"/>
      <w:r w:rsidRPr="004A0EDA">
        <w:rPr>
          <w:rFonts w:ascii="標楷體" w:eastAsia="標楷體" w:hAnsi="標楷體" w:hint="eastAsia"/>
        </w:rPr>
        <w:t>品</w:t>
      </w:r>
      <w:proofErr w:type="gramEnd"/>
      <w:r w:rsidRPr="004A0EDA">
        <w:rPr>
          <w:rFonts w:ascii="標楷體" w:eastAsia="標楷體" w:hAnsi="標楷體" w:hint="eastAsia"/>
        </w:rPr>
        <w:t>項及濃度值。</w:t>
      </w:r>
      <w:r w:rsidRPr="00E67E0C">
        <w:rPr>
          <w:rFonts w:ascii="標楷體" w:eastAsia="標楷體" w:hAnsi="標楷體" w:hint="eastAsia"/>
        </w:rPr>
        <w:t>經</w:t>
      </w:r>
      <w:proofErr w:type="gramStart"/>
      <w:r w:rsidRPr="00E67E0C">
        <w:rPr>
          <w:rFonts w:ascii="標楷體" w:eastAsia="標楷體" w:hAnsi="標楷體" w:hint="eastAsia"/>
        </w:rPr>
        <w:t>查毒駕</w:t>
      </w:r>
      <w:proofErr w:type="gramEnd"/>
      <w:r w:rsidRPr="00E67E0C">
        <w:rPr>
          <w:rFonts w:ascii="標楷體" w:eastAsia="標楷體" w:hAnsi="標楷體" w:hint="eastAsia"/>
        </w:rPr>
        <w:t>案件防制</w:t>
      </w:r>
      <w:r>
        <w:rPr>
          <w:rFonts w:ascii="標楷體" w:eastAsia="標楷體" w:hAnsi="標楷體" w:hint="eastAsia"/>
        </w:rPr>
        <w:t>執行</w:t>
      </w:r>
      <w:r w:rsidRPr="00E67E0C">
        <w:rPr>
          <w:rFonts w:ascii="標楷體" w:eastAsia="標楷體" w:hAnsi="標楷體" w:hint="eastAsia"/>
        </w:rPr>
        <w:t>情形，核有</w:t>
      </w:r>
      <w:r>
        <w:rPr>
          <w:rFonts w:ascii="標楷體" w:eastAsia="標楷體" w:hAnsi="標楷體" w:hint="eastAsia"/>
        </w:rPr>
        <w:t>：（1）</w:t>
      </w:r>
      <w:r w:rsidRPr="004A0EDA">
        <w:rPr>
          <w:rFonts w:ascii="標楷體" w:eastAsia="標楷體" w:hAnsi="標楷體" w:hint="eastAsia"/>
        </w:rPr>
        <w:t>據警政署統計，</w:t>
      </w:r>
      <w:proofErr w:type="gramStart"/>
      <w:r w:rsidRPr="004A0EDA">
        <w:rPr>
          <w:rFonts w:ascii="標楷體" w:eastAsia="標楷體" w:hAnsi="標楷體" w:hint="eastAsia"/>
        </w:rPr>
        <w:t>113年1至9月毒駕案件</w:t>
      </w:r>
      <w:proofErr w:type="gramEnd"/>
      <w:r w:rsidRPr="004A0EDA">
        <w:rPr>
          <w:rFonts w:ascii="標楷體" w:eastAsia="標楷體" w:hAnsi="標楷體" w:hint="eastAsia"/>
        </w:rPr>
        <w:t>計1,823件，相較112年同期119件</w:t>
      </w:r>
      <w:r>
        <w:rPr>
          <w:rFonts w:ascii="標楷體" w:eastAsia="標楷體" w:hAnsi="標楷體" w:hint="eastAsia"/>
        </w:rPr>
        <w:t>，</w:t>
      </w:r>
      <w:r w:rsidRPr="004A0EDA">
        <w:rPr>
          <w:rFonts w:ascii="標楷體" w:eastAsia="標楷體" w:hAnsi="標楷體" w:hint="eastAsia"/>
        </w:rPr>
        <w:t>增</w:t>
      </w:r>
      <w:r>
        <w:rPr>
          <w:rFonts w:ascii="標楷體" w:eastAsia="標楷體" w:hAnsi="標楷體" w:hint="eastAsia"/>
        </w:rPr>
        <w:t>加</w:t>
      </w:r>
      <w:r w:rsidRPr="004A0EDA">
        <w:rPr>
          <w:rFonts w:ascii="標楷體" w:eastAsia="標楷體" w:hAnsi="標楷體" w:hint="eastAsia"/>
        </w:rPr>
        <w:t>14.32</w:t>
      </w:r>
      <w:r w:rsidRPr="00683DEC">
        <w:rPr>
          <w:rFonts w:ascii="標楷體" w:eastAsia="標楷體" w:hAnsi="標楷體" w:hint="eastAsia"/>
          <w:color w:val="000000" w:themeColor="text1"/>
        </w:rPr>
        <w:t>倍</w:t>
      </w:r>
      <w:r w:rsidR="008F531A">
        <w:rPr>
          <w:rFonts w:ascii="標楷體" w:eastAsia="標楷體" w:hAnsi="標楷體" w:hint="eastAsia"/>
          <w:color w:val="000000" w:themeColor="text1"/>
        </w:rPr>
        <w:t>（</w:t>
      </w:r>
      <w:r w:rsidRPr="00683DEC">
        <w:rPr>
          <w:rFonts w:ascii="標楷體" w:eastAsia="標楷體" w:hAnsi="標楷體" w:hint="eastAsia"/>
          <w:color w:val="000000" w:themeColor="text1"/>
        </w:rPr>
        <w:t>表</w:t>
      </w:r>
      <w:r w:rsidR="008F531A">
        <w:rPr>
          <w:rFonts w:ascii="標楷體" w:eastAsia="標楷體" w:hAnsi="標楷體" w:hint="eastAsia"/>
          <w:color w:val="000000" w:themeColor="text1"/>
        </w:rPr>
        <w:t>27</w:t>
      </w:r>
      <w:r w:rsidRPr="00683DEC">
        <w:rPr>
          <w:rFonts w:ascii="標楷體" w:eastAsia="標楷體" w:hAnsi="標楷體" w:hint="eastAsia"/>
          <w:color w:val="000000" w:themeColor="text1"/>
        </w:rPr>
        <w:t>），</w:t>
      </w:r>
      <w:r w:rsidR="00267169" w:rsidRPr="00A0079B">
        <w:rPr>
          <w:rFonts w:ascii="標楷體" w:eastAsia="標楷體" w:hAnsi="標楷體"/>
          <w:b/>
          <w:noProof/>
        </w:rPr>
        <mc:AlternateContent>
          <mc:Choice Requires="wps">
            <w:drawing>
              <wp:anchor distT="45720" distB="45720" distL="114300" distR="114300" simplePos="0" relativeHeight="251635712" behindDoc="0" locked="0" layoutInCell="1" allowOverlap="1" wp14:anchorId="493638CA" wp14:editId="690AEA58">
                <wp:simplePos x="0" y="0"/>
                <wp:positionH relativeFrom="margin">
                  <wp:posOffset>4645660</wp:posOffset>
                </wp:positionH>
                <wp:positionV relativeFrom="paragraph">
                  <wp:posOffset>716280</wp:posOffset>
                </wp:positionV>
                <wp:extent cx="1607820" cy="2849880"/>
                <wp:effectExtent l="0" t="0" r="0" b="0"/>
                <wp:wrapSquare wrapText="bothSides"/>
                <wp:docPr id="20083270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7820" cy="2849880"/>
                        </a:xfrm>
                        <a:prstGeom prst="rect">
                          <a:avLst/>
                        </a:prstGeom>
                        <a:noFill/>
                        <a:ln w="9525">
                          <a:noFill/>
                          <a:miter lim="800000"/>
                          <a:headEnd/>
                          <a:tailEnd/>
                        </a:ln>
                      </wps:spPr>
                      <wps:txbx>
                        <w:txbxContent>
                          <w:tbl>
                            <w:tblPr>
                              <w:tblW w:w="2410" w:type="dxa"/>
                              <w:tblInd w:w="-114" w:type="dxa"/>
                              <w:tblCellMar>
                                <w:left w:w="28" w:type="dxa"/>
                                <w:right w:w="28" w:type="dxa"/>
                              </w:tblCellMar>
                              <w:tblLook w:val="04A0" w:firstRow="1" w:lastRow="0" w:firstColumn="1" w:lastColumn="0" w:noHBand="0" w:noVBand="1"/>
                            </w:tblPr>
                            <w:tblGrid>
                              <w:gridCol w:w="992"/>
                              <w:gridCol w:w="709"/>
                              <w:gridCol w:w="709"/>
                            </w:tblGrid>
                            <w:tr w:rsidR="00267169" w:rsidRPr="00A0079B" w14:paraId="2DC58280" w14:textId="77777777" w:rsidTr="00263BC9">
                              <w:trPr>
                                <w:trHeight w:val="147"/>
                              </w:trPr>
                              <w:tc>
                                <w:tcPr>
                                  <w:tcW w:w="2410" w:type="dxa"/>
                                  <w:gridSpan w:val="3"/>
                                  <w:tcBorders>
                                    <w:top w:val="nil"/>
                                    <w:left w:val="nil"/>
                                    <w:bottom w:val="nil"/>
                                    <w:right w:val="nil"/>
                                  </w:tcBorders>
                                  <w:shd w:val="clear" w:color="auto" w:fill="auto"/>
                                  <w:noWrap/>
                                  <w:vAlign w:val="center"/>
                                  <w:hideMark/>
                                </w:tcPr>
                                <w:p w14:paraId="783F41A0" w14:textId="2080839F" w:rsidR="00267169" w:rsidRPr="00B4512F" w:rsidRDefault="00267169" w:rsidP="00B4512F">
                                  <w:pPr>
                                    <w:widowControl/>
                                    <w:ind w:leftChars="-18" w:left="-43" w:rightChars="-10" w:right="-24"/>
                                    <w:jc w:val="center"/>
                                    <w:rPr>
                                      <w:rFonts w:ascii="標楷體" w:eastAsia="標楷體" w:hAnsi="標楷體" w:cs="新細明體"/>
                                      <w:b/>
                                      <w:color w:val="000000"/>
                                      <w:spacing w:val="-4"/>
                                      <w:kern w:val="0"/>
                                      <w:szCs w:val="24"/>
                                    </w:rPr>
                                  </w:pPr>
                                  <w:r w:rsidRPr="00B4512F">
                                    <w:rPr>
                                      <w:rFonts w:ascii="標楷體" w:eastAsia="標楷體" w:hAnsi="標楷體" w:cs="新細明體" w:hint="eastAsia"/>
                                      <w:b/>
                                      <w:color w:val="000000"/>
                                      <w:spacing w:val="-4"/>
                                      <w:kern w:val="0"/>
                                      <w:szCs w:val="24"/>
                                    </w:rPr>
                                    <w:t>表2</w:t>
                                  </w:r>
                                  <w:r w:rsidRPr="00B4512F">
                                    <w:rPr>
                                      <w:rFonts w:ascii="標楷體" w:eastAsia="標楷體" w:hAnsi="標楷體" w:cs="新細明體"/>
                                      <w:b/>
                                      <w:color w:val="000000"/>
                                      <w:spacing w:val="-4"/>
                                      <w:kern w:val="0"/>
                                      <w:szCs w:val="24"/>
                                    </w:rPr>
                                    <w:t>7</w:t>
                                  </w:r>
                                  <w:r w:rsidR="00B4512F" w:rsidRPr="00B4512F">
                                    <w:rPr>
                                      <w:rFonts w:ascii="標楷體" w:eastAsia="標楷體" w:hAnsi="標楷體" w:cs="新細明體" w:hint="eastAsia"/>
                                      <w:b/>
                                      <w:color w:val="000000"/>
                                      <w:spacing w:val="-4"/>
                                      <w:kern w:val="0"/>
                                      <w:szCs w:val="24"/>
                                    </w:rPr>
                                    <w:t xml:space="preserve">　</w:t>
                                  </w:r>
                                  <w:proofErr w:type="gramStart"/>
                                  <w:r w:rsidRPr="00B4512F">
                                    <w:rPr>
                                      <w:rFonts w:ascii="標楷體" w:eastAsia="標楷體" w:hAnsi="標楷體" w:cs="新細明體" w:hint="eastAsia"/>
                                      <w:b/>
                                      <w:color w:val="000000"/>
                                      <w:spacing w:val="-4"/>
                                      <w:kern w:val="0"/>
                                      <w:szCs w:val="24"/>
                                    </w:rPr>
                                    <w:t>毒駕案件</w:t>
                                  </w:r>
                                  <w:proofErr w:type="gramEnd"/>
                                  <w:r w:rsidRPr="00B4512F">
                                    <w:rPr>
                                      <w:rFonts w:ascii="標楷體" w:eastAsia="標楷體" w:hAnsi="標楷體" w:cs="新細明體" w:hint="eastAsia"/>
                                      <w:b/>
                                      <w:color w:val="000000"/>
                                      <w:spacing w:val="-4"/>
                                      <w:kern w:val="0"/>
                                      <w:szCs w:val="24"/>
                                    </w:rPr>
                                    <w:t>統計數</w:t>
                                  </w:r>
                                </w:p>
                              </w:tc>
                            </w:tr>
                            <w:tr w:rsidR="00267169" w:rsidRPr="00A0079B" w14:paraId="71E94417" w14:textId="77777777" w:rsidTr="00263BC9">
                              <w:trPr>
                                <w:trHeight w:val="199"/>
                              </w:trPr>
                              <w:tc>
                                <w:tcPr>
                                  <w:tcW w:w="2410" w:type="dxa"/>
                                  <w:gridSpan w:val="3"/>
                                  <w:tcBorders>
                                    <w:top w:val="nil"/>
                                    <w:left w:val="nil"/>
                                    <w:bottom w:val="nil"/>
                                    <w:right w:val="nil"/>
                                  </w:tcBorders>
                                  <w:shd w:val="clear" w:color="auto" w:fill="auto"/>
                                  <w:noWrap/>
                                  <w:vAlign w:val="bottom"/>
                                  <w:hideMark/>
                                </w:tcPr>
                                <w:p w14:paraId="0D2C2738" w14:textId="77777777" w:rsidR="00267169" w:rsidRPr="00A0079B" w:rsidRDefault="00267169" w:rsidP="00A0079B">
                                  <w:pPr>
                                    <w:widowControl/>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單位：件</w:t>
                                  </w:r>
                                </w:p>
                              </w:tc>
                            </w:tr>
                            <w:tr w:rsidR="00267169" w:rsidRPr="00A0079B" w14:paraId="4BDB114E" w14:textId="77777777" w:rsidTr="00263BC9">
                              <w:trPr>
                                <w:trHeight w:val="549"/>
                              </w:trPr>
                              <w:tc>
                                <w:tcPr>
                                  <w:tcW w:w="99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CE621C4" w14:textId="77777777" w:rsidR="00267169" w:rsidRPr="00A0079B" w:rsidRDefault="00267169" w:rsidP="00430D64">
                                  <w:pPr>
                                    <w:widowControl/>
                                    <w:spacing w:line="0" w:lineRule="atLeas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 xml:space="preserve">    年度  </w:t>
                                  </w:r>
                                  <w:r w:rsidRPr="00A0079B">
                                    <w:rPr>
                                      <w:rFonts w:ascii="標楷體" w:eastAsia="標楷體" w:hAnsi="標楷體" w:cs="新細明體" w:hint="eastAsia"/>
                                      <w:color w:val="000000"/>
                                      <w:kern w:val="0"/>
                                      <w:sz w:val="20"/>
                                      <w:szCs w:val="32"/>
                                    </w:rPr>
                                    <w:br/>
                                    <w:t xml:space="preserve">月份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3AA15F9" w14:textId="77777777" w:rsidR="00267169" w:rsidRPr="00A0079B" w:rsidRDefault="00267169" w:rsidP="00430D64">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F19CD04" w14:textId="77777777" w:rsidR="00267169" w:rsidRPr="00A0079B" w:rsidRDefault="00267169" w:rsidP="00430D64">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113</w:t>
                                  </w:r>
                                </w:p>
                              </w:tc>
                            </w:tr>
                            <w:tr w:rsidR="00267169" w:rsidRPr="00A0079B" w14:paraId="27AD4D6B" w14:textId="77777777" w:rsidTr="00263BC9">
                              <w:trPr>
                                <w:trHeight w:val="274"/>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E33CB1B" w14:textId="77777777" w:rsidR="00267169" w:rsidRPr="00C84FF6" w:rsidRDefault="00267169" w:rsidP="00DF3C82">
                                  <w:pPr>
                                    <w:widowControl/>
                                    <w:spacing w:line="0" w:lineRule="atLeast"/>
                                    <w:jc w:val="center"/>
                                    <w:rPr>
                                      <w:rFonts w:ascii="標楷體" w:eastAsia="標楷體" w:hAnsi="標楷體" w:cs="新細明體"/>
                                      <w:b/>
                                      <w:bCs/>
                                      <w:color w:val="000000"/>
                                      <w:kern w:val="0"/>
                                      <w:sz w:val="20"/>
                                      <w:szCs w:val="32"/>
                                    </w:rPr>
                                  </w:pPr>
                                  <w:r w:rsidRPr="00C84FF6">
                                    <w:rPr>
                                      <w:rFonts w:ascii="標楷體" w:eastAsia="標楷體" w:hAnsi="標楷體" w:cs="新細明體" w:hint="eastAsia"/>
                                      <w:b/>
                                      <w:bCs/>
                                      <w:color w:val="000000"/>
                                      <w:kern w:val="0"/>
                                      <w:sz w:val="20"/>
                                      <w:szCs w:val="32"/>
                                    </w:rPr>
                                    <w:t>合計</w:t>
                                  </w:r>
                                </w:p>
                              </w:tc>
                              <w:tc>
                                <w:tcPr>
                                  <w:tcW w:w="709" w:type="dxa"/>
                                  <w:tcBorders>
                                    <w:top w:val="nil"/>
                                    <w:left w:val="nil"/>
                                    <w:bottom w:val="single" w:sz="4" w:space="0" w:color="auto"/>
                                    <w:right w:val="single" w:sz="4" w:space="0" w:color="auto"/>
                                  </w:tcBorders>
                                  <w:shd w:val="clear" w:color="auto" w:fill="auto"/>
                                  <w:vAlign w:val="center"/>
                                  <w:hideMark/>
                                </w:tcPr>
                                <w:p w14:paraId="1403A89F" w14:textId="77777777" w:rsidR="00267169" w:rsidRPr="00C84FF6" w:rsidRDefault="00267169" w:rsidP="00DF3C82">
                                  <w:pPr>
                                    <w:widowControl/>
                                    <w:spacing w:line="0" w:lineRule="atLeast"/>
                                    <w:jc w:val="right"/>
                                    <w:rPr>
                                      <w:rFonts w:ascii="標楷體" w:eastAsia="標楷體" w:hAnsi="標楷體" w:cs="新細明體"/>
                                      <w:b/>
                                      <w:bCs/>
                                      <w:color w:val="000000"/>
                                      <w:kern w:val="0"/>
                                      <w:sz w:val="20"/>
                                      <w:szCs w:val="32"/>
                                    </w:rPr>
                                  </w:pPr>
                                  <w:r w:rsidRPr="00C84FF6">
                                    <w:rPr>
                                      <w:rFonts w:ascii="標楷體" w:eastAsia="標楷體" w:hAnsi="標楷體" w:cs="新細明體" w:hint="eastAsia"/>
                                      <w:b/>
                                      <w:bCs/>
                                      <w:color w:val="000000"/>
                                      <w:kern w:val="0"/>
                                      <w:sz w:val="20"/>
                                      <w:szCs w:val="32"/>
                                    </w:rPr>
                                    <w:t>119</w:t>
                                  </w:r>
                                </w:p>
                              </w:tc>
                              <w:tc>
                                <w:tcPr>
                                  <w:tcW w:w="709" w:type="dxa"/>
                                  <w:tcBorders>
                                    <w:top w:val="nil"/>
                                    <w:left w:val="nil"/>
                                    <w:bottom w:val="single" w:sz="4" w:space="0" w:color="auto"/>
                                    <w:right w:val="single" w:sz="4" w:space="0" w:color="auto"/>
                                  </w:tcBorders>
                                  <w:shd w:val="clear" w:color="auto" w:fill="auto"/>
                                  <w:vAlign w:val="center"/>
                                  <w:hideMark/>
                                </w:tcPr>
                                <w:p w14:paraId="6B689F1F" w14:textId="77777777" w:rsidR="00267169" w:rsidRPr="00C84FF6" w:rsidRDefault="00267169" w:rsidP="00DF3C82">
                                  <w:pPr>
                                    <w:widowControl/>
                                    <w:spacing w:line="0" w:lineRule="atLeast"/>
                                    <w:jc w:val="right"/>
                                    <w:rPr>
                                      <w:rFonts w:ascii="標楷體" w:eastAsia="標楷體" w:hAnsi="標楷體" w:cs="新細明體"/>
                                      <w:b/>
                                      <w:bCs/>
                                      <w:color w:val="000000"/>
                                      <w:kern w:val="0"/>
                                      <w:sz w:val="20"/>
                                      <w:szCs w:val="32"/>
                                    </w:rPr>
                                  </w:pPr>
                                  <w:r w:rsidRPr="00C84FF6">
                                    <w:rPr>
                                      <w:rFonts w:ascii="標楷體" w:eastAsia="標楷體" w:hAnsi="標楷體" w:cs="新細明體" w:hint="eastAsia"/>
                                      <w:b/>
                                      <w:bCs/>
                                      <w:color w:val="000000"/>
                                      <w:kern w:val="0"/>
                                      <w:sz w:val="20"/>
                                      <w:szCs w:val="32"/>
                                    </w:rPr>
                                    <w:t>1,823</w:t>
                                  </w:r>
                                </w:p>
                              </w:tc>
                            </w:tr>
                            <w:tr w:rsidR="00267169" w:rsidRPr="00A0079B" w14:paraId="6A17650C" w14:textId="77777777" w:rsidTr="00263BC9">
                              <w:trPr>
                                <w:trHeight w:val="1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E7FBDBD"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w:t>
                                  </w:r>
                                </w:p>
                              </w:tc>
                              <w:tc>
                                <w:tcPr>
                                  <w:tcW w:w="709" w:type="dxa"/>
                                  <w:tcBorders>
                                    <w:top w:val="nil"/>
                                    <w:left w:val="nil"/>
                                    <w:bottom w:val="single" w:sz="4" w:space="0" w:color="auto"/>
                                    <w:right w:val="single" w:sz="4" w:space="0" w:color="auto"/>
                                  </w:tcBorders>
                                  <w:shd w:val="clear" w:color="auto" w:fill="auto"/>
                                  <w:vAlign w:val="center"/>
                                  <w:hideMark/>
                                </w:tcPr>
                                <w:p w14:paraId="459EDA8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w:t>
                                  </w:r>
                                </w:p>
                              </w:tc>
                              <w:tc>
                                <w:tcPr>
                                  <w:tcW w:w="709" w:type="dxa"/>
                                  <w:tcBorders>
                                    <w:top w:val="nil"/>
                                    <w:left w:val="nil"/>
                                    <w:bottom w:val="single" w:sz="4" w:space="0" w:color="auto"/>
                                    <w:right w:val="single" w:sz="4" w:space="0" w:color="auto"/>
                                  </w:tcBorders>
                                  <w:shd w:val="clear" w:color="auto" w:fill="auto"/>
                                  <w:vAlign w:val="center"/>
                                  <w:hideMark/>
                                </w:tcPr>
                                <w:p w14:paraId="7A31F881"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115</w:t>
                                  </w:r>
                                </w:p>
                              </w:tc>
                            </w:tr>
                            <w:tr w:rsidR="00267169" w:rsidRPr="00A0079B" w14:paraId="27BC2C19" w14:textId="77777777" w:rsidTr="00263BC9">
                              <w:trPr>
                                <w:trHeight w:val="148"/>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E8C64B0"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w:t>
                                  </w:r>
                                </w:p>
                              </w:tc>
                              <w:tc>
                                <w:tcPr>
                                  <w:tcW w:w="709" w:type="dxa"/>
                                  <w:tcBorders>
                                    <w:top w:val="nil"/>
                                    <w:left w:val="nil"/>
                                    <w:bottom w:val="single" w:sz="4" w:space="0" w:color="auto"/>
                                    <w:right w:val="single" w:sz="4" w:space="0" w:color="auto"/>
                                  </w:tcBorders>
                                  <w:shd w:val="clear" w:color="auto" w:fill="auto"/>
                                  <w:vAlign w:val="center"/>
                                  <w:hideMark/>
                                </w:tcPr>
                                <w:p w14:paraId="0AFF79ED"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w:t>
                                  </w:r>
                                </w:p>
                              </w:tc>
                              <w:tc>
                                <w:tcPr>
                                  <w:tcW w:w="709" w:type="dxa"/>
                                  <w:tcBorders>
                                    <w:top w:val="nil"/>
                                    <w:left w:val="nil"/>
                                    <w:bottom w:val="single" w:sz="4" w:space="0" w:color="auto"/>
                                    <w:right w:val="single" w:sz="4" w:space="0" w:color="auto"/>
                                  </w:tcBorders>
                                  <w:shd w:val="clear" w:color="auto" w:fill="auto"/>
                                  <w:vAlign w:val="center"/>
                                  <w:hideMark/>
                                </w:tcPr>
                                <w:p w14:paraId="05F51F3D"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87</w:t>
                                  </w:r>
                                </w:p>
                              </w:tc>
                            </w:tr>
                            <w:tr w:rsidR="00267169" w:rsidRPr="00A0079B" w14:paraId="35E7677E" w14:textId="77777777" w:rsidTr="00263BC9">
                              <w:trPr>
                                <w:trHeight w:val="19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8F472C0"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w:t>
                                  </w:r>
                                </w:p>
                              </w:tc>
                              <w:tc>
                                <w:tcPr>
                                  <w:tcW w:w="709" w:type="dxa"/>
                                  <w:tcBorders>
                                    <w:top w:val="nil"/>
                                    <w:left w:val="nil"/>
                                    <w:bottom w:val="single" w:sz="4" w:space="0" w:color="auto"/>
                                    <w:right w:val="single" w:sz="4" w:space="0" w:color="auto"/>
                                  </w:tcBorders>
                                  <w:shd w:val="clear" w:color="auto" w:fill="auto"/>
                                  <w:vAlign w:val="center"/>
                                  <w:hideMark/>
                                </w:tcPr>
                                <w:p w14:paraId="54E32E61"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w:t>
                                  </w:r>
                                </w:p>
                              </w:tc>
                              <w:tc>
                                <w:tcPr>
                                  <w:tcW w:w="709" w:type="dxa"/>
                                  <w:tcBorders>
                                    <w:top w:val="nil"/>
                                    <w:left w:val="nil"/>
                                    <w:bottom w:val="single" w:sz="4" w:space="0" w:color="auto"/>
                                    <w:right w:val="single" w:sz="4" w:space="0" w:color="auto"/>
                                  </w:tcBorders>
                                  <w:shd w:val="clear" w:color="auto" w:fill="auto"/>
                                  <w:vAlign w:val="center"/>
                                  <w:hideMark/>
                                </w:tcPr>
                                <w:p w14:paraId="2A77182E"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151</w:t>
                                  </w:r>
                                </w:p>
                              </w:tc>
                            </w:tr>
                            <w:tr w:rsidR="00267169" w:rsidRPr="00A0079B" w14:paraId="5ED5B9A4" w14:textId="77777777" w:rsidTr="00263BC9">
                              <w:trPr>
                                <w:trHeight w:val="13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097A0AE5"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4</w:t>
                                  </w:r>
                                </w:p>
                              </w:tc>
                              <w:tc>
                                <w:tcPr>
                                  <w:tcW w:w="709" w:type="dxa"/>
                                  <w:tcBorders>
                                    <w:top w:val="nil"/>
                                    <w:left w:val="nil"/>
                                    <w:bottom w:val="single" w:sz="4" w:space="0" w:color="auto"/>
                                    <w:right w:val="single" w:sz="4" w:space="0" w:color="auto"/>
                                  </w:tcBorders>
                                  <w:shd w:val="clear" w:color="auto" w:fill="auto"/>
                                  <w:vAlign w:val="center"/>
                                  <w:hideMark/>
                                </w:tcPr>
                                <w:p w14:paraId="2A00968F"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w:t>
                                  </w:r>
                                </w:p>
                              </w:tc>
                              <w:tc>
                                <w:tcPr>
                                  <w:tcW w:w="709" w:type="dxa"/>
                                  <w:tcBorders>
                                    <w:top w:val="nil"/>
                                    <w:left w:val="nil"/>
                                    <w:bottom w:val="single" w:sz="4" w:space="0" w:color="auto"/>
                                    <w:right w:val="single" w:sz="4" w:space="0" w:color="auto"/>
                                  </w:tcBorders>
                                  <w:shd w:val="clear" w:color="auto" w:fill="auto"/>
                                  <w:vAlign w:val="center"/>
                                  <w:hideMark/>
                                </w:tcPr>
                                <w:p w14:paraId="739CBB98"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170</w:t>
                                  </w:r>
                                </w:p>
                              </w:tc>
                            </w:tr>
                            <w:tr w:rsidR="00267169" w:rsidRPr="00A0079B" w14:paraId="50507E24" w14:textId="77777777" w:rsidTr="00263BC9">
                              <w:trPr>
                                <w:trHeight w:val="178"/>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83FB97F"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5</w:t>
                                  </w:r>
                                </w:p>
                              </w:tc>
                              <w:tc>
                                <w:tcPr>
                                  <w:tcW w:w="709" w:type="dxa"/>
                                  <w:tcBorders>
                                    <w:top w:val="nil"/>
                                    <w:left w:val="nil"/>
                                    <w:bottom w:val="single" w:sz="4" w:space="0" w:color="auto"/>
                                    <w:right w:val="single" w:sz="4" w:space="0" w:color="auto"/>
                                  </w:tcBorders>
                                  <w:shd w:val="clear" w:color="auto" w:fill="auto"/>
                                  <w:vAlign w:val="center"/>
                                  <w:hideMark/>
                                </w:tcPr>
                                <w:p w14:paraId="4FBC0CB6"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8</w:t>
                                  </w:r>
                                </w:p>
                              </w:tc>
                              <w:tc>
                                <w:tcPr>
                                  <w:tcW w:w="709" w:type="dxa"/>
                                  <w:tcBorders>
                                    <w:top w:val="nil"/>
                                    <w:left w:val="nil"/>
                                    <w:bottom w:val="single" w:sz="4" w:space="0" w:color="auto"/>
                                    <w:right w:val="single" w:sz="4" w:space="0" w:color="auto"/>
                                  </w:tcBorders>
                                  <w:shd w:val="clear" w:color="auto" w:fill="auto"/>
                                  <w:vAlign w:val="center"/>
                                  <w:hideMark/>
                                </w:tcPr>
                                <w:p w14:paraId="7C40783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199</w:t>
                                  </w:r>
                                </w:p>
                              </w:tc>
                            </w:tr>
                            <w:tr w:rsidR="00267169" w:rsidRPr="00A0079B" w14:paraId="11A39181" w14:textId="77777777" w:rsidTr="00263BC9">
                              <w:trPr>
                                <w:trHeight w:val="85"/>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B0412B4"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6</w:t>
                                  </w:r>
                                </w:p>
                              </w:tc>
                              <w:tc>
                                <w:tcPr>
                                  <w:tcW w:w="709" w:type="dxa"/>
                                  <w:tcBorders>
                                    <w:top w:val="nil"/>
                                    <w:left w:val="nil"/>
                                    <w:bottom w:val="single" w:sz="4" w:space="0" w:color="auto"/>
                                    <w:right w:val="single" w:sz="4" w:space="0" w:color="auto"/>
                                  </w:tcBorders>
                                  <w:shd w:val="clear" w:color="auto" w:fill="auto"/>
                                  <w:vAlign w:val="center"/>
                                  <w:hideMark/>
                                </w:tcPr>
                                <w:p w14:paraId="264E6540"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29</w:t>
                                  </w:r>
                                </w:p>
                              </w:tc>
                              <w:tc>
                                <w:tcPr>
                                  <w:tcW w:w="709" w:type="dxa"/>
                                  <w:tcBorders>
                                    <w:top w:val="nil"/>
                                    <w:left w:val="nil"/>
                                    <w:bottom w:val="single" w:sz="4" w:space="0" w:color="auto"/>
                                    <w:right w:val="single" w:sz="4" w:space="0" w:color="auto"/>
                                  </w:tcBorders>
                                  <w:shd w:val="clear" w:color="auto" w:fill="auto"/>
                                  <w:vAlign w:val="center"/>
                                  <w:hideMark/>
                                </w:tcPr>
                                <w:p w14:paraId="288F044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225</w:t>
                                  </w:r>
                                </w:p>
                              </w:tc>
                            </w:tr>
                            <w:tr w:rsidR="00267169" w:rsidRPr="00A0079B" w14:paraId="7A8D639B" w14:textId="77777777" w:rsidTr="00263BC9">
                              <w:trPr>
                                <w:trHeight w:val="7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B11AB73"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7</w:t>
                                  </w:r>
                                </w:p>
                              </w:tc>
                              <w:tc>
                                <w:tcPr>
                                  <w:tcW w:w="709" w:type="dxa"/>
                                  <w:tcBorders>
                                    <w:top w:val="nil"/>
                                    <w:left w:val="nil"/>
                                    <w:bottom w:val="single" w:sz="4" w:space="0" w:color="auto"/>
                                    <w:right w:val="single" w:sz="4" w:space="0" w:color="auto"/>
                                  </w:tcBorders>
                                  <w:shd w:val="clear" w:color="auto" w:fill="auto"/>
                                  <w:vAlign w:val="center"/>
                                  <w:hideMark/>
                                </w:tcPr>
                                <w:p w14:paraId="7FEB2D58"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w:t>
                                  </w:r>
                                </w:p>
                              </w:tc>
                              <w:tc>
                                <w:tcPr>
                                  <w:tcW w:w="709" w:type="dxa"/>
                                  <w:tcBorders>
                                    <w:top w:val="nil"/>
                                    <w:left w:val="nil"/>
                                    <w:bottom w:val="single" w:sz="4" w:space="0" w:color="auto"/>
                                    <w:right w:val="single" w:sz="4" w:space="0" w:color="auto"/>
                                  </w:tcBorders>
                                  <w:shd w:val="clear" w:color="auto" w:fill="auto"/>
                                  <w:vAlign w:val="center"/>
                                  <w:hideMark/>
                                </w:tcPr>
                                <w:p w14:paraId="7C378F9D"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242</w:t>
                                  </w:r>
                                </w:p>
                              </w:tc>
                            </w:tr>
                            <w:tr w:rsidR="00267169" w:rsidRPr="00A0079B" w14:paraId="57F84E27" w14:textId="77777777" w:rsidTr="00263BC9">
                              <w:trPr>
                                <w:trHeight w:val="233"/>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D332EF7"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8</w:t>
                                  </w:r>
                                </w:p>
                              </w:tc>
                              <w:tc>
                                <w:tcPr>
                                  <w:tcW w:w="709" w:type="dxa"/>
                                  <w:tcBorders>
                                    <w:top w:val="nil"/>
                                    <w:left w:val="nil"/>
                                    <w:bottom w:val="single" w:sz="4" w:space="0" w:color="auto"/>
                                    <w:right w:val="single" w:sz="4" w:space="0" w:color="auto"/>
                                  </w:tcBorders>
                                  <w:shd w:val="clear" w:color="auto" w:fill="auto"/>
                                  <w:vAlign w:val="center"/>
                                  <w:hideMark/>
                                </w:tcPr>
                                <w:p w14:paraId="4F9D84BC"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33</w:t>
                                  </w:r>
                                </w:p>
                              </w:tc>
                              <w:tc>
                                <w:tcPr>
                                  <w:tcW w:w="709" w:type="dxa"/>
                                  <w:tcBorders>
                                    <w:top w:val="nil"/>
                                    <w:left w:val="nil"/>
                                    <w:bottom w:val="single" w:sz="4" w:space="0" w:color="auto"/>
                                    <w:right w:val="single" w:sz="4" w:space="0" w:color="auto"/>
                                  </w:tcBorders>
                                  <w:shd w:val="clear" w:color="auto" w:fill="auto"/>
                                  <w:vAlign w:val="center"/>
                                  <w:hideMark/>
                                </w:tcPr>
                                <w:p w14:paraId="68F9F351"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360</w:t>
                                  </w:r>
                                </w:p>
                              </w:tc>
                            </w:tr>
                            <w:tr w:rsidR="00267169" w:rsidRPr="00A0079B" w14:paraId="4AED52CB" w14:textId="77777777" w:rsidTr="00263BC9">
                              <w:trPr>
                                <w:trHeight w:val="23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BDB254D"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9</w:t>
                                  </w:r>
                                </w:p>
                              </w:tc>
                              <w:tc>
                                <w:tcPr>
                                  <w:tcW w:w="709" w:type="dxa"/>
                                  <w:tcBorders>
                                    <w:top w:val="nil"/>
                                    <w:left w:val="nil"/>
                                    <w:bottom w:val="single" w:sz="4" w:space="0" w:color="auto"/>
                                    <w:right w:val="single" w:sz="4" w:space="0" w:color="auto"/>
                                  </w:tcBorders>
                                  <w:shd w:val="clear" w:color="auto" w:fill="auto"/>
                                  <w:vAlign w:val="center"/>
                                  <w:hideMark/>
                                </w:tcPr>
                                <w:p w14:paraId="5132F3D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30</w:t>
                                  </w:r>
                                </w:p>
                              </w:tc>
                              <w:tc>
                                <w:tcPr>
                                  <w:tcW w:w="709" w:type="dxa"/>
                                  <w:tcBorders>
                                    <w:top w:val="nil"/>
                                    <w:left w:val="nil"/>
                                    <w:bottom w:val="single" w:sz="4" w:space="0" w:color="auto"/>
                                    <w:right w:val="single" w:sz="4" w:space="0" w:color="auto"/>
                                  </w:tcBorders>
                                  <w:shd w:val="clear" w:color="auto" w:fill="auto"/>
                                  <w:vAlign w:val="center"/>
                                  <w:hideMark/>
                                </w:tcPr>
                                <w:p w14:paraId="2AC10BC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274</w:t>
                                  </w:r>
                                </w:p>
                              </w:tc>
                            </w:tr>
                            <w:tr w:rsidR="00267169" w:rsidRPr="00A0079B" w14:paraId="1BDC577B" w14:textId="77777777" w:rsidTr="00263BC9">
                              <w:trPr>
                                <w:trHeight w:val="330"/>
                              </w:trPr>
                              <w:tc>
                                <w:tcPr>
                                  <w:tcW w:w="2410" w:type="dxa"/>
                                  <w:gridSpan w:val="3"/>
                                  <w:tcBorders>
                                    <w:top w:val="nil"/>
                                    <w:left w:val="nil"/>
                                    <w:bottom w:val="nil"/>
                                    <w:right w:val="nil"/>
                                  </w:tcBorders>
                                  <w:shd w:val="clear" w:color="auto" w:fill="auto"/>
                                  <w:noWrap/>
                                  <w:vAlign w:val="bottom"/>
                                  <w:hideMark/>
                                </w:tcPr>
                                <w:p w14:paraId="0D8E0181" w14:textId="77777777" w:rsidR="00267169" w:rsidRPr="00430D64" w:rsidRDefault="00267169" w:rsidP="001B0B75">
                                  <w:pPr>
                                    <w:widowControl/>
                                    <w:ind w:left="791" w:hangingChars="460" w:hanging="791"/>
                                    <w:rPr>
                                      <w:rFonts w:ascii="標楷體" w:eastAsia="標楷體" w:hAnsi="標楷體" w:cs="新細明體"/>
                                      <w:color w:val="000000"/>
                                      <w:spacing w:val="-4"/>
                                      <w:kern w:val="0"/>
                                      <w:szCs w:val="24"/>
                                    </w:rPr>
                                  </w:pPr>
                                  <w:r w:rsidRPr="00430D64">
                                    <w:rPr>
                                      <w:rFonts w:ascii="標楷體" w:eastAsia="標楷體" w:hAnsi="標楷體" w:cs="新細明體" w:hint="eastAsia"/>
                                      <w:color w:val="000000"/>
                                      <w:spacing w:val="-4"/>
                                      <w:kern w:val="0"/>
                                      <w:sz w:val="18"/>
                                      <w:szCs w:val="24"/>
                                    </w:rPr>
                                    <w:t>資料來源：整理自</w:t>
                                  </w:r>
                                  <w:r>
                                    <w:rPr>
                                      <w:rFonts w:ascii="標楷體" w:eastAsia="標楷體" w:hAnsi="標楷體" w:cs="新細明體" w:hint="eastAsia"/>
                                      <w:color w:val="000000"/>
                                      <w:spacing w:val="-4"/>
                                      <w:kern w:val="0"/>
                                      <w:sz w:val="18"/>
                                      <w:szCs w:val="24"/>
                                    </w:rPr>
                                    <w:t>內政部</w:t>
                                  </w:r>
                                  <w:r w:rsidRPr="00430D64">
                                    <w:rPr>
                                      <w:rFonts w:ascii="標楷體" w:eastAsia="標楷體" w:hAnsi="標楷體" w:cs="新細明體" w:hint="eastAsia"/>
                                      <w:color w:val="000000"/>
                                      <w:spacing w:val="-4"/>
                                      <w:kern w:val="0"/>
                                      <w:sz w:val="18"/>
                                      <w:szCs w:val="24"/>
                                    </w:rPr>
                                    <w:t>警政署提供資料。</w:t>
                                  </w:r>
                                </w:p>
                              </w:tc>
                            </w:tr>
                          </w:tbl>
                          <w:p w14:paraId="6F14C433" w14:textId="77777777" w:rsidR="00267169" w:rsidRPr="00A0079B" w:rsidRDefault="00267169" w:rsidP="0026716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638CA" id="_x0000_s1078" type="#_x0000_t202" style="position:absolute;left:0;text-align:left;margin-left:365.8pt;margin-top:56.4pt;width:126.6pt;height:224.4pt;z-index:251635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" filled="f" stroked="f">
                <v:textbox>
                  <w:txbxContent>
                    <w:tbl>
                      <w:tblPr>
                        <w:tblW w:w="2410" w:type="dxa"/>
                        <w:tblInd w:w="-114" w:type="dxa"/>
                        <w:tblCellMar>
                          <w:left w:w="28" w:type="dxa"/>
                          <w:right w:w="28" w:type="dxa"/>
                        </w:tblCellMar>
                        <w:tblLook w:val="04A0" w:firstRow="1" w:lastRow="0" w:firstColumn="1" w:lastColumn="0" w:noHBand="0" w:noVBand="1"/>
                      </w:tblPr>
                      <w:tblGrid>
                        <w:gridCol w:w="992"/>
                        <w:gridCol w:w="709"/>
                        <w:gridCol w:w="709"/>
                      </w:tblGrid>
                      <w:tr w:rsidR="00267169" w:rsidRPr="00A0079B" w14:paraId="2DC58280" w14:textId="77777777" w:rsidTr="00263BC9">
                        <w:trPr>
                          <w:trHeight w:val="147"/>
                        </w:trPr>
                        <w:tc>
                          <w:tcPr>
                            <w:tcW w:w="2410" w:type="dxa"/>
                            <w:gridSpan w:val="3"/>
                            <w:tcBorders>
                              <w:top w:val="nil"/>
                              <w:left w:val="nil"/>
                              <w:bottom w:val="nil"/>
                              <w:right w:val="nil"/>
                            </w:tcBorders>
                            <w:shd w:val="clear" w:color="auto" w:fill="auto"/>
                            <w:noWrap/>
                            <w:vAlign w:val="center"/>
                            <w:hideMark/>
                          </w:tcPr>
                          <w:p w14:paraId="783F41A0" w14:textId="2080839F" w:rsidR="00267169" w:rsidRPr="00B4512F" w:rsidRDefault="00267169" w:rsidP="00B4512F">
                            <w:pPr>
                              <w:widowControl/>
                              <w:ind w:leftChars="-18" w:left="-43" w:rightChars="-10" w:right="-24"/>
                              <w:jc w:val="center"/>
                              <w:rPr>
                                <w:rFonts w:ascii="標楷體" w:eastAsia="標楷體" w:hAnsi="標楷體" w:cs="新細明體"/>
                                <w:b/>
                                <w:color w:val="000000"/>
                                <w:spacing w:val="-4"/>
                                <w:kern w:val="0"/>
                                <w:szCs w:val="24"/>
                              </w:rPr>
                            </w:pPr>
                            <w:r w:rsidRPr="00B4512F">
                              <w:rPr>
                                <w:rFonts w:ascii="標楷體" w:eastAsia="標楷體" w:hAnsi="標楷體" w:cs="新細明體" w:hint="eastAsia"/>
                                <w:b/>
                                <w:color w:val="000000"/>
                                <w:spacing w:val="-4"/>
                                <w:kern w:val="0"/>
                                <w:szCs w:val="24"/>
                              </w:rPr>
                              <w:t>表2</w:t>
                            </w:r>
                            <w:r w:rsidRPr="00B4512F">
                              <w:rPr>
                                <w:rFonts w:ascii="標楷體" w:eastAsia="標楷體" w:hAnsi="標楷體" w:cs="新細明體"/>
                                <w:b/>
                                <w:color w:val="000000"/>
                                <w:spacing w:val="-4"/>
                                <w:kern w:val="0"/>
                                <w:szCs w:val="24"/>
                              </w:rPr>
                              <w:t>7</w:t>
                            </w:r>
                            <w:r w:rsidR="00B4512F" w:rsidRPr="00B4512F">
                              <w:rPr>
                                <w:rFonts w:ascii="標楷體" w:eastAsia="標楷體" w:hAnsi="標楷體" w:cs="新細明體" w:hint="eastAsia"/>
                                <w:b/>
                                <w:color w:val="000000"/>
                                <w:spacing w:val="-4"/>
                                <w:kern w:val="0"/>
                                <w:szCs w:val="24"/>
                              </w:rPr>
                              <w:t xml:space="preserve">　</w:t>
                            </w:r>
                            <w:proofErr w:type="gramStart"/>
                            <w:r w:rsidRPr="00B4512F">
                              <w:rPr>
                                <w:rFonts w:ascii="標楷體" w:eastAsia="標楷體" w:hAnsi="標楷體" w:cs="新細明體" w:hint="eastAsia"/>
                                <w:b/>
                                <w:color w:val="000000"/>
                                <w:spacing w:val="-4"/>
                                <w:kern w:val="0"/>
                                <w:szCs w:val="24"/>
                              </w:rPr>
                              <w:t>毒駕案件</w:t>
                            </w:r>
                            <w:proofErr w:type="gramEnd"/>
                            <w:r w:rsidRPr="00B4512F">
                              <w:rPr>
                                <w:rFonts w:ascii="標楷體" w:eastAsia="標楷體" w:hAnsi="標楷體" w:cs="新細明體" w:hint="eastAsia"/>
                                <w:b/>
                                <w:color w:val="000000"/>
                                <w:spacing w:val="-4"/>
                                <w:kern w:val="0"/>
                                <w:szCs w:val="24"/>
                              </w:rPr>
                              <w:t>統計數</w:t>
                            </w:r>
                          </w:p>
                        </w:tc>
                      </w:tr>
                      <w:tr w:rsidR="00267169" w:rsidRPr="00A0079B" w14:paraId="71E94417" w14:textId="77777777" w:rsidTr="00263BC9">
                        <w:trPr>
                          <w:trHeight w:val="199"/>
                        </w:trPr>
                        <w:tc>
                          <w:tcPr>
                            <w:tcW w:w="2410" w:type="dxa"/>
                            <w:gridSpan w:val="3"/>
                            <w:tcBorders>
                              <w:top w:val="nil"/>
                              <w:left w:val="nil"/>
                              <w:bottom w:val="nil"/>
                              <w:right w:val="nil"/>
                            </w:tcBorders>
                            <w:shd w:val="clear" w:color="auto" w:fill="auto"/>
                            <w:noWrap/>
                            <w:vAlign w:val="bottom"/>
                            <w:hideMark/>
                          </w:tcPr>
                          <w:p w14:paraId="0D2C2738" w14:textId="77777777" w:rsidR="00267169" w:rsidRPr="00A0079B" w:rsidRDefault="00267169" w:rsidP="00A0079B">
                            <w:pPr>
                              <w:widowControl/>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單位：件</w:t>
                            </w:r>
                          </w:p>
                        </w:tc>
                      </w:tr>
                      <w:tr w:rsidR="00267169" w:rsidRPr="00A0079B" w14:paraId="4BDB114E" w14:textId="77777777" w:rsidTr="00263BC9">
                        <w:trPr>
                          <w:trHeight w:val="549"/>
                        </w:trPr>
                        <w:tc>
                          <w:tcPr>
                            <w:tcW w:w="99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CE621C4" w14:textId="77777777" w:rsidR="00267169" w:rsidRPr="00A0079B" w:rsidRDefault="00267169" w:rsidP="00430D64">
                            <w:pPr>
                              <w:widowControl/>
                              <w:spacing w:line="0" w:lineRule="atLeas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 xml:space="preserve">    年度  </w:t>
                            </w:r>
                            <w:r w:rsidRPr="00A0079B">
                              <w:rPr>
                                <w:rFonts w:ascii="標楷體" w:eastAsia="標楷體" w:hAnsi="標楷體" w:cs="新細明體" w:hint="eastAsia"/>
                                <w:color w:val="000000"/>
                                <w:kern w:val="0"/>
                                <w:sz w:val="20"/>
                                <w:szCs w:val="32"/>
                              </w:rPr>
                              <w:br/>
                              <w:t xml:space="preserve">月份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3AA15F9" w14:textId="77777777" w:rsidR="00267169" w:rsidRPr="00A0079B" w:rsidRDefault="00267169" w:rsidP="00430D64">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F19CD04" w14:textId="77777777" w:rsidR="00267169" w:rsidRPr="00A0079B" w:rsidRDefault="00267169" w:rsidP="00430D64">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113</w:t>
                            </w:r>
                          </w:p>
                        </w:tc>
                      </w:tr>
                      <w:tr w:rsidR="00267169" w:rsidRPr="00A0079B" w14:paraId="27AD4D6B" w14:textId="77777777" w:rsidTr="00263BC9">
                        <w:trPr>
                          <w:trHeight w:val="274"/>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E33CB1B" w14:textId="77777777" w:rsidR="00267169" w:rsidRPr="00C84FF6" w:rsidRDefault="00267169" w:rsidP="00DF3C82">
                            <w:pPr>
                              <w:widowControl/>
                              <w:spacing w:line="0" w:lineRule="atLeast"/>
                              <w:jc w:val="center"/>
                              <w:rPr>
                                <w:rFonts w:ascii="標楷體" w:eastAsia="標楷體" w:hAnsi="標楷體" w:cs="新細明體"/>
                                <w:b/>
                                <w:bCs/>
                                <w:color w:val="000000"/>
                                <w:kern w:val="0"/>
                                <w:sz w:val="20"/>
                                <w:szCs w:val="32"/>
                              </w:rPr>
                            </w:pPr>
                            <w:r w:rsidRPr="00C84FF6">
                              <w:rPr>
                                <w:rFonts w:ascii="標楷體" w:eastAsia="標楷體" w:hAnsi="標楷體" w:cs="新細明體" w:hint="eastAsia"/>
                                <w:b/>
                                <w:bCs/>
                                <w:color w:val="000000"/>
                                <w:kern w:val="0"/>
                                <w:sz w:val="20"/>
                                <w:szCs w:val="32"/>
                              </w:rPr>
                              <w:t>合計</w:t>
                            </w:r>
                          </w:p>
                        </w:tc>
                        <w:tc>
                          <w:tcPr>
                            <w:tcW w:w="709" w:type="dxa"/>
                            <w:tcBorders>
                              <w:top w:val="nil"/>
                              <w:left w:val="nil"/>
                              <w:bottom w:val="single" w:sz="4" w:space="0" w:color="auto"/>
                              <w:right w:val="single" w:sz="4" w:space="0" w:color="auto"/>
                            </w:tcBorders>
                            <w:shd w:val="clear" w:color="auto" w:fill="auto"/>
                            <w:vAlign w:val="center"/>
                            <w:hideMark/>
                          </w:tcPr>
                          <w:p w14:paraId="1403A89F" w14:textId="77777777" w:rsidR="00267169" w:rsidRPr="00C84FF6" w:rsidRDefault="00267169" w:rsidP="00DF3C82">
                            <w:pPr>
                              <w:widowControl/>
                              <w:spacing w:line="0" w:lineRule="atLeast"/>
                              <w:jc w:val="right"/>
                              <w:rPr>
                                <w:rFonts w:ascii="標楷體" w:eastAsia="標楷體" w:hAnsi="標楷體" w:cs="新細明體"/>
                                <w:b/>
                                <w:bCs/>
                                <w:color w:val="000000"/>
                                <w:kern w:val="0"/>
                                <w:sz w:val="20"/>
                                <w:szCs w:val="32"/>
                              </w:rPr>
                            </w:pPr>
                            <w:r w:rsidRPr="00C84FF6">
                              <w:rPr>
                                <w:rFonts w:ascii="標楷體" w:eastAsia="標楷體" w:hAnsi="標楷體" w:cs="新細明體" w:hint="eastAsia"/>
                                <w:b/>
                                <w:bCs/>
                                <w:color w:val="000000"/>
                                <w:kern w:val="0"/>
                                <w:sz w:val="20"/>
                                <w:szCs w:val="32"/>
                              </w:rPr>
                              <w:t>119</w:t>
                            </w:r>
                          </w:p>
                        </w:tc>
                        <w:tc>
                          <w:tcPr>
                            <w:tcW w:w="709" w:type="dxa"/>
                            <w:tcBorders>
                              <w:top w:val="nil"/>
                              <w:left w:val="nil"/>
                              <w:bottom w:val="single" w:sz="4" w:space="0" w:color="auto"/>
                              <w:right w:val="single" w:sz="4" w:space="0" w:color="auto"/>
                            </w:tcBorders>
                            <w:shd w:val="clear" w:color="auto" w:fill="auto"/>
                            <w:vAlign w:val="center"/>
                            <w:hideMark/>
                          </w:tcPr>
                          <w:p w14:paraId="6B689F1F" w14:textId="77777777" w:rsidR="00267169" w:rsidRPr="00C84FF6" w:rsidRDefault="00267169" w:rsidP="00DF3C82">
                            <w:pPr>
                              <w:widowControl/>
                              <w:spacing w:line="0" w:lineRule="atLeast"/>
                              <w:jc w:val="right"/>
                              <w:rPr>
                                <w:rFonts w:ascii="標楷體" w:eastAsia="標楷體" w:hAnsi="標楷體" w:cs="新細明體"/>
                                <w:b/>
                                <w:bCs/>
                                <w:color w:val="000000"/>
                                <w:kern w:val="0"/>
                                <w:sz w:val="20"/>
                                <w:szCs w:val="32"/>
                              </w:rPr>
                            </w:pPr>
                            <w:r w:rsidRPr="00C84FF6">
                              <w:rPr>
                                <w:rFonts w:ascii="標楷體" w:eastAsia="標楷體" w:hAnsi="標楷體" w:cs="新細明體" w:hint="eastAsia"/>
                                <w:b/>
                                <w:bCs/>
                                <w:color w:val="000000"/>
                                <w:kern w:val="0"/>
                                <w:sz w:val="20"/>
                                <w:szCs w:val="32"/>
                              </w:rPr>
                              <w:t>1,823</w:t>
                            </w:r>
                          </w:p>
                        </w:tc>
                      </w:tr>
                      <w:tr w:rsidR="00267169" w:rsidRPr="00A0079B" w14:paraId="6A17650C" w14:textId="77777777" w:rsidTr="00263BC9">
                        <w:trPr>
                          <w:trHeight w:val="10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E7FBDBD"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w:t>
                            </w:r>
                          </w:p>
                        </w:tc>
                        <w:tc>
                          <w:tcPr>
                            <w:tcW w:w="709" w:type="dxa"/>
                            <w:tcBorders>
                              <w:top w:val="nil"/>
                              <w:left w:val="nil"/>
                              <w:bottom w:val="single" w:sz="4" w:space="0" w:color="auto"/>
                              <w:right w:val="single" w:sz="4" w:space="0" w:color="auto"/>
                            </w:tcBorders>
                            <w:shd w:val="clear" w:color="auto" w:fill="auto"/>
                            <w:vAlign w:val="center"/>
                            <w:hideMark/>
                          </w:tcPr>
                          <w:p w14:paraId="459EDA8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w:t>
                            </w:r>
                          </w:p>
                        </w:tc>
                        <w:tc>
                          <w:tcPr>
                            <w:tcW w:w="709" w:type="dxa"/>
                            <w:tcBorders>
                              <w:top w:val="nil"/>
                              <w:left w:val="nil"/>
                              <w:bottom w:val="single" w:sz="4" w:space="0" w:color="auto"/>
                              <w:right w:val="single" w:sz="4" w:space="0" w:color="auto"/>
                            </w:tcBorders>
                            <w:shd w:val="clear" w:color="auto" w:fill="auto"/>
                            <w:vAlign w:val="center"/>
                            <w:hideMark/>
                          </w:tcPr>
                          <w:p w14:paraId="7A31F881"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115</w:t>
                            </w:r>
                          </w:p>
                        </w:tc>
                      </w:tr>
                      <w:tr w:rsidR="00267169" w:rsidRPr="00A0079B" w14:paraId="27BC2C19" w14:textId="77777777" w:rsidTr="00263BC9">
                        <w:trPr>
                          <w:trHeight w:val="148"/>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E8C64B0"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w:t>
                            </w:r>
                          </w:p>
                        </w:tc>
                        <w:tc>
                          <w:tcPr>
                            <w:tcW w:w="709" w:type="dxa"/>
                            <w:tcBorders>
                              <w:top w:val="nil"/>
                              <w:left w:val="nil"/>
                              <w:bottom w:val="single" w:sz="4" w:space="0" w:color="auto"/>
                              <w:right w:val="single" w:sz="4" w:space="0" w:color="auto"/>
                            </w:tcBorders>
                            <w:shd w:val="clear" w:color="auto" w:fill="auto"/>
                            <w:vAlign w:val="center"/>
                            <w:hideMark/>
                          </w:tcPr>
                          <w:p w14:paraId="0AFF79ED"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w:t>
                            </w:r>
                          </w:p>
                        </w:tc>
                        <w:tc>
                          <w:tcPr>
                            <w:tcW w:w="709" w:type="dxa"/>
                            <w:tcBorders>
                              <w:top w:val="nil"/>
                              <w:left w:val="nil"/>
                              <w:bottom w:val="single" w:sz="4" w:space="0" w:color="auto"/>
                              <w:right w:val="single" w:sz="4" w:space="0" w:color="auto"/>
                            </w:tcBorders>
                            <w:shd w:val="clear" w:color="auto" w:fill="auto"/>
                            <w:vAlign w:val="center"/>
                            <w:hideMark/>
                          </w:tcPr>
                          <w:p w14:paraId="05F51F3D"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87</w:t>
                            </w:r>
                          </w:p>
                        </w:tc>
                      </w:tr>
                      <w:tr w:rsidR="00267169" w:rsidRPr="00A0079B" w14:paraId="35E7677E" w14:textId="77777777" w:rsidTr="00263BC9">
                        <w:trPr>
                          <w:trHeight w:val="19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8F472C0"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w:t>
                            </w:r>
                          </w:p>
                        </w:tc>
                        <w:tc>
                          <w:tcPr>
                            <w:tcW w:w="709" w:type="dxa"/>
                            <w:tcBorders>
                              <w:top w:val="nil"/>
                              <w:left w:val="nil"/>
                              <w:bottom w:val="single" w:sz="4" w:space="0" w:color="auto"/>
                              <w:right w:val="single" w:sz="4" w:space="0" w:color="auto"/>
                            </w:tcBorders>
                            <w:shd w:val="clear" w:color="auto" w:fill="auto"/>
                            <w:vAlign w:val="center"/>
                            <w:hideMark/>
                          </w:tcPr>
                          <w:p w14:paraId="54E32E61"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w:t>
                            </w:r>
                          </w:p>
                        </w:tc>
                        <w:tc>
                          <w:tcPr>
                            <w:tcW w:w="709" w:type="dxa"/>
                            <w:tcBorders>
                              <w:top w:val="nil"/>
                              <w:left w:val="nil"/>
                              <w:bottom w:val="single" w:sz="4" w:space="0" w:color="auto"/>
                              <w:right w:val="single" w:sz="4" w:space="0" w:color="auto"/>
                            </w:tcBorders>
                            <w:shd w:val="clear" w:color="auto" w:fill="auto"/>
                            <w:vAlign w:val="center"/>
                            <w:hideMark/>
                          </w:tcPr>
                          <w:p w14:paraId="2A77182E"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151</w:t>
                            </w:r>
                          </w:p>
                        </w:tc>
                      </w:tr>
                      <w:tr w:rsidR="00267169" w:rsidRPr="00A0079B" w14:paraId="5ED5B9A4" w14:textId="77777777" w:rsidTr="00263BC9">
                        <w:trPr>
                          <w:trHeight w:val="13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097A0AE5"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4</w:t>
                            </w:r>
                          </w:p>
                        </w:tc>
                        <w:tc>
                          <w:tcPr>
                            <w:tcW w:w="709" w:type="dxa"/>
                            <w:tcBorders>
                              <w:top w:val="nil"/>
                              <w:left w:val="nil"/>
                              <w:bottom w:val="single" w:sz="4" w:space="0" w:color="auto"/>
                              <w:right w:val="single" w:sz="4" w:space="0" w:color="auto"/>
                            </w:tcBorders>
                            <w:shd w:val="clear" w:color="auto" w:fill="auto"/>
                            <w:vAlign w:val="center"/>
                            <w:hideMark/>
                          </w:tcPr>
                          <w:p w14:paraId="2A00968F"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w:t>
                            </w:r>
                          </w:p>
                        </w:tc>
                        <w:tc>
                          <w:tcPr>
                            <w:tcW w:w="709" w:type="dxa"/>
                            <w:tcBorders>
                              <w:top w:val="nil"/>
                              <w:left w:val="nil"/>
                              <w:bottom w:val="single" w:sz="4" w:space="0" w:color="auto"/>
                              <w:right w:val="single" w:sz="4" w:space="0" w:color="auto"/>
                            </w:tcBorders>
                            <w:shd w:val="clear" w:color="auto" w:fill="auto"/>
                            <w:vAlign w:val="center"/>
                            <w:hideMark/>
                          </w:tcPr>
                          <w:p w14:paraId="739CBB98"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170</w:t>
                            </w:r>
                          </w:p>
                        </w:tc>
                      </w:tr>
                      <w:tr w:rsidR="00267169" w:rsidRPr="00A0079B" w14:paraId="50507E24" w14:textId="77777777" w:rsidTr="00263BC9">
                        <w:trPr>
                          <w:trHeight w:val="178"/>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83FB97F"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5</w:t>
                            </w:r>
                          </w:p>
                        </w:tc>
                        <w:tc>
                          <w:tcPr>
                            <w:tcW w:w="709" w:type="dxa"/>
                            <w:tcBorders>
                              <w:top w:val="nil"/>
                              <w:left w:val="nil"/>
                              <w:bottom w:val="single" w:sz="4" w:space="0" w:color="auto"/>
                              <w:right w:val="single" w:sz="4" w:space="0" w:color="auto"/>
                            </w:tcBorders>
                            <w:shd w:val="clear" w:color="auto" w:fill="auto"/>
                            <w:vAlign w:val="center"/>
                            <w:hideMark/>
                          </w:tcPr>
                          <w:p w14:paraId="4FBC0CB6"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8</w:t>
                            </w:r>
                          </w:p>
                        </w:tc>
                        <w:tc>
                          <w:tcPr>
                            <w:tcW w:w="709" w:type="dxa"/>
                            <w:tcBorders>
                              <w:top w:val="nil"/>
                              <w:left w:val="nil"/>
                              <w:bottom w:val="single" w:sz="4" w:space="0" w:color="auto"/>
                              <w:right w:val="single" w:sz="4" w:space="0" w:color="auto"/>
                            </w:tcBorders>
                            <w:shd w:val="clear" w:color="auto" w:fill="auto"/>
                            <w:vAlign w:val="center"/>
                            <w:hideMark/>
                          </w:tcPr>
                          <w:p w14:paraId="7C40783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199</w:t>
                            </w:r>
                          </w:p>
                        </w:tc>
                      </w:tr>
                      <w:tr w:rsidR="00267169" w:rsidRPr="00A0079B" w14:paraId="11A39181" w14:textId="77777777" w:rsidTr="00263BC9">
                        <w:trPr>
                          <w:trHeight w:val="85"/>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3B0412B4"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6</w:t>
                            </w:r>
                          </w:p>
                        </w:tc>
                        <w:tc>
                          <w:tcPr>
                            <w:tcW w:w="709" w:type="dxa"/>
                            <w:tcBorders>
                              <w:top w:val="nil"/>
                              <w:left w:val="nil"/>
                              <w:bottom w:val="single" w:sz="4" w:space="0" w:color="auto"/>
                              <w:right w:val="single" w:sz="4" w:space="0" w:color="auto"/>
                            </w:tcBorders>
                            <w:shd w:val="clear" w:color="auto" w:fill="auto"/>
                            <w:vAlign w:val="center"/>
                            <w:hideMark/>
                          </w:tcPr>
                          <w:p w14:paraId="264E6540"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29</w:t>
                            </w:r>
                          </w:p>
                        </w:tc>
                        <w:tc>
                          <w:tcPr>
                            <w:tcW w:w="709" w:type="dxa"/>
                            <w:tcBorders>
                              <w:top w:val="nil"/>
                              <w:left w:val="nil"/>
                              <w:bottom w:val="single" w:sz="4" w:space="0" w:color="auto"/>
                              <w:right w:val="single" w:sz="4" w:space="0" w:color="auto"/>
                            </w:tcBorders>
                            <w:shd w:val="clear" w:color="auto" w:fill="auto"/>
                            <w:vAlign w:val="center"/>
                            <w:hideMark/>
                          </w:tcPr>
                          <w:p w14:paraId="288F044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225</w:t>
                            </w:r>
                          </w:p>
                        </w:tc>
                      </w:tr>
                      <w:tr w:rsidR="00267169" w:rsidRPr="00A0079B" w14:paraId="7A8D639B" w14:textId="77777777" w:rsidTr="00263BC9">
                        <w:trPr>
                          <w:trHeight w:val="7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B11AB73"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7</w:t>
                            </w:r>
                          </w:p>
                        </w:tc>
                        <w:tc>
                          <w:tcPr>
                            <w:tcW w:w="709" w:type="dxa"/>
                            <w:tcBorders>
                              <w:top w:val="nil"/>
                              <w:left w:val="nil"/>
                              <w:bottom w:val="single" w:sz="4" w:space="0" w:color="auto"/>
                              <w:right w:val="single" w:sz="4" w:space="0" w:color="auto"/>
                            </w:tcBorders>
                            <w:shd w:val="clear" w:color="auto" w:fill="auto"/>
                            <w:vAlign w:val="center"/>
                            <w:hideMark/>
                          </w:tcPr>
                          <w:p w14:paraId="7FEB2D58"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11</w:t>
                            </w:r>
                          </w:p>
                        </w:tc>
                        <w:tc>
                          <w:tcPr>
                            <w:tcW w:w="709" w:type="dxa"/>
                            <w:tcBorders>
                              <w:top w:val="nil"/>
                              <w:left w:val="nil"/>
                              <w:bottom w:val="single" w:sz="4" w:space="0" w:color="auto"/>
                              <w:right w:val="single" w:sz="4" w:space="0" w:color="auto"/>
                            </w:tcBorders>
                            <w:shd w:val="clear" w:color="auto" w:fill="auto"/>
                            <w:vAlign w:val="center"/>
                            <w:hideMark/>
                          </w:tcPr>
                          <w:p w14:paraId="7C378F9D"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242</w:t>
                            </w:r>
                          </w:p>
                        </w:tc>
                      </w:tr>
                      <w:tr w:rsidR="00267169" w:rsidRPr="00A0079B" w14:paraId="57F84E27" w14:textId="77777777" w:rsidTr="00263BC9">
                        <w:trPr>
                          <w:trHeight w:val="233"/>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D332EF7"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8</w:t>
                            </w:r>
                          </w:p>
                        </w:tc>
                        <w:tc>
                          <w:tcPr>
                            <w:tcW w:w="709" w:type="dxa"/>
                            <w:tcBorders>
                              <w:top w:val="nil"/>
                              <w:left w:val="nil"/>
                              <w:bottom w:val="single" w:sz="4" w:space="0" w:color="auto"/>
                              <w:right w:val="single" w:sz="4" w:space="0" w:color="auto"/>
                            </w:tcBorders>
                            <w:shd w:val="clear" w:color="auto" w:fill="auto"/>
                            <w:vAlign w:val="center"/>
                            <w:hideMark/>
                          </w:tcPr>
                          <w:p w14:paraId="4F9D84BC"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33</w:t>
                            </w:r>
                          </w:p>
                        </w:tc>
                        <w:tc>
                          <w:tcPr>
                            <w:tcW w:w="709" w:type="dxa"/>
                            <w:tcBorders>
                              <w:top w:val="nil"/>
                              <w:left w:val="nil"/>
                              <w:bottom w:val="single" w:sz="4" w:space="0" w:color="auto"/>
                              <w:right w:val="single" w:sz="4" w:space="0" w:color="auto"/>
                            </w:tcBorders>
                            <w:shd w:val="clear" w:color="auto" w:fill="auto"/>
                            <w:vAlign w:val="center"/>
                            <w:hideMark/>
                          </w:tcPr>
                          <w:p w14:paraId="68F9F351"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360</w:t>
                            </w:r>
                          </w:p>
                        </w:tc>
                      </w:tr>
                      <w:tr w:rsidR="00267169" w:rsidRPr="00A0079B" w14:paraId="4AED52CB" w14:textId="77777777" w:rsidTr="00263BC9">
                        <w:trPr>
                          <w:trHeight w:val="237"/>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6BDB254D" w14:textId="77777777" w:rsidR="00267169" w:rsidRPr="00A0079B" w:rsidRDefault="00267169" w:rsidP="00DF3C82">
                            <w:pPr>
                              <w:widowControl/>
                              <w:spacing w:line="0" w:lineRule="atLeast"/>
                              <w:jc w:val="center"/>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9</w:t>
                            </w:r>
                          </w:p>
                        </w:tc>
                        <w:tc>
                          <w:tcPr>
                            <w:tcW w:w="709" w:type="dxa"/>
                            <w:tcBorders>
                              <w:top w:val="nil"/>
                              <w:left w:val="nil"/>
                              <w:bottom w:val="single" w:sz="4" w:space="0" w:color="auto"/>
                              <w:right w:val="single" w:sz="4" w:space="0" w:color="auto"/>
                            </w:tcBorders>
                            <w:shd w:val="clear" w:color="auto" w:fill="auto"/>
                            <w:vAlign w:val="center"/>
                            <w:hideMark/>
                          </w:tcPr>
                          <w:p w14:paraId="5132F3D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30</w:t>
                            </w:r>
                          </w:p>
                        </w:tc>
                        <w:tc>
                          <w:tcPr>
                            <w:tcW w:w="709" w:type="dxa"/>
                            <w:tcBorders>
                              <w:top w:val="nil"/>
                              <w:left w:val="nil"/>
                              <w:bottom w:val="single" w:sz="4" w:space="0" w:color="auto"/>
                              <w:right w:val="single" w:sz="4" w:space="0" w:color="auto"/>
                            </w:tcBorders>
                            <w:shd w:val="clear" w:color="auto" w:fill="auto"/>
                            <w:vAlign w:val="center"/>
                            <w:hideMark/>
                          </w:tcPr>
                          <w:p w14:paraId="2AC10BC5" w14:textId="77777777" w:rsidR="00267169" w:rsidRPr="00A0079B" w:rsidRDefault="00267169" w:rsidP="00DF3C82">
                            <w:pPr>
                              <w:widowControl/>
                              <w:spacing w:line="0" w:lineRule="atLeast"/>
                              <w:jc w:val="right"/>
                              <w:rPr>
                                <w:rFonts w:ascii="標楷體" w:eastAsia="標楷體" w:hAnsi="標楷體" w:cs="新細明體"/>
                                <w:color w:val="000000"/>
                                <w:kern w:val="0"/>
                                <w:sz w:val="20"/>
                                <w:szCs w:val="32"/>
                              </w:rPr>
                            </w:pPr>
                            <w:r w:rsidRPr="00A0079B">
                              <w:rPr>
                                <w:rFonts w:ascii="標楷體" w:eastAsia="標楷體" w:hAnsi="標楷體" w:cs="新細明體" w:hint="eastAsia"/>
                                <w:color w:val="000000"/>
                                <w:kern w:val="0"/>
                                <w:sz w:val="20"/>
                                <w:szCs w:val="32"/>
                              </w:rPr>
                              <w:t>274</w:t>
                            </w:r>
                          </w:p>
                        </w:tc>
                      </w:tr>
                      <w:tr w:rsidR="00267169" w:rsidRPr="00A0079B" w14:paraId="1BDC577B" w14:textId="77777777" w:rsidTr="00263BC9">
                        <w:trPr>
                          <w:trHeight w:val="330"/>
                        </w:trPr>
                        <w:tc>
                          <w:tcPr>
                            <w:tcW w:w="2410" w:type="dxa"/>
                            <w:gridSpan w:val="3"/>
                            <w:tcBorders>
                              <w:top w:val="nil"/>
                              <w:left w:val="nil"/>
                              <w:bottom w:val="nil"/>
                              <w:right w:val="nil"/>
                            </w:tcBorders>
                            <w:shd w:val="clear" w:color="auto" w:fill="auto"/>
                            <w:noWrap/>
                            <w:vAlign w:val="bottom"/>
                            <w:hideMark/>
                          </w:tcPr>
                          <w:p w14:paraId="0D8E0181" w14:textId="77777777" w:rsidR="00267169" w:rsidRPr="00430D64" w:rsidRDefault="00267169" w:rsidP="001B0B75">
                            <w:pPr>
                              <w:widowControl/>
                              <w:ind w:left="791" w:hangingChars="460" w:hanging="791"/>
                              <w:rPr>
                                <w:rFonts w:ascii="標楷體" w:eastAsia="標楷體" w:hAnsi="標楷體" w:cs="新細明體"/>
                                <w:color w:val="000000"/>
                                <w:spacing w:val="-4"/>
                                <w:kern w:val="0"/>
                                <w:szCs w:val="24"/>
                              </w:rPr>
                            </w:pPr>
                            <w:r w:rsidRPr="00430D64">
                              <w:rPr>
                                <w:rFonts w:ascii="標楷體" w:eastAsia="標楷體" w:hAnsi="標楷體" w:cs="新細明體" w:hint="eastAsia"/>
                                <w:color w:val="000000"/>
                                <w:spacing w:val="-4"/>
                                <w:kern w:val="0"/>
                                <w:sz w:val="18"/>
                                <w:szCs w:val="24"/>
                              </w:rPr>
                              <w:t>資料來源：整理自</w:t>
                            </w:r>
                            <w:r>
                              <w:rPr>
                                <w:rFonts w:ascii="標楷體" w:eastAsia="標楷體" w:hAnsi="標楷體" w:cs="新細明體" w:hint="eastAsia"/>
                                <w:color w:val="000000"/>
                                <w:spacing w:val="-4"/>
                                <w:kern w:val="0"/>
                                <w:sz w:val="18"/>
                                <w:szCs w:val="24"/>
                              </w:rPr>
                              <w:t>內政部</w:t>
                            </w:r>
                            <w:r w:rsidRPr="00430D64">
                              <w:rPr>
                                <w:rFonts w:ascii="標楷體" w:eastAsia="標楷體" w:hAnsi="標楷體" w:cs="新細明體" w:hint="eastAsia"/>
                                <w:color w:val="000000"/>
                                <w:spacing w:val="-4"/>
                                <w:kern w:val="0"/>
                                <w:sz w:val="18"/>
                                <w:szCs w:val="24"/>
                              </w:rPr>
                              <w:t>警政署提供資料。</w:t>
                            </w:r>
                          </w:p>
                        </w:tc>
                      </w:tr>
                    </w:tbl>
                    <w:p w14:paraId="6F14C433" w14:textId="77777777" w:rsidR="00267169" w:rsidRPr="00A0079B" w:rsidRDefault="00267169" w:rsidP="00267169"/>
                  </w:txbxContent>
                </v:textbox>
                <w10:wrap type="square" anchorx="margin"/>
              </v:shape>
            </w:pict>
          </mc:Fallback>
        </mc:AlternateContent>
      </w:r>
      <w:r w:rsidRPr="004A0EDA">
        <w:rPr>
          <w:rFonts w:ascii="標楷體" w:eastAsia="標楷體" w:hAnsi="標楷體" w:hint="eastAsia"/>
        </w:rPr>
        <w:t>又113年7至10月間陸續發生駕駛施用依托</w:t>
      </w:r>
      <w:proofErr w:type="gramStart"/>
      <w:r w:rsidRPr="004A0EDA">
        <w:rPr>
          <w:rFonts w:ascii="標楷體" w:eastAsia="標楷體" w:hAnsi="標楷體" w:hint="eastAsia"/>
        </w:rPr>
        <w:t>咪</w:t>
      </w:r>
      <w:proofErr w:type="gramEnd"/>
      <w:r w:rsidRPr="004A0EDA">
        <w:rPr>
          <w:rFonts w:ascii="標楷體" w:eastAsia="標楷體" w:hAnsi="標楷體" w:hint="eastAsia"/>
        </w:rPr>
        <w:t>酯駕車致員警殉職等</w:t>
      </w:r>
      <w:proofErr w:type="gramStart"/>
      <w:r w:rsidRPr="004A0EDA">
        <w:rPr>
          <w:rFonts w:ascii="標楷體" w:eastAsia="標楷體" w:hAnsi="標楷體" w:hint="eastAsia"/>
        </w:rPr>
        <w:t>7起毒駕傷亡</w:t>
      </w:r>
      <w:proofErr w:type="gramEnd"/>
      <w:r w:rsidRPr="004A0EDA">
        <w:rPr>
          <w:rFonts w:ascii="標楷體" w:eastAsia="標楷體" w:hAnsi="標楷體" w:hint="eastAsia"/>
        </w:rPr>
        <w:t>案件</w:t>
      </w:r>
      <w:r>
        <w:rPr>
          <w:rFonts w:ascii="標楷體" w:eastAsia="標楷體" w:hAnsi="標楷體" w:hint="eastAsia"/>
        </w:rPr>
        <w:t>，造成4死9傷</w:t>
      </w:r>
      <w:r w:rsidRPr="004A0EDA">
        <w:rPr>
          <w:rFonts w:ascii="標楷體" w:eastAsia="標楷體" w:hAnsi="標楷體" w:hint="eastAsia"/>
        </w:rPr>
        <w:t>，行政院</w:t>
      </w:r>
      <w:proofErr w:type="gramStart"/>
      <w:r w:rsidRPr="004A0EDA">
        <w:rPr>
          <w:rFonts w:ascii="標楷體" w:eastAsia="標楷體" w:hAnsi="標楷體" w:hint="eastAsia"/>
        </w:rPr>
        <w:t>爰</w:t>
      </w:r>
      <w:proofErr w:type="gramEnd"/>
      <w:r w:rsidRPr="004A0EDA">
        <w:rPr>
          <w:rFonts w:ascii="標楷體" w:eastAsia="標楷體" w:hAnsi="標楷體" w:hint="eastAsia"/>
        </w:rPr>
        <w:t>於113年11月26日將</w:t>
      </w:r>
      <w:r w:rsidRPr="004F2D72">
        <w:rPr>
          <w:rFonts w:ascii="標楷體" w:eastAsia="標楷體" w:hAnsi="標楷體" w:hint="eastAsia"/>
        </w:rPr>
        <w:t>依托</w:t>
      </w:r>
      <w:proofErr w:type="gramStart"/>
      <w:r w:rsidRPr="004F2D72">
        <w:rPr>
          <w:rFonts w:ascii="標楷體" w:eastAsia="標楷體" w:hAnsi="標楷體" w:hint="eastAsia"/>
        </w:rPr>
        <w:t>咪酯</w:t>
      </w:r>
      <w:r w:rsidRPr="004A0EDA">
        <w:rPr>
          <w:rFonts w:ascii="標楷體" w:eastAsia="標楷體" w:hAnsi="標楷體" w:hint="eastAsia"/>
        </w:rPr>
        <w:t>等</w:t>
      </w:r>
      <w:proofErr w:type="gramEnd"/>
      <w:r w:rsidRPr="004A0EDA">
        <w:rPr>
          <w:rFonts w:ascii="標楷體" w:eastAsia="標楷體" w:hAnsi="標楷體" w:hint="eastAsia"/>
        </w:rPr>
        <w:t>毒品列入公告範圍並明定其濃度值，以進一步</w:t>
      </w:r>
      <w:proofErr w:type="gramStart"/>
      <w:r w:rsidRPr="004A0EDA">
        <w:rPr>
          <w:rFonts w:ascii="標楷體" w:eastAsia="標楷體" w:hAnsi="標楷體" w:hint="eastAsia"/>
        </w:rPr>
        <w:t>擴大毒駕刑責</w:t>
      </w:r>
      <w:proofErr w:type="gramEnd"/>
      <w:r w:rsidRPr="004A0EDA">
        <w:rPr>
          <w:rFonts w:ascii="標楷體" w:eastAsia="標楷體" w:hAnsi="標楷體" w:hint="eastAsia"/>
        </w:rPr>
        <w:t>之執法標準</w:t>
      </w:r>
      <w:r>
        <w:rPr>
          <w:rFonts w:ascii="標楷體" w:eastAsia="標楷體" w:hAnsi="標楷體" w:hint="eastAsia"/>
        </w:rPr>
        <w:t>，</w:t>
      </w:r>
      <w:proofErr w:type="gramStart"/>
      <w:r>
        <w:rPr>
          <w:rFonts w:ascii="標楷體" w:eastAsia="標楷體" w:hAnsi="標楷體" w:hint="eastAsia"/>
        </w:rPr>
        <w:t>鑑於</w:t>
      </w:r>
      <w:r w:rsidRPr="004A0EDA">
        <w:rPr>
          <w:rFonts w:ascii="標楷體" w:eastAsia="標楷體" w:hAnsi="標楷體" w:hint="eastAsia"/>
        </w:rPr>
        <w:t>毒駕</w:t>
      </w:r>
      <w:proofErr w:type="gramEnd"/>
      <w:r w:rsidRPr="004A0EDA">
        <w:rPr>
          <w:rFonts w:ascii="標楷體" w:eastAsia="標楷體" w:hAnsi="標楷體" w:hint="eastAsia"/>
        </w:rPr>
        <w:t>事件</w:t>
      </w:r>
      <w:r>
        <w:rPr>
          <w:rFonts w:ascii="標楷體" w:eastAsia="標楷體" w:hAnsi="標楷體" w:hint="eastAsia"/>
        </w:rPr>
        <w:t>層出不窮，</w:t>
      </w:r>
      <w:r w:rsidRPr="004A0EDA">
        <w:rPr>
          <w:rFonts w:ascii="標楷體" w:eastAsia="標楷體" w:hAnsi="標楷體" w:hint="eastAsia"/>
        </w:rPr>
        <w:t>造成多數家庭破碎與社會安全危害，允宜</w:t>
      </w:r>
      <w:proofErr w:type="gramStart"/>
      <w:r w:rsidRPr="004A0EDA">
        <w:rPr>
          <w:rFonts w:ascii="標楷體" w:eastAsia="標楷體" w:hAnsi="標楷體" w:hint="eastAsia"/>
        </w:rPr>
        <w:t>研</w:t>
      </w:r>
      <w:proofErr w:type="gramEnd"/>
      <w:r w:rsidRPr="004A0EDA">
        <w:rPr>
          <w:rFonts w:ascii="標楷體" w:eastAsia="標楷體" w:hAnsi="標楷體" w:hint="eastAsia"/>
        </w:rPr>
        <w:t>謀改善，以保障交通安全及社會秩序</w:t>
      </w:r>
      <w:r>
        <w:rPr>
          <w:rFonts w:ascii="標楷體" w:eastAsia="標楷體" w:hAnsi="標楷體" w:hint="eastAsia"/>
        </w:rPr>
        <w:t>；（2）</w:t>
      </w:r>
      <w:r w:rsidRPr="00BD649E">
        <w:rPr>
          <w:rFonts w:ascii="標楷體" w:eastAsia="標楷體" w:hAnsi="標楷體" w:hint="eastAsia"/>
        </w:rPr>
        <w:t>憲法法庭於111年10月14日公布</w:t>
      </w:r>
      <w:proofErr w:type="gramStart"/>
      <w:r w:rsidRPr="00BD649E">
        <w:rPr>
          <w:rFonts w:ascii="標楷體" w:eastAsia="標楷體" w:hAnsi="標楷體" w:hint="eastAsia"/>
        </w:rPr>
        <w:t>111年憲判字</w:t>
      </w:r>
      <w:proofErr w:type="gramEnd"/>
      <w:r w:rsidRPr="00BD649E">
        <w:rPr>
          <w:rFonts w:ascii="標楷體" w:eastAsia="標楷體" w:hAnsi="標楷體" w:hint="eastAsia"/>
        </w:rPr>
        <w:t>第16號判決，認為刑事訴訟</w:t>
      </w:r>
      <w:r w:rsidRPr="007739E4">
        <w:rPr>
          <w:rFonts w:ascii="標楷體" w:eastAsia="標楷體" w:hAnsi="標楷體" w:hint="eastAsia"/>
        </w:rPr>
        <w:t>法第2</w:t>
      </w:r>
      <w:r w:rsidRPr="007739E4">
        <w:rPr>
          <w:rFonts w:ascii="標楷體" w:eastAsia="標楷體" w:hAnsi="標楷體"/>
        </w:rPr>
        <w:t>05</w:t>
      </w:r>
      <w:r w:rsidRPr="007739E4">
        <w:rPr>
          <w:rFonts w:ascii="標楷體" w:eastAsia="標楷體" w:hAnsi="標楷體" w:hint="eastAsia"/>
        </w:rPr>
        <w:t>條之2，有相當理由認為採取尿液得作為犯罪之證據時，得違反犯罪嫌疑人或被告意思採取之規定，有牴觸憲法第22條保障人民其他自由及權利之意旨，相關機關應自本判決公告之日起2年內，依其意旨</w:t>
      </w:r>
      <w:proofErr w:type="gramStart"/>
      <w:r w:rsidRPr="007739E4">
        <w:rPr>
          <w:rFonts w:ascii="標楷體" w:eastAsia="標楷體" w:hAnsi="標楷體" w:hint="eastAsia"/>
        </w:rPr>
        <w:t>妥適修法</w:t>
      </w:r>
      <w:proofErr w:type="gramEnd"/>
      <w:r w:rsidRPr="007739E4">
        <w:rPr>
          <w:rFonts w:ascii="標楷體" w:eastAsia="標楷體" w:hAnsi="標楷體" w:hint="eastAsia"/>
        </w:rPr>
        <w:t>，完成修法前，檢察事務官、司法警察官或司法警察依前揭刑事訴訟法規定以非侵入性方式採取尿液之實施，應報請檢察官核發鑑定</w:t>
      </w:r>
      <w:proofErr w:type="gramStart"/>
      <w:r w:rsidRPr="007739E4">
        <w:rPr>
          <w:rFonts w:ascii="標楷體" w:eastAsia="標楷體" w:hAnsi="標楷體" w:hint="eastAsia"/>
        </w:rPr>
        <w:t>許可書始得</w:t>
      </w:r>
      <w:proofErr w:type="gramEnd"/>
      <w:r w:rsidRPr="007739E4">
        <w:rPr>
          <w:rFonts w:ascii="標楷體" w:eastAsia="標楷體" w:hAnsi="標楷體" w:hint="eastAsia"/>
        </w:rPr>
        <w:t>為之；情況急迫時，得依前揭刑事訴訟法規定以非侵入性方式採取尿液，並應於</w:t>
      </w:r>
      <w:proofErr w:type="gramStart"/>
      <w:r w:rsidRPr="007739E4">
        <w:rPr>
          <w:rFonts w:ascii="標楷體" w:eastAsia="標楷體" w:hAnsi="標楷體" w:hint="eastAsia"/>
        </w:rPr>
        <w:t>採尿後</w:t>
      </w:r>
      <w:proofErr w:type="gramEnd"/>
      <w:r w:rsidRPr="007739E4">
        <w:rPr>
          <w:rFonts w:ascii="標楷體" w:eastAsia="標楷體" w:hAnsi="標楷體" w:hint="eastAsia"/>
        </w:rPr>
        <w:t>24小時內陳報該管檢察官許可等。</w:t>
      </w:r>
      <w:proofErr w:type="gramStart"/>
      <w:r w:rsidRPr="007739E4">
        <w:rPr>
          <w:rFonts w:ascii="標楷體" w:eastAsia="標楷體" w:hAnsi="標楷體" w:hint="eastAsia"/>
        </w:rPr>
        <w:t>司法院業依</w:t>
      </w:r>
      <w:proofErr w:type="gramEnd"/>
      <w:r w:rsidRPr="007739E4">
        <w:rPr>
          <w:rFonts w:ascii="標楷體" w:eastAsia="標楷體" w:hAnsi="標楷體" w:hint="eastAsia"/>
        </w:rPr>
        <w:t>上開憲法法庭判決意旨，擬具刑事訴訟法修正草案，於113年12月會銜行政院送立法院審議，惟已逾憲法法庭判決公告日起2年之期限，尚未完備修法程序，為完善司法、警察機關調查及</w:t>
      </w:r>
      <w:proofErr w:type="gramStart"/>
      <w:r w:rsidRPr="007739E4">
        <w:rPr>
          <w:rFonts w:ascii="標楷體" w:eastAsia="標楷體" w:hAnsi="標楷體" w:hint="eastAsia"/>
        </w:rPr>
        <w:t>蒐</w:t>
      </w:r>
      <w:proofErr w:type="gramEnd"/>
      <w:r w:rsidRPr="007739E4">
        <w:rPr>
          <w:rFonts w:ascii="標楷體" w:eastAsia="標楷體" w:hAnsi="標楷體" w:hint="eastAsia"/>
        </w:rPr>
        <w:t>證之必要處分所應</w:t>
      </w:r>
      <w:proofErr w:type="gramStart"/>
      <w:r w:rsidRPr="007739E4">
        <w:rPr>
          <w:rFonts w:ascii="標楷體" w:eastAsia="標楷體" w:hAnsi="標楷體" w:hint="eastAsia"/>
        </w:rPr>
        <w:t>踐行</w:t>
      </w:r>
      <w:proofErr w:type="gramEnd"/>
      <w:r w:rsidRPr="007739E4">
        <w:rPr>
          <w:rFonts w:ascii="標楷體" w:eastAsia="標楷體" w:hAnsi="標楷體" w:hint="eastAsia"/>
        </w:rPr>
        <w:t>之正當法律程序，</w:t>
      </w:r>
      <w:proofErr w:type="gramStart"/>
      <w:r w:rsidRPr="007739E4">
        <w:rPr>
          <w:rFonts w:ascii="標楷體" w:eastAsia="標楷體" w:hAnsi="標楷體" w:hint="eastAsia"/>
        </w:rPr>
        <w:t>允宜協請</w:t>
      </w:r>
      <w:proofErr w:type="gramEnd"/>
      <w:r w:rsidRPr="007739E4">
        <w:rPr>
          <w:rFonts w:ascii="標楷體" w:eastAsia="標楷體" w:hAnsi="標楷體" w:hint="eastAsia"/>
        </w:rPr>
        <w:t>司法院完善修法，以保障社會安全；（3）現行員警</w:t>
      </w:r>
      <w:proofErr w:type="gramStart"/>
      <w:r w:rsidRPr="007739E4">
        <w:rPr>
          <w:rFonts w:ascii="標楷體" w:eastAsia="標楷體" w:hAnsi="標楷體" w:hint="eastAsia"/>
        </w:rPr>
        <w:t>執行毒駕取締</w:t>
      </w:r>
      <w:proofErr w:type="gramEnd"/>
      <w:r w:rsidRPr="007739E4">
        <w:rPr>
          <w:rFonts w:ascii="標楷體" w:eastAsia="標楷體" w:hAnsi="標楷體" w:hint="eastAsia"/>
        </w:rPr>
        <w:t>案件，相較</w:t>
      </w:r>
      <w:proofErr w:type="gramStart"/>
      <w:r w:rsidRPr="007739E4">
        <w:rPr>
          <w:rFonts w:ascii="標楷體" w:eastAsia="標楷體" w:hAnsi="標楷體" w:hint="eastAsia"/>
        </w:rPr>
        <w:t>於酒駕執法</w:t>
      </w:r>
      <w:proofErr w:type="gramEnd"/>
      <w:r w:rsidRPr="007739E4">
        <w:rPr>
          <w:rFonts w:ascii="標楷體" w:eastAsia="標楷體" w:hAnsi="標楷體" w:hint="eastAsia"/>
        </w:rPr>
        <w:t>，員警配有酒測設備能針對散發酒氣或行走不穩之可疑駕駛人進行檢測，</w:t>
      </w:r>
      <w:proofErr w:type="gramStart"/>
      <w:r w:rsidRPr="007739E4">
        <w:rPr>
          <w:rFonts w:ascii="標楷體" w:eastAsia="標楷體" w:hAnsi="標楷體" w:hint="eastAsia"/>
        </w:rPr>
        <w:t>然毒駕尚</w:t>
      </w:r>
      <w:proofErr w:type="gramEnd"/>
      <w:r w:rsidRPr="007739E4">
        <w:rPr>
          <w:rFonts w:ascii="標楷體" w:eastAsia="標楷體" w:hAnsi="標楷體" w:hint="eastAsia"/>
        </w:rPr>
        <w:t>無快捷有效之科學檢測設備，若非駕駛出現毒癮症狀，尚難判斷是否</w:t>
      </w:r>
      <w:proofErr w:type="gramStart"/>
      <w:r w:rsidRPr="007739E4">
        <w:rPr>
          <w:rFonts w:ascii="標楷體" w:eastAsia="標楷體" w:hAnsi="標楷體" w:hint="eastAsia"/>
        </w:rPr>
        <w:t>為毒駕</w:t>
      </w:r>
      <w:proofErr w:type="gramEnd"/>
      <w:r w:rsidRPr="007739E4">
        <w:rPr>
          <w:rFonts w:ascii="標楷體" w:eastAsia="標楷體" w:hAnsi="標楷體" w:hint="eastAsia"/>
        </w:rPr>
        <w:t>，員警僅能藉由辦案經驗，於車內發現毒品或毒品異味，或駕駛精神恍惚時，始得強制</w:t>
      </w:r>
      <w:proofErr w:type="gramStart"/>
      <w:r w:rsidRPr="007739E4">
        <w:rPr>
          <w:rFonts w:ascii="標楷體" w:eastAsia="標楷體" w:hAnsi="標楷體" w:hint="eastAsia"/>
        </w:rPr>
        <w:t>採</w:t>
      </w:r>
      <w:proofErr w:type="gramEnd"/>
      <w:r w:rsidRPr="007739E4">
        <w:rPr>
          <w:rFonts w:ascii="標楷體" w:eastAsia="標楷體" w:hAnsi="標楷體" w:hint="eastAsia"/>
        </w:rPr>
        <w:t>尿，造成第一線員警</w:t>
      </w:r>
      <w:proofErr w:type="gramStart"/>
      <w:r w:rsidRPr="007739E4">
        <w:rPr>
          <w:rFonts w:ascii="標楷體" w:eastAsia="標楷體" w:hAnsi="標楷體" w:hint="eastAsia"/>
        </w:rPr>
        <w:t>於毒駕</w:t>
      </w:r>
      <w:proofErr w:type="gramEnd"/>
      <w:r w:rsidRPr="007739E4">
        <w:rPr>
          <w:rFonts w:ascii="標楷體" w:eastAsia="標楷體" w:hAnsi="標楷體" w:hint="eastAsia"/>
        </w:rPr>
        <w:t>取締上之困難。</w:t>
      </w:r>
      <w:proofErr w:type="gramStart"/>
      <w:r w:rsidRPr="007739E4">
        <w:rPr>
          <w:rFonts w:ascii="標楷體" w:eastAsia="標楷體" w:hAnsi="標楷體" w:hint="eastAsia"/>
        </w:rPr>
        <w:t>鑑</w:t>
      </w:r>
      <w:proofErr w:type="gramEnd"/>
      <w:r w:rsidRPr="007739E4">
        <w:rPr>
          <w:rFonts w:ascii="標楷體" w:eastAsia="標楷體" w:hAnsi="標楷體" w:hint="eastAsia"/>
        </w:rPr>
        <w:t>於國際上如歐美等國已使用口腔唾液</w:t>
      </w:r>
      <w:proofErr w:type="gramStart"/>
      <w:r w:rsidRPr="007739E4">
        <w:rPr>
          <w:rFonts w:ascii="標楷體" w:eastAsia="標楷體" w:hAnsi="標楷體" w:hint="eastAsia"/>
        </w:rPr>
        <w:t>快篩查緝毒駕</w:t>
      </w:r>
      <w:proofErr w:type="gramEnd"/>
      <w:r w:rsidRPr="007739E4">
        <w:rPr>
          <w:rFonts w:ascii="標楷體" w:eastAsia="標楷體" w:hAnsi="標楷體" w:hint="eastAsia"/>
        </w:rPr>
        <w:t>，建立路邊毒品檢驗機制，且國內學術單位已有毒品(唾液)</w:t>
      </w:r>
      <w:proofErr w:type="gramStart"/>
      <w:r w:rsidRPr="007739E4">
        <w:rPr>
          <w:rFonts w:ascii="標楷體" w:eastAsia="標楷體" w:hAnsi="標楷體" w:hint="eastAsia"/>
        </w:rPr>
        <w:t>快篩研究</w:t>
      </w:r>
      <w:proofErr w:type="gramEnd"/>
      <w:r w:rsidRPr="007739E4">
        <w:rPr>
          <w:rFonts w:ascii="標楷體" w:eastAsia="標楷體" w:hAnsi="標楷體" w:hint="eastAsia"/>
        </w:rPr>
        <w:t>成果，允宜</w:t>
      </w:r>
      <w:proofErr w:type="gramStart"/>
      <w:r w:rsidRPr="007739E4">
        <w:rPr>
          <w:rFonts w:ascii="標楷體" w:eastAsia="標楷體" w:hAnsi="標楷體" w:hint="eastAsia"/>
        </w:rPr>
        <w:t>研</w:t>
      </w:r>
      <w:proofErr w:type="gramEnd"/>
      <w:r w:rsidRPr="007739E4">
        <w:rPr>
          <w:rFonts w:ascii="標楷體" w:eastAsia="標楷體" w:hAnsi="標楷體" w:hint="eastAsia"/>
        </w:rPr>
        <w:t>酌</w:t>
      </w:r>
      <w:r w:rsidRPr="007739E4">
        <w:rPr>
          <w:rFonts w:ascii="標楷體" w:eastAsia="標楷體" w:hAnsi="標楷體" w:hint="eastAsia"/>
        </w:rPr>
        <w:lastRenderedPageBreak/>
        <w:t>參考國外作法持續滾動檢討實務執行窒礙，採用有效執法工具，</w:t>
      </w:r>
      <w:proofErr w:type="gramStart"/>
      <w:r w:rsidRPr="007739E4">
        <w:rPr>
          <w:rFonts w:ascii="標楷體" w:eastAsia="標楷體" w:hAnsi="標楷體" w:hint="eastAsia"/>
        </w:rPr>
        <w:t>作為毒駕後續處置參據之</w:t>
      </w:r>
      <w:proofErr w:type="gramEnd"/>
      <w:r w:rsidRPr="007739E4">
        <w:rPr>
          <w:rFonts w:ascii="標楷體" w:eastAsia="標楷體" w:hAnsi="標楷體" w:hint="eastAsia"/>
        </w:rPr>
        <w:t>可行性，及持續提升員警</w:t>
      </w:r>
      <w:proofErr w:type="gramStart"/>
      <w:r w:rsidRPr="007739E4">
        <w:rPr>
          <w:rFonts w:ascii="標楷體" w:eastAsia="標楷體" w:hAnsi="標楷體" w:hint="eastAsia"/>
        </w:rPr>
        <w:t>取締毒駕之</w:t>
      </w:r>
      <w:proofErr w:type="gramEnd"/>
      <w:r w:rsidRPr="007739E4">
        <w:rPr>
          <w:rFonts w:ascii="標楷體" w:eastAsia="標楷體" w:hAnsi="標楷體" w:hint="eastAsia"/>
        </w:rPr>
        <w:t>專業知能，積極完善相關配套措施</w:t>
      </w:r>
      <w:r w:rsidR="002546F9">
        <w:rPr>
          <w:rFonts w:ascii="標楷體" w:eastAsia="標楷體" w:hAnsi="標楷體" w:hint="eastAsia"/>
        </w:rPr>
        <w:t>等情事</w:t>
      </w:r>
      <w:r w:rsidR="002546F9">
        <w:rPr>
          <w:rFonts w:ascii="標楷體" w:eastAsia="標楷體" w:hAnsi="標楷體" w:hint="eastAsia"/>
          <w:color w:val="000000" w:themeColor="text1"/>
        </w:rPr>
        <w:t>，</w:t>
      </w:r>
      <w:r w:rsidRPr="007739E4">
        <w:rPr>
          <w:rFonts w:ascii="標楷體" w:eastAsia="標楷體" w:hAnsi="標楷體" w:hint="eastAsia"/>
          <w:color w:val="000000" w:themeColor="text1"/>
        </w:rPr>
        <w:t>經函請行政院督促權責機關檢討改善。據復：</w:t>
      </w:r>
      <w:r w:rsidRPr="007739E4">
        <w:rPr>
          <w:rFonts w:ascii="標楷體" w:eastAsia="標楷體" w:hAnsi="標楷體" w:hint="eastAsia"/>
        </w:rPr>
        <w:t>（1）法務部將修正刑法第185條之3第1項第3款尿液確認檢驗判定檢出毒品</w:t>
      </w:r>
      <w:proofErr w:type="gramStart"/>
      <w:r w:rsidRPr="007739E4">
        <w:rPr>
          <w:rFonts w:ascii="標楷體" w:eastAsia="標楷體" w:hAnsi="標楷體" w:hint="eastAsia"/>
        </w:rPr>
        <w:t>品</w:t>
      </w:r>
      <w:proofErr w:type="gramEnd"/>
      <w:r w:rsidRPr="007739E4">
        <w:rPr>
          <w:rFonts w:ascii="標楷體" w:eastAsia="標楷體" w:hAnsi="標楷體" w:hint="eastAsia"/>
        </w:rPr>
        <w:t>項及濃度值，新增毒品</w:t>
      </w:r>
      <w:proofErr w:type="gramStart"/>
      <w:r w:rsidRPr="007739E4">
        <w:rPr>
          <w:rFonts w:ascii="標楷體" w:eastAsia="標楷體" w:hAnsi="標楷體" w:hint="eastAsia"/>
        </w:rPr>
        <w:t>品</w:t>
      </w:r>
      <w:proofErr w:type="gramEnd"/>
      <w:r w:rsidRPr="007739E4">
        <w:rPr>
          <w:rFonts w:ascii="標楷體" w:eastAsia="標楷體" w:hAnsi="標楷體" w:hint="eastAsia"/>
        </w:rPr>
        <w:t>項檢驗濃度標準，以保障用路人安全；（2）將配合司法院共同推動</w:t>
      </w:r>
      <w:r w:rsidR="00A458CA">
        <w:rPr>
          <w:rFonts w:ascii="標楷體" w:eastAsia="標楷體" w:hAnsi="標楷體" w:hint="eastAsia"/>
        </w:rPr>
        <w:t>刑事訴訟法之</w:t>
      </w:r>
      <w:r w:rsidRPr="007739E4">
        <w:rPr>
          <w:rFonts w:ascii="標楷體" w:eastAsia="標楷體" w:hAnsi="標楷體" w:hint="eastAsia"/>
        </w:rPr>
        <w:t>修法；（3）有關學術單位毒品</w:t>
      </w:r>
      <w:r w:rsidR="005328E5">
        <w:rPr>
          <w:rFonts w:ascii="標楷體" w:eastAsia="標楷體" w:hAnsi="標楷體" w:hint="eastAsia"/>
        </w:rPr>
        <w:t>（</w:t>
      </w:r>
      <w:r w:rsidRPr="007739E4">
        <w:rPr>
          <w:rFonts w:ascii="標楷體" w:eastAsia="標楷體" w:hAnsi="標楷體" w:hint="eastAsia"/>
        </w:rPr>
        <w:t>唾液</w:t>
      </w:r>
      <w:r w:rsidR="005328E5">
        <w:rPr>
          <w:rFonts w:ascii="標楷體" w:eastAsia="標楷體" w:hAnsi="標楷體" w:hint="eastAsia"/>
        </w:rPr>
        <w:t>）</w:t>
      </w:r>
      <w:proofErr w:type="gramStart"/>
      <w:r w:rsidRPr="007739E4">
        <w:rPr>
          <w:rFonts w:ascii="標楷體" w:eastAsia="標楷體" w:hAnsi="標楷體" w:hint="eastAsia"/>
        </w:rPr>
        <w:t>快篩研究</w:t>
      </w:r>
      <w:proofErr w:type="gramEnd"/>
      <w:r w:rsidRPr="007739E4">
        <w:rPr>
          <w:rFonts w:ascii="標楷體" w:eastAsia="標楷體" w:hAnsi="標楷體" w:hint="eastAsia"/>
        </w:rPr>
        <w:t>成果，可由主管機關</w:t>
      </w:r>
      <w:r w:rsidR="005328E5">
        <w:rPr>
          <w:rFonts w:ascii="標楷體" w:eastAsia="標楷體" w:hAnsi="標楷體" w:hint="eastAsia"/>
        </w:rPr>
        <w:t>（</w:t>
      </w:r>
      <w:r w:rsidRPr="007739E4">
        <w:rPr>
          <w:rFonts w:ascii="標楷體" w:eastAsia="標楷體" w:hAnsi="標楷體" w:hint="eastAsia"/>
        </w:rPr>
        <w:t>警政署、法務部等</w:t>
      </w:r>
      <w:r w:rsidR="005328E5">
        <w:rPr>
          <w:rFonts w:ascii="標楷體" w:eastAsia="標楷體" w:hAnsi="標楷體" w:hint="eastAsia"/>
        </w:rPr>
        <w:t>）</w:t>
      </w:r>
      <w:r w:rsidRPr="007739E4">
        <w:rPr>
          <w:rFonts w:ascii="標楷體" w:eastAsia="標楷體" w:hAnsi="標楷體" w:hint="eastAsia"/>
        </w:rPr>
        <w:t>視需求洽詢，另警政署已要求各警察機關，加強</w:t>
      </w:r>
      <w:proofErr w:type="gramStart"/>
      <w:r w:rsidRPr="007739E4">
        <w:rPr>
          <w:rFonts w:ascii="標楷體" w:eastAsia="標楷體" w:hAnsi="標楷體" w:hint="eastAsia"/>
        </w:rPr>
        <w:t>查緝毒駕案件</w:t>
      </w:r>
      <w:proofErr w:type="gramEnd"/>
      <w:r w:rsidRPr="007739E4">
        <w:rPr>
          <w:rFonts w:ascii="標楷體" w:eastAsia="標楷體" w:hAnsi="標楷體" w:hint="eastAsia"/>
        </w:rPr>
        <w:t>及提升員警執勤安全與技巧作業，以達嚇阻犯罪之預防效果。</w:t>
      </w:r>
    </w:p>
    <w:p w14:paraId="054D2E7E" w14:textId="438B4195" w:rsidR="00A005D1" w:rsidRDefault="00595985" w:rsidP="00AF1EBD">
      <w:pPr>
        <w:adjustRightInd w:val="0"/>
        <w:snapToGrid w:val="0"/>
        <w:spacing w:line="420" w:lineRule="exact"/>
        <w:ind w:firstLineChars="450" w:firstLine="1081"/>
        <w:jc w:val="both"/>
        <w:rPr>
          <w:rFonts w:ascii="標楷體" w:eastAsia="標楷體" w:hAnsi="標楷體"/>
          <w:bCs/>
          <w:color w:val="000000" w:themeColor="text1"/>
        </w:rPr>
      </w:pPr>
      <w:r w:rsidRPr="004F2D72">
        <w:rPr>
          <w:rFonts w:ascii="標楷體" w:eastAsia="標楷體" w:hAnsi="標楷體" w:hint="eastAsia"/>
          <w:b/>
          <w:color w:val="000000" w:themeColor="text1"/>
        </w:rPr>
        <w:t>5.　政府為防制毒品先驅原料遭非法用於製毒，訂有相關管制作為，惟查緝毒品先驅原料流向非法使用之跨部會、跨機關通報與管理機制未</w:t>
      </w:r>
      <w:proofErr w:type="gramStart"/>
      <w:r w:rsidRPr="004F2D72">
        <w:rPr>
          <w:rFonts w:ascii="標楷體" w:eastAsia="標楷體" w:hAnsi="標楷體" w:hint="eastAsia"/>
          <w:b/>
          <w:color w:val="000000" w:themeColor="text1"/>
        </w:rPr>
        <w:t>臻</w:t>
      </w:r>
      <w:proofErr w:type="gramEnd"/>
      <w:r w:rsidRPr="004F2D72">
        <w:rPr>
          <w:rFonts w:ascii="標楷體" w:eastAsia="標楷體" w:hAnsi="標楷體" w:hint="eastAsia"/>
          <w:b/>
          <w:color w:val="000000" w:themeColor="text1"/>
        </w:rPr>
        <w:t>健全及落實：</w:t>
      </w:r>
      <w:r w:rsidRPr="004F2D72">
        <w:rPr>
          <w:rFonts w:ascii="標楷體" w:eastAsia="標楷體" w:hAnsi="標楷體" w:hint="eastAsia"/>
          <w:bCs/>
          <w:color w:val="000000" w:themeColor="text1"/>
        </w:rPr>
        <w:t>政府為防制毒品先驅原料等被非法用於製造毒品，已於毒品危害防制條例及管制藥品管理條例等規定訂有毒品先驅原料、先驅化學品工業原料、管制藥品等管制作為，並於「新世代反毒策略行動綱領」（第二期110－113年）訂有「防止先驅化學品工業原料非法使用」及「強化含</w:t>
      </w:r>
      <w:proofErr w:type="gramStart"/>
      <w:r w:rsidRPr="004F2D72">
        <w:rPr>
          <w:rFonts w:ascii="標楷體" w:eastAsia="標楷體" w:hAnsi="標楷體" w:hint="eastAsia"/>
          <w:bCs/>
          <w:color w:val="000000" w:themeColor="text1"/>
        </w:rPr>
        <w:t>麻黃素類製劑</w:t>
      </w:r>
      <w:proofErr w:type="gramEnd"/>
      <w:r w:rsidRPr="004F2D72">
        <w:rPr>
          <w:rFonts w:ascii="標楷體" w:eastAsia="標楷體" w:hAnsi="標楷體" w:hint="eastAsia"/>
          <w:bCs/>
          <w:color w:val="000000" w:themeColor="text1"/>
        </w:rPr>
        <w:t>及原料藥流向管控」</w:t>
      </w:r>
      <w:proofErr w:type="gramStart"/>
      <w:r w:rsidRPr="004F2D72">
        <w:rPr>
          <w:rFonts w:ascii="標楷體" w:eastAsia="標楷體" w:hAnsi="標楷體" w:hint="eastAsia"/>
          <w:bCs/>
          <w:color w:val="000000" w:themeColor="text1"/>
        </w:rPr>
        <w:t>等驗毒</w:t>
      </w:r>
      <w:proofErr w:type="gramEnd"/>
      <w:r w:rsidRPr="004F2D72">
        <w:rPr>
          <w:rFonts w:ascii="標楷體" w:eastAsia="標楷體" w:hAnsi="標楷體" w:hint="eastAsia"/>
          <w:bCs/>
          <w:color w:val="000000" w:themeColor="text1"/>
        </w:rPr>
        <w:t>策略，期透過相關權責機關加強管理先驅化學品工業原料、製藥原料之流向，及查緝機關加強查緝及溯源，防止可用於製毒之原料被非法使用。經查毒品先驅原料通報與管理機制執行情形，核有：（1）據高檢署統計</w:t>
      </w:r>
      <w:proofErr w:type="gramStart"/>
      <w:r w:rsidRPr="004F2D72">
        <w:rPr>
          <w:rFonts w:ascii="標楷體" w:eastAsia="標楷體" w:hAnsi="標楷體" w:hint="eastAsia"/>
          <w:bCs/>
          <w:color w:val="000000" w:themeColor="text1"/>
        </w:rPr>
        <w:t>113</w:t>
      </w:r>
      <w:proofErr w:type="gramEnd"/>
      <w:r w:rsidRPr="004F2D72">
        <w:rPr>
          <w:rFonts w:ascii="標楷體" w:eastAsia="標楷體" w:hAnsi="標楷體" w:hint="eastAsia"/>
          <w:bCs/>
          <w:color w:val="000000" w:themeColor="text1"/>
        </w:rPr>
        <w:t>年度毒品先驅原料查獲量計有1,467公斤，</w:t>
      </w:r>
      <w:proofErr w:type="gramStart"/>
      <w:r w:rsidRPr="004F2D72">
        <w:rPr>
          <w:rFonts w:ascii="標楷體" w:eastAsia="標楷體" w:hAnsi="標楷體" w:hint="eastAsia"/>
          <w:bCs/>
          <w:color w:val="000000" w:themeColor="text1"/>
        </w:rPr>
        <w:t>惟衛福部</w:t>
      </w:r>
      <w:proofErr w:type="gramEnd"/>
      <w:r w:rsidRPr="004F2D72">
        <w:rPr>
          <w:rFonts w:ascii="標楷體" w:eastAsia="標楷體" w:hAnsi="標楷體" w:hint="eastAsia"/>
          <w:bCs/>
          <w:color w:val="000000" w:themeColor="text1"/>
        </w:rPr>
        <w:t>食品藥物管理署（下稱食藥署）</w:t>
      </w:r>
      <w:proofErr w:type="gramStart"/>
      <w:r w:rsidRPr="004F2D72">
        <w:rPr>
          <w:rFonts w:ascii="標楷體" w:eastAsia="標楷體" w:hAnsi="標楷體" w:hint="eastAsia"/>
          <w:bCs/>
          <w:color w:val="000000" w:themeColor="text1"/>
        </w:rPr>
        <w:t>113年度均未接獲</w:t>
      </w:r>
      <w:proofErr w:type="gramEnd"/>
      <w:r w:rsidRPr="004F2D72">
        <w:rPr>
          <w:rFonts w:ascii="標楷體" w:eastAsia="標楷體" w:hAnsi="標楷體" w:hint="eastAsia"/>
          <w:bCs/>
          <w:color w:val="000000" w:themeColor="text1"/>
        </w:rPr>
        <w:t>各查緝機關依毒品危害防制條例施行細</w:t>
      </w:r>
      <w:r w:rsidR="005F3DEC" w:rsidRPr="004F2D72">
        <w:rPr>
          <w:rFonts w:ascii="標楷體" w:eastAsia="標楷體" w:hAnsi="標楷體" w:hint="eastAsia"/>
          <w:bCs/>
          <w:color w:val="000000" w:themeColor="text1"/>
        </w:rPr>
        <w:t>則第</w:t>
      </w:r>
    </w:p>
    <w:p w14:paraId="235AC1CE" w14:textId="40AA161E" w:rsidR="00595985" w:rsidRPr="004F2D72" w:rsidRDefault="006603A8" w:rsidP="00A005D1">
      <w:pPr>
        <w:adjustRightInd w:val="0"/>
        <w:snapToGrid w:val="0"/>
        <w:spacing w:line="400" w:lineRule="exact"/>
        <w:jc w:val="both"/>
        <w:rPr>
          <w:rFonts w:ascii="標楷體" w:eastAsia="標楷體" w:hAnsi="標楷體"/>
          <w:bCs/>
          <w:color w:val="000000" w:themeColor="text1"/>
        </w:rPr>
      </w:pPr>
      <w:r w:rsidRPr="004F2D72">
        <w:rPr>
          <w:rFonts w:ascii="標楷體" w:eastAsia="標楷體" w:hAnsi="標楷體"/>
          <w:bCs/>
          <w:noProof/>
        </w:rPr>
        <mc:AlternateContent>
          <mc:Choice Requires="wps">
            <w:drawing>
              <wp:anchor distT="45720" distB="45720" distL="114300" distR="114300" simplePos="0" relativeHeight="251674624" behindDoc="0" locked="0" layoutInCell="1" allowOverlap="1" wp14:anchorId="4E2B5A7E" wp14:editId="62CD225C">
                <wp:simplePos x="0" y="0"/>
                <wp:positionH relativeFrom="margin">
                  <wp:posOffset>3936365</wp:posOffset>
                </wp:positionH>
                <wp:positionV relativeFrom="paragraph">
                  <wp:posOffset>2134870</wp:posOffset>
                </wp:positionV>
                <wp:extent cx="2343150" cy="2240280"/>
                <wp:effectExtent l="0" t="0" r="0" b="0"/>
                <wp:wrapSquare wrapText="bothSides"/>
                <wp:docPr id="2008327067" name="文字方塊 2008327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240280"/>
                        </a:xfrm>
                        <a:prstGeom prst="rect">
                          <a:avLst/>
                        </a:prstGeom>
                        <a:noFill/>
                        <a:ln w="9525">
                          <a:noFill/>
                          <a:miter lim="800000"/>
                          <a:headEnd/>
                          <a:tailEnd/>
                        </a:ln>
                      </wps:spPr>
                      <wps:txbx>
                        <w:txbxContent>
                          <w:tbl>
                            <w:tblPr>
                              <w:tblW w:w="3547" w:type="dxa"/>
                              <w:tblCellMar>
                                <w:left w:w="28" w:type="dxa"/>
                                <w:right w:w="28" w:type="dxa"/>
                              </w:tblCellMar>
                              <w:tblLook w:val="04A0" w:firstRow="1" w:lastRow="0" w:firstColumn="1" w:lastColumn="0" w:noHBand="0" w:noVBand="1"/>
                            </w:tblPr>
                            <w:tblGrid>
                              <w:gridCol w:w="428"/>
                              <w:gridCol w:w="139"/>
                              <w:gridCol w:w="1134"/>
                              <w:gridCol w:w="851"/>
                              <w:gridCol w:w="850"/>
                              <w:gridCol w:w="145"/>
                            </w:tblGrid>
                            <w:tr w:rsidR="00595985" w:rsidRPr="004F2D72" w14:paraId="0D38B3D9" w14:textId="77777777" w:rsidTr="00C31E2D">
                              <w:trPr>
                                <w:trHeight w:val="420"/>
                              </w:trPr>
                              <w:tc>
                                <w:tcPr>
                                  <w:tcW w:w="3547" w:type="dxa"/>
                                  <w:gridSpan w:val="6"/>
                                  <w:tcBorders>
                                    <w:top w:val="nil"/>
                                    <w:left w:val="nil"/>
                                    <w:bottom w:val="nil"/>
                                    <w:right w:val="nil"/>
                                  </w:tcBorders>
                                </w:tcPr>
                                <w:p w14:paraId="3F647DBE" w14:textId="2727D1B2" w:rsidR="00595985" w:rsidRPr="004F2D72" w:rsidRDefault="00595985" w:rsidP="00E7515A">
                                  <w:pPr>
                                    <w:widowControl/>
                                    <w:spacing w:line="0" w:lineRule="atLeast"/>
                                    <w:ind w:left="781" w:rightChars="-12" w:right="-29" w:hangingChars="325" w:hanging="781"/>
                                    <w:rPr>
                                      <w:rFonts w:ascii="標楷體" w:eastAsia="標楷體" w:hAnsi="標楷體" w:cs="新細明體"/>
                                      <w:b/>
                                      <w:color w:val="000000"/>
                                      <w:kern w:val="0"/>
                                      <w:szCs w:val="24"/>
                                    </w:rPr>
                                  </w:pPr>
                                  <w:r w:rsidRPr="004F2D72">
                                    <w:rPr>
                                      <w:rFonts w:ascii="標楷體" w:eastAsia="標楷體" w:hAnsi="標楷體" w:cs="新細明體" w:hint="eastAsia"/>
                                      <w:b/>
                                      <w:color w:val="000000"/>
                                      <w:kern w:val="0"/>
                                      <w:szCs w:val="24"/>
                                    </w:rPr>
                                    <w:t>表</w:t>
                                  </w:r>
                                  <w:r w:rsidR="004F2D72">
                                    <w:rPr>
                                      <w:rFonts w:ascii="標楷體" w:eastAsia="標楷體" w:hAnsi="標楷體" w:cs="新細明體" w:hint="eastAsia"/>
                                      <w:b/>
                                      <w:color w:val="000000"/>
                                      <w:kern w:val="0"/>
                                      <w:szCs w:val="24"/>
                                    </w:rPr>
                                    <w:t>2</w:t>
                                  </w:r>
                                  <w:r w:rsidR="004F2D72">
                                    <w:rPr>
                                      <w:rFonts w:ascii="標楷體" w:eastAsia="標楷體" w:hAnsi="標楷體" w:cs="新細明體"/>
                                      <w:b/>
                                      <w:color w:val="000000"/>
                                      <w:kern w:val="0"/>
                                      <w:szCs w:val="24"/>
                                    </w:rPr>
                                    <w:t>8</w:t>
                                  </w:r>
                                  <w:r w:rsidRPr="004F2D72">
                                    <w:rPr>
                                      <w:rFonts w:ascii="標楷體" w:eastAsia="標楷體" w:hAnsi="標楷體" w:cs="新細明體"/>
                                      <w:b/>
                                      <w:color w:val="000000"/>
                                      <w:kern w:val="0"/>
                                      <w:szCs w:val="24"/>
                                    </w:rPr>
                                    <w:t xml:space="preserve">  </w:t>
                                  </w:r>
                                  <w:r w:rsidRPr="004F2D72">
                                    <w:rPr>
                                      <w:rFonts w:ascii="標楷體" w:eastAsia="標楷體" w:hAnsi="標楷體" w:cs="新細明體" w:hint="eastAsia"/>
                                      <w:b/>
                                      <w:color w:val="000000"/>
                                      <w:kern w:val="0"/>
                                      <w:szCs w:val="24"/>
                                    </w:rPr>
                                    <w:t>先驅化學品工業原料廠商查核情形</w:t>
                                  </w:r>
                                </w:p>
                              </w:tc>
                            </w:tr>
                            <w:tr w:rsidR="00595985" w:rsidRPr="004F2D72" w14:paraId="3D4F0939" w14:textId="77777777" w:rsidTr="0086070D">
                              <w:trPr>
                                <w:trHeight w:val="85"/>
                              </w:trPr>
                              <w:tc>
                                <w:tcPr>
                                  <w:tcW w:w="428" w:type="dxa"/>
                                  <w:tcBorders>
                                    <w:top w:val="nil"/>
                                    <w:left w:val="nil"/>
                                    <w:bottom w:val="nil"/>
                                    <w:right w:val="nil"/>
                                  </w:tcBorders>
                                </w:tcPr>
                                <w:p w14:paraId="53584CCB" w14:textId="77777777" w:rsidR="00595985" w:rsidRPr="004F2D72" w:rsidRDefault="00595985" w:rsidP="00B90BDC">
                                  <w:pPr>
                                    <w:widowControl/>
                                    <w:spacing w:line="0" w:lineRule="atLeast"/>
                                    <w:jc w:val="right"/>
                                    <w:rPr>
                                      <w:rFonts w:ascii="標楷體" w:eastAsia="標楷體" w:hAnsi="標楷體" w:cs="新細明體"/>
                                      <w:color w:val="000000"/>
                                      <w:kern w:val="0"/>
                                      <w:sz w:val="20"/>
                                    </w:rPr>
                                  </w:pPr>
                                </w:p>
                              </w:tc>
                              <w:tc>
                                <w:tcPr>
                                  <w:tcW w:w="3119" w:type="dxa"/>
                                  <w:gridSpan w:val="5"/>
                                  <w:tcBorders>
                                    <w:top w:val="nil"/>
                                    <w:left w:val="nil"/>
                                    <w:bottom w:val="nil"/>
                                    <w:right w:val="nil"/>
                                  </w:tcBorders>
                                  <w:shd w:val="clear" w:color="auto" w:fill="auto"/>
                                  <w:noWrap/>
                                  <w:vAlign w:val="bottom"/>
                                  <w:hideMark/>
                                </w:tcPr>
                                <w:p w14:paraId="7D86F417" w14:textId="77777777" w:rsidR="00595985" w:rsidRPr="004F2D72" w:rsidRDefault="00595985" w:rsidP="004265EC">
                                  <w:pPr>
                                    <w:widowControl/>
                                    <w:spacing w:line="0" w:lineRule="atLeast"/>
                                    <w:ind w:right="231"/>
                                    <w:jc w:val="right"/>
                                    <w:rPr>
                                      <w:rFonts w:ascii="標楷體" w:eastAsia="標楷體" w:hAnsi="標楷體" w:cs="新細明體"/>
                                      <w:color w:val="000000"/>
                                      <w:kern w:val="0"/>
                                      <w:sz w:val="22"/>
                                    </w:rPr>
                                  </w:pPr>
                                  <w:r w:rsidRPr="004F2D72">
                                    <w:rPr>
                                      <w:rFonts w:ascii="標楷體" w:eastAsia="標楷體" w:hAnsi="標楷體" w:cs="新細明體" w:hint="eastAsia"/>
                                      <w:color w:val="000000"/>
                                      <w:kern w:val="0"/>
                                      <w:sz w:val="20"/>
                                    </w:rPr>
                                    <w:t>單位：家、％</w:t>
                                  </w:r>
                                </w:p>
                              </w:tc>
                            </w:tr>
                            <w:tr w:rsidR="00595985" w:rsidRPr="004F2D72" w14:paraId="07DD2D6B" w14:textId="77777777" w:rsidTr="0086070D">
                              <w:trPr>
                                <w:gridAfter w:val="1"/>
                                <w:wAfter w:w="145" w:type="dxa"/>
                                <w:trHeight w:val="263"/>
                              </w:trPr>
                              <w:tc>
                                <w:tcPr>
                                  <w:tcW w:w="567" w:type="dxa"/>
                                  <w:gridSpan w:val="2"/>
                                  <w:vMerge w:val="restart"/>
                                  <w:tcBorders>
                                    <w:top w:val="single" w:sz="4" w:space="0" w:color="auto"/>
                                    <w:left w:val="single" w:sz="4" w:space="0" w:color="auto"/>
                                    <w:right w:val="single" w:sz="4" w:space="0" w:color="auto"/>
                                  </w:tcBorders>
                                  <w:shd w:val="clear" w:color="auto" w:fill="auto"/>
                                  <w:vAlign w:val="center"/>
                                  <w:hideMark/>
                                </w:tcPr>
                                <w:p w14:paraId="1C2194B8"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年度</w:t>
                                  </w:r>
                                </w:p>
                              </w:tc>
                              <w:tc>
                                <w:tcPr>
                                  <w:tcW w:w="1134" w:type="dxa"/>
                                  <w:vMerge w:val="restart"/>
                                  <w:tcBorders>
                                    <w:top w:val="single" w:sz="4" w:space="0" w:color="auto"/>
                                    <w:left w:val="nil"/>
                                    <w:right w:val="single" w:sz="4" w:space="0" w:color="auto"/>
                                  </w:tcBorders>
                                  <w:shd w:val="clear" w:color="auto" w:fill="auto"/>
                                  <w:vAlign w:val="center"/>
                                </w:tcPr>
                                <w:p w14:paraId="4F53157C" w14:textId="77777777" w:rsidR="00595985" w:rsidRPr="004F2D72" w:rsidRDefault="00595985" w:rsidP="0086070D">
                                  <w:pPr>
                                    <w:widowControl/>
                                    <w:spacing w:line="0" w:lineRule="atLeast"/>
                                    <w:jc w:val="center"/>
                                    <w:rPr>
                                      <w:rFonts w:ascii="標楷體" w:eastAsia="標楷體" w:hAnsi="標楷體" w:cs="新細明體"/>
                                      <w:color w:val="000000"/>
                                      <w:spacing w:val="-6"/>
                                      <w:kern w:val="0"/>
                                      <w:sz w:val="20"/>
                                    </w:rPr>
                                  </w:pPr>
                                  <w:r w:rsidRPr="004F2D72">
                                    <w:rPr>
                                      <w:rFonts w:ascii="標楷體" w:eastAsia="標楷體" w:hAnsi="標楷體" w:cs="新細明體" w:hint="eastAsia"/>
                                      <w:color w:val="000000"/>
                                      <w:spacing w:val="-6"/>
                                      <w:kern w:val="0"/>
                                      <w:sz w:val="20"/>
                                    </w:rPr>
                                    <w:t>甲乙類廠商申報家數</w:t>
                                  </w:r>
                                </w:p>
                              </w:tc>
                              <w:tc>
                                <w:tcPr>
                                  <w:tcW w:w="851" w:type="dxa"/>
                                  <w:vMerge w:val="restart"/>
                                  <w:tcBorders>
                                    <w:top w:val="single" w:sz="4" w:space="0" w:color="auto"/>
                                    <w:left w:val="nil"/>
                                  </w:tcBorders>
                                  <w:vAlign w:val="center"/>
                                </w:tcPr>
                                <w:p w14:paraId="416C0A31"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查核廠商家數</w:t>
                                  </w:r>
                                </w:p>
                              </w:tc>
                              <w:tc>
                                <w:tcPr>
                                  <w:tcW w:w="850" w:type="dxa"/>
                                  <w:tcBorders>
                                    <w:top w:val="single" w:sz="4" w:space="0" w:color="auto"/>
                                    <w:bottom w:val="single" w:sz="4" w:space="0" w:color="auto"/>
                                    <w:right w:val="single" w:sz="4" w:space="0" w:color="auto"/>
                                  </w:tcBorders>
                                  <w:shd w:val="clear" w:color="auto" w:fill="auto"/>
                                  <w:vAlign w:val="center"/>
                                  <w:hideMark/>
                                </w:tcPr>
                                <w:p w14:paraId="68CFD2F7"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p>
                              </w:tc>
                            </w:tr>
                            <w:tr w:rsidR="00595985" w:rsidRPr="004F2D72" w14:paraId="148D31E0" w14:textId="77777777" w:rsidTr="0086070D">
                              <w:trPr>
                                <w:gridAfter w:val="1"/>
                                <w:wAfter w:w="145" w:type="dxa"/>
                                <w:trHeight w:val="262"/>
                              </w:trPr>
                              <w:tc>
                                <w:tcPr>
                                  <w:tcW w:w="567" w:type="dxa"/>
                                  <w:gridSpan w:val="2"/>
                                  <w:vMerge/>
                                  <w:tcBorders>
                                    <w:left w:val="single" w:sz="4" w:space="0" w:color="auto"/>
                                    <w:bottom w:val="single" w:sz="4" w:space="0" w:color="auto"/>
                                    <w:right w:val="single" w:sz="4" w:space="0" w:color="auto"/>
                                  </w:tcBorders>
                                  <w:shd w:val="clear" w:color="auto" w:fill="auto"/>
                                  <w:vAlign w:val="center"/>
                                </w:tcPr>
                                <w:p w14:paraId="4B2413A0" w14:textId="77777777" w:rsidR="00595985" w:rsidRPr="004F2D72" w:rsidRDefault="00595985" w:rsidP="0086070D">
                                  <w:pPr>
                                    <w:widowControl/>
                                    <w:spacing w:line="0" w:lineRule="atLeast"/>
                                    <w:jc w:val="center"/>
                                    <w:rPr>
                                      <w:rFonts w:ascii="標楷體" w:eastAsia="標楷體" w:hAnsi="標楷體" w:cs="新細明體"/>
                                      <w:kern w:val="0"/>
                                      <w:sz w:val="20"/>
                                    </w:rPr>
                                  </w:pPr>
                                </w:p>
                              </w:tc>
                              <w:tc>
                                <w:tcPr>
                                  <w:tcW w:w="1134" w:type="dxa"/>
                                  <w:vMerge/>
                                  <w:tcBorders>
                                    <w:left w:val="nil"/>
                                    <w:bottom w:val="single" w:sz="4" w:space="0" w:color="auto"/>
                                    <w:right w:val="single" w:sz="4" w:space="0" w:color="auto"/>
                                  </w:tcBorders>
                                  <w:shd w:val="clear" w:color="auto" w:fill="auto"/>
                                  <w:vAlign w:val="center"/>
                                </w:tcPr>
                                <w:p w14:paraId="4211ABFB"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p>
                              </w:tc>
                              <w:tc>
                                <w:tcPr>
                                  <w:tcW w:w="851" w:type="dxa"/>
                                  <w:vMerge/>
                                  <w:tcBorders>
                                    <w:left w:val="nil"/>
                                    <w:bottom w:val="single" w:sz="4" w:space="0" w:color="auto"/>
                                    <w:right w:val="single" w:sz="4" w:space="0" w:color="auto"/>
                                  </w:tcBorders>
                                  <w:vAlign w:val="center"/>
                                </w:tcPr>
                                <w:p w14:paraId="3AFF8145"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70EF9AC" w14:textId="77777777" w:rsidR="00595985" w:rsidRPr="004F2D72" w:rsidRDefault="00595985" w:rsidP="0086070D">
                                  <w:pPr>
                                    <w:widowControl/>
                                    <w:spacing w:line="0" w:lineRule="atLeast"/>
                                    <w:jc w:val="center"/>
                                    <w:rPr>
                                      <w:rFonts w:ascii="標楷體" w:eastAsia="標楷體" w:hAnsi="標楷體" w:cs="新細明體"/>
                                      <w:color w:val="000000"/>
                                      <w:spacing w:val="-10"/>
                                      <w:kern w:val="0"/>
                                      <w:sz w:val="20"/>
                                    </w:rPr>
                                  </w:pPr>
                                  <w:r w:rsidRPr="004F2D72">
                                    <w:rPr>
                                      <w:rFonts w:ascii="標楷體" w:eastAsia="標楷體" w:hAnsi="標楷體" w:cs="新細明體" w:hint="eastAsia"/>
                                      <w:color w:val="000000"/>
                                      <w:spacing w:val="-10"/>
                                      <w:kern w:val="0"/>
                                      <w:sz w:val="20"/>
                                    </w:rPr>
                                    <w:t>查核比率</w:t>
                                  </w:r>
                                </w:p>
                              </w:tc>
                            </w:tr>
                            <w:tr w:rsidR="00595985" w:rsidRPr="004F2D72" w14:paraId="513D3A33"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07BF118E"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tcPr>
                                <w:p w14:paraId="48112A62"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977</w:t>
                                  </w:r>
                                </w:p>
                              </w:tc>
                              <w:tc>
                                <w:tcPr>
                                  <w:tcW w:w="851" w:type="dxa"/>
                                  <w:tcBorders>
                                    <w:top w:val="single" w:sz="4" w:space="0" w:color="auto"/>
                                    <w:left w:val="nil"/>
                                    <w:bottom w:val="single" w:sz="4" w:space="0" w:color="auto"/>
                                    <w:right w:val="single" w:sz="4" w:space="0" w:color="auto"/>
                                  </w:tcBorders>
                                  <w:vAlign w:val="center"/>
                                </w:tcPr>
                                <w:p w14:paraId="5593DB79"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140</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457A40D"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14.33</w:t>
                                  </w:r>
                                </w:p>
                              </w:tc>
                            </w:tr>
                            <w:tr w:rsidR="00595985" w:rsidRPr="004F2D72" w14:paraId="0B724A39"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34EE8833"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tcPr>
                                <w:p w14:paraId="3DEBE5EB"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979</w:t>
                                  </w:r>
                                </w:p>
                              </w:tc>
                              <w:tc>
                                <w:tcPr>
                                  <w:tcW w:w="851" w:type="dxa"/>
                                  <w:tcBorders>
                                    <w:top w:val="single" w:sz="4" w:space="0" w:color="auto"/>
                                    <w:left w:val="nil"/>
                                    <w:bottom w:val="single" w:sz="4" w:space="0" w:color="auto"/>
                                    <w:right w:val="single" w:sz="4" w:space="0" w:color="auto"/>
                                  </w:tcBorders>
                                  <w:vAlign w:val="center"/>
                                </w:tcPr>
                                <w:p w14:paraId="1DE03699"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D9B5756"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14.91</w:t>
                                  </w:r>
                                </w:p>
                              </w:tc>
                            </w:tr>
                            <w:tr w:rsidR="00595985" w:rsidRPr="004F2D72" w14:paraId="504692C1"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3A96273A"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tcPr>
                                <w:p w14:paraId="2D6BB097"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959</w:t>
                                  </w:r>
                                </w:p>
                              </w:tc>
                              <w:tc>
                                <w:tcPr>
                                  <w:tcW w:w="851" w:type="dxa"/>
                                  <w:tcBorders>
                                    <w:top w:val="single" w:sz="4" w:space="0" w:color="auto"/>
                                    <w:left w:val="nil"/>
                                    <w:bottom w:val="single" w:sz="4" w:space="0" w:color="auto"/>
                                    <w:right w:val="single" w:sz="4" w:space="0" w:color="auto"/>
                                  </w:tcBorders>
                                  <w:vAlign w:val="center"/>
                                </w:tcPr>
                                <w:p w14:paraId="17626680"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5030794"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15.22</w:t>
                                  </w:r>
                                </w:p>
                              </w:tc>
                            </w:tr>
                            <w:tr w:rsidR="00595985" w:rsidRPr="004F2D72" w14:paraId="13820851"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3E78D5B9"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tcPr>
                                <w:p w14:paraId="3CABEB5B"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957</w:t>
                                  </w:r>
                                </w:p>
                              </w:tc>
                              <w:tc>
                                <w:tcPr>
                                  <w:tcW w:w="851" w:type="dxa"/>
                                  <w:tcBorders>
                                    <w:top w:val="single" w:sz="4" w:space="0" w:color="auto"/>
                                    <w:left w:val="nil"/>
                                    <w:bottom w:val="single" w:sz="4" w:space="0" w:color="auto"/>
                                    <w:right w:val="single" w:sz="4" w:space="0" w:color="auto"/>
                                  </w:tcBorders>
                                  <w:vAlign w:val="center"/>
                                </w:tcPr>
                                <w:p w14:paraId="2A70D109"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5100AFB"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15.26</w:t>
                                  </w:r>
                                </w:p>
                              </w:tc>
                            </w:tr>
                            <w:tr w:rsidR="00595985" w:rsidRPr="004F2D72" w14:paraId="6D9762F7" w14:textId="77777777" w:rsidTr="000E4D41">
                              <w:trPr>
                                <w:trHeight w:val="390"/>
                              </w:trPr>
                              <w:tc>
                                <w:tcPr>
                                  <w:tcW w:w="3547" w:type="dxa"/>
                                  <w:gridSpan w:val="6"/>
                                  <w:tcBorders>
                                    <w:left w:val="nil"/>
                                    <w:bottom w:val="nil"/>
                                    <w:right w:val="nil"/>
                                  </w:tcBorders>
                                </w:tcPr>
                                <w:p w14:paraId="7E85C9B0" w14:textId="57A1AB7C" w:rsidR="00595985" w:rsidRPr="000E4D41" w:rsidRDefault="00595985" w:rsidP="0086070D">
                                  <w:pPr>
                                    <w:widowControl/>
                                    <w:rPr>
                                      <w:rFonts w:ascii="標楷體" w:eastAsia="標楷體" w:hAnsi="標楷體" w:cs="新細明體"/>
                                      <w:color w:val="000000"/>
                                      <w:spacing w:val="-8"/>
                                      <w:kern w:val="0"/>
                                      <w:sz w:val="18"/>
                                      <w:szCs w:val="18"/>
                                    </w:rPr>
                                  </w:pPr>
                                  <w:r w:rsidRPr="000E4D41">
                                    <w:rPr>
                                      <w:rFonts w:ascii="標楷體" w:eastAsia="標楷體" w:hAnsi="標楷體" w:cs="新細明體" w:hint="eastAsia"/>
                                      <w:color w:val="000000"/>
                                      <w:spacing w:val="-8"/>
                                      <w:kern w:val="0"/>
                                      <w:sz w:val="18"/>
                                      <w:szCs w:val="18"/>
                                    </w:rPr>
                                    <w:t>資料來源：整理自</w:t>
                                  </w:r>
                                  <w:r w:rsidR="000E4D41" w:rsidRPr="000E4D41">
                                    <w:rPr>
                                      <w:rFonts w:ascii="標楷體" w:eastAsia="標楷體" w:hAnsi="標楷體" w:cs="新細明體" w:hint="eastAsia"/>
                                      <w:color w:val="000000"/>
                                      <w:spacing w:val="-8"/>
                                      <w:kern w:val="0"/>
                                      <w:sz w:val="18"/>
                                      <w:szCs w:val="18"/>
                                    </w:rPr>
                                    <w:t>經濟部產業發展署</w:t>
                                  </w:r>
                                  <w:r w:rsidRPr="000E4D41">
                                    <w:rPr>
                                      <w:rFonts w:ascii="標楷體" w:eastAsia="標楷體" w:hAnsi="標楷體" w:cs="新細明體" w:hint="eastAsia"/>
                                      <w:color w:val="000000"/>
                                      <w:spacing w:val="-8"/>
                                      <w:kern w:val="0"/>
                                      <w:sz w:val="18"/>
                                      <w:szCs w:val="18"/>
                                    </w:rPr>
                                    <w:t>提供資料。</w:t>
                                  </w:r>
                                </w:p>
                              </w:tc>
                            </w:tr>
                          </w:tbl>
                          <w:p w14:paraId="63BC8BA6" w14:textId="77777777" w:rsidR="00595985" w:rsidRPr="005914E8" w:rsidRDefault="00595985" w:rsidP="0059598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2B5A7E" id="文字方塊 2008327067" o:spid="_x0000_s1079" type="#_x0000_t202" style="position:absolute;left:0;text-align:left;margin-left:309.95pt;margin-top:168.1pt;width:184.5pt;height:176.4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" filled="f" stroked="f">
                <v:textbox>
                  <w:txbxContent>
                    <w:tbl>
                      <w:tblPr>
                        <w:tblW w:w="3547" w:type="dxa"/>
                        <w:tblCellMar>
                          <w:left w:w="28" w:type="dxa"/>
                          <w:right w:w="28" w:type="dxa"/>
                        </w:tblCellMar>
                        <w:tblLook w:val="04A0" w:firstRow="1" w:lastRow="0" w:firstColumn="1" w:lastColumn="0" w:noHBand="0" w:noVBand="1"/>
                      </w:tblPr>
                      <w:tblGrid>
                        <w:gridCol w:w="428"/>
                        <w:gridCol w:w="139"/>
                        <w:gridCol w:w="1134"/>
                        <w:gridCol w:w="851"/>
                        <w:gridCol w:w="850"/>
                        <w:gridCol w:w="145"/>
                      </w:tblGrid>
                      <w:tr w:rsidR="00595985" w:rsidRPr="004F2D72" w14:paraId="0D38B3D9" w14:textId="77777777" w:rsidTr="00C31E2D">
                        <w:trPr>
                          <w:trHeight w:val="420"/>
                        </w:trPr>
                        <w:tc>
                          <w:tcPr>
                            <w:tcW w:w="3547" w:type="dxa"/>
                            <w:gridSpan w:val="6"/>
                            <w:tcBorders>
                              <w:top w:val="nil"/>
                              <w:left w:val="nil"/>
                              <w:bottom w:val="nil"/>
                              <w:right w:val="nil"/>
                            </w:tcBorders>
                          </w:tcPr>
                          <w:p w14:paraId="3F647DBE" w14:textId="2727D1B2" w:rsidR="00595985" w:rsidRPr="004F2D72" w:rsidRDefault="00595985" w:rsidP="00E7515A">
                            <w:pPr>
                              <w:widowControl/>
                              <w:spacing w:line="0" w:lineRule="atLeast"/>
                              <w:ind w:left="781" w:rightChars="-12" w:right="-29" w:hangingChars="325" w:hanging="781"/>
                              <w:rPr>
                                <w:rFonts w:ascii="標楷體" w:eastAsia="標楷體" w:hAnsi="標楷體" w:cs="新細明體"/>
                                <w:b/>
                                <w:color w:val="000000"/>
                                <w:kern w:val="0"/>
                                <w:szCs w:val="24"/>
                              </w:rPr>
                            </w:pPr>
                            <w:r w:rsidRPr="004F2D72">
                              <w:rPr>
                                <w:rFonts w:ascii="標楷體" w:eastAsia="標楷體" w:hAnsi="標楷體" w:cs="新細明體" w:hint="eastAsia"/>
                                <w:b/>
                                <w:color w:val="000000"/>
                                <w:kern w:val="0"/>
                                <w:szCs w:val="24"/>
                              </w:rPr>
                              <w:t>表</w:t>
                            </w:r>
                            <w:r w:rsidR="004F2D72">
                              <w:rPr>
                                <w:rFonts w:ascii="標楷體" w:eastAsia="標楷體" w:hAnsi="標楷體" w:cs="新細明體" w:hint="eastAsia"/>
                                <w:b/>
                                <w:color w:val="000000"/>
                                <w:kern w:val="0"/>
                                <w:szCs w:val="24"/>
                              </w:rPr>
                              <w:t>2</w:t>
                            </w:r>
                            <w:r w:rsidR="004F2D72">
                              <w:rPr>
                                <w:rFonts w:ascii="標楷體" w:eastAsia="標楷體" w:hAnsi="標楷體" w:cs="新細明體"/>
                                <w:b/>
                                <w:color w:val="000000"/>
                                <w:kern w:val="0"/>
                                <w:szCs w:val="24"/>
                              </w:rPr>
                              <w:t>8</w:t>
                            </w:r>
                            <w:r w:rsidRPr="004F2D72">
                              <w:rPr>
                                <w:rFonts w:ascii="標楷體" w:eastAsia="標楷體" w:hAnsi="標楷體" w:cs="新細明體"/>
                                <w:b/>
                                <w:color w:val="000000"/>
                                <w:kern w:val="0"/>
                                <w:szCs w:val="24"/>
                              </w:rPr>
                              <w:t xml:space="preserve">  </w:t>
                            </w:r>
                            <w:r w:rsidRPr="004F2D72">
                              <w:rPr>
                                <w:rFonts w:ascii="標楷體" w:eastAsia="標楷體" w:hAnsi="標楷體" w:cs="新細明體" w:hint="eastAsia"/>
                                <w:b/>
                                <w:color w:val="000000"/>
                                <w:kern w:val="0"/>
                                <w:szCs w:val="24"/>
                              </w:rPr>
                              <w:t>先驅化學品工業原料廠商查核情形</w:t>
                            </w:r>
                          </w:p>
                        </w:tc>
                      </w:tr>
                      <w:tr w:rsidR="00595985" w:rsidRPr="004F2D72" w14:paraId="3D4F0939" w14:textId="77777777" w:rsidTr="0086070D">
                        <w:trPr>
                          <w:trHeight w:val="85"/>
                        </w:trPr>
                        <w:tc>
                          <w:tcPr>
                            <w:tcW w:w="428" w:type="dxa"/>
                            <w:tcBorders>
                              <w:top w:val="nil"/>
                              <w:left w:val="nil"/>
                              <w:bottom w:val="nil"/>
                              <w:right w:val="nil"/>
                            </w:tcBorders>
                          </w:tcPr>
                          <w:p w14:paraId="53584CCB" w14:textId="77777777" w:rsidR="00595985" w:rsidRPr="004F2D72" w:rsidRDefault="00595985" w:rsidP="00B90BDC">
                            <w:pPr>
                              <w:widowControl/>
                              <w:spacing w:line="0" w:lineRule="atLeast"/>
                              <w:jc w:val="right"/>
                              <w:rPr>
                                <w:rFonts w:ascii="標楷體" w:eastAsia="標楷體" w:hAnsi="標楷體" w:cs="新細明體"/>
                                <w:color w:val="000000"/>
                                <w:kern w:val="0"/>
                                <w:sz w:val="20"/>
                              </w:rPr>
                            </w:pPr>
                          </w:p>
                        </w:tc>
                        <w:tc>
                          <w:tcPr>
                            <w:tcW w:w="3119" w:type="dxa"/>
                            <w:gridSpan w:val="5"/>
                            <w:tcBorders>
                              <w:top w:val="nil"/>
                              <w:left w:val="nil"/>
                              <w:bottom w:val="nil"/>
                              <w:right w:val="nil"/>
                            </w:tcBorders>
                            <w:shd w:val="clear" w:color="auto" w:fill="auto"/>
                            <w:noWrap/>
                            <w:vAlign w:val="bottom"/>
                            <w:hideMark/>
                          </w:tcPr>
                          <w:p w14:paraId="7D86F417" w14:textId="77777777" w:rsidR="00595985" w:rsidRPr="004F2D72" w:rsidRDefault="00595985" w:rsidP="004265EC">
                            <w:pPr>
                              <w:widowControl/>
                              <w:spacing w:line="0" w:lineRule="atLeast"/>
                              <w:ind w:right="231"/>
                              <w:jc w:val="right"/>
                              <w:rPr>
                                <w:rFonts w:ascii="標楷體" w:eastAsia="標楷體" w:hAnsi="標楷體" w:cs="新細明體"/>
                                <w:color w:val="000000"/>
                                <w:kern w:val="0"/>
                                <w:sz w:val="22"/>
                              </w:rPr>
                            </w:pPr>
                            <w:r w:rsidRPr="004F2D72">
                              <w:rPr>
                                <w:rFonts w:ascii="標楷體" w:eastAsia="標楷體" w:hAnsi="標楷體" w:cs="新細明體" w:hint="eastAsia"/>
                                <w:color w:val="000000"/>
                                <w:kern w:val="0"/>
                                <w:sz w:val="20"/>
                              </w:rPr>
                              <w:t>單位：家、％</w:t>
                            </w:r>
                          </w:p>
                        </w:tc>
                      </w:tr>
                      <w:tr w:rsidR="00595985" w:rsidRPr="004F2D72" w14:paraId="07DD2D6B" w14:textId="77777777" w:rsidTr="0086070D">
                        <w:trPr>
                          <w:gridAfter w:val="1"/>
                          <w:wAfter w:w="145" w:type="dxa"/>
                          <w:trHeight w:val="263"/>
                        </w:trPr>
                        <w:tc>
                          <w:tcPr>
                            <w:tcW w:w="567" w:type="dxa"/>
                            <w:gridSpan w:val="2"/>
                            <w:vMerge w:val="restart"/>
                            <w:tcBorders>
                              <w:top w:val="single" w:sz="4" w:space="0" w:color="auto"/>
                              <w:left w:val="single" w:sz="4" w:space="0" w:color="auto"/>
                              <w:right w:val="single" w:sz="4" w:space="0" w:color="auto"/>
                            </w:tcBorders>
                            <w:shd w:val="clear" w:color="auto" w:fill="auto"/>
                            <w:vAlign w:val="center"/>
                            <w:hideMark/>
                          </w:tcPr>
                          <w:p w14:paraId="1C2194B8"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年度</w:t>
                            </w:r>
                          </w:p>
                        </w:tc>
                        <w:tc>
                          <w:tcPr>
                            <w:tcW w:w="1134" w:type="dxa"/>
                            <w:vMerge w:val="restart"/>
                            <w:tcBorders>
                              <w:top w:val="single" w:sz="4" w:space="0" w:color="auto"/>
                              <w:left w:val="nil"/>
                              <w:right w:val="single" w:sz="4" w:space="0" w:color="auto"/>
                            </w:tcBorders>
                            <w:shd w:val="clear" w:color="auto" w:fill="auto"/>
                            <w:vAlign w:val="center"/>
                          </w:tcPr>
                          <w:p w14:paraId="4F53157C" w14:textId="77777777" w:rsidR="00595985" w:rsidRPr="004F2D72" w:rsidRDefault="00595985" w:rsidP="0086070D">
                            <w:pPr>
                              <w:widowControl/>
                              <w:spacing w:line="0" w:lineRule="atLeast"/>
                              <w:jc w:val="center"/>
                              <w:rPr>
                                <w:rFonts w:ascii="標楷體" w:eastAsia="標楷體" w:hAnsi="標楷體" w:cs="新細明體"/>
                                <w:color w:val="000000"/>
                                <w:spacing w:val="-6"/>
                                <w:kern w:val="0"/>
                                <w:sz w:val="20"/>
                              </w:rPr>
                            </w:pPr>
                            <w:r w:rsidRPr="004F2D72">
                              <w:rPr>
                                <w:rFonts w:ascii="標楷體" w:eastAsia="標楷體" w:hAnsi="標楷體" w:cs="新細明體" w:hint="eastAsia"/>
                                <w:color w:val="000000"/>
                                <w:spacing w:val="-6"/>
                                <w:kern w:val="0"/>
                                <w:sz w:val="20"/>
                              </w:rPr>
                              <w:t>甲乙類廠商申報家數</w:t>
                            </w:r>
                          </w:p>
                        </w:tc>
                        <w:tc>
                          <w:tcPr>
                            <w:tcW w:w="851" w:type="dxa"/>
                            <w:vMerge w:val="restart"/>
                            <w:tcBorders>
                              <w:top w:val="single" w:sz="4" w:space="0" w:color="auto"/>
                              <w:left w:val="nil"/>
                            </w:tcBorders>
                            <w:vAlign w:val="center"/>
                          </w:tcPr>
                          <w:p w14:paraId="416C0A31"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查核廠商家數</w:t>
                            </w:r>
                          </w:p>
                        </w:tc>
                        <w:tc>
                          <w:tcPr>
                            <w:tcW w:w="850" w:type="dxa"/>
                            <w:tcBorders>
                              <w:top w:val="single" w:sz="4" w:space="0" w:color="auto"/>
                              <w:bottom w:val="single" w:sz="4" w:space="0" w:color="auto"/>
                              <w:right w:val="single" w:sz="4" w:space="0" w:color="auto"/>
                            </w:tcBorders>
                            <w:shd w:val="clear" w:color="auto" w:fill="auto"/>
                            <w:vAlign w:val="center"/>
                            <w:hideMark/>
                          </w:tcPr>
                          <w:p w14:paraId="68CFD2F7"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p>
                        </w:tc>
                      </w:tr>
                      <w:tr w:rsidR="00595985" w:rsidRPr="004F2D72" w14:paraId="148D31E0" w14:textId="77777777" w:rsidTr="0086070D">
                        <w:trPr>
                          <w:gridAfter w:val="1"/>
                          <w:wAfter w:w="145" w:type="dxa"/>
                          <w:trHeight w:val="262"/>
                        </w:trPr>
                        <w:tc>
                          <w:tcPr>
                            <w:tcW w:w="567" w:type="dxa"/>
                            <w:gridSpan w:val="2"/>
                            <w:vMerge/>
                            <w:tcBorders>
                              <w:left w:val="single" w:sz="4" w:space="0" w:color="auto"/>
                              <w:bottom w:val="single" w:sz="4" w:space="0" w:color="auto"/>
                              <w:right w:val="single" w:sz="4" w:space="0" w:color="auto"/>
                            </w:tcBorders>
                            <w:shd w:val="clear" w:color="auto" w:fill="auto"/>
                            <w:vAlign w:val="center"/>
                          </w:tcPr>
                          <w:p w14:paraId="4B2413A0" w14:textId="77777777" w:rsidR="00595985" w:rsidRPr="004F2D72" w:rsidRDefault="00595985" w:rsidP="0086070D">
                            <w:pPr>
                              <w:widowControl/>
                              <w:spacing w:line="0" w:lineRule="atLeast"/>
                              <w:jc w:val="center"/>
                              <w:rPr>
                                <w:rFonts w:ascii="標楷體" w:eastAsia="標楷體" w:hAnsi="標楷體" w:cs="新細明體"/>
                                <w:kern w:val="0"/>
                                <w:sz w:val="20"/>
                              </w:rPr>
                            </w:pPr>
                          </w:p>
                        </w:tc>
                        <w:tc>
                          <w:tcPr>
                            <w:tcW w:w="1134" w:type="dxa"/>
                            <w:vMerge/>
                            <w:tcBorders>
                              <w:left w:val="nil"/>
                              <w:bottom w:val="single" w:sz="4" w:space="0" w:color="auto"/>
                              <w:right w:val="single" w:sz="4" w:space="0" w:color="auto"/>
                            </w:tcBorders>
                            <w:shd w:val="clear" w:color="auto" w:fill="auto"/>
                            <w:vAlign w:val="center"/>
                          </w:tcPr>
                          <w:p w14:paraId="4211ABFB"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p>
                        </w:tc>
                        <w:tc>
                          <w:tcPr>
                            <w:tcW w:w="851" w:type="dxa"/>
                            <w:vMerge/>
                            <w:tcBorders>
                              <w:left w:val="nil"/>
                              <w:bottom w:val="single" w:sz="4" w:space="0" w:color="auto"/>
                              <w:right w:val="single" w:sz="4" w:space="0" w:color="auto"/>
                            </w:tcBorders>
                            <w:vAlign w:val="center"/>
                          </w:tcPr>
                          <w:p w14:paraId="3AFF8145" w14:textId="77777777" w:rsidR="00595985" w:rsidRPr="004F2D72" w:rsidRDefault="00595985" w:rsidP="0086070D">
                            <w:pPr>
                              <w:widowControl/>
                              <w:spacing w:line="0" w:lineRule="atLeas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70EF9AC" w14:textId="77777777" w:rsidR="00595985" w:rsidRPr="004F2D72" w:rsidRDefault="00595985" w:rsidP="0086070D">
                            <w:pPr>
                              <w:widowControl/>
                              <w:spacing w:line="0" w:lineRule="atLeast"/>
                              <w:jc w:val="center"/>
                              <w:rPr>
                                <w:rFonts w:ascii="標楷體" w:eastAsia="標楷體" w:hAnsi="標楷體" w:cs="新細明體"/>
                                <w:color w:val="000000"/>
                                <w:spacing w:val="-10"/>
                                <w:kern w:val="0"/>
                                <w:sz w:val="20"/>
                              </w:rPr>
                            </w:pPr>
                            <w:r w:rsidRPr="004F2D72">
                              <w:rPr>
                                <w:rFonts w:ascii="標楷體" w:eastAsia="標楷體" w:hAnsi="標楷體" w:cs="新細明體" w:hint="eastAsia"/>
                                <w:color w:val="000000"/>
                                <w:spacing w:val="-10"/>
                                <w:kern w:val="0"/>
                                <w:sz w:val="20"/>
                              </w:rPr>
                              <w:t>查核比率</w:t>
                            </w:r>
                          </w:p>
                        </w:tc>
                      </w:tr>
                      <w:tr w:rsidR="00595985" w:rsidRPr="004F2D72" w14:paraId="513D3A33"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07BF118E"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tcPr>
                          <w:p w14:paraId="48112A62"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977</w:t>
                            </w:r>
                          </w:p>
                        </w:tc>
                        <w:tc>
                          <w:tcPr>
                            <w:tcW w:w="851" w:type="dxa"/>
                            <w:tcBorders>
                              <w:top w:val="single" w:sz="4" w:space="0" w:color="auto"/>
                              <w:left w:val="nil"/>
                              <w:bottom w:val="single" w:sz="4" w:space="0" w:color="auto"/>
                              <w:right w:val="single" w:sz="4" w:space="0" w:color="auto"/>
                            </w:tcBorders>
                            <w:vAlign w:val="center"/>
                          </w:tcPr>
                          <w:p w14:paraId="5593DB79"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140</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457A40D"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14.33</w:t>
                            </w:r>
                          </w:p>
                        </w:tc>
                      </w:tr>
                      <w:tr w:rsidR="00595985" w:rsidRPr="004F2D72" w14:paraId="0B724A39"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34EE8833"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tcPr>
                          <w:p w14:paraId="3DEBE5EB"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979</w:t>
                            </w:r>
                          </w:p>
                        </w:tc>
                        <w:tc>
                          <w:tcPr>
                            <w:tcW w:w="851" w:type="dxa"/>
                            <w:tcBorders>
                              <w:top w:val="single" w:sz="4" w:space="0" w:color="auto"/>
                              <w:left w:val="nil"/>
                              <w:bottom w:val="single" w:sz="4" w:space="0" w:color="auto"/>
                              <w:right w:val="single" w:sz="4" w:space="0" w:color="auto"/>
                            </w:tcBorders>
                            <w:vAlign w:val="center"/>
                          </w:tcPr>
                          <w:p w14:paraId="1DE03699"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D9B5756"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14.91</w:t>
                            </w:r>
                          </w:p>
                        </w:tc>
                      </w:tr>
                      <w:tr w:rsidR="00595985" w:rsidRPr="004F2D72" w14:paraId="504692C1"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3A96273A"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tcPr>
                          <w:p w14:paraId="2D6BB097"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959</w:t>
                            </w:r>
                          </w:p>
                        </w:tc>
                        <w:tc>
                          <w:tcPr>
                            <w:tcW w:w="851" w:type="dxa"/>
                            <w:tcBorders>
                              <w:top w:val="single" w:sz="4" w:space="0" w:color="auto"/>
                              <w:left w:val="nil"/>
                              <w:bottom w:val="single" w:sz="4" w:space="0" w:color="auto"/>
                              <w:right w:val="single" w:sz="4" w:space="0" w:color="auto"/>
                            </w:tcBorders>
                            <w:vAlign w:val="center"/>
                          </w:tcPr>
                          <w:p w14:paraId="17626680"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5030794"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15.22</w:t>
                            </w:r>
                          </w:p>
                        </w:tc>
                      </w:tr>
                      <w:tr w:rsidR="00595985" w:rsidRPr="004F2D72" w14:paraId="13820851" w14:textId="77777777" w:rsidTr="0086070D">
                        <w:trPr>
                          <w:gridAfter w:val="1"/>
                          <w:wAfter w:w="145" w:type="dxa"/>
                          <w:trHeight w:val="420"/>
                        </w:trPr>
                        <w:tc>
                          <w:tcPr>
                            <w:tcW w:w="567" w:type="dxa"/>
                            <w:gridSpan w:val="2"/>
                            <w:tcBorders>
                              <w:top w:val="nil"/>
                              <w:left w:val="single" w:sz="4" w:space="0" w:color="auto"/>
                              <w:bottom w:val="single" w:sz="4" w:space="0" w:color="auto"/>
                              <w:right w:val="single" w:sz="4" w:space="0" w:color="auto"/>
                            </w:tcBorders>
                            <w:shd w:val="clear" w:color="auto" w:fill="auto"/>
                            <w:vAlign w:val="center"/>
                            <w:hideMark/>
                          </w:tcPr>
                          <w:p w14:paraId="3E78D5B9" w14:textId="77777777" w:rsidR="00595985" w:rsidRPr="004F2D72" w:rsidRDefault="00595985" w:rsidP="0086070D">
                            <w:pPr>
                              <w:widowControl/>
                              <w:spacing w:line="0" w:lineRule="atLeast"/>
                              <w:jc w:val="center"/>
                              <w:rPr>
                                <w:rFonts w:ascii="標楷體" w:eastAsia="標楷體" w:hAnsi="標楷體" w:cs="新細明體"/>
                                <w:kern w:val="0"/>
                                <w:sz w:val="20"/>
                              </w:rPr>
                            </w:pPr>
                            <w:r w:rsidRPr="004F2D72">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tcPr>
                          <w:p w14:paraId="3CABEB5B"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957</w:t>
                            </w:r>
                          </w:p>
                        </w:tc>
                        <w:tc>
                          <w:tcPr>
                            <w:tcW w:w="851" w:type="dxa"/>
                            <w:tcBorders>
                              <w:top w:val="single" w:sz="4" w:space="0" w:color="auto"/>
                              <w:left w:val="nil"/>
                              <w:bottom w:val="single" w:sz="4" w:space="0" w:color="auto"/>
                              <w:right w:val="single" w:sz="4" w:space="0" w:color="auto"/>
                            </w:tcBorders>
                            <w:vAlign w:val="center"/>
                          </w:tcPr>
                          <w:p w14:paraId="2A70D109"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146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5100AFB" w14:textId="77777777" w:rsidR="00595985" w:rsidRPr="004F2D72" w:rsidRDefault="00595985" w:rsidP="0086070D">
                            <w:pPr>
                              <w:widowControl/>
                              <w:spacing w:line="0" w:lineRule="atLeast"/>
                              <w:jc w:val="right"/>
                              <w:rPr>
                                <w:rFonts w:ascii="標楷體" w:eastAsia="標楷體" w:hAnsi="標楷體" w:cs="新細明體"/>
                                <w:color w:val="000000"/>
                                <w:kern w:val="0"/>
                                <w:sz w:val="20"/>
                              </w:rPr>
                            </w:pPr>
                            <w:r w:rsidRPr="004F2D72">
                              <w:rPr>
                                <w:rFonts w:ascii="標楷體" w:eastAsia="標楷體" w:hAnsi="標楷體" w:cs="新細明體" w:hint="eastAsia"/>
                                <w:color w:val="000000"/>
                                <w:kern w:val="0"/>
                                <w:sz w:val="20"/>
                              </w:rPr>
                              <w:t>15.26</w:t>
                            </w:r>
                          </w:p>
                        </w:tc>
                      </w:tr>
                      <w:tr w:rsidR="00595985" w:rsidRPr="004F2D72" w14:paraId="6D9762F7" w14:textId="77777777" w:rsidTr="000E4D41">
                        <w:trPr>
                          <w:trHeight w:val="390"/>
                        </w:trPr>
                        <w:tc>
                          <w:tcPr>
                            <w:tcW w:w="3547" w:type="dxa"/>
                            <w:gridSpan w:val="6"/>
                            <w:tcBorders>
                              <w:left w:val="nil"/>
                              <w:bottom w:val="nil"/>
                              <w:right w:val="nil"/>
                            </w:tcBorders>
                          </w:tcPr>
                          <w:p w14:paraId="7E85C9B0" w14:textId="57A1AB7C" w:rsidR="00595985" w:rsidRPr="000E4D41" w:rsidRDefault="00595985" w:rsidP="0086070D">
                            <w:pPr>
                              <w:widowControl/>
                              <w:rPr>
                                <w:rFonts w:ascii="標楷體" w:eastAsia="標楷體" w:hAnsi="標楷體" w:cs="新細明體"/>
                                <w:color w:val="000000"/>
                                <w:spacing w:val="-8"/>
                                <w:kern w:val="0"/>
                                <w:sz w:val="18"/>
                                <w:szCs w:val="18"/>
                              </w:rPr>
                            </w:pPr>
                            <w:r w:rsidRPr="000E4D41">
                              <w:rPr>
                                <w:rFonts w:ascii="標楷體" w:eastAsia="標楷體" w:hAnsi="標楷體" w:cs="新細明體" w:hint="eastAsia"/>
                                <w:color w:val="000000"/>
                                <w:spacing w:val="-8"/>
                                <w:kern w:val="0"/>
                                <w:sz w:val="18"/>
                                <w:szCs w:val="18"/>
                              </w:rPr>
                              <w:t>資料來源：整理自</w:t>
                            </w:r>
                            <w:r w:rsidR="000E4D41" w:rsidRPr="000E4D41">
                              <w:rPr>
                                <w:rFonts w:ascii="標楷體" w:eastAsia="標楷體" w:hAnsi="標楷體" w:cs="新細明體" w:hint="eastAsia"/>
                                <w:color w:val="000000"/>
                                <w:spacing w:val="-8"/>
                                <w:kern w:val="0"/>
                                <w:sz w:val="18"/>
                                <w:szCs w:val="18"/>
                              </w:rPr>
                              <w:t>經濟部產業發展署</w:t>
                            </w:r>
                            <w:r w:rsidRPr="000E4D41">
                              <w:rPr>
                                <w:rFonts w:ascii="標楷體" w:eastAsia="標楷體" w:hAnsi="標楷體" w:cs="新細明體" w:hint="eastAsia"/>
                                <w:color w:val="000000"/>
                                <w:spacing w:val="-8"/>
                                <w:kern w:val="0"/>
                                <w:sz w:val="18"/>
                                <w:szCs w:val="18"/>
                              </w:rPr>
                              <w:t>提供資料。</w:t>
                            </w:r>
                          </w:p>
                        </w:tc>
                      </w:tr>
                    </w:tbl>
                    <w:p w14:paraId="63BC8BA6" w14:textId="77777777" w:rsidR="00595985" w:rsidRPr="005914E8" w:rsidRDefault="00595985" w:rsidP="00595985"/>
                  </w:txbxContent>
                </v:textbox>
                <w10:wrap type="square" anchorx="margin"/>
              </v:shape>
            </w:pict>
          </mc:Fallback>
        </mc:AlternateContent>
      </w:r>
      <w:r w:rsidR="005F3DEC" w:rsidRPr="004F2D72">
        <w:rPr>
          <w:rFonts w:ascii="標楷體" w:eastAsia="標楷體" w:hAnsi="標楷體" w:hint="eastAsia"/>
          <w:bCs/>
          <w:color w:val="000000" w:themeColor="text1"/>
        </w:rPr>
        <w:t xml:space="preserve"> </w:t>
      </w:r>
      <w:r w:rsidR="00595985" w:rsidRPr="004F2D72">
        <w:rPr>
          <w:rFonts w:ascii="標楷體" w:eastAsia="標楷體" w:hAnsi="標楷體" w:hint="eastAsia"/>
          <w:bCs/>
          <w:color w:val="000000" w:themeColor="text1"/>
        </w:rPr>
        <w:t>9條之2規定，通報查獲製造毒品先驅原料案件，致未能掌握毒品先驅原料之異常流向情形，並依規定裁罰。又</w:t>
      </w:r>
      <w:proofErr w:type="gramStart"/>
      <w:r w:rsidR="00595985" w:rsidRPr="004F2D72">
        <w:rPr>
          <w:rFonts w:ascii="標楷體" w:eastAsia="標楷體" w:hAnsi="標楷體" w:hint="eastAsia"/>
          <w:bCs/>
          <w:color w:val="000000" w:themeColor="text1"/>
        </w:rPr>
        <w:t>食藥署</w:t>
      </w:r>
      <w:proofErr w:type="gramEnd"/>
      <w:r w:rsidR="00595985" w:rsidRPr="004F2D72">
        <w:rPr>
          <w:rFonts w:ascii="標楷體" w:eastAsia="標楷體" w:hAnsi="標楷體" w:hint="eastAsia"/>
          <w:bCs/>
          <w:color w:val="000000" w:themeColor="text1"/>
        </w:rPr>
        <w:t>110至113年度接獲警政署通報含</w:t>
      </w:r>
      <w:proofErr w:type="gramStart"/>
      <w:r w:rsidR="00595985" w:rsidRPr="004F2D72">
        <w:rPr>
          <w:rFonts w:ascii="標楷體" w:eastAsia="標楷體" w:hAnsi="標楷體" w:hint="eastAsia"/>
          <w:bCs/>
          <w:color w:val="000000" w:themeColor="text1"/>
        </w:rPr>
        <w:t>麻黃素類製劑</w:t>
      </w:r>
      <w:proofErr w:type="gramEnd"/>
      <w:r w:rsidR="00595985" w:rsidRPr="004F2D72">
        <w:rPr>
          <w:rFonts w:ascii="標楷體" w:eastAsia="標楷體" w:hAnsi="標楷體" w:hint="eastAsia"/>
          <w:bCs/>
          <w:color w:val="000000" w:themeColor="text1"/>
        </w:rPr>
        <w:t>作為製毒原料之毒品案件計有27件，惟因查無藥品名稱及批號，未能強化流向查核及控管，且其他查緝機關是否有查獲含</w:t>
      </w:r>
      <w:proofErr w:type="gramStart"/>
      <w:r w:rsidR="00595985" w:rsidRPr="004F2D72">
        <w:rPr>
          <w:rFonts w:ascii="標楷體" w:eastAsia="標楷體" w:hAnsi="標楷體" w:hint="eastAsia"/>
          <w:bCs/>
          <w:color w:val="000000" w:themeColor="text1"/>
        </w:rPr>
        <w:t>麻黃素類製劑</w:t>
      </w:r>
      <w:proofErr w:type="gramEnd"/>
      <w:r w:rsidR="00595985" w:rsidRPr="004F2D72">
        <w:rPr>
          <w:rFonts w:ascii="標楷體" w:eastAsia="標楷體" w:hAnsi="標楷體" w:hint="eastAsia"/>
          <w:bCs/>
          <w:color w:val="000000" w:themeColor="text1"/>
        </w:rPr>
        <w:t>案件而未通報</w:t>
      </w:r>
      <w:proofErr w:type="gramStart"/>
      <w:r w:rsidR="00595985" w:rsidRPr="004F2D72">
        <w:rPr>
          <w:rFonts w:ascii="標楷體" w:eastAsia="標楷體" w:hAnsi="標楷體" w:hint="eastAsia"/>
          <w:bCs/>
          <w:color w:val="000000" w:themeColor="text1"/>
        </w:rPr>
        <w:t>食藥署</w:t>
      </w:r>
      <w:proofErr w:type="gramEnd"/>
      <w:r w:rsidR="00595985" w:rsidRPr="004F2D72">
        <w:rPr>
          <w:rFonts w:ascii="標楷體" w:eastAsia="標楷體" w:hAnsi="標楷體" w:hint="eastAsia"/>
          <w:bCs/>
          <w:color w:val="000000" w:themeColor="text1"/>
        </w:rPr>
        <w:t>，仍待清查及確認。允宜督促強化溯源及通報機制，以完善毒品先驅原料之管制機制，防止原料</w:t>
      </w:r>
      <w:proofErr w:type="gramStart"/>
      <w:r w:rsidR="00595985" w:rsidRPr="004F2D72">
        <w:rPr>
          <w:rFonts w:ascii="標楷體" w:eastAsia="標楷體" w:hAnsi="標楷體" w:hint="eastAsia"/>
          <w:bCs/>
          <w:color w:val="000000" w:themeColor="text1"/>
        </w:rPr>
        <w:t>流供製</w:t>
      </w:r>
      <w:proofErr w:type="gramEnd"/>
      <w:r w:rsidR="00595985" w:rsidRPr="004F2D72">
        <w:rPr>
          <w:rFonts w:ascii="標楷體" w:eastAsia="標楷體" w:hAnsi="標楷體" w:hint="eastAsia"/>
          <w:bCs/>
          <w:color w:val="000000" w:themeColor="text1"/>
        </w:rPr>
        <w:t>毒；（2）據警政署刑事警察局統計，110至113年度查獲走私或違法</w:t>
      </w:r>
      <w:proofErr w:type="gramStart"/>
      <w:r w:rsidR="00595985" w:rsidRPr="004F2D72">
        <w:rPr>
          <w:rFonts w:ascii="標楷體" w:eastAsia="標楷體" w:hAnsi="標楷體" w:hint="eastAsia"/>
          <w:bCs/>
          <w:color w:val="000000" w:themeColor="text1"/>
        </w:rPr>
        <w:t>流供製</w:t>
      </w:r>
      <w:proofErr w:type="gramEnd"/>
      <w:r w:rsidR="00595985" w:rsidRPr="004F2D72">
        <w:rPr>
          <w:rFonts w:ascii="標楷體" w:eastAsia="標楷體" w:hAnsi="標楷體" w:hint="eastAsia"/>
          <w:bCs/>
          <w:color w:val="000000" w:themeColor="text1"/>
        </w:rPr>
        <w:t>毒之先驅化學品工業原料案件計有41案，除17案尚在偵辦，餘24案，計查獲425公斤及其他計量單位</w:t>
      </w:r>
      <w:r w:rsidR="00E7515A">
        <w:rPr>
          <w:rFonts w:ascii="標楷體" w:eastAsia="標楷體" w:hAnsi="標楷體" w:hint="eastAsia"/>
          <w:bCs/>
          <w:color w:val="000000" w:themeColor="text1"/>
        </w:rPr>
        <w:t>（</w:t>
      </w:r>
      <w:r w:rsidR="00595985" w:rsidRPr="004F2D72">
        <w:rPr>
          <w:rFonts w:ascii="標楷體" w:eastAsia="標楷體" w:hAnsi="標楷體" w:hint="eastAsia"/>
          <w:bCs/>
          <w:color w:val="000000" w:themeColor="text1"/>
        </w:rPr>
        <w:t>如乙類之甲苯239桶</w:t>
      </w:r>
      <w:r w:rsidR="00E7515A">
        <w:rPr>
          <w:rFonts w:ascii="標楷體" w:eastAsia="標楷體" w:hAnsi="標楷體" w:hint="eastAsia"/>
          <w:bCs/>
          <w:color w:val="000000" w:themeColor="text1"/>
        </w:rPr>
        <w:t>）</w:t>
      </w:r>
      <w:r w:rsidR="00595985" w:rsidRPr="004F2D72">
        <w:rPr>
          <w:rFonts w:ascii="標楷體" w:eastAsia="標楷體" w:hAnsi="標楷體" w:hint="eastAsia"/>
          <w:bCs/>
          <w:color w:val="000000" w:themeColor="text1"/>
        </w:rPr>
        <w:t>等甲、乙類先驅化學品工業原料，因查獲之化學品外觀無廠商資訊尚無法溯源，且案件已依刑事訴訟法規定移送各檢察機關偵辦，</w:t>
      </w:r>
      <w:proofErr w:type="gramStart"/>
      <w:r w:rsidR="00595985" w:rsidRPr="004F2D72">
        <w:rPr>
          <w:rFonts w:ascii="標楷體" w:eastAsia="標楷體" w:hAnsi="標楷體" w:hint="eastAsia"/>
          <w:bCs/>
          <w:color w:val="000000" w:themeColor="text1"/>
        </w:rPr>
        <w:t>均未通報</w:t>
      </w:r>
      <w:proofErr w:type="gramEnd"/>
      <w:r w:rsidR="00595985" w:rsidRPr="004F2D72">
        <w:rPr>
          <w:rFonts w:ascii="標楷體" w:eastAsia="標楷體" w:hAnsi="標楷體" w:hint="eastAsia"/>
          <w:bCs/>
          <w:color w:val="000000" w:themeColor="text1"/>
        </w:rPr>
        <w:t>經濟部，查緝機關對於製毒之先驅化學品工業原料來源及流向未能有效追蹤及掌握，核與查獲違反先驅化學品工業原料之種類及申報檢查辦法之通報作業流程，各查緝機關如查獲走私或違法</w:t>
      </w:r>
      <w:proofErr w:type="gramStart"/>
      <w:r w:rsidR="00595985" w:rsidRPr="004F2D72">
        <w:rPr>
          <w:rFonts w:ascii="標楷體" w:eastAsia="標楷體" w:hAnsi="標楷體" w:hint="eastAsia"/>
          <w:bCs/>
          <w:color w:val="000000" w:themeColor="text1"/>
        </w:rPr>
        <w:t>流供製</w:t>
      </w:r>
      <w:proofErr w:type="gramEnd"/>
      <w:r w:rsidR="00595985" w:rsidRPr="004F2D72">
        <w:rPr>
          <w:rFonts w:ascii="標楷體" w:eastAsia="標楷體" w:hAnsi="標楷體" w:hint="eastAsia"/>
          <w:bCs/>
          <w:color w:val="000000" w:themeColor="text1"/>
        </w:rPr>
        <w:t>毒之先驅化學品工業原料案件須追蹤原料來源，並通報經濟部之規定未合。另經濟部產業發展署（下稱產發署）於110至113年度辦理先驅化學品工業原料廠商查核作業，每年查核140至146家，已達「新世代反毒策略行動綱領」（第二期110</w:t>
      </w:r>
      <w:r w:rsidR="00595985" w:rsidRPr="004F2D72">
        <w:rPr>
          <w:rFonts w:ascii="標楷體" w:eastAsia="標楷體" w:hAnsi="標楷體" w:hint="eastAsia"/>
          <w:bCs/>
          <w:color w:val="00B050"/>
        </w:rPr>
        <w:t>－</w:t>
      </w:r>
      <w:r w:rsidR="00595985" w:rsidRPr="004F2D72">
        <w:rPr>
          <w:rFonts w:ascii="標楷體" w:eastAsia="標楷體" w:hAnsi="標楷體" w:hint="eastAsia"/>
          <w:bCs/>
          <w:color w:val="000000" w:themeColor="text1"/>
        </w:rPr>
        <w:t>113年）每年完成查核130家之目標，</w:t>
      </w:r>
      <w:proofErr w:type="gramStart"/>
      <w:r w:rsidR="00595985" w:rsidRPr="004F2D72">
        <w:rPr>
          <w:rFonts w:ascii="標楷體" w:eastAsia="標楷體" w:hAnsi="標楷體" w:hint="eastAsia"/>
          <w:bCs/>
          <w:color w:val="000000" w:themeColor="text1"/>
        </w:rPr>
        <w:t>然占各</w:t>
      </w:r>
      <w:proofErr w:type="gramEnd"/>
      <w:r w:rsidR="00595985" w:rsidRPr="004F2D72">
        <w:rPr>
          <w:rFonts w:ascii="標楷體" w:eastAsia="標楷體" w:hAnsi="標楷體" w:hint="eastAsia"/>
          <w:bCs/>
          <w:color w:val="000000" w:themeColor="text1"/>
        </w:rPr>
        <w:t>該年度甲乙類廠商申報家數比率僅介於14.33％至15.26％（表</w:t>
      </w:r>
      <w:r w:rsidR="004F2D72">
        <w:rPr>
          <w:rFonts w:ascii="標楷體" w:eastAsia="標楷體" w:hAnsi="標楷體" w:hint="eastAsia"/>
          <w:bCs/>
          <w:color w:val="000000" w:themeColor="text1"/>
        </w:rPr>
        <w:t>28</w:t>
      </w:r>
      <w:r w:rsidR="00595985" w:rsidRPr="004F2D72">
        <w:rPr>
          <w:rFonts w:ascii="標楷體" w:eastAsia="標楷體" w:hAnsi="標楷體" w:hint="eastAsia"/>
          <w:bCs/>
          <w:color w:val="000000" w:themeColor="text1"/>
        </w:rPr>
        <w:t>），且查</w:t>
      </w:r>
      <w:r w:rsidR="00595985" w:rsidRPr="004F2D72">
        <w:rPr>
          <w:rFonts w:ascii="標楷體" w:eastAsia="標楷體" w:hAnsi="標楷體" w:hint="eastAsia"/>
          <w:bCs/>
          <w:color w:val="000000" w:themeColor="text1"/>
        </w:rPr>
        <w:lastRenderedPageBreak/>
        <w:t>核結果皆屬行政疏漏之補正項目，顯示</w:t>
      </w:r>
      <w:proofErr w:type="gramStart"/>
      <w:r w:rsidR="00595985" w:rsidRPr="004F2D72">
        <w:rPr>
          <w:rFonts w:ascii="標楷體" w:eastAsia="標楷體" w:hAnsi="標楷體" w:hint="eastAsia"/>
          <w:bCs/>
          <w:color w:val="000000" w:themeColor="text1"/>
        </w:rPr>
        <w:t>產發署</w:t>
      </w:r>
      <w:proofErr w:type="gramEnd"/>
      <w:r w:rsidR="00595985" w:rsidRPr="004F2D72">
        <w:rPr>
          <w:rFonts w:ascii="標楷體" w:eastAsia="標楷體" w:hAnsi="標楷體" w:hint="eastAsia"/>
          <w:bCs/>
          <w:color w:val="000000" w:themeColor="text1"/>
        </w:rPr>
        <w:t>相關查核及管理機制仍有待強化，允宜強化溯源及通報機制，並</w:t>
      </w:r>
      <w:proofErr w:type="gramStart"/>
      <w:r w:rsidR="00595985" w:rsidRPr="004F2D72">
        <w:rPr>
          <w:rFonts w:ascii="標楷體" w:eastAsia="標楷體" w:hAnsi="標楷體" w:hint="eastAsia"/>
          <w:bCs/>
          <w:color w:val="000000" w:themeColor="text1"/>
        </w:rPr>
        <w:t>研</w:t>
      </w:r>
      <w:proofErr w:type="gramEnd"/>
      <w:r w:rsidR="00595985" w:rsidRPr="004F2D72">
        <w:rPr>
          <w:rFonts w:ascii="標楷體" w:eastAsia="標楷體" w:hAnsi="標楷體" w:hint="eastAsia"/>
          <w:bCs/>
          <w:color w:val="000000" w:themeColor="text1"/>
        </w:rPr>
        <w:t>酌提升甲乙類廠商不定期抽查比率之可行性，</w:t>
      </w:r>
      <w:proofErr w:type="gramStart"/>
      <w:r w:rsidR="00595985" w:rsidRPr="004F2D72">
        <w:rPr>
          <w:rFonts w:ascii="標楷體" w:eastAsia="標楷體" w:hAnsi="標楷體" w:hint="eastAsia"/>
          <w:bCs/>
          <w:color w:val="000000" w:themeColor="text1"/>
        </w:rPr>
        <w:t>俾</w:t>
      </w:r>
      <w:proofErr w:type="gramEnd"/>
      <w:r w:rsidR="00595985" w:rsidRPr="004F2D72">
        <w:rPr>
          <w:rFonts w:ascii="標楷體" w:eastAsia="標楷體" w:hAnsi="標楷體" w:hint="eastAsia"/>
          <w:bCs/>
          <w:color w:val="000000" w:themeColor="text1"/>
        </w:rPr>
        <w:t>完善先驅化學品工業原料管控機制；（3）行政院於</w:t>
      </w:r>
      <w:r w:rsidR="00595985" w:rsidRPr="004F2D72">
        <w:rPr>
          <w:rFonts w:ascii="標楷體" w:eastAsia="標楷體" w:hAnsi="標楷體"/>
          <w:bCs/>
          <w:color w:val="000000" w:themeColor="text1"/>
        </w:rPr>
        <w:t>114</w:t>
      </w:r>
      <w:r w:rsidR="00595985" w:rsidRPr="004F2D72">
        <w:rPr>
          <w:rFonts w:ascii="標楷體" w:eastAsia="標楷體" w:hAnsi="標楷體" w:hint="eastAsia"/>
          <w:bCs/>
          <w:color w:val="000000" w:themeColor="text1"/>
        </w:rPr>
        <w:t>年</w:t>
      </w:r>
      <w:r w:rsidR="00595985" w:rsidRPr="004F2D72">
        <w:rPr>
          <w:rFonts w:ascii="標楷體" w:eastAsia="標楷體" w:hAnsi="標楷體"/>
          <w:bCs/>
          <w:color w:val="000000" w:themeColor="text1"/>
        </w:rPr>
        <w:t>3</w:t>
      </w:r>
      <w:r w:rsidR="00595985" w:rsidRPr="004F2D72">
        <w:rPr>
          <w:rFonts w:ascii="標楷體" w:eastAsia="標楷體" w:hAnsi="標楷體" w:hint="eastAsia"/>
          <w:bCs/>
          <w:color w:val="000000" w:themeColor="text1"/>
        </w:rPr>
        <w:t>月函請環境部評估將</w:t>
      </w:r>
      <w:r w:rsidR="00595985" w:rsidRPr="004F2D72">
        <w:rPr>
          <w:rFonts w:ascii="標楷體" w:eastAsia="標楷體" w:hAnsi="標楷體"/>
          <w:bCs/>
          <w:color w:val="000000" w:themeColor="text1"/>
        </w:rPr>
        <w:t>MMMP</w:t>
      </w:r>
      <w:r w:rsidR="00595985" w:rsidRPr="004F2D72">
        <w:rPr>
          <w:rFonts w:ascii="標楷體" w:eastAsia="標楷體" w:hAnsi="標楷體" w:hint="eastAsia"/>
          <w:bCs/>
          <w:color w:val="000000" w:themeColor="text1"/>
        </w:rPr>
        <w:t>納入關注化學物質列管。據環境部化學物質管理署（下稱化學署）說明，完成1項關注化學物質公告，需耗時約16個月以上作業時間，惟國內近年M</w:t>
      </w:r>
      <w:r w:rsidR="00595985" w:rsidRPr="004F2D72">
        <w:rPr>
          <w:rFonts w:ascii="標楷體" w:eastAsia="標楷體" w:hAnsi="標楷體"/>
          <w:bCs/>
          <w:color w:val="000000" w:themeColor="text1"/>
        </w:rPr>
        <w:t>MMP</w:t>
      </w:r>
      <w:r w:rsidR="00595985" w:rsidRPr="004F2D72">
        <w:rPr>
          <w:rFonts w:ascii="標楷體" w:eastAsia="標楷體" w:hAnsi="標楷體" w:hint="eastAsia"/>
          <w:bCs/>
          <w:color w:val="000000" w:themeColor="text1"/>
        </w:rPr>
        <w:t>非尿液檢體驗出及查獲案件有快速增加情形，恐不利及時有效防制其被非法用於製毒之危害。又行政院自114年起推動「新世代反毒策略行動綱領」（第三期114－117年）已規範違法或疑似製毒事件，化學署將通報檢警調</w:t>
      </w:r>
      <w:proofErr w:type="gramStart"/>
      <w:r w:rsidR="00595985" w:rsidRPr="004F2D72">
        <w:rPr>
          <w:rFonts w:ascii="標楷體" w:eastAsia="標楷體" w:hAnsi="標楷體" w:hint="eastAsia"/>
          <w:bCs/>
          <w:color w:val="000000" w:themeColor="text1"/>
        </w:rPr>
        <w:t>機關錄案偵查</w:t>
      </w:r>
      <w:proofErr w:type="gramEnd"/>
      <w:r w:rsidR="00595985" w:rsidRPr="004F2D72">
        <w:rPr>
          <w:rFonts w:ascii="標楷體" w:eastAsia="標楷體" w:hAnsi="標楷體" w:hint="eastAsia"/>
          <w:bCs/>
          <w:color w:val="000000" w:themeColor="text1"/>
        </w:rPr>
        <w:t>之通報機制，相較於毒品先驅原料及先驅化學品工業原料，查緝機關於查獲時須通報主管機關，惟關注化學物質部分，尚未建立查緝機關通報化學署之機制，允宜針對經行政院指定評估列管之關注化學物質，</w:t>
      </w:r>
      <w:proofErr w:type="gramStart"/>
      <w:r w:rsidR="00595985" w:rsidRPr="004F2D72">
        <w:rPr>
          <w:rFonts w:ascii="標楷體" w:eastAsia="標楷體" w:hAnsi="標楷體" w:hint="eastAsia"/>
          <w:bCs/>
          <w:color w:val="000000" w:themeColor="text1"/>
        </w:rPr>
        <w:t>研酌精</w:t>
      </w:r>
      <w:proofErr w:type="gramEnd"/>
      <w:r w:rsidR="00595985" w:rsidRPr="004F2D72">
        <w:rPr>
          <w:rFonts w:ascii="標楷體" w:eastAsia="標楷體" w:hAnsi="標楷體" w:hint="eastAsia"/>
          <w:bCs/>
          <w:color w:val="000000" w:themeColor="text1"/>
        </w:rPr>
        <w:t>進公告列管作業時程，及建立查緝機關查獲關注化學物質非法運用之通報機制，</w:t>
      </w:r>
      <w:proofErr w:type="gramStart"/>
      <w:r w:rsidR="00595985" w:rsidRPr="004F2D72">
        <w:rPr>
          <w:rFonts w:ascii="標楷體" w:eastAsia="標楷體" w:hAnsi="標楷體" w:hint="eastAsia"/>
          <w:bCs/>
          <w:color w:val="000000" w:themeColor="text1"/>
        </w:rPr>
        <w:t>俾</w:t>
      </w:r>
      <w:proofErr w:type="gramEnd"/>
      <w:r w:rsidR="00595985" w:rsidRPr="004F2D72">
        <w:rPr>
          <w:rFonts w:ascii="標楷體" w:eastAsia="標楷體" w:hAnsi="標楷體" w:hint="eastAsia"/>
          <w:bCs/>
          <w:color w:val="000000" w:themeColor="text1"/>
        </w:rPr>
        <w:t>使主管機關得以加強掌握關注化學物質流向，降低其對社會之危害</w:t>
      </w:r>
      <w:r w:rsidR="00270BA4">
        <w:rPr>
          <w:rFonts w:ascii="標楷體" w:eastAsia="標楷體" w:hAnsi="標楷體" w:hint="eastAsia"/>
          <w:bCs/>
          <w:color w:val="000000" w:themeColor="text1"/>
        </w:rPr>
        <w:t>等情事，</w:t>
      </w:r>
      <w:r w:rsidR="00595985" w:rsidRPr="004F2D72">
        <w:rPr>
          <w:rFonts w:ascii="標楷體" w:eastAsia="標楷體" w:hAnsi="標楷體" w:hint="eastAsia"/>
          <w:color w:val="000000" w:themeColor="text1"/>
        </w:rPr>
        <w:t>經函請行政院督促權責機關檢討改善。據復：（1）各查緝單位將持續強化查緝與向上溯源，</w:t>
      </w:r>
      <w:proofErr w:type="gramStart"/>
      <w:r w:rsidR="00595985" w:rsidRPr="004F2D72">
        <w:rPr>
          <w:rFonts w:ascii="標楷體" w:eastAsia="標楷體" w:hAnsi="標楷體" w:hint="eastAsia"/>
          <w:color w:val="000000" w:themeColor="text1"/>
        </w:rPr>
        <w:t>食藥署</w:t>
      </w:r>
      <w:proofErr w:type="gramEnd"/>
      <w:r w:rsidR="00595985" w:rsidRPr="004F2D72">
        <w:rPr>
          <w:rFonts w:ascii="標楷體" w:eastAsia="標楷體" w:hAnsi="標楷體" w:hint="eastAsia"/>
          <w:color w:val="000000" w:themeColor="text1"/>
        </w:rPr>
        <w:t>亦將加強查核，並管制麻黃素類原料藥，若查核發現有未完全申報資料或流向不明，則依</w:t>
      </w:r>
      <w:proofErr w:type="gramStart"/>
      <w:r w:rsidR="00595985" w:rsidRPr="004F2D72">
        <w:rPr>
          <w:rFonts w:ascii="標楷體" w:eastAsia="標楷體" w:hAnsi="標楷體" w:hint="eastAsia"/>
          <w:color w:val="000000" w:themeColor="text1"/>
        </w:rPr>
        <w:t>規</w:t>
      </w:r>
      <w:proofErr w:type="gramEnd"/>
      <w:r w:rsidR="00595985" w:rsidRPr="004F2D72">
        <w:rPr>
          <w:rFonts w:ascii="標楷體" w:eastAsia="標楷體" w:hAnsi="標楷體" w:hint="eastAsia"/>
          <w:color w:val="000000" w:themeColor="text1"/>
        </w:rPr>
        <w:t>處理或移送檢調；（2）將請各查緝機關積極查緝，溯源追查毒品源頭，經濟部亦將持續加強不定期實地查核先驅化學品工業原料之上中下游廠商，優先查核有疑慮及高風險之廠商，以期共同防制境內製毒；（3）將積極掌握</w:t>
      </w:r>
      <w:r w:rsidR="00595985" w:rsidRPr="004F2D72">
        <w:rPr>
          <w:rFonts w:ascii="標楷體" w:eastAsia="標楷體" w:hAnsi="標楷體" w:hint="eastAsia"/>
          <w:bCs/>
          <w:color w:val="000000" w:themeColor="text1"/>
        </w:rPr>
        <w:t>關注化學物質</w:t>
      </w:r>
      <w:r w:rsidR="00595985" w:rsidRPr="004F2D72">
        <w:rPr>
          <w:rFonts w:ascii="標楷體" w:eastAsia="標楷體" w:hAnsi="標楷體" w:hint="eastAsia"/>
          <w:color w:val="000000" w:themeColor="text1"/>
        </w:rPr>
        <w:t>列管作業時效，並持續落實執行「新世代反毒策略綱領」(第三期114－117年)溯源斷根</w:t>
      </w:r>
      <w:r w:rsidR="0091230F">
        <w:rPr>
          <w:rFonts w:ascii="標楷體" w:eastAsia="標楷體" w:hAnsi="標楷體" w:hint="eastAsia"/>
          <w:color w:val="000000" w:themeColor="text1"/>
        </w:rPr>
        <w:t>之</w:t>
      </w:r>
      <w:r w:rsidR="00595985" w:rsidRPr="004F2D72">
        <w:rPr>
          <w:rFonts w:ascii="標楷體" w:eastAsia="標楷體" w:hAnsi="標楷體" w:hint="eastAsia"/>
          <w:color w:val="000000" w:themeColor="text1"/>
        </w:rPr>
        <w:t>目標。</w:t>
      </w:r>
    </w:p>
    <w:p w14:paraId="6002CD5D" w14:textId="42F9FD9D" w:rsidR="00040225" w:rsidRPr="006F1AA1" w:rsidRDefault="00595985" w:rsidP="00375610">
      <w:pPr>
        <w:spacing w:line="422" w:lineRule="exact"/>
        <w:ind w:firstLineChars="450" w:firstLine="1081"/>
        <w:jc w:val="both"/>
        <w:rPr>
          <w:rFonts w:ascii="標楷體" w:eastAsia="標楷體" w:hAnsi="標楷體"/>
          <w:color w:val="000000" w:themeColor="text1"/>
        </w:rPr>
      </w:pPr>
      <w:r>
        <w:rPr>
          <w:rFonts w:ascii="標楷體" w:eastAsia="標楷體" w:hAnsi="標楷體" w:hint="eastAsia"/>
          <w:b/>
        </w:rPr>
        <w:t>6</w:t>
      </w:r>
      <w:r w:rsidRPr="00BD0CBB">
        <w:rPr>
          <w:rFonts w:ascii="標楷體" w:eastAsia="標楷體" w:hAnsi="標楷體" w:hint="eastAsia"/>
          <w:b/>
        </w:rPr>
        <w:t xml:space="preserve">.　</w:t>
      </w:r>
      <w:r w:rsidRPr="00DF797D">
        <w:rPr>
          <w:rFonts w:ascii="標楷體" w:eastAsia="標楷體" w:hAnsi="標楷體" w:hint="eastAsia"/>
          <w:b/>
          <w:color w:val="000000" w:themeColor="text1"/>
        </w:rPr>
        <w:t>政府已透過公私協力執行毒品檢驗工作，強化新興毒品檢驗量能，惟民間檢驗機構之檢驗能量尚待提升：</w:t>
      </w:r>
      <w:r w:rsidRPr="00DF797D">
        <w:rPr>
          <w:rFonts w:ascii="標楷體" w:eastAsia="標楷體" w:hAnsi="標楷體" w:hint="eastAsia"/>
          <w:color w:val="000000" w:themeColor="text1"/>
        </w:rPr>
        <w:t>政府為因應新興影響精神物質發展快速，以公私協力方式執行毒品尿液檢驗工作，於「新世代反毒策略行動綱領」（第二期110－113年）訂有「強化查獲新興毒品之檢驗量能」</w:t>
      </w:r>
      <w:proofErr w:type="gramStart"/>
      <w:r w:rsidRPr="00DF797D">
        <w:rPr>
          <w:rFonts w:ascii="標楷體" w:eastAsia="標楷體" w:hAnsi="標楷體" w:hint="eastAsia"/>
          <w:color w:val="000000" w:themeColor="text1"/>
        </w:rPr>
        <w:t>驗毒策略</w:t>
      </w:r>
      <w:proofErr w:type="gramEnd"/>
      <w:r w:rsidRPr="00DF797D">
        <w:rPr>
          <w:rFonts w:ascii="標楷體" w:eastAsia="標楷體" w:hAnsi="標楷體" w:hint="eastAsia"/>
          <w:color w:val="000000" w:themeColor="text1"/>
        </w:rPr>
        <w:t>，推動新興毒品尿液檢驗實驗室認證，提升檢驗機構檢驗量能。經查新興毒品檢驗能量建置情形，核有：（1）105年6月緝毒督導小組會報裁示，由高檢署辦理概括授權囑託檢驗機關（構），並由法務部納入毒品</w:t>
      </w:r>
      <w:proofErr w:type="gramStart"/>
      <w:r w:rsidRPr="00DF797D">
        <w:rPr>
          <w:rFonts w:ascii="標楷體" w:eastAsia="標楷體" w:hAnsi="標楷體" w:hint="eastAsia"/>
          <w:color w:val="000000" w:themeColor="text1"/>
        </w:rPr>
        <w:t>鑑</w:t>
      </w:r>
      <w:proofErr w:type="gramEnd"/>
      <w:r w:rsidRPr="00DF797D">
        <w:rPr>
          <w:rFonts w:ascii="標楷體" w:eastAsia="標楷體" w:hAnsi="標楷體" w:hint="eastAsia"/>
          <w:color w:val="000000" w:themeColor="text1"/>
        </w:rPr>
        <w:t>驗分工表。</w:t>
      </w:r>
      <w:proofErr w:type="gramStart"/>
      <w:r w:rsidRPr="00DF797D">
        <w:rPr>
          <w:rFonts w:ascii="標楷體" w:eastAsia="標楷體" w:hAnsi="標楷體" w:hint="eastAsia"/>
          <w:color w:val="000000" w:themeColor="text1"/>
        </w:rPr>
        <w:t>嗣</w:t>
      </w:r>
      <w:proofErr w:type="gramEnd"/>
      <w:r w:rsidRPr="00DF797D">
        <w:rPr>
          <w:rFonts w:ascii="標楷體" w:eastAsia="標楷體" w:hAnsi="標楷體" w:hint="eastAsia"/>
          <w:color w:val="000000" w:themeColor="text1"/>
        </w:rPr>
        <w:t>因109年間民間毒品檢驗機構發生誤判毒品檢驗結果事件，行政院於110年12月毒品防制會報決議，檢討建置毒品檢驗機構認可制度，以完善毒品檢驗機制，</w:t>
      </w:r>
      <w:proofErr w:type="gramStart"/>
      <w:r w:rsidRPr="00DF797D">
        <w:rPr>
          <w:rFonts w:ascii="標楷體" w:eastAsia="標楷體" w:hAnsi="標楷體" w:hint="eastAsia"/>
          <w:color w:val="000000" w:themeColor="text1"/>
        </w:rPr>
        <w:t>食藥署爰</w:t>
      </w:r>
      <w:proofErr w:type="gramEnd"/>
      <w:r w:rsidRPr="00DF797D">
        <w:rPr>
          <w:rFonts w:ascii="標楷體" w:eastAsia="標楷體" w:hAnsi="標楷體" w:hint="eastAsia"/>
          <w:color w:val="000000" w:themeColor="text1"/>
        </w:rPr>
        <w:t>於111年4月更名修正發布「毒品檢驗機構設置標準及認可管理要點」，民間毒品檢驗機構應向主管機關提出檢驗項目之認可申請，若增加檢驗項目亦須提出申請。截至114年4月底止，高檢署概括囑託民間毒品鑑定機構6家，其中定性檢驗有</w:t>
      </w:r>
      <w:proofErr w:type="gramStart"/>
      <w:r w:rsidRPr="00DF797D">
        <w:rPr>
          <w:rFonts w:ascii="標楷體" w:eastAsia="標楷體" w:hAnsi="標楷體" w:hint="eastAsia"/>
          <w:color w:val="000000" w:themeColor="text1"/>
        </w:rPr>
        <w:t>2家迄</w:t>
      </w:r>
      <w:proofErr w:type="gramEnd"/>
      <w:r w:rsidRPr="00DF797D">
        <w:rPr>
          <w:rFonts w:ascii="標楷體" w:eastAsia="標楷體" w:hAnsi="標楷體" w:hint="eastAsia"/>
          <w:color w:val="000000" w:themeColor="text1"/>
        </w:rPr>
        <w:t>未通過</w:t>
      </w:r>
      <w:proofErr w:type="gramStart"/>
      <w:r w:rsidRPr="00DF797D">
        <w:rPr>
          <w:rFonts w:ascii="標楷體" w:eastAsia="標楷體" w:hAnsi="標楷體" w:hint="eastAsia"/>
          <w:color w:val="000000" w:themeColor="text1"/>
        </w:rPr>
        <w:t>食藥署</w:t>
      </w:r>
      <w:proofErr w:type="gramEnd"/>
      <w:r w:rsidRPr="00DF797D">
        <w:rPr>
          <w:rFonts w:ascii="標楷體" w:eastAsia="標楷體" w:hAnsi="標楷體" w:hint="eastAsia"/>
          <w:color w:val="000000" w:themeColor="text1"/>
        </w:rPr>
        <w:t>認可毒品檢驗項目，4家通過</w:t>
      </w:r>
      <w:proofErr w:type="gramStart"/>
      <w:r w:rsidRPr="00DF797D">
        <w:rPr>
          <w:rFonts w:ascii="標楷體" w:eastAsia="標楷體" w:hAnsi="標楷體" w:hint="eastAsia"/>
          <w:color w:val="000000" w:themeColor="text1"/>
        </w:rPr>
        <w:t>食藥署</w:t>
      </w:r>
      <w:proofErr w:type="gramEnd"/>
      <w:r w:rsidRPr="00DF797D">
        <w:rPr>
          <w:rFonts w:ascii="標楷體" w:eastAsia="標楷體" w:hAnsi="標楷體" w:hint="eastAsia"/>
          <w:color w:val="000000" w:themeColor="text1"/>
        </w:rPr>
        <w:t>認可8</w:t>
      </w:r>
      <w:r w:rsidRPr="00DF797D">
        <w:rPr>
          <w:rFonts w:ascii="標楷體" w:eastAsia="標楷體" w:hAnsi="標楷體"/>
          <w:color w:val="000000" w:themeColor="text1"/>
        </w:rPr>
        <w:t>5</w:t>
      </w:r>
      <w:r w:rsidRPr="00DF797D">
        <w:rPr>
          <w:rFonts w:ascii="標楷體" w:eastAsia="標楷體" w:hAnsi="標楷體" w:hint="eastAsia"/>
          <w:color w:val="000000" w:themeColor="text1"/>
        </w:rPr>
        <w:t>項，至定量檢驗僅1家</w:t>
      </w:r>
      <w:proofErr w:type="gramStart"/>
      <w:r w:rsidRPr="00DF797D">
        <w:rPr>
          <w:rFonts w:ascii="標楷體" w:eastAsia="標楷體" w:hAnsi="標楷體" w:hint="eastAsia"/>
          <w:color w:val="000000" w:themeColor="text1"/>
        </w:rPr>
        <w:t>通過食藥認可</w:t>
      </w:r>
      <w:proofErr w:type="gramEnd"/>
      <w:r w:rsidRPr="00DF797D">
        <w:rPr>
          <w:rFonts w:ascii="標楷體" w:eastAsia="標楷體" w:hAnsi="標楷體" w:hint="eastAsia"/>
          <w:color w:val="000000" w:themeColor="text1"/>
        </w:rPr>
        <w:t>3項，主要係前揭認可管理要點未針對修訂前經高檢署概括囑託之民間檢驗機構，妥為規範應於一定期間內向</w:t>
      </w:r>
      <w:proofErr w:type="gramStart"/>
      <w:r w:rsidRPr="00DF797D">
        <w:rPr>
          <w:rFonts w:ascii="標楷體" w:eastAsia="標楷體" w:hAnsi="標楷體" w:hint="eastAsia"/>
          <w:color w:val="000000" w:themeColor="text1"/>
        </w:rPr>
        <w:t>食藥署</w:t>
      </w:r>
      <w:proofErr w:type="gramEnd"/>
      <w:r w:rsidRPr="00DF797D">
        <w:rPr>
          <w:rFonts w:ascii="標楷體" w:eastAsia="標楷體" w:hAnsi="標楷體" w:hint="eastAsia"/>
          <w:color w:val="000000" w:themeColor="text1"/>
        </w:rPr>
        <w:t>申請檢驗認可所致，毒品檢驗機制難謂完善。復統計截至114年4月底止，</w:t>
      </w:r>
      <w:proofErr w:type="gramStart"/>
      <w:r w:rsidRPr="00DF797D">
        <w:rPr>
          <w:rFonts w:ascii="標楷體" w:eastAsia="標楷體" w:hAnsi="標楷體" w:hint="eastAsia"/>
          <w:color w:val="000000" w:themeColor="text1"/>
        </w:rPr>
        <w:t>國內列</w:t>
      </w:r>
      <w:proofErr w:type="gramEnd"/>
      <w:r w:rsidRPr="00DF797D">
        <w:rPr>
          <w:rFonts w:ascii="標楷體" w:eastAsia="標楷體" w:hAnsi="標楷體" w:hint="eastAsia"/>
          <w:color w:val="000000" w:themeColor="text1"/>
        </w:rPr>
        <w:t>管第一級至第四級毒品（不含毒品先驅原料</w:t>
      </w:r>
      <w:r w:rsidRPr="00DF797D">
        <w:rPr>
          <w:rFonts w:ascii="標楷體" w:eastAsia="標楷體" w:hAnsi="標楷體"/>
          <w:color w:val="000000" w:themeColor="text1"/>
        </w:rPr>
        <w:t>）</w:t>
      </w:r>
      <w:r w:rsidRPr="00DF797D">
        <w:rPr>
          <w:rFonts w:ascii="標楷體" w:eastAsia="標楷體" w:hAnsi="標楷體" w:hint="eastAsia"/>
          <w:color w:val="000000" w:themeColor="text1"/>
        </w:rPr>
        <w:t>計652項，惟</w:t>
      </w:r>
      <w:proofErr w:type="gramStart"/>
      <w:r w:rsidRPr="00DF797D">
        <w:rPr>
          <w:rFonts w:ascii="標楷體" w:eastAsia="標楷體" w:hAnsi="標楷體" w:hint="eastAsia"/>
          <w:color w:val="000000" w:themeColor="text1"/>
        </w:rPr>
        <w:t>經食藥署</w:t>
      </w:r>
      <w:proofErr w:type="gramEnd"/>
      <w:r w:rsidRPr="00DF797D">
        <w:rPr>
          <w:rFonts w:ascii="標楷體" w:eastAsia="標楷體" w:hAnsi="標楷體" w:hint="eastAsia"/>
          <w:color w:val="000000" w:themeColor="text1"/>
        </w:rPr>
        <w:t>認可民間機構可檢驗項目僅38項，仍有多項毒品尚無民間檢驗機構通過</w:t>
      </w:r>
      <w:proofErr w:type="gramStart"/>
      <w:r w:rsidRPr="00DF797D">
        <w:rPr>
          <w:rFonts w:ascii="標楷體" w:eastAsia="標楷體" w:hAnsi="標楷體" w:hint="eastAsia"/>
          <w:color w:val="000000" w:themeColor="text1"/>
        </w:rPr>
        <w:t>食藥署</w:t>
      </w:r>
      <w:proofErr w:type="gramEnd"/>
      <w:r w:rsidRPr="00DF797D">
        <w:rPr>
          <w:rFonts w:ascii="標楷體" w:eastAsia="標楷體" w:hAnsi="標楷體" w:hint="eastAsia"/>
          <w:color w:val="000000" w:themeColor="text1"/>
        </w:rPr>
        <w:t>認可，允宜積極輔導經高檢署概括囑託之民間毒品檢驗機構儘速申請檢驗認可，以確保囑託之鑑定機構具備足夠之專業能力；（2）毒品危害防制條例第33條之1規定，尿液之檢驗應由</w:t>
      </w:r>
      <w:proofErr w:type="gramStart"/>
      <w:r w:rsidRPr="00DF797D">
        <w:rPr>
          <w:rFonts w:ascii="標楷體" w:eastAsia="標楷體" w:hAnsi="標楷體" w:hint="eastAsia"/>
          <w:color w:val="000000" w:themeColor="text1"/>
        </w:rPr>
        <w:t>經衛福部</w:t>
      </w:r>
      <w:proofErr w:type="gramEnd"/>
      <w:r w:rsidRPr="00DF797D">
        <w:rPr>
          <w:rFonts w:ascii="標楷體" w:eastAsia="標楷體" w:hAnsi="標楷體" w:hint="eastAsia"/>
          <w:color w:val="000000" w:themeColor="text1"/>
        </w:rPr>
        <w:t>認證之檢驗及醫療機</w:t>
      </w:r>
      <w:r w:rsidRPr="00DF797D">
        <w:rPr>
          <w:rFonts w:ascii="標楷體" w:eastAsia="標楷體" w:hAnsi="標楷體" w:hint="eastAsia"/>
          <w:color w:val="000000" w:themeColor="text1"/>
        </w:rPr>
        <w:lastRenderedPageBreak/>
        <w:t>構、指定機關依法設置之檢驗機關（構）為之。</w:t>
      </w:r>
      <w:proofErr w:type="gramStart"/>
      <w:r w:rsidRPr="00DF797D">
        <w:rPr>
          <w:rFonts w:ascii="標楷體" w:eastAsia="標楷體" w:hAnsi="標楷體" w:hint="eastAsia"/>
          <w:color w:val="000000" w:themeColor="text1"/>
        </w:rPr>
        <w:t>衛福部</w:t>
      </w:r>
      <w:proofErr w:type="gramEnd"/>
      <w:r w:rsidRPr="00DF797D">
        <w:rPr>
          <w:rFonts w:ascii="標楷體" w:eastAsia="標楷體" w:hAnsi="標楷體" w:hint="eastAsia"/>
          <w:color w:val="000000" w:themeColor="text1"/>
        </w:rPr>
        <w:t>考量民間尿液檢驗機構申請檢驗項目認證須投入人力及購置設備等，</w:t>
      </w:r>
      <w:r w:rsidRPr="00DF797D">
        <w:rPr>
          <w:rFonts w:ascii="標楷體" w:eastAsia="標楷體" w:hAnsi="標楷體" w:hint="eastAsia"/>
          <w:color w:val="000000" w:themeColor="text1"/>
          <w:szCs w:val="24"/>
        </w:rPr>
        <w:t>有營運成本效益考慮因素，</w:t>
      </w:r>
      <w:proofErr w:type="gramStart"/>
      <w:r w:rsidRPr="00DF797D">
        <w:rPr>
          <w:rFonts w:ascii="標楷體" w:eastAsia="標楷體" w:hAnsi="標楷體" w:hint="eastAsia"/>
          <w:color w:val="000000" w:themeColor="text1"/>
        </w:rPr>
        <w:t>爰</w:t>
      </w:r>
      <w:proofErr w:type="gramEnd"/>
      <w:r w:rsidRPr="00DF797D">
        <w:rPr>
          <w:rFonts w:ascii="標楷體" w:eastAsia="標楷體" w:hAnsi="標楷體" w:hint="eastAsia"/>
          <w:color w:val="000000" w:themeColor="text1"/>
        </w:rPr>
        <w:t>運用警政署檢討前一年度濫用趨勢之新興毒品資訊函轉民間尿液檢驗機構參考，以利該等機構增加檢驗項目，惟國內於113年間爆發依托</w:t>
      </w:r>
      <w:proofErr w:type="gramStart"/>
      <w:r w:rsidRPr="00DF797D">
        <w:rPr>
          <w:rFonts w:ascii="標楷體" w:eastAsia="標楷體" w:hAnsi="標楷體" w:hint="eastAsia"/>
          <w:color w:val="000000" w:themeColor="text1"/>
        </w:rPr>
        <w:t>咪</w:t>
      </w:r>
      <w:proofErr w:type="gramEnd"/>
      <w:r w:rsidRPr="00DF797D">
        <w:rPr>
          <w:rFonts w:ascii="標楷體" w:eastAsia="標楷體" w:hAnsi="標楷體" w:hint="eastAsia"/>
          <w:color w:val="000000" w:themeColor="text1"/>
        </w:rPr>
        <w:t>酯危害，司法警察機關查獲案件量暴增，因屬新公告毒品，民間檢驗機構</w:t>
      </w:r>
      <w:proofErr w:type="gramStart"/>
      <w:r w:rsidRPr="00DF797D">
        <w:rPr>
          <w:rFonts w:ascii="標楷體" w:eastAsia="標楷體" w:hAnsi="標楷體" w:hint="eastAsia"/>
          <w:color w:val="000000" w:themeColor="text1"/>
        </w:rPr>
        <w:t>尚待布建</w:t>
      </w:r>
      <w:proofErr w:type="gramEnd"/>
      <w:r w:rsidRPr="00DF797D">
        <w:rPr>
          <w:rFonts w:ascii="標楷體" w:eastAsia="標楷體" w:hAnsi="標楷體" w:hint="eastAsia"/>
          <w:color w:val="000000" w:themeColor="text1"/>
        </w:rPr>
        <w:t>檢驗量能，僅能送國家級中央檢驗機關檢驗，造成檢驗量爆增，進而影響檢驗期程。</w:t>
      </w:r>
      <w:proofErr w:type="gramStart"/>
      <w:r w:rsidRPr="00DF797D">
        <w:rPr>
          <w:rFonts w:ascii="標楷體" w:eastAsia="標楷體" w:hAnsi="標楷體" w:hint="eastAsia"/>
          <w:color w:val="000000" w:themeColor="text1"/>
        </w:rPr>
        <w:t>嗣經食藥署</w:t>
      </w:r>
      <w:proofErr w:type="gramEnd"/>
      <w:r w:rsidRPr="00DF797D">
        <w:rPr>
          <w:rFonts w:ascii="標楷體" w:eastAsia="標楷體" w:hAnsi="標楷體" w:hint="eastAsia"/>
          <w:color w:val="000000" w:themeColor="text1"/>
        </w:rPr>
        <w:t>輔導民間檢驗機構建立檢驗能量，於113年11月通過第一家可檢驗依托</w:t>
      </w:r>
      <w:proofErr w:type="gramStart"/>
      <w:r w:rsidRPr="00DF797D">
        <w:rPr>
          <w:rFonts w:ascii="標楷體" w:eastAsia="標楷體" w:hAnsi="標楷體" w:hint="eastAsia"/>
          <w:color w:val="000000" w:themeColor="text1"/>
        </w:rPr>
        <w:t>咪</w:t>
      </w:r>
      <w:proofErr w:type="gramEnd"/>
      <w:r w:rsidRPr="00DF797D">
        <w:rPr>
          <w:rFonts w:ascii="標楷體" w:eastAsia="標楷體" w:hAnsi="標楷體" w:hint="eastAsia"/>
          <w:color w:val="000000" w:themeColor="text1"/>
        </w:rPr>
        <w:t>酯之民間檢驗機構，惟</w:t>
      </w:r>
      <w:r w:rsidRPr="00DF797D">
        <w:rPr>
          <w:rFonts w:ascii="標楷體" w:eastAsia="標楷體" w:hAnsi="標楷體" w:hint="eastAsia"/>
          <w:color w:val="000000" w:themeColor="text1"/>
          <w:szCs w:val="24"/>
        </w:rPr>
        <w:t>警察機關受限年度預算額度，</w:t>
      </w:r>
      <w:r w:rsidRPr="00DF797D">
        <w:rPr>
          <w:rFonts w:ascii="標楷體" w:eastAsia="標楷體" w:hAnsi="標楷體" w:hint="eastAsia"/>
          <w:color w:val="000000" w:themeColor="text1"/>
        </w:rPr>
        <w:t>仍送中央檢驗機關檢驗為主，尚無法解決中央檢驗機關業務負荷，允宜</w:t>
      </w:r>
      <w:proofErr w:type="gramStart"/>
      <w:r w:rsidRPr="00DF797D">
        <w:rPr>
          <w:rFonts w:ascii="標楷體" w:eastAsia="標楷體" w:hAnsi="標楷體" w:hint="eastAsia"/>
          <w:color w:val="000000" w:themeColor="text1"/>
        </w:rPr>
        <w:t>研</w:t>
      </w:r>
      <w:proofErr w:type="gramEnd"/>
      <w:r w:rsidRPr="00DF797D">
        <w:rPr>
          <w:rFonts w:ascii="標楷體" w:eastAsia="標楷體" w:hAnsi="標楷體" w:hint="eastAsia"/>
          <w:color w:val="000000" w:themeColor="text1"/>
        </w:rPr>
        <w:t>酌建立毒品檢驗分流機制，及</w:t>
      </w:r>
      <w:proofErr w:type="gramStart"/>
      <w:r w:rsidRPr="00DF797D">
        <w:rPr>
          <w:rFonts w:ascii="標楷體" w:eastAsia="標楷體" w:hAnsi="標楷體" w:hint="eastAsia"/>
          <w:color w:val="000000" w:themeColor="text1"/>
        </w:rPr>
        <w:t>研</w:t>
      </w:r>
      <w:proofErr w:type="gramEnd"/>
      <w:r w:rsidRPr="00DF797D">
        <w:rPr>
          <w:rFonts w:ascii="標楷體" w:eastAsia="標楷體" w:hAnsi="標楷體" w:hint="eastAsia"/>
          <w:color w:val="000000" w:themeColor="text1"/>
        </w:rPr>
        <w:t>謀</w:t>
      </w:r>
      <w:proofErr w:type="gramStart"/>
      <w:r w:rsidRPr="00DF797D">
        <w:rPr>
          <w:rFonts w:ascii="標楷體" w:eastAsia="標楷體" w:hAnsi="標楷體" w:hint="eastAsia"/>
          <w:color w:val="000000" w:themeColor="text1"/>
        </w:rPr>
        <w:t>挹注適</w:t>
      </w:r>
      <w:proofErr w:type="gramEnd"/>
      <w:r w:rsidRPr="00DF797D">
        <w:rPr>
          <w:rFonts w:ascii="標楷體" w:eastAsia="標楷體" w:hAnsi="標楷體" w:hint="eastAsia"/>
          <w:color w:val="000000" w:themeColor="text1"/>
        </w:rPr>
        <w:t>足預算，</w:t>
      </w:r>
      <w:proofErr w:type="gramStart"/>
      <w:r w:rsidRPr="00DF797D">
        <w:rPr>
          <w:rFonts w:ascii="標楷體" w:eastAsia="標楷體" w:hAnsi="標楷體" w:hint="eastAsia"/>
          <w:color w:val="000000" w:themeColor="text1"/>
        </w:rPr>
        <w:t>俾</w:t>
      </w:r>
      <w:proofErr w:type="gramEnd"/>
      <w:r w:rsidRPr="00DF797D">
        <w:rPr>
          <w:rFonts w:ascii="標楷體" w:eastAsia="標楷體" w:hAnsi="標楷體" w:hint="eastAsia"/>
          <w:color w:val="000000" w:themeColor="text1"/>
        </w:rPr>
        <w:t>使民間願意投入成本提升檢驗量能，減輕中央檢驗機關負荷</w:t>
      </w:r>
      <w:r w:rsidR="008B248F">
        <w:rPr>
          <w:rFonts w:ascii="標楷體" w:eastAsia="標楷體" w:hAnsi="標楷體" w:hint="eastAsia"/>
          <w:color w:val="000000" w:themeColor="text1"/>
        </w:rPr>
        <w:t>等情事，</w:t>
      </w:r>
      <w:r w:rsidRPr="00DF797D">
        <w:rPr>
          <w:rFonts w:ascii="標楷體" w:eastAsia="標楷體" w:hAnsi="標楷體" w:hint="eastAsia"/>
          <w:color w:val="000000" w:themeColor="text1"/>
        </w:rPr>
        <w:t>經函請行政院督促權責機關檢討改善。據復：</w:t>
      </w:r>
      <w:r w:rsidRPr="00DF797D">
        <w:rPr>
          <w:rFonts w:ascii="標楷體" w:eastAsia="標楷體" w:hAnsi="標楷體" w:hint="eastAsia"/>
          <w:color w:val="000000" w:themeColor="text1"/>
          <w:szCs w:val="24"/>
        </w:rPr>
        <w:t>（1）概括</w:t>
      </w:r>
      <w:r w:rsidRPr="00DF797D">
        <w:rPr>
          <w:rFonts w:ascii="標楷體" w:eastAsia="標楷體" w:hAnsi="標楷體" w:hint="eastAsia"/>
          <w:color w:val="000000" w:themeColor="text1"/>
        </w:rPr>
        <w:t>囑託</w:t>
      </w:r>
      <w:r w:rsidRPr="00DF797D">
        <w:rPr>
          <w:rFonts w:ascii="標楷體" w:eastAsia="標楷體" w:hAnsi="標楷體" w:hint="eastAsia"/>
          <w:color w:val="000000" w:themeColor="text1"/>
          <w:szCs w:val="24"/>
        </w:rPr>
        <w:t>涉及鑑定證據能力，若能增加支援檢驗機關(構)並取得相關認證，成為概括</w:t>
      </w:r>
      <w:r w:rsidRPr="00DF797D">
        <w:rPr>
          <w:rFonts w:ascii="標楷體" w:eastAsia="標楷體" w:hAnsi="標楷體" w:hint="eastAsia"/>
          <w:color w:val="000000" w:themeColor="text1"/>
        </w:rPr>
        <w:t>囑託</w:t>
      </w:r>
      <w:r w:rsidRPr="00DF797D">
        <w:rPr>
          <w:rFonts w:ascii="標楷體" w:eastAsia="標楷體" w:hAnsi="標楷體" w:hint="eastAsia"/>
          <w:color w:val="000000" w:themeColor="text1"/>
          <w:szCs w:val="24"/>
        </w:rPr>
        <w:t>機構，</w:t>
      </w:r>
      <w:proofErr w:type="gramStart"/>
      <w:r w:rsidRPr="00DF797D">
        <w:rPr>
          <w:rFonts w:ascii="標楷體" w:eastAsia="標楷體" w:hAnsi="標楷體" w:hint="eastAsia"/>
          <w:color w:val="000000" w:themeColor="text1"/>
          <w:szCs w:val="24"/>
        </w:rPr>
        <w:t>有助緝毒</w:t>
      </w:r>
      <w:proofErr w:type="gramEnd"/>
      <w:r w:rsidRPr="00DF797D">
        <w:rPr>
          <w:rFonts w:ascii="標楷體" w:eastAsia="標楷體" w:hAnsi="標楷體" w:hint="eastAsia"/>
          <w:color w:val="000000" w:themeColor="text1"/>
          <w:szCs w:val="24"/>
        </w:rPr>
        <w:t>成效；（2）將</w:t>
      </w:r>
      <w:r w:rsidRPr="00DF797D">
        <w:rPr>
          <w:rFonts w:ascii="標楷體" w:eastAsia="標楷體" w:cs="標楷體" w:hint="eastAsia"/>
          <w:color w:val="000000" w:themeColor="text1"/>
          <w:kern w:val="0"/>
          <w:szCs w:val="24"/>
        </w:rPr>
        <w:t>於發現新興毒品流行預警時，由警政署同步通知</w:t>
      </w:r>
      <w:proofErr w:type="gramStart"/>
      <w:r w:rsidRPr="00DF797D">
        <w:rPr>
          <w:rFonts w:ascii="標楷體" w:eastAsia="標楷體" w:cs="標楷體" w:hint="eastAsia"/>
          <w:color w:val="000000" w:themeColor="text1"/>
          <w:kern w:val="0"/>
          <w:szCs w:val="24"/>
        </w:rPr>
        <w:t>食藥署</w:t>
      </w:r>
      <w:proofErr w:type="gramEnd"/>
      <w:r w:rsidRPr="00DF797D">
        <w:rPr>
          <w:rFonts w:ascii="標楷體" w:eastAsia="標楷體" w:cs="標楷體" w:hint="eastAsia"/>
          <w:color w:val="000000" w:themeColor="text1"/>
          <w:kern w:val="0"/>
          <w:szCs w:val="24"/>
        </w:rPr>
        <w:t>啟動後續檢驗機制整備，並規劃擴充中央檢驗機關檢驗能量，</w:t>
      </w:r>
      <w:proofErr w:type="gramStart"/>
      <w:r w:rsidRPr="00DF797D">
        <w:rPr>
          <w:rFonts w:ascii="標楷體" w:eastAsia="標楷體" w:cs="標楷體" w:hint="eastAsia"/>
          <w:color w:val="000000" w:themeColor="text1"/>
          <w:kern w:val="0"/>
          <w:szCs w:val="24"/>
        </w:rPr>
        <w:t>及輔以</w:t>
      </w:r>
      <w:proofErr w:type="gramEnd"/>
      <w:r w:rsidRPr="00DF797D">
        <w:rPr>
          <w:rFonts w:ascii="標楷體" w:eastAsia="標楷體" w:cs="標楷體" w:hint="eastAsia"/>
          <w:color w:val="000000" w:themeColor="text1"/>
          <w:kern w:val="0"/>
          <w:szCs w:val="24"/>
        </w:rPr>
        <w:t>有意願承接檢驗之公立醫院及直轄市政府警察局建立檢驗能量，避免檢驗</w:t>
      </w:r>
      <w:proofErr w:type="gramStart"/>
      <w:r w:rsidRPr="00DF797D">
        <w:rPr>
          <w:rFonts w:ascii="標楷體" w:eastAsia="標楷體" w:cs="標楷體" w:hint="eastAsia"/>
          <w:color w:val="000000" w:themeColor="text1"/>
          <w:kern w:val="0"/>
          <w:szCs w:val="24"/>
        </w:rPr>
        <w:t>空窗期</w:t>
      </w:r>
      <w:proofErr w:type="gramEnd"/>
      <w:r w:rsidRPr="00DF797D">
        <w:rPr>
          <w:rFonts w:ascii="標楷體" w:eastAsia="標楷體" w:cs="標楷體" w:hint="eastAsia"/>
          <w:color w:val="000000" w:themeColor="text1"/>
          <w:kern w:val="0"/>
          <w:szCs w:val="24"/>
        </w:rPr>
        <w:t>。</w:t>
      </w:r>
    </w:p>
    <w:p w14:paraId="3998CB80" w14:textId="6817EDC3" w:rsidR="002E628D" w:rsidRPr="003C3F9E" w:rsidRDefault="002E628D" w:rsidP="00CA55FD">
      <w:pPr>
        <w:overflowPunct w:val="0"/>
        <w:snapToGrid w:val="0"/>
        <w:spacing w:beforeLines="20" w:before="72" w:afterLines="20" w:after="72" w:line="430" w:lineRule="exact"/>
        <w:ind w:firstLineChars="200" w:firstLine="561"/>
        <w:jc w:val="both"/>
        <w:outlineLvl w:val="1"/>
        <w:rPr>
          <w:rFonts w:ascii="標楷體" w:eastAsia="標楷體" w:hAnsi="標楷體"/>
          <w:b/>
          <w:color w:val="000000"/>
          <w:sz w:val="28"/>
          <w:szCs w:val="28"/>
        </w:rPr>
      </w:pPr>
      <w:r w:rsidRPr="003C3F9E">
        <w:rPr>
          <w:rFonts w:ascii="標楷體" w:eastAsia="標楷體" w:hAnsi="標楷體" w:hint="eastAsia"/>
          <w:b/>
          <w:color w:val="000000"/>
          <w:sz w:val="28"/>
          <w:szCs w:val="28"/>
        </w:rPr>
        <w:t>（</w:t>
      </w:r>
      <w:r>
        <w:rPr>
          <w:rFonts w:ascii="標楷體" w:eastAsia="標楷體" w:hAnsi="標楷體" w:hint="eastAsia"/>
          <w:b/>
          <w:color w:val="000000"/>
          <w:sz w:val="28"/>
          <w:szCs w:val="28"/>
        </w:rPr>
        <w:t>十</w:t>
      </w:r>
      <w:r w:rsidR="00781889">
        <w:rPr>
          <w:rFonts w:ascii="標楷體" w:eastAsia="標楷體" w:hAnsi="標楷體" w:hint="eastAsia"/>
          <w:b/>
          <w:color w:val="000000"/>
          <w:sz w:val="28"/>
          <w:szCs w:val="28"/>
        </w:rPr>
        <w:t>八</w:t>
      </w:r>
      <w:r w:rsidRPr="003C3F9E">
        <w:rPr>
          <w:rFonts w:ascii="標楷體" w:eastAsia="標楷體" w:hAnsi="標楷體" w:hint="eastAsia"/>
          <w:b/>
          <w:color w:val="000000"/>
          <w:sz w:val="28"/>
          <w:szCs w:val="28"/>
        </w:rPr>
        <w:t xml:space="preserve">）　</w:t>
      </w:r>
      <w:r w:rsidR="00781F2C" w:rsidRPr="00B76E8B">
        <w:rPr>
          <w:rFonts w:ascii="標楷體" w:eastAsia="標楷體" w:hAnsi="標楷體" w:cs="標楷體" w:hint="eastAsia"/>
          <w:b/>
          <w:sz w:val="28"/>
          <w:szCs w:val="24"/>
        </w:rPr>
        <w:t>政府為因應抗生素抗藥性威脅，已推動相關行動方案及計畫，惟尚未參照國際指引建立國家自我評估機制，並監測環境中抗生素抗藥性細菌及</w:t>
      </w:r>
      <w:r w:rsidR="00405408">
        <w:rPr>
          <w:rFonts w:ascii="標楷體" w:eastAsia="標楷體" w:hAnsi="標楷體" w:cs="標楷體" w:hint="eastAsia"/>
          <w:b/>
          <w:sz w:val="28"/>
          <w:szCs w:val="24"/>
        </w:rPr>
        <w:t>抗藥性</w:t>
      </w:r>
      <w:r w:rsidR="00781F2C" w:rsidRPr="00B76E8B">
        <w:rPr>
          <w:rFonts w:ascii="標楷體" w:eastAsia="標楷體" w:hAnsi="標楷體" w:cs="標楷體" w:hint="eastAsia"/>
          <w:b/>
          <w:sz w:val="28"/>
          <w:szCs w:val="24"/>
        </w:rPr>
        <w:t>基因，又部分動物用抗生素屬應完全限制使用之人類重要抗生素，</w:t>
      </w:r>
      <w:proofErr w:type="gramStart"/>
      <w:r w:rsidR="00781F2C" w:rsidRPr="00B76E8B">
        <w:rPr>
          <w:rFonts w:ascii="標楷體" w:eastAsia="標楷體" w:hAnsi="標楷體" w:cs="標楷體" w:hint="eastAsia"/>
          <w:b/>
          <w:sz w:val="28"/>
          <w:szCs w:val="24"/>
        </w:rPr>
        <w:t>間有區域</w:t>
      </w:r>
      <w:proofErr w:type="gramEnd"/>
      <w:r w:rsidR="00781F2C" w:rsidRPr="00B76E8B">
        <w:rPr>
          <w:rFonts w:ascii="標楷體" w:eastAsia="標楷體" w:hAnsi="標楷體" w:cs="標楷體" w:hint="eastAsia"/>
          <w:b/>
          <w:sz w:val="28"/>
          <w:szCs w:val="24"/>
        </w:rPr>
        <w:t>級以下醫院感染管制人力不足，影響抗生素抗藥性管理效能，允宜跨部門合作強化相關管理作為，以維繫人類重要抗生素之有效性。</w:t>
      </w:r>
    </w:p>
    <w:p w14:paraId="469E27B0" w14:textId="6FA1B158" w:rsidR="00D94EF8" w:rsidRPr="00D94EF8" w:rsidRDefault="00D94EF8" w:rsidP="0087294C">
      <w:pPr>
        <w:overflowPunct w:val="0"/>
        <w:spacing w:line="410" w:lineRule="exact"/>
        <w:ind w:firstLineChars="200" w:firstLine="480"/>
        <w:jc w:val="both"/>
        <w:rPr>
          <w:rFonts w:ascii="標楷體" w:eastAsia="標楷體" w:hAnsi="標楷體"/>
          <w:szCs w:val="24"/>
        </w:rPr>
      </w:pPr>
      <w:r w:rsidRPr="00D94EF8">
        <w:rPr>
          <w:rFonts w:ascii="標楷體" w:eastAsia="標楷體" w:hAnsi="標楷體" w:hint="eastAsia"/>
          <w:szCs w:val="24"/>
        </w:rPr>
        <w:t>2015年世界衛生大會（World Health Assembly, WHA）通過「全球抗生素抗藥性行動方案」（下稱WHA行動方案），強調以人類、動物及</w:t>
      </w:r>
      <w:proofErr w:type="gramStart"/>
      <w:r w:rsidRPr="00D94EF8">
        <w:rPr>
          <w:rFonts w:ascii="標楷體" w:eastAsia="標楷體" w:hAnsi="標楷體" w:hint="eastAsia"/>
          <w:szCs w:val="24"/>
        </w:rPr>
        <w:t>環境間跨部門</w:t>
      </w:r>
      <w:proofErr w:type="gramEnd"/>
      <w:r w:rsidRPr="00D94EF8">
        <w:rPr>
          <w:rFonts w:ascii="標楷體" w:eastAsia="標楷體" w:hAnsi="標楷體" w:hint="eastAsia"/>
          <w:szCs w:val="24"/>
        </w:rPr>
        <w:t>合作之「防疫一體」(One Health)原則，因應抗生素抗藥性威脅，並作為各國制定國家行動方案之基礎。行政院為強化抗生素抗藥性管理、感染管制等工作，於108年7月核定「邁向全球衛生安全-抗生素抗藥性管理行動策略計畫」（109至113年），總經費5億5,350萬元，由衛生福利部疾病管制署（下稱疾管署）主責推動抗生素抗藥性防治相關措施；另由農業部會同衛生福利部，合作</w:t>
      </w:r>
      <w:proofErr w:type="gramStart"/>
      <w:r w:rsidRPr="00D94EF8">
        <w:rPr>
          <w:rFonts w:ascii="標楷體" w:eastAsia="標楷體" w:hAnsi="標楷體" w:hint="eastAsia"/>
          <w:szCs w:val="24"/>
        </w:rPr>
        <w:t>研</w:t>
      </w:r>
      <w:proofErr w:type="gramEnd"/>
      <w:r w:rsidRPr="00D94EF8">
        <w:rPr>
          <w:rFonts w:ascii="標楷體" w:eastAsia="標楷體" w:hAnsi="標楷體" w:hint="eastAsia"/>
          <w:szCs w:val="24"/>
        </w:rPr>
        <w:t>擬「國家因應細菌抗藥性行動方案（2021-2025）」，依據WHA行動方案架構，訂定行動目標與策略，協力降低抗藥性細菌產生及傳播風險。經查相關業務執行情形，核有下列事項：</w:t>
      </w:r>
    </w:p>
    <w:p w14:paraId="3C656FA4" w14:textId="528BB506" w:rsidR="00D94EF8" w:rsidRPr="00814C5A" w:rsidRDefault="00D94EF8" w:rsidP="0087294C">
      <w:pPr>
        <w:overflowPunct w:val="0"/>
        <w:spacing w:line="420" w:lineRule="exact"/>
        <w:ind w:firstLineChars="450" w:firstLine="1081"/>
        <w:jc w:val="both"/>
        <w:rPr>
          <w:rFonts w:ascii="標楷體" w:eastAsia="標楷體" w:hAnsi="標楷體" w:cs="標楷體"/>
          <w:szCs w:val="24"/>
        </w:rPr>
      </w:pPr>
      <w:r w:rsidRPr="00D94EF8">
        <w:rPr>
          <w:rFonts w:ascii="標楷體" w:eastAsia="標楷體" w:hAnsi="標楷體" w:cs="標楷體" w:hint="eastAsia"/>
          <w:b/>
          <w:szCs w:val="24"/>
        </w:rPr>
        <w:t>1.　我國尚未參照聯合國四方聯盟推動之抗生素抗藥性國家自我評估調查，辦理相關評估，恐</w:t>
      </w:r>
      <w:proofErr w:type="gramStart"/>
      <w:r w:rsidRPr="00D94EF8">
        <w:rPr>
          <w:rFonts w:ascii="標楷體" w:eastAsia="標楷體" w:hAnsi="標楷體" w:cs="標楷體" w:hint="eastAsia"/>
          <w:b/>
          <w:szCs w:val="24"/>
        </w:rPr>
        <w:t>不利參據國際</w:t>
      </w:r>
      <w:proofErr w:type="gramEnd"/>
      <w:r w:rsidRPr="00D94EF8">
        <w:rPr>
          <w:rFonts w:ascii="標楷體" w:eastAsia="標楷體" w:hAnsi="標楷體" w:cs="標楷體" w:hint="eastAsia"/>
          <w:b/>
          <w:szCs w:val="24"/>
        </w:rPr>
        <w:t>標準，盤點抗生素抗藥性管理政策</w:t>
      </w:r>
      <w:proofErr w:type="gramStart"/>
      <w:r w:rsidRPr="00D94EF8">
        <w:rPr>
          <w:rFonts w:ascii="標楷體" w:eastAsia="標楷體" w:hAnsi="標楷體" w:cs="標楷體" w:hint="eastAsia"/>
          <w:b/>
          <w:szCs w:val="24"/>
        </w:rPr>
        <w:t>尚待精進</w:t>
      </w:r>
      <w:proofErr w:type="gramEnd"/>
      <w:r w:rsidRPr="00D94EF8">
        <w:rPr>
          <w:rFonts w:ascii="標楷體" w:eastAsia="標楷體" w:hAnsi="標楷體" w:cs="標楷體" w:hint="eastAsia"/>
          <w:b/>
          <w:szCs w:val="24"/>
        </w:rPr>
        <w:t>之處，又相關行動方案及計畫僅將環境部門列為配合單位，不利防疫一體</w:t>
      </w:r>
      <w:proofErr w:type="gramStart"/>
      <w:r w:rsidRPr="00D94EF8">
        <w:rPr>
          <w:rFonts w:ascii="標楷體" w:eastAsia="標楷體" w:hAnsi="標楷體" w:cs="標楷體" w:hint="eastAsia"/>
          <w:b/>
          <w:szCs w:val="24"/>
        </w:rPr>
        <w:t>之跨域合作</w:t>
      </w:r>
      <w:proofErr w:type="gramEnd"/>
      <w:r w:rsidRPr="00D94EF8">
        <w:rPr>
          <w:rFonts w:ascii="標楷體" w:eastAsia="標楷體" w:hAnsi="標楷體" w:cs="標楷體" w:hint="eastAsia"/>
          <w:b/>
          <w:szCs w:val="24"/>
        </w:rPr>
        <w:t>：</w:t>
      </w:r>
      <w:proofErr w:type="gramStart"/>
      <w:r w:rsidRPr="00D94EF8">
        <w:rPr>
          <w:rFonts w:ascii="標楷體" w:eastAsia="標楷體" w:hAnsi="標楷體" w:cs="標楷體" w:hint="eastAsia"/>
          <w:szCs w:val="24"/>
        </w:rPr>
        <w:t>鑑</w:t>
      </w:r>
      <w:proofErr w:type="gramEnd"/>
      <w:r w:rsidRPr="00D94EF8">
        <w:rPr>
          <w:rFonts w:ascii="標楷體" w:eastAsia="標楷體" w:hAnsi="標楷體" w:cs="標楷體" w:hint="eastAsia"/>
          <w:szCs w:val="24"/>
        </w:rPr>
        <w:t>於抗生素抗藥性風險無法由單一部門因應，聯合國世界衛生組織（</w:t>
      </w:r>
      <w:r w:rsidRPr="00D94EF8">
        <w:rPr>
          <w:rFonts w:ascii="標楷體" w:eastAsia="標楷體" w:hAnsi="標楷體" w:cs="標楷體"/>
          <w:szCs w:val="24"/>
        </w:rPr>
        <w:t xml:space="preserve">World Health Organization, </w:t>
      </w:r>
      <w:r w:rsidRPr="00D94EF8">
        <w:rPr>
          <w:rFonts w:ascii="標楷體" w:eastAsia="標楷體" w:hAnsi="標楷體" w:cs="標楷體" w:hint="eastAsia"/>
          <w:szCs w:val="24"/>
        </w:rPr>
        <w:t xml:space="preserve">WHO）、世界動物衛生組織（World </w:t>
      </w:r>
      <w:proofErr w:type="spellStart"/>
      <w:r w:rsidRPr="00D94EF8">
        <w:rPr>
          <w:rFonts w:ascii="標楷體" w:eastAsia="標楷體" w:hAnsi="標楷體" w:cs="標楷體" w:hint="eastAsia"/>
          <w:szCs w:val="24"/>
        </w:rPr>
        <w:t>Organisation</w:t>
      </w:r>
      <w:proofErr w:type="spellEnd"/>
      <w:r w:rsidRPr="00D94EF8">
        <w:rPr>
          <w:rFonts w:ascii="標楷體" w:eastAsia="標楷體" w:hAnsi="標楷體" w:cs="標楷體" w:hint="eastAsia"/>
          <w:szCs w:val="24"/>
        </w:rPr>
        <w:t xml:space="preserve"> for Animal Health</w:t>
      </w:r>
      <w:r w:rsidRPr="00D94EF8">
        <w:rPr>
          <w:rFonts w:ascii="標楷體" w:eastAsia="標楷體" w:hAnsi="標楷體" w:cs="標楷體"/>
          <w:szCs w:val="24"/>
        </w:rPr>
        <w:t xml:space="preserve">, </w:t>
      </w:r>
      <w:r w:rsidRPr="00D94EF8">
        <w:rPr>
          <w:rFonts w:ascii="標楷體" w:eastAsia="標楷體" w:hAnsi="標楷體" w:cs="標楷體" w:hint="eastAsia"/>
          <w:szCs w:val="24"/>
        </w:rPr>
        <w:t>WOAH）、糧食及農業組織（Food and Agriculture Organization,</w:t>
      </w:r>
      <w:r w:rsidRPr="00D94EF8">
        <w:rPr>
          <w:rFonts w:ascii="標楷體" w:eastAsia="標楷體" w:hAnsi="標楷體" w:cs="標楷體"/>
          <w:szCs w:val="24"/>
        </w:rPr>
        <w:t xml:space="preserve"> </w:t>
      </w:r>
      <w:r w:rsidRPr="00D94EF8">
        <w:rPr>
          <w:rFonts w:ascii="標楷體" w:eastAsia="標楷體" w:hAnsi="標楷體" w:cs="標楷體" w:hint="eastAsia"/>
          <w:szCs w:val="24"/>
        </w:rPr>
        <w:t xml:space="preserve">FAO）及聯合國環境規劃署(UN Environment </w:t>
      </w:r>
      <w:proofErr w:type="spellStart"/>
      <w:r w:rsidRPr="00D94EF8">
        <w:rPr>
          <w:rFonts w:ascii="標楷體" w:eastAsia="標楷體" w:hAnsi="標楷體" w:cs="標楷體" w:hint="eastAsia"/>
          <w:szCs w:val="24"/>
        </w:rPr>
        <w:t>Programme</w:t>
      </w:r>
      <w:proofErr w:type="spellEnd"/>
      <w:r w:rsidRPr="00D94EF8">
        <w:rPr>
          <w:rFonts w:ascii="標楷體" w:eastAsia="標楷體" w:hAnsi="標楷體" w:cs="標楷體"/>
          <w:szCs w:val="24"/>
        </w:rPr>
        <w:t>,</w:t>
      </w:r>
      <w:r w:rsidRPr="00D94EF8">
        <w:rPr>
          <w:rFonts w:ascii="標楷體" w:eastAsia="標楷體" w:hAnsi="標楷體" w:cs="標楷體" w:hint="eastAsia"/>
          <w:szCs w:val="24"/>
        </w:rPr>
        <w:t xml:space="preserve"> UNEP)，成立四方聯盟(Quadripartite)，提出防疫一體（One Health）概念，強調以人類、動物及環境間之跨部門合</w:t>
      </w:r>
      <w:r w:rsidRPr="00D94EF8">
        <w:rPr>
          <w:rFonts w:ascii="標楷體" w:eastAsia="標楷體" w:hAnsi="標楷體" w:cs="標楷體" w:hint="eastAsia"/>
          <w:szCs w:val="24"/>
        </w:rPr>
        <w:lastRenderedPageBreak/>
        <w:t xml:space="preserve">作，共同因應抗生素抗藥性威脅，且為監測各國對於WHA行動方案所列策略之執行情形，定期辦理「追蹤抗生素抗藥性國家自我評估調查」(Tracking AMR Country Self-assessment Survey, </w:t>
      </w:r>
      <w:proofErr w:type="spellStart"/>
      <w:r w:rsidRPr="00D94EF8">
        <w:rPr>
          <w:rFonts w:ascii="標楷體" w:eastAsia="標楷體" w:hAnsi="標楷體" w:cs="標楷體" w:hint="eastAsia"/>
          <w:szCs w:val="24"/>
        </w:rPr>
        <w:t>TrACSS</w:t>
      </w:r>
      <w:proofErr w:type="spellEnd"/>
      <w:r w:rsidRPr="00D94EF8">
        <w:rPr>
          <w:rFonts w:ascii="標楷體" w:eastAsia="標楷體" w:hAnsi="標楷體" w:cs="標楷體" w:hint="eastAsia"/>
          <w:szCs w:val="24"/>
        </w:rPr>
        <w:t>)，以防疫一體概念提供各國有關抗生素抗藥性管理推動情形之自我評估工具，並公開各國自評結果供各界參閱，迄至2024年第8次</w:t>
      </w:r>
      <w:proofErr w:type="spellStart"/>
      <w:r w:rsidRPr="00D94EF8">
        <w:rPr>
          <w:rFonts w:ascii="標楷體" w:eastAsia="標楷體" w:hAnsi="標楷體" w:cs="標楷體" w:hint="eastAsia"/>
          <w:szCs w:val="24"/>
        </w:rPr>
        <w:t>TrACSS</w:t>
      </w:r>
      <w:proofErr w:type="spellEnd"/>
      <w:r w:rsidRPr="00D94EF8">
        <w:rPr>
          <w:rFonts w:ascii="標楷體" w:eastAsia="標楷體" w:hAnsi="標楷體" w:cs="標楷體" w:hint="eastAsia"/>
          <w:szCs w:val="24"/>
        </w:rPr>
        <w:t>調查，全球已有186個國家參與。經查</w:t>
      </w:r>
      <w:r w:rsidR="0091366A">
        <w:rPr>
          <w:rFonts w:ascii="標楷體" w:eastAsia="標楷體" w:hAnsi="標楷體" w:cs="標楷體" w:hint="eastAsia"/>
          <w:szCs w:val="24"/>
        </w:rPr>
        <w:t>，</w:t>
      </w:r>
      <w:r w:rsidRPr="00D94EF8">
        <w:rPr>
          <w:rFonts w:ascii="標楷體" w:eastAsia="標楷體" w:hAnsi="標楷體" w:cs="標楷體" w:hint="eastAsia"/>
          <w:szCs w:val="24"/>
        </w:rPr>
        <w:t>我國因非屬聯合國會員國而未參與四方聯盟之定期調查，</w:t>
      </w:r>
      <w:proofErr w:type="gramStart"/>
      <w:r w:rsidRPr="00D94EF8">
        <w:rPr>
          <w:rFonts w:ascii="標楷體" w:eastAsia="標楷體" w:hAnsi="標楷體" w:cs="標楷體" w:hint="eastAsia"/>
          <w:szCs w:val="24"/>
        </w:rPr>
        <w:t>雖業以</w:t>
      </w:r>
      <w:proofErr w:type="gramEnd"/>
      <w:r w:rsidRPr="00D94EF8">
        <w:rPr>
          <w:rFonts w:ascii="標楷體" w:eastAsia="標楷體" w:hAnsi="標楷體" w:cs="標楷體" w:hint="eastAsia"/>
          <w:szCs w:val="24"/>
        </w:rPr>
        <w:t>「國家因應細菌抗藥性行動方案（2021-2025）」及行政院113年7月核定之「國家級防疫一體抗生素抗藥性管理行動計畫（114年至118年）」等行動方案或計畫，從防疫一體概念</w:t>
      </w:r>
      <w:proofErr w:type="gramStart"/>
      <w:r w:rsidRPr="00D94EF8">
        <w:rPr>
          <w:rFonts w:ascii="標楷體" w:eastAsia="標楷體" w:hAnsi="標楷體" w:cs="標楷體" w:hint="eastAsia"/>
          <w:szCs w:val="24"/>
        </w:rPr>
        <w:t>提出衛政與</w:t>
      </w:r>
      <w:proofErr w:type="gramEnd"/>
      <w:r w:rsidRPr="00D94EF8">
        <w:rPr>
          <w:rFonts w:ascii="標楷體" w:eastAsia="標楷體" w:hAnsi="標楷體" w:cs="標楷體" w:hint="eastAsia"/>
          <w:szCs w:val="24"/>
        </w:rPr>
        <w:t>農政之跨部門合作措施，</w:t>
      </w:r>
      <w:proofErr w:type="gramStart"/>
      <w:r w:rsidRPr="00D94EF8">
        <w:rPr>
          <w:rFonts w:ascii="標楷體" w:eastAsia="標楷體" w:hAnsi="標楷體" w:cs="標楷體" w:hint="eastAsia"/>
          <w:szCs w:val="24"/>
        </w:rPr>
        <w:t>然迄</w:t>
      </w:r>
      <w:proofErr w:type="gramEnd"/>
      <w:r w:rsidRPr="00D94EF8">
        <w:rPr>
          <w:rFonts w:ascii="標楷體" w:eastAsia="標楷體" w:hAnsi="標楷體" w:cs="標楷體" w:hint="eastAsia"/>
          <w:szCs w:val="24"/>
        </w:rPr>
        <w:t>113年底止，尚未對應</w:t>
      </w:r>
      <w:proofErr w:type="spellStart"/>
      <w:r w:rsidRPr="00D94EF8">
        <w:rPr>
          <w:rFonts w:ascii="標楷體" w:eastAsia="標楷體" w:hAnsi="標楷體" w:cs="標楷體" w:hint="eastAsia"/>
          <w:szCs w:val="24"/>
        </w:rPr>
        <w:t>TrACSS</w:t>
      </w:r>
      <w:proofErr w:type="spellEnd"/>
      <w:r w:rsidRPr="00D94EF8">
        <w:rPr>
          <w:rFonts w:ascii="標楷體" w:eastAsia="標楷體" w:hAnsi="標楷體" w:cs="標楷體" w:hint="eastAsia"/>
          <w:szCs w:val="24"/>
        </w:rPr>
        <w:t>列示之重點領域進行整體評估工作，恐未能從國際標準檢視國內現況，且不利與他國進行比較；又聯合國四方聯盟提倡對於抗生素抗藥性之管理，人類、動物、環境等部門之因應行動同等重要，而我國相關行動方案及計畫僅將環境部門列為配合單位，未參照國際作法賦予積極權責及相應經費資源，恐不利防疫一體</w:t>
      </w:r>
      <w:proofErr w:type="gramStart"/>
      <w:r w:rsidRPr="00D94EF8">
        <w:rPr>
          <w:rFonts w:ascii="標楷體" w:eastAsia="標楷體" w:hAnsi="標楷體" w:cs="標楷體" w:hint="eastAsia"/>
          <w:szCs w:val="24"/>
        </w:rPr>
        <w:t>之跨域合作</w:t>
      </w:r>
      <w:proofErr w:type="gramEnd"/>
      <w:r w:rsidRPr="00D94EF8">
        <w:rPr>
          <w:rFonts w:ascii="標楷體" w:eastAsia="標楷體" w:hAnsi="標楷體" w:cs="標楷體" w:hint="eastAsia"/>
          <w:szCs w:val="24"/>
        </w:rPr>
        <w:t>，影響整體抗生素抗藥性管理效能。</w:t>
      </w:r>
      <w:r w:rsidRPr="00D94EF8">
        <w:rPr>
          <w:rFonts w:ascii="標楷體" w:eastAsia="標楷體" w:hAnsi="標楷體" w:cs="New Gulim" w:hint="eastAsia"/>
          <w:szCs w:val="24"/>
        </w:rPr>
        <w:t>經函請行政院</w:t>
      </w:r>
      <w:r w:rsidRPr="00D94EF8">
        <w:rPr>
          <w:rFonts w:ascii="標楷體" w:eastAsia="標楷體" w:hAnsi="標楷體" w:cs="標楷體" w:hint="eastAsia"/>
          <w:szCs w:val="24"/>
        </w:rPr>
        <w:t>督促參酌國際組織之評估調查工具，</w:t>
      </w:r>
      <w:proofErr w:type="gramStart"/>
      <w:r w:rsidRPr="00D94EF8">
        <w:rPr>
          <w:rFonts w:ascii="標楷體" w:eastAsia="標楷體" w:hAnsi="標楷體" w:cs="標楷體" w:hint="eastAsia"/>
          <w:szCs w:val="24"/>
        </w:rPr>
        <w:t>研</w:t>
      </w:r>
      <w:proofErr w:type="gramEnd"/>
      <w:r w:rsidRPr="00D94EF8">
        <w:rPr>
          <w:rFonts w:ascii="標楷體" w:eastAsia="標楷體" w:hAnsi="標楷體" w:cs="標楷體" w:hint="eastAsia"/>
          <w:szCs w:val="24"/>
        </w:rPr>
        <w:t>謀建立跨部門抗生素抗藥性管理之定期自我評估及管考機制，據以強化相關</w:t>
      </w:r>
      <w:proofErr w:type="gramStart"/>
      <w:r w:rsidRPr="00D94EF8">
        <w:rPr>
          <w:rFonts w:ascii="標楷體" w:eastAsia="標楷體" w:hAnsi="標楷體" w:cs="標楷體" w:hint="eastAsia"/>
          <w:szCs w:val="24"/>
        </w:rPr>
        <w:t>部門跨域因應</w:t>
      </w:r>
      <w:proofErr w:type="gramEnd"/>
      <w:r w:rsidRPr="00D94EF8">
        <w:rPr>
          <w:rFonts w:ascii="標楷體" w:eastAsia="標楷體" w:hAnsi="標楷體" w:cs="標楷體" w:hint="eastAsia"/>
          <w:szCs w:val="24"/>
        </w:rPr>
        <w:t>作為。</w:t>
      </w:r>
      <w:r w:rsidRPr="00814C5A">
        <w:rPr>
          <w:rFonts w:ascii="標楷體" w:eastAsia="標楷體" w:hAnsi="標楷體" w:hint="eastAsia"/>
          <w:spacing w:val="-2"/>
          <w:szCs w:val="24"/>
        </w:rPr>
        <w:t>據復：</w:t>
      </w:r>
      <w:proofErr w:type="gramStart"/>
      <w:r w:rsidRPr="00814C5A">
        <w:rPr>
          <w:rFonts w:ascii="標楷體" w:eastAsia="標楷體" w:hAnsi="標楷體" w:hint="eastAsia"/>
          <w:spacing w:val="-2"/>
          <w:szCs w:val="24"/>
        </w:rPr>
        <w:t>疾管署已</w:t>
      </w:r>
      <w:proofErr w:type="gramEnd"/>
      <w:r w:rsidRPr="00814C5A">
        <w:rPr>
          <w:rFonts w:ascii="標楷體" w:eastAsia="標楷體" w:hAnsi="標楷體" w:hint="eastAsia"/>
          <w:spacing w:val="-2"/>
          <w:szCs w:val="24"/>
        </w:rPr>
        <w:t>規劃參考聯合國四方聯盟</w:t>
      </w:r>
      <w:proofErr w:type="spellStart"/>
      <w:r w:rsidRPr="00814C5A">
        <w:rPr>
          <w:rFonts w:ascii="標楷體" w:eastAsia="標楷體" w:hAnsi="標楷體"/>
          <w:spacing w:val="-2"/>
          <w:szCs w:val="24"/>
        </w:rPr>
        <w:t>TrACSS</w:t>
      </w:r>
      <w:proofErr w:type="spellEnd"/>
      <w:r w:rsidRPr="00814C5A">
        <w:rPr>
          <w:rFonts w:ascii="標楷體" w:eastAsia="標楷體" w:hAnsi="標楷體" w:hint="eastAsia"/>
          <w:spacing w:val="-2"/>
          <w:szCs w:val="24"/>
        </w:rPr>
        <w:t>調查問卷等國際文件，</w:t>
      </w:r>
      <w:proofErr w:type="gramStart"/>
      <w:r w:rsidRPr="00814C5A">
        <w:rPr>
          <w:rFonts w:ascii="標楷體" w:eastAsia="標楷體" w:hAnsi="標楷體" w:hint="eastAsia"/>
          <w:spacing w:val="-2"/>
          <w:szCs w:val="24"/>
        </w:rPr>
        <w:t>研</w:t>
      </w:r>
      <w:proofErr w:type="gramEnd"/>
      <w:r w:rsidRPr="00814C5A">
        <w:rPr>
          <w:rFonts w:ascii="標楷體" w:eastAsia="標楷體" w:hAnsi="標楷體" w:hint="eastAsia"/>
          <w:spacing w:val="-2"/>
          <w:szCs w:val="24"/>
        </w:rPr>
        <w:t>訂國家抗生素抗藥性管理行動計畫能力評核項目，於</w:t>
      </w:r>
      <w:proofErr w:type="gramStart"/>
      <w:r w:rsidRPr="00814C5A">
        <w:rPr>
          <w:rFonts w:ascii="標楷體" w:eastAsia="標楷體" w:hAnsi="標楷體" w:hint="eastAsia"/>
          <w:spacing w:val="-2"/>
          <w:szCs w:val="24"/>
        </w:rPr>
        <w:t>114</w:t>
      </w:r>
      <w:proofErr w:type="gramEnd"/>
      <w:r w:rsidRPr="00814C5A">
        <w:rPr>
          <w:rFonts w:ascii="標楷體" w:eastAsia="標楷體" w:hAnsi="標楷體" w:hint="eastAsia"/>
          <w:spacing w:val="-2"/>
          <w:szCs w:val="24"/>
        </w:rPr>
        <w:t>年度邀集相關部會辦理自我評核、</w:t>
      </w:r>
      <w:proofErr w:type="gramStart"/>
      <w:r w:rsidRPr="00814C5A">
        <w:rPr>
          <w:rFonts w:ascii="標楷體" w:eastAsia="標楷體" w:hAnsi="標楷體" w:hint="eastAsia"/>
          <w:spacing w:val="-2"/>
          <w:szCs w:val="24"/>
        </w:rPr>
        <w:t>115</w:t>
      </w:r>
      <w:proofErr w:type="gramEnd"/>
      <w:r w:rsidRPr="00814C5A">
        <w:rPr>
          <w:rFonts w:ascii="標楷體" w:eastAsia="標楷體" w:hAnsi="標楷體" w:hint="eastAsia"/>
          <w:spacing w:val="-2"/>
          <w:szCs w:val="24"/>
        </w:rPr>
        <w:t>年度邀請國內外專家團體辦理外部評核，針對抗生素抗藥性管理政策進行全面盤點，後續將依上開行動計畫能力評核結果，檢討精進執行策略。</w:t>
      </w:r>
    </w:p>
    <w:p w14:paraId="1F902D1B" w14:textId="54413F94" w:rsidR="00EA2A66" w:rsidRDefault="00D94EF8" w:rsidP="00EA2A66">
      <w:pPr>
        <w:overflowPunct w:val="0"/>
        <w:spacing w:line="404" w:lineRule="exact"/>
        <w:ind w:firstLineChars="350" w:firstLine="1121"/>
        <w:jc w:val="distribute"/>
        <w:rPr>
          <w:rFonts w:ascii="標楷體" w:eastAsia="標楷體" w:hAnsi="標楷體" w:cs="標楷體"/>
          <w:szCs w:val="24"/>
        </w:rPr>
      </w:pPr>
      <w:r w:rsidRPr="003269B0">
        <w:rPr>
          <w:rFonts w:ascii="標楷體" w:eastAsia="標楷體" w:hAnsi="標楷體"/>
          <w:b/>
          <w:noProof/>
          <w:spacing w:val="-2"/>
          <w:sz w:val="32"/>
          <w:szCs w:val="32"/>
        </w:rPr>
        <mc:AlternateContent>
          <mc:Choice Requires="wps">
            <w:drawing>
              <wp:anchor distT="0" distB="0" distL="114300" distR="114300" simplePos="0" relativeHeight="251661312" behindDoc="0" locked="0" layoutInCell="1" allowOverlap="1" wp14:anchorId="2021A2AB" wp14:editId="72AC0EF1">
                <wp:simplePos x="0" y="0"/>
                <wp:positionH relativeFrom="margin">
                  <wp:posOffset>2596515</wp:posOffset>
                </wp:positionH>
                <wp:positionV relativeFrom="paragraph">
                  <wp:posOffset>845820</wp:posOffset>
                </wp:positionV>
                <wp:extent cx="3765550" cy="3771900"/>
                <wp:effectExtent l="0" t="0" r="6350" b="0"/>
                <wp:wrapSquare wrapText="bothSides"/>
                <wp:docPr id="20083270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5550" cy="3771900"/>
                        </a:xfrm>
                        <a:prstGeom prst="rect">
                          <a:avLst/>
                        </a:prstGeom>
                        <a:solidFill>
                          <a:srgbClr val="FFFFFF"/>
                        </a:solidFill>
                        <a:ln w="9525">
                          <a:noFill/>
                          <a:miter lim="800000"/>
                          <a:headEnd/>
                          <a:tailEnd/>
                        </a:ln>
                      </wps:spPr>
                      <wps:txbx>
                        <w:txbxContent>
                          <w:p w14:paraId="35608528" w14:textId="12E8E54B" w:rsidR="00D94EF8" w:rsidRPr="00552187" w:rsidRDefault="00D94EF8" w:rsidP="00D94EF8">
                            <w:pPr>
                              <w:tabs>
                                <w:tab w:val="left" w:pos="6379"/>
                              </w:tabs>
                              <w:spacing w:line="280" w:lineRule="exact"/>
                              <w:ind w:leftChars="-118" w:left="721" w:hangingChars="418" w:hanging="1004"/>
                              <w:jc w:val="center"/>
                              <w:rPr>
                                <w:rFonts w:ascii="標楷體" w:eastAsia="標楷體" w:hAnsi="標楷體"/>
                                <w:b/>
                                <w:color w:val="000000" w:themeColor="text1"/>
                              </w:rPr>
                            </w:pPr>
                            <w:r w:rsidRPr="00552187">
                              <w:rPr>
                                <w:rFonts w:ascii="標楷體" w:eastAsia="標楷體" w:hAnsi="標楷體" w:hint="eastAsia"/>
                                <w:b/>
                                <w:color w:val="000000" w:themeColor="text1"/>
                              </w:rPr>
                              <w:t>表</w:t>
                            </w:r>
                            <w:r w:rsidR="00552187">
                              <w:rPr>
                                <w:rFonts w:ascii="標楷體" w:eastAsia="標楷體" w:hAnsi="標楷體"/>
                                <w:b/>
                                <w:color w:val="000000" w:themeColor="text1"/>
                              </w:rPr>
                              <w:t>29</w:t>
                            </w:r>
                            <w:r w:rsidRPr="00552187">
                              <w:rPr>
                                <w:rFonts w:ascii="標楷體" w:eastAsia="標楷體" w:hAnsi="標楷體" w:hint="eastAsia"/>
                                <w:b/>
                                <w:color w:val="000000" w:themeColor="text1"/>
                              </w:rPr>
                              <w:t xml:space="preserve">　環境部監測調查廢（污）水殘留抗生素情形</w:t>
                            </w:r>
                          </w:p>
                          <w:tbl>
                            <w:tblPr>
                              <w:tblStyle w:val="45"/>
                              <w:tblW w:w="4759" w:type="pct"/>
                              <w:tblInd w:w="108" w:type="dxa"/>
                              <w:tblLook w:val="04A0" w:firstRow="1" w:lastRow="0" w:firstColumn="1" w:lastColumn="0" w:noHBand="0" w:noVBand="1"/>
                            </w:tblPr>
                            <w:tblGrid>
                              <w:gridCol w:w="1216"/>
                              <w:gridCol w:w="1227"/>
                              <w:gridCol w:w="1120"/>
                              <w:gridCol w:w="2014"/>
                            </w:tblGrid>
                            <w:tr w:rsidR="00552187" w:rsidRPr="00552187" w14:paraId="74F4E230" w14:textId="77777777" w:rsidTr="00E628C0">
                              <w:trPr>
                                <w:trHeight w:val="234"/>
                              </w:trPr>
                              <w:tc>
                                <w:tcPr>
                                  <w:tcW w:w="1090" w:type="pct"/>
                                  <w:vMerge w:val="restart"/>
                                  <w:vAlign w:val="center"/>
                                </w:tcPr>
                                <w:p w14:paraId="52E11DE8"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領域</w:t>
                                  </w:r>
                                </w:p>
                              </w:tc>
                              <w:tc>
                                <w:tcPr>
                                  <w:tcW w:w="3910" w:type="pct"/>
                                  <w:gridSpan w:val="3"/>
                                  <w:vAlign w:val="center"/>
                                </w:tcPr>
                                <w:p w14:paraId="214526F9"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1</w:t>
                                  </w:r>
                                  <w:r w:rsidRPr="00552187">
                                    <w:rPr>
                                      <w:rFonts w:ascii="標楷體" w:eastAsia="標楷體" w:hAnsi="標楷體"/>
                                      <w:color w:val="000000" w:themeColor="text1"/>
                                      <w:sz w:val="20"/>
                                    </w:rPr>
                                    <w:t>09至113年度</w:t>
                                  </w:r>
                                  <w:r w:rsidRPr="00552187">
                                    <w:rPr>
                                      <w:rFonts w:ascii="標楷體" w:eastAsia="標楷體" w:hAnsi="標楷體" w:hint="eastAsia"/>
                                      <w:color w:val="000000" w:themeColor="text1"/>
                                      <w:sz w:val="20"/>
                                    </w:rPr>
                                    <w:t>監測調查辦理情形</w:t>
                                  </w:r>
                                </w:p>
                              </w:tc>
                            </w:tr>
                            <w:tr w:rsidR="00222E04" w:rsidRPr="00552187" w14:paraId="1DE1440F" w14:textId="77777777" w:rsidTr="00222E04">
                              <w:trPr>
                                <w:trHeight w:val="66"/>
                              </w:trPr>
                              <w:tc>
                                <w:tcPr>
                                  <w:tcW w:w="1090" w:type="pct"/>
                                  <w:vMerge/>
                                  <w:vAlign w:val="center"/>
                                </w:tcPr>
                                <w:p w14:paraId="7196536E" w14:textId="77777777" w:rsidR="00D94EF8" w:rsidRPr="00552187" w:rsidRDefault="00D94EF8" w:rsidP="003269B0">
                                  <w:pPr>
                                    <w:spacing w:line="190" w:lineRule="exact"/>
                                    <w:jc w:val="center"/>
                                    <w:rPr>
                                      <w:rFonts w:ascii="標楷體" w:eastAsia="標楷體" w:hAnsi="標楷體"/>
                                      <w:color w:val="000000" w:themeColor="text1"/>
                                      <w:sz w:val="20"/>
                                    </w:rPr>
                                  </w:pPr>
                                </w:p>
                              </w:tc>
                              <w:tc>
                                <w:tcPr>
                                  <w:tcW w:w="1100" w:type="pct"/>
                                </w:tcPr>
                                <w:p w14:paraId="2F0B96E0"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抽樣對象</w:t>
                                  </w:r>
                                </w:p>
                              </w:tc>
                              <w:tc>
                                <w:tcPr>
                                  <w:tcW w:w="1004" w:type="pct"/>
                                </w:tcPr>
                                <w:p w14:paraId="6AA7E936"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年度</w:t>
                                  </w:r>
                                </w:p>
                              </w:tc>
                              <w:tc>
                                <w:tcPr>
                                  <w:tcW w:w="1806" w:type="pct"/>
                                  <w:vAlign w:val="center"/>
                                </w:tcPr>
                                <w:p w14:paraId="46AAB4A7"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抗生素</w:t>
                                  </w:r>
                                </w:p>
                              </w:tc>
                            </w:tr>
                            <w:tr w:rsidR="00222E04" w:rsidRPr="00552187" w14:paraId="552E47EB" w14:textId="77777777" w:rsidTr="00222E04">
                              <w:trPr>
                                <w:trHeight w:val="1124"/>
                              </w:trPr>
                              <w:tc>
                                <w:tcPr>
                                  <w:tcW w:w="1090" w:type="pct"/>
                                  <w:vAlign w:val="center"/>
                                </w:tcPr>
                                <w:p w14:paraId="65FCC1AC"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家庭與社區</w:t>
                                  </w:r>
                                </w:p>
                              </w:tc>
                              <w:tc>
                                <w:tcPr>
                                  <w:tcW w:w="1100" w:type="pct"/>
                                  <w:vAlign w:val="center"/>
                                </w:tcPr>
                                <w:p w14:paraId="2C9ED59A"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公共污水下水道系統污水處理廠</w:t>
                                  </w:r>
                                </w:p>
                              </w:tc>
                              <w:tc>
                                <w:tcPr>
                                  <w:tcW w:w="1004" w:type="pct"/>
                                  <w:vMerge w:val="restart"/>
                                  <w:vAlign w:val="center"/>
                                </w:tcPr>
                                <w:p w14:paraId="647540EC"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1</w:t>
                                  </w:r>
                                  <w:r w:rsidRPr="00552187">
                                    <w:rPr>
                                      <w:rFonts w:ascii="標楷體" w:eastAsia="標楷體" w:hAnsi="標楷體"/>
                                      <w:color w:val="000000" w:themeColor="text1"/>
                                      <w:sz w:val="20"/>
                                    </w:rPr>
                                    <w:t>09至113年度</w:t>
                                  </w:r>
                                </w:p>
                              </w:tc>
                              <w:tc>
                                <w:tcPr>
                                  <w:tcW w:w="1806" w:type="pct"/>
                                  <w:vMerge w:val="restart"/>
                                  <w:vAlign w:val="center"/>
                                </w:tcPr>
                                <w:p w14:paraId="01487E9F"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紅黴素、</w:t>
                                  </w:r>
                                  <w:proofErr w:type="gramStart"/>
                                  <w:r w:rsidRPr="00552187">
                                    <w:rPr>
                                      <w:rFonts w:ascii="標楷體" w:eastAsia="標楷體" w:hAnsi="標楷體" w:hint="eastAsia"/>
                                      <w:color w:val="000000" w:themeColor="text1"/>
                                      <w:sz w:val="20"/>
                                    </w:rPr>
                                    <w:t>磺</w:t>
                                  </w:r>
                                  <w:proofErr w:type="gramEnd"/>
                                  <w:r w:rsidRPr="00552187">
                                    <w:rPr>
                                      <w:rFonts w:ascii="標楷體" w:eastAsia="標楷體" w:hAnsi="標楷體" w:hint="eastAsia"/>
                                      <w:color w:val="000000" w:themeColor="text1"/>
                                      <w:sz w:val="20"/>
                                    </w:rPr>
                                    <w:t>胺甲</w:t>
                                  </w:r>
                                  <w:proofErr w:type="gramStart"/>
                                  <w:r w:rsidRPr="00552187">
                                    <w:rPr>
                                      <w:rFonts w:ascii="標楷體" w:eastAsia="標楷體" w:hAnsi="標楷體" w:hint="eastAsia"/>
                                      <w:color w:val="000000" w:themeColor="text1"/>
                                      <w:sz w:val="20"/>
                                    </w:rPr>
                                    <w:t>噁唑</w:t>
                                  </w:r>
                                  <w:proofErr w:type="gramEnd"/>
                                  <w:r w:rsidRPr="00552187">
                                    <w:rPr>
                                      <w:rFonts w:ascii="標楷體" w:eastAsia="標楷體" w:hAnsi="標楷體" w:hint="eastAsia"/>
                                      <w:color w:val="000000" w:themeColor="text1"/>
                                      <w:sz w:val="20"/>
                                    </w:rPr>
                                    <w:t>、</w:t>
                                  </w:r>
                                  <w:proofErr w:type="gramStart"/>
                                  <w:r w:rsidRPr="00552187">
                                    <w:rPr>
                                      <w:rFonts w:ascii="標楷體" w:eastAsia="標楷體" w:hAnsi="標楷體" w:hint="eastAsia"/>
                                      <w:color w:val="000000" w:themeColor="text1"/>
                                      <w:sz w:val="20"/>
                                    </w:rPr>
                                    <w:t>磺</w:t>
                                  </w:r>
                                  <w:proofErr w:type="gramEnd"/>
                                  <w:r w:rsidRPr="00552187">
                                    <w:rPr>
                                      <w:rFonts w:ascii="標楷體" w:eastAsia="標楷體" w:hAnsi="標楷體" w:hint="eastAsia"/>
                                      <w:color w:val="000000" w:themeColor="text1"/>
                                      <w:sz w:val="20"/>
                                    </w:rPr>
                                    <w:t>胺噻唑、四環黴素、羥四環黴素、氯四環黴素、克拉黴素、氟甲喹、安比西林、阿奇黴素、頭孢氨苄、環丙沙星、諾氟沙星、氧氟沙星、盤尼西林、阿莫西林、頭孢他啶、萬古黴素、甲氧苯青黴素、美羅培南、克催瑪汝</w:t>
                                  </w:r>
                                </w:p>
                              </w:tc>
                            </w:tr>
                            <w:tr w:rsidR="00222E04" w:rsidRPr="00552187" w14:paraId="08EE0D0A" w14:textId="77777777" w:rsidTr="00222E04">
                              <w:trPr>
                                <w:trHeight w:val="203"/>
                              </w:trPr>
                              <w:tc>
                                <w:tcPr>
                                  <w:tcW w:w="1090" w:type="pct"/>
                                  <w:vAlign w:val="center"/>
                                </w:tcPr>
                                <w:p w14:paraId="6B89D803" w14:textId="77777777" w:rsidR="00D94EF8" w:rsidRPr="00552187" w:rsidRDefault="00D94EF8" w:rsidP="003269B0">
                                  <w:pPr>
                                    <w:widowControl/>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醫療機構</w:t>
                                  </w:r>
                                </w:p>
                              </w:tc>
                              <w:tc>
                                <w:tcPr>
                                  <w:tcW w:w="1100" w:type="pct"/>
                                  <w:vAlign w:val="center"/>
                                </w:tcPr>
                                <w:p w14:paraId="2230E7FF" w14:textId="77777777" w:rsidR="00D94EF8" w:rsidRPr="00552187" w:rsidRDefault="00D94EF8" w:rsidP="003269B0">
                                  <w:pPr>
                                    <w:widowControl/>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醫院</w:t>
                                  </w:r>
                                </w:p>
                              </w:tc>
                              <w:tc>
                                <w:tcPr>
                                  <w:tcW w:w="1004" w:type="pct"/>
                                  <w:vMerge/>
                                  <w:vAlign w:val="center"/>
                                </w:tcPr>
                                <w:p w14:paraId="4940F3AF" w14:textId="77777777" w:rsidR="00D94EF8" w:rsidRPr="00552187" w:rsidRDefault="00D94EF8" w:rsidP="003269B0">
                                  <w:pPr>
                                    <w:widowControl/>
                                    <w:spacing w:line="190" w:lineRule="exact"/>
                                    <w:jc w:val="both"/>
                                    <w:rPr>
                                      <w:rFonts w:ascii="標楷體" w:eastAsia="標楷體" w:hAnsi="標楷體"/>
                                      <w:color w:val="000000" w:themeColor="text1"/>
                                      <w:sz w:val="20"/>
                                    </w:rPr>
                                  </w:pPr>
                                </w:p>
                              </w:tc>
                              <w:tc>
                                <w:tcPr>
                                  <w:tcW w:w="1806" w:type="pct"/>
                                  <w:vMerge/>
                                  <w:vAlign w:val="center"/>
                                </w:tcPr>
                                <w:p w14:paraId="5BD15671" w14:textId="77777777" w:rsidR="00D94EF8" w:rsidRPr="00552187" w:rsidRDefault="00D94EF8" w:rsidP="003269B0">
                                  <w:pPr>
                                    <w:widowControl/>
                                    <w:spacing w:line="190" w:lineRule="exact"/>
                                    <w:jc w:val="both"/>
                                    <w:rPr>
                                      <w:rFonts w:ascii="標楷體" w:eastAsia="標楷體" w:hAnsi="標楷體"/>
                                      <w:color w:val="000000" w:themeColor="text1"/>
                                      <w:sz w:val="20"/>
                                    </w:rPr>
                                  </w:pPr>
                                </w:p>
                              </w:tc>
                            </w:tr>
                            <w:tr w:rsidR="00222E04" w:rsidRPr="00552187" w14:paraId="3286F427" w14:textId="77777777" w:rsidTr="00222E04">
                              <w:trPr>
                                <w:trHeight w:val="215"/>
                              </w:trPr>
                              <w:tc>
                                <w:tcPr>
                                  <w:tcW w:w="1090" w:type="pct"/>
                                  <w:vMerge w:val="restart"/>
                                  <w:vAlign w:val="center"/>
                                </w:tcPr>
                                <w:p w14:paraId="2F76DFE6"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動植物生產</w:t>
                                  </w:r>
                                </w:p>
                              </w:tc>
                              <w:tc>
                                <w:tcPr>
                                  <w:tcW w:w="1100" w:type="pct"/>
                                  <w:vAlign w:val="center"/>
                                </w:tcPr>
                                <w:p w14:paraId="7E7834EC" w14:textId="77777777" w:rsidR="00D94EF8" w:rsidRPr="00552187" w:rsidRDefault="00D94EF8" w:rsidP="003269B0">
                                  <w:pPr>
                                    <w:spacing w:line="190" w:lineRule="exact"/>
                                    <w:jc w:val="both"/>
                                    <w:rPr>
                                      <w:rFonts w:ascii="標楷體" w:eastAsia="標楷體" w:hAnsi="標楷體" w:cs="新細明體"/>
                                      <w:color w:val="000000" w:themeColor="text1"/>
                                      <w:sz w:val="20"/>
                                    </w:rPr>
                                  </w:pPr>
                                  <w:r w:rsidRPr="00552187">
                                    <w:rPr>
                                      <w:rFonts w:ascii="標楷體" w:eastAsia="標楷體" w:hAnsi="標楷體" w:cs="新細明體" w:hint="eastAsia"/>
                                      <w:color w:val="000000" w:themeColor="text1"/>
                                      <w:sz w:val="20"/>
                                    </w:rPr>
                                    <w:t>水產養殖業與畜牧業</w:t>
                                  </w:r>
                                </w:p>
                              </w:tc>
                              <w:tc>
                                <w:tcPr>
                                  <w:tcW w:w="1004" w:type="pct"/>
                                  <w:vAlign w:val="center"/>
                                </w:tcPr>
                                <w:p w14:paraId="64932EAE" w14:textId="77777777" w:rsidR="00D94EF8" w:rsidRPr="00552187" w:rsidRDefault="00D94EF8" w:rsidP="003269B0">
                                  <w:pPr>
                                    <w:spacing w:line="190" w:lineRule="exact"/>
                                    <w:jc w:val="both"/>
                                    <w:rPr>
                                      <w:rFonts w:ascii="標楷體" w:eastAsia="標楷體" w:hAnsi="標楷體" w:cs="新細明體"/>
                                      <w:color w:val="000000" w:themeColor="text1"/>
                                      <w:sz w:val="20"/>
                                    </w:rPr>
                                  </w:pPr>
                                  <w:proofErr w:type="gramStart"/>
                                  <w:r w:rsidRPr="00552187">
                                    <w:rPr>
                                      <w:rFonts w:ascii="標楷體" w:eastAsia="標楷體" w:hAnsi="標楷體" w:cs="新細明體" w:hint="eastAsia"/>
                                      <w:color w:val="000000" w:themeColor="text1"/>
                                      <w:sz w:val="20"/>
                                    </w:rPr>
                                    <w:t>1</w:t>
                                  </w:r>
                                  <w:r w:rsidRPr="00552187">
                                    <w:rPr>
                                      <w:rFonts w:ascii="標楷體" w:eastAsia="標楷體" w:hAnsi="標楷體" w:cs="新細明體"/>
                                      <w:color w:val="000000" w:themeColor="text1"/>
                                      <w:sz w:val="20"/>
                                    </w:rPr>
                                    <w:t>11</w:t>
                                  </w:r>
                                  <w:proofErr w:type="gramEnd"/>
                                  <w:r w:rsidRPr="00552187">
                                    <w:rPr>
                                      <w:rFonts w:ascii="標楷體" w:eastAsia="標楷體" w:hAnsi="標楷體" w:cs="新細明體"/>
                                      <w:color w:val="000000" w:themeColor="text1"/>
                                      <w:sz w:val="20"/>
                                    </w:rPr>
                                    <w:t>年度</w:t>
                                  </w:r>
                                </w:p>
                              </w:tc>
                              <w:tc>
                                <w:tcPr>
                                  <w:tcW w:w="1806" w:type="pct"/>
                                  <w:vAlign w:val="center"/>
                                </w:tcPr>
                                <w:p w14:paraId="7D72A73E" w14:textId="77777777" w:rsidR="00D94EF8" w:rsidRPr="00552187" w:rsidRDefault="00D94EF8" w:rsidP="003269B0">
                                  <w:pPr>
                                    <w:spacing w:line="190" w:lineRule="exact"/>
                                    <w:jc w:val="both"/>
                                    <w:rPr>
                                      <w:rFonts w:ascii="標楷體" w:eastAsia="標楷體" w:hAnsi="標楷體"/>
                                      <w:color w:val="000000" w:themeColor="text1"/>
                                      <w:sz w:val="20"/>
                                    </w:rPr>
                                  </w:pPr>
                                  <w:proofErr w:type="gramStart"/>
                                  <w:r w:rsidRPr="00552187">
                                    <w:rPr>
                                      <w:rFonts w:ascii="標楷體" w:eastAsia="標楷體" w:hAnsi="標楷體" w:cs="新細明體" w:hint="eastAsia"/>
                                      <w:color w:val="000000" w:themeColor="text1"/>
                                      <w:sz w:val="20"/>
                                    </w:rPr>
                                    <w:t>磺</w:t>
                                  </w:r>
                                  <w:proofErr w:type="gramEnd"/>
                                  <w:r w:rsidRPr="00552187">
                                    <w:rPr>
                                      <w:rFonts w:ascii="標楷體" w:eastAsia="標楷體" w:hAnsi="標楷體" w:cs="新細明體" w:hint="eastAsia"/>
                                      <w:color w:val="000000" w:themeColor="text1"/>
                                      <w:sz w:val="20"/>
                                    </w:rPr>
                                    <w:t>胺二甲嘧啶、泰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素、安比西林、紅黴素、氟滅菌、林可</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素、羥四環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w:t>
                                  </w:r>
                                  <w:proofErr w:type="gramStart"/>
                                  <w:r w:rsidRPr="00552187">
                                    <w:rPr>
                                      <w:rFonts w:ascii="標楷體" w:eastAsia="標楷體" w:hAnsi="標楷體" w:cs="新細明體" w:hint="eastAsia"/>
                                      <w:color w:val="000000" w:themeColor="text1"/>
                                      <w:sz w:val="20"/>
                                    </w:rPr>
                                    <w:t>磺</w:t>
                                  </w:r>
                                  <w:proofErr w:type="gramEnd"/>
                                  <w:r w:rsidRPr="00552187">
                                    <w:rPr>
                                      <w:rFonts w:ascii="標楷體" w:eastAsia="標楷體" w:hAnsi="標楷體" w:cs="新細明體" w:hint="eastAsia"/>
                                      <w:color w:val="000000" w:themeColor="text1"/>
                                      <w:sz w:val="20"/>
                                    </w:rPr>
                                    <w:t>胺二甲氧嘧啶、</w:t>
                                  </w:r>
                                  <w:proofErr w:type="gramStart"/>
                                  <w:r w:rsidRPr="00552187">
                                    <w:rPr>
                                      <w:rFonts w:ascii="標楷體" w:eastAsia="標楷體" w:hAnsi="標楷體" w:cs="新細明體" w:hint="eastAsia"/>
                                      <w:color w:val="000000" w:themeColor="text1"/>
                                      <w:sz w:val="20"/>
                                    </w:rPr>
                                    <w:t>磺</w:t>
                                  </w:r>
                                  <w:proofErr w:type="gramEnd"/>
                                  <w:r w:rsidRPr="00552187">
                                    <w:rPr>
                                      <w:rFonts w:ascii="標楷體" w:eastAsia="標楷體" w:hAnsi="標楷體" w:cs="新細明體" w:hint="eastAsia"/>
                                      <w:color w:val="000000" w:themeColor="text1"/>
                                      <w:sz w:val="20"/>
                                    </w:rPr>
                                    <w:t>胺</w:t>
                                  </w:r>
                                  <w:proofErr w:type="gramStart"/>
                                  <w:r w:rsidRPr="00552187">
                                    <w:rPr>
                                      <w:rFonts w:ascii="標楷體" w:eastAsia="標楷體" w:hAnsi="標楷體" w:cs="新細明體" w:hint="eastAsia"/>
                                      <w:color w:val="000000" w:themeColor="text1"/>
                                      <w:sz w:val="20"/>
                                    </w:rPr>
                                    <w:t>一</w:t>
                                  </w:r>
                                  <w:proofErr w:type="gramEnd"/>
                                  <w:r w:rsidRPr="00552187">
                                    <w:rPr>
                                      <w:rFonts w:ascii="標楷體" w:eastAsia="標楷體" w:hAnsi="標楷體" w:cs="新細明體" w:hint="eastAsia"/>
                                      <w:color w:val="000000" w:themeColor="text1"/>
                                      <w:sz w:val="20"/>
                                    </w:rPr>
                                    <w:t>甲氧嘧啶</w:t>
                                  </w:r>
                                </w:p>
                              </w:tc>
                            </w:tr>
                            <w:tr w:rsidR="00222E04" w:rsidRPr="00552187" w14:paraId="78990FAE" w14:textId="77777777" w:rsidTr="00222E04">
                              <w:trPr>
                                <w:trHeight w:val="748"/>
                              </w:trPr>
                              <w:tc>
                                <w:tcPr>
                                  <w:tcW w:w="1090" w:type="pct"/>
                                  <w:vMerge/>
                                  <w:vAlign w:val="center"/>
                                </w:tcPr>
                                <w:p w14:paraId="7E51551B" w14:textId="77777777" w:rsidR="00D94EF8" w:rsidRPr="00552187" w:rsidRDefault="00D94EF8" w:rsidP="003269B0">
                                  <w:pPr>
                                    <w:spacing w:line="190" w:lineRule="exact"/>
                                    <w:jc w:val="center"/>
                                    <w:rPr>
                                      <w:rFonts w:ascii="標楷體" w:eastAsia="標楷體" w:hAnsi="標楷體"/>
                                      <w:bCs/>
                                      <w:color w:val="000000" w:themeColor="text1"/>
                                      <w:sz w:val="20"/>
                                    </w:rPr>
                                  </w:pPr>
                                </w:p>
                              </w:tc>
                              <w:tc>
                                <w:tcPr>
                                  <w:tcW w:w="1100" w:type="pct"/>
                                  <w:vAlign w:val="center"/>
                                </w:tcPr>
                                <w:p w14:paraId="113ADDF4" w14:textId="77777777" w:rsidR="00D94EF8" w:rsidRPr="00552187" w:rsidRDefault="00D94EF8" w:rsidP="003269B0">
                                  <w:pPr>
                                    <w:spacing w:line="190" w:lineRule="exact"/>
                                    <w:jc w:val="both"/>
                                    <w:rPr>
                                      <w:rFonts w:ascii="標楷體" w:eastAsia="標楷體" w:hAnsi="標楷體" w:cs="新細明體"/>
                                      <w:color w:val="000000" w:themeColor="text1"/>
                                      <w:sz w:val="20"/>
                                    </w:rPr>
                                  </w:pPr>
                                  <w:proofErr w:type="gramStart"/>
                                  <w:r w:rsidRPr="00552187">
                                    <w:rPr>
                                      <w:rFonts w:ascii="標楷體" w:eastAsia="標楷體" w:hAnsi="標楷體" w:cs="新細明體" w:hint="eastAsia"/>
                                      <w:color w:val="000000" w:themeColor="text1"/>
                                      <w:sz w:val="20"/>
                                    </w:rPr>
                                    <w:t>農業熱區溪流</w:t>
                                  </w:r>
                                  <w:proofErr w:type="gramEnd"/>
                                  <w:r w:rsidRPr="00552187">
                                    <w:rPr>
                                      <w:rFonts w:ascii="標楷體" w:eastAsia="標楷體" w:hAnsi="標楷體" w:cs="新細明體" w:hint="eastAsia"/>
                                      <w:color w:val="000000" w:themeColor="text1"/>
                                      <w:sz w:val="20"/>
                                    </w:rPr>
                                    <w:t>主要灌排渠道匯流口</w:t>
                                  </w:r>
                                </w:p>
                              </w:tc>
                              <w:tc>
                                <w:tcPr>
                                  <w:tcW w:w="1004" w:type="pct"/>
                                  <w:vAlign w:val="center"/>
                                </w:tcPr>
                                <w:p w14:paraId="1A6197E9" w14:textId="77777777" w:rsidR="00D94EF8" w:rsidRPr="00552187" w:rsidRDefault="00D94EF8" w:rsidP="003269B0">
                                  <w:pPr>
                                    <w:spacing w:line="190" w:lineRule="exact"/>
                                    <w:jc w:val="both"/>
                                    <w:rPr>
                                      <w:rFonts w:ascii="標楷體" w:eastAsia="標楷體" w:hAnsi="標楷體" w:cs="新細明體"/>
                                      <w:color w:val="000000" w:themeColor="text1"/>
                                      <w:sz w:val="20"/>
                                    </w:rPr>
                                  </w:pPr>
                                  <w:r w:rsidRPr="00552187">
                                    <w:rPr>
                                      <w:rFonts w:ascii="標楷體" w:eastAsia="標楷體" w:hAnsi="標楷體" w:cs="新細明體" w:hint="eastAsia"/>
                                      <w:color w:val="000000" w:themeColor="text1"/>
                                      <w:sz w:val="20"/>
                                    </w:rPr>
                                    <w:t>1</w:t>
                                  </w:r>
                                  <w:r w:rsidRPr="00552187">
                                    <w:rPr>
                                      <w:rFonts w:ascii="標楷體" w:eastAsia="標楷體" w:hAnsi="標楷體" w:cs="新細明體"/>
                                      <w:color w:val="000000" w:themeColor="text1"/>
                                      <w:sz w:val="20"/>
                                    </w:rPr>
                                    <w:t>11至113年度</w:t>
                                  </w:r>
                                </w:p>
                              </w:tc>
                              <w:tc>
                                <w:tcPr>
                                  <w:tcW w:w="1806" w:type="pct"/>
                                  <w:vAlign w:val="center"/>
                                </w:tcPr>
                                <w:p w14:paraId="2D0D76F3" w14:textId="77777777" w:rsidR="00D94EF8" w:rsidRPr="00552187" w:rsidRDefault="00D94EF8" w:rsidP="003269B0">
                                  <w:pPr>
                                    <w:spacing w:line="190" w:lineRule="exact"/>
                                    <w:jc w:val="both"/>
                                    <w:rPr>
                                      <w:rFonts w:ascii="標楷體" w:eastAsia="標楷體" w:hAnsi="標楷體" w:cs="新細明體"/>
                                      <w:color w:val="000000" w:themeColor="text1"/>
                                      <w:sz w:val="20"/>
                                    </w:rPr>
                                  </w:pPr>
                                  <w:r w:rsidRPr="00552187">
                                    <w:rPr>
                                      <w:rFonts w:ascii="標楷體" w:eastAsia="標楷體" w:hAnsi="標楷體" w:cs="新細明體" w:hint="eastAsia"/>
                                      <w:color w:val="000000" w:themeColor="text1"/>
                                      <w:sz w:val="20"/>
                                    </w:rPr>
                                    <w:t>脫氧</w:t>
                                  </w:r>
                                  <w:proofErr w:type="gramStart"/>
                                  <w:r w:rsidRPr="00552187">
                                    <w:rPr>
                                      <w:rFonts w:ascii="標楷體" w:eastAsia="標楷體" w:hAnsi="標楷體" w:cs="新細明體" w:hint="eastAsia"/>
                                      <w:color w:val="000000" w:themeColor="text1"/>
                                      <w:sz w:val="20"/>
                                    </w:rPr>
                                    <w:t>羥</w:t>
                                  </w:r>
                                  <w:proofErr w:type="gramEnd"/>
                                  <w:r w:rsidRPr="00552187">
                                    <w:rPr>
                                      <w:rFonts w:ascii="標楷體" w:eastAsia="標楷體" w:hAnsi="標楷體" w:cs="新細明體" w:hint="eastAsia"/>
                                      <w:color w:val="000000" w:themeColor="text1"/>
                                      <w:sz w:val="20"/>
                                    </w:rPr>
                                    <w:t>四環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素、氯四環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w:t>
                                  </w:r>
                                  <w:proofErr w:type="gramStart"/>
                                  <w:r w:rsidRPr="00552187">
                                    <w:rPr>
                                      <w:rFonts w:ascii="標楷體" w:eastAsia="標楷體" w:hAnsi="標楷體" w:cs="新細明體" w:hint="eastAsia"/>
                                      <w:color w:val="000000" w:themeColor="text1"/>
                                      <w:sz w:val="20"/>
                                    </w:rPr>
                                    <w:t>磺胺甲異噁唑</w:t>
                                  </w:r>
                                  <w:proofErr w:type="gramEnd"/>
                                  <w:r w:rsidRPr="00552187">
                                    <w:rPr>
                                      <w:rFonts w:ascii="標楷體" w:eastAsia="標楷體" w:hAnsi="標楷體" w:cs="新細明體" w:hint="eastAsia"/>
                                      <w:color w:val="000000" w:themeColor="text1"/>
                                      <w:sz w:val="20"/>
                                    </w:rPr>
                                    <w:t>、泰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w:t>
                                  </w:r>
                                </w:p>
                              </w:tc>
                            </w:tr>
                            <w:tr w:rsidR="00552187" w:rsidRPr="00552187" w14:paraId="2F37444F" w14:textId="77777777" w:rsidTr="00222E04">
                              <w:trPr>
                                <w:trHeight w:val="398"/>
                              </w:trPr>
                              <w:tc>
                                <w:tcPr>
                                  <w:tcW w:w="1090" w:type="pct"/>
                                  <w:vAlign w:val="center"/>
                                </w:tcPr>
                                <w:p w14:paraId="22FB8A63"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抗生素製造</w:t>
                                  </w:r>
                                </w:p>
                              </w:tc>
                              <w:tc>
                                <w:tcPr>
                                  <w:tcW w:w="3910" w:type="pct"/>
                                  <w:gridSpan w:val="3"/>
                                  <w:vAlign w:val="center"/>
                                </w:tcPr>
                                <w:p w14:paraId="26F8BB54"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無</w:t>
                                  </w:r>
                                </w:p>
                              </w:tc>
                            </w:tr>
                          </w:tbl>
                          <w:p w14:paraId="7644466A" w14:textId="77777777" w:rsidR="00D94EF8" w:rsidRPr="00552187" w:rsidRDefault="00D94EF8" w:rsidP="00D94EF8">
                            <w:pPr>
                              <w:spacing w:line="200" w:lineRule="exact"/>
                              <w:ind w:left="540" w:hangingChars="300" w:hanging="540"/>
                              <w:jc w:val="both"/>
                              <w:rPr>
                                <w:color w:val="000000" w:themeColor="text1"/>
                                <w:sz w:val="22"/>
                              </w:rPr>
                            </w:pPr>
                            <w:r w:rsidRPr="00552187">
                              <w:rPr>
                                <w:rFonts w:ascii="標楷體" w:eastAsia="標楷體" w:hAnsi="標楷體" w:hint="eastAsia"/>
                                <w:color w:val="000000" w:themeColor="text1"/>
                                <w:sz w:val="18"/>
                              </w:rPr>
                              <w:t>資料來源：整理自環境部「環保</w:t>
                            </w:r>
                            <w:r w:rsidRPr="00552187">
                              <w:rPr>
                                <w:rFonts w:ascii="標楷體" w:eastAsia="標楷體" w:hAnsi="標楷體"/>
                                <w:color w:val="000000" w:themeColor="text1"/>
                                <w:sz w:val="18"/>
                              </w:rPr>
                              <w:t>專案成果報告查詢系統</w:t>
                            </w:r>
                            <w:r w:rsidRPr="00552187">
                              <w:rPr>
                                <w:rFonts w:ascii="標楷體" w:eastAsia="標楷體" w:hAnsi="標楷體" w:hint="eastAsia"/>
                                <w:color w:val="000000" w:themeColor="text1"/>
                                <w:sz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21A2AB" id="_x0000_s1080" type="#_x0000_t202" style="position:absolute;left:0;text-align:left;margin-left:204.45pt;margin-top:66.6pt;width:296.5pt;height:297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" stroked="f">
                <v:textbox>
                  <w:txbxContent>
                    <w:p w14:paraId="35608528" w14:textId="12E8E54B" w:rsidR="00D94EF8" w:rsidRPr="00552187" w:rsidRDefault="00D94EF8" w:rsidP="00D94EF8">
                      <w:pPr>
                        <w:tabs>
                          <w:tab w:val="left" w:pos="6379"/>
                        </w:tabs>
                        <w:spacing w:line="280" w:lineRule="exact"/>
                        <w:ind w:leftChars="-118" w:left="721" w:hangingChars="418" w:hanging="1004"/>
                        <w:jc w:val="center"/>
                        <w:rPr>
                          <w:rFonts w:ascii="標楷體" w:eastAsia="標楷體" w:hAnsi="標楷體"/>
                          <w:b/>
                          <w:color w:val="000000" w:themeColor="text1"/>
                        </w:rPr>
                      </w:pPr>
                      <w:r w:rsidRPr="00552187">
                        <w:rPr>
                          <w:rFonts w:ascii="標楷體" w:eastAsia="標楷體" w:hAnsi="標楷體" w:hint="eastAsia"/>
                          <w:b/>
                          <w:color w:val="000000" w:themeColor="text1"/>
                        </w:rPr>
                        <w:t>表</w:t>
                      </w:r>
                      <w:r w:rsidR="00552187">
                        <w:rPr>
                          <w:rFonts w:ascii="標楷體" w:eastAsia="標楷體" w:hAnsi="標楷體"/>
                          <w:b/>
                          <w:color w:val="000000" w:themeColor="text1"/>
                        </w:rPr>
                        <w:t>29</w:t>
                      </w:r>
                      <w:r w:rsidRPr="00552187">
                        <w:rPr>
                          <w:rFonts w:ascii="標楷體" w:eastAsia="標楷體" w:hAnsi="標楷體" w:hint="eastAsia"/>
                          <w:b/>
                          <w:color w:val="000000" w:themeColor="text1"/>
                        </w:rPr>
                        <w:t xml:space="preserve">　環境部監測調查廢（污）水殘留抗生素情形</w:t>
                      </w:r>
                    </w:p>
                    <w:tbl>
                      <w:tblPr>
                        <w:tblStyle w:val="45"/>
                        <w:tblW w:w="4759" w:type="pct"/>
                        <w:tblInd w:w="108" w:type="dxa"/>
                        <w:tblLook w:val="04A0" w:firstRow="1" w:lastRow="0" w:firstColumn="1" w:lastColumn="0" w:noHBand="0" w:noVBand="1"/>
                      </w:tblPr>
                      <w:tblGrid>
                        <w:gridCol w:w="1216"/>
                        <w:gridCol w:w="1227"/>
                        <w:gridCol w:w="1120"/>
                        <w:gridCol w:w="2014"/>
                      </w:tblGrid>
                      <w:tr w:rsidR="00552187" w:rsidRPr="00552187" w14:paraId="74F4E230" w14:textId="77777777" w:rsidTr="00E628C0">
                        <w:trPr>
                          <w:trHeight w:val="234"/>
                        </w:trPr>
                        <w:tc>
                          <w:tcPr>
                            <w:tcW w:w="1090" w:type="pct"/>
                            <w:vMerge w:val="restart"/>
                            <w:vAlign w:val="center"/>
                          </w:tcPr>
                          <w:p w14:paraId="52E11DE8"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領域</w:t>
                            </w:r>
                          </w:p>
                        </w:tc>
                        <w:tc>
                          <w:tcPr>
                            <w:tcW w:w="3910" w:type="pct"/>
                            <w:gridSpan w:val="3"/>
                            <w:vAlign w:val="center"/>
                          </w:tcPr>
                          <w:p w14:paraId="214526F9"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1</w:t>
                            </w:r>
                            <w:r w:rsidRPr="00552187">
                              <w:rPr>
                                <w:rFonts w:ascii="標楷體" w:eastAsia="標楷體" w:hAnsi="標楷體"/>
                                <w:color w:val="000000" w:themeColor="text1"/>
                                <w:sz w:val="20"/>
                              </w:rPr>
                              <w:t>09至113年度</w:t>
                            </w:r>
                            <w:r w:rsidRPr="00552187">
                              <w:rPr>
                                <w:rFonts w:ascii="標楷體" w:eastAsia="標楷體" w:hAnsi="標楷體" w:hint="eastAsia"/>
                                <w:color w:val="000000" w:themeColor="text1"/>
                                <w:sz w:val="20"/>
                              </w:rPr>
                              <w:t>監測調查辦理情形</w:t>
                            </w:r>
                          </w:p>
                        </w:tc>
                      </w:tr>
                      <w:tr w:rsidR="00222E04" w:rsidRPr="00552187" w14:paraId="1DE1440F" w14:textId="77777777" w:rsidTr="00222E04">
                        <w:trPr>
                          <w:trHeight w:val="66"/>
                        </w:trPr>
                        <w:tc>
                          <w:tcPr>
                            <w:tcW w:w="1090" w:type="pct"/>
                            <w:vMerge/>
                            <w:vAlign w:val="center"/>
                          </w:tcPr>
                          <w:p w14:paraId="7196536E" w14:textId="77777777" w:rsidR="00D94EF8" w:rsidRPr="00552187" w:rsidRDefault="00D94EF8" w:rsidP="003269B0">
                            <w:pPr>
                              <w:spacing w:line="190" w:lineRule="exact"/>
                              <w:jc w:val="center"/>
                              <w:rPr>
                                <w:rFonts w:ascii="標楷體" w:eastAsia="標楷體" w:hAnsi="標楷體"/>
                                <w:color w:val="000000" w:themeColor="text1"/>
                                <w:sz w:val="20"/>
                              </w:rPr>
                            </w:pPr>
                          </w:p>
                        </w:tc>
                        <w:tc>
                          <w:tcPr>
                            <w:tcW w:w="1100" w:type="pct"/>
                          </w:tcPr>
                          <w:p w14:paraId="2F0B96E0"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抽樣對象</w:t>
                            </w:r>
                          </w:p>
                        </w:tc>
                        <w:tc>
                          <w:tcPr>
                            <w:tcW w:w="1004" w:type="pct"/>
                          </w:tcPr>
                          <w:p w14:paraId="6AA7E936"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年度</w:t>
                            </w:r>
                          </w:p>
                        </w:tc>
                        <w:tc>
                          <w:tcPr>
                            <w:tcW w:w="1806" w:type="pct"/>
                            <w:vAlign w:val="center"/>
                          </w:tcPr>
                          <w:p w14:paraId="46AAB4A7" w14:textId="77777777" w:rsidR="00D94EF8" w:rsidRPr="00552187" w:rsidRDefault="00D94EF8" w:rsidP="003269B0">
                            <w:pPr>
                              <w:spacing w:line="190" w:lineRule="exact"/>
                              <w:jc w:val="center"/>
                              <w:rPr>
                                <w:rFonts w:ascii="標楷體" w:eastAsia="標楷體" w:hAnsi="標楷體"/>
                                <w:color w:val="000000" w:themeColor="text1"/>
                                <w:sz w:val="20"/>
                              </w:rPr>
                            </w:pPr>
                            <w:r w:rsidRPr="00552187">
                              <w:rPr>
                                <w:rFonts w:ascii="標楷體" w:eastAsia="標楷體" w:hAnsi="標楷體" w:hint="eastAsia"/>
                                <w:color w:val="000000" w:themeColor="text1"/>
                                <w:sz w:val="20"/>
                              </w:rPr>
                              <w:t>抗生素</w:t>
                            </w:r>
                          </w:p>
                        </w:tc>
                      </w:tr>
                      <w:tr w:rsidR="00222E04" w:rsidRPr="00552187" w14:paraId="552E47EB" w14:textId="77777777" w:rsidTr="00222E04">
                        <w:trPr>
                          <w:trHeight w:val="1124"/>
                        </w:trPr>
                        <w:tc>
                          <w:tcPr>
                            <w:tcW w:w="1090" w:type="pct"/>
                            <w:vAlign w:val="center"/>
                          </w:tcPr>
                          <w:p w14:paraId="65FCC1AC"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家庭與社區</w:t>
                            </w:r>
                          </w:p>
                        </w:tc>
                        <w:tc>
                          <w:tcPr>
                            <w:tcW w:w="1100" w:type="pct"/>
                            <w:vAlign w:val="center"/>
                          </w:tcPr>
                          <w:p w14:paraId="2C9ED59A"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公共污水下水道系統污水處理廠</w:t>
                            </w:r>
                          </w:p>
                        </w:tc>
                        <w:tc>
                          <w:tcPr>
                            <w:tcW w:w="1004" w:type="pct"/>
                            <w:vMerge w:val="restart"/>
                            <w:vAlign w:val="center"/>
                          </w:tcPr>
                          <w:p w14:paraId="647540EC"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1</w:t>
                            </w:r>
                            <w:r w:rsidRPr="00552187">
                              <w:rPr>
                                <w:rFonts w:ascii="標楷體" w:eastAsia="標楷體" w:hAnsi="標楷體"/>
                                <w:color w:val="000000" w:themeColor="text1"/>
                                <w:sz w:val="20"/>
                              </w:rPr>
                              <w:t>09至113年度</w:t>
                            </w:r>
                          </w:p>
                        </w:tc>
                        <w:tc>
                          <w:tcPr>
                            <w:tcW w:w="1806" w:type="pct"/>
                            <w:vMerge w:val="restart"/>
                            <w:vAlign w:val="center"/>
                          </w:tcPr>
                          <w:p w14:paraId="01487E9F"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紅黴素、</w:t>
                            </w:r>
                            <w:proofErr w:type="gramStart"/>
                            <w:r w:rsidRPr="00552187">
                              <w:rPr>
                                <w:rFonts w:ascii="標楷體" w:eastAsia="標楷體" w:hAnsi="標楷體" w:hint="eastAsia"/>
                                <w:color w:val="000000" w:themeColor="text1"/>
                                <w:sz w:val="20"/>
                              </w:rPr>
                              <w:t>磺</w:t>
                            </w:r>
                            <w:proofErr w:type="gramEnd"/>
                            <w:r w:rsidRPr="00552187">
                              <w:rPr>
                                <w:rFonts w:ascii="標楷體" w:eastAsia="標楷體" w:hAnsi="標楷體" w:hint="eastAsia"/>
                                <w:color w:val="000000" w:themeColor="text1"/>
                                <w:sz w:val="20"/>
                              </w:rPr>
                              <w:t>胺甲</w:t>
                            </w:r>
                            <w:proofErr w:type="gramStart"/>
                            <w:r w:rsidRPr="00552187">
                              <w:rPr>
                                <w:rFonts w:ascii="標楷體" w:eastAsia="標楷體" w:hAnsi="標楷體" w:hint="eastAsia"/>
                                <w:color w:val="000000" w:themeColor="text1"/>
                                <w:sz w:val="20"/>
                              </w:rPr>
                              <w:t>噁唑</w:t>
                            </w:r>
                            <w:proofErr w:type="gramEnd"/>
                            <w:r w:rsidRPr="00552187">
                              <w:rPr>
                                <w:rFonts w:ascii="標楷體" w:eastAsia="標楷體" w:hAnsi="標楷體" w:hint="eastAsia"/>
                                <w:color w:val="000000" w:themeColor="text1"/>
                                <w:sz w:val="20"/>
                              </w:rPr>
                              <w:t>、</w:t>
                            </w:r>
                            <w:proofErr w:type="gramStart"/>
                            <w:r w:rsidRPr="00552187">
                              <w:rPr>
                                <w:rFonts w:ascii="標楷體" w:eastAsia="標楷體" w:hAnsi="標楷體" w:hint="eastAsia"/>
                                <w:color w:val="000000" w:themeColor="text1"/>
                                <w:sz w:val="20"/>
                              </w:rPr>
                              <w:t>磺</w:t>
                            </w:r>
                            <w:proofErr w:type="gramEnd"/>
                            <w:r w:rsidRPr="00552187">
                              <w:rPr>
                                <w:rFonts w:ascii="標楷體" w:eastAsia="標楷體" w:hAnsi="標楷體" w:hint="eastAsia"/>
                                <w:color w:val="000000" w:themeColor="text1"/>
                                <w:sz w:val="20"/>
                              </w:rPr>
                              <w:t>胺噻唑、四環黴素、羥四環黴素、氯四環黴素、克拉黴素、氟甲喹、安比西林、阿奇黴素、頭孢氨苄、環丙沙星、諾氟沙星、氧氟沙星、盤尼西林、阿莫西林、頭孢他啶、萬古黴素、甲氧苯青黴素、美羅培南、克催瑪汝</w:t>
                            </w:r>
                          </w:p>
                        </w:tc>
                      </w:tr>
                      <w:tr w:rsidR="00222E04" w:rsidRPr="00552187" w14:paraId="08EE0D0A" w14:textId="77777777" w:rsidTr="00222E04">
                        <w:trPr>
                          <w:trHeight w:val="203"/>
                        </w:trPr>
                        <w:tc>
                          <w:tcPr>
                            <w:tcW w:w="1090" w:type="pct"/>
                            <w:vAlign w:val="center"/>
                          </w:tcPr>
                          <w:p w14:paraId="6B89D803" w14:textId="77777777" w:rsidR="00D94EF8" w:rsidRPr="00552187" w:rsidRDefault="00D94EF8" w:rsidP="003269B0">
                            <w:pPr>
                              <w:widowControl/>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醫療機構</w:t>
                            </w:r>
                          </w:p>
                        </w:tc>
                        <w:tc>
                          <w:tcPr>
                            <w:tcW w:w="1100" w:type="pct"/>
                            <w:vAlign w:val="center"/>
                          </w:tcPr>
                          <w:p w14:paraId="2230E7FF" w14:textId="77777777" w:rsidR="00D94EF8" w:rsidRPr="00552187" w:rsidRDefault="00D94EF8" w:rsidP="003269B0">
                            <w:pPr>
                              <w:widowControl/>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醫院</w:t>
                            </w:r>
                          </w:p>
                        </w:tc>
                        <w:tc>
                          <w:tcPr>
                            <w:tcW w:w="1004" w:type="pct"/>
                            <w:vMerge/>
                            <w:vAlign w:val="center"/>
                          </w:tcPr>
                          <w:p w14:paraId="4940F3AF" w14:textId="77777777" w:rsidR="00D94EF8" w:rsidRPr="00552187" w:rsidRDefault="00D94EF8" w:rsidP="003269B0">
                            <w:pPr>
                              <w:widowControl/>
                              <w:spacing w:line="190" w:lineRule="exact"/>
                              <w:jc w:val="both"/>
                              <w:rPr>
                                <w:rFonts w:ascii="標楷體" w:eastAsia="標楷體" w:hAnsi="標楷體"/>
                                <w:color w:val="000000" w:themeColor="text1"/>
                                <w:sz w:val="20"/>
                              </w:rPr>
                            </w:pPr>
                          </w:p>
                        </w:tc>
                        <w:tc>
                          <w:tcPr>
                            <w:tcW w:w="1806" w:type="pct"/>
                            <w:vMerge/>
                            <w:vAlign w:val="center"/>
                          </w:tcPr>
                          <w:p w14:paraId="5BD15671" w14:textId="77777777" w:rsidR="00D94EF8" w:rsidRPr="00552187" w:rsidRDefault="00D94EF8" w:rsidP="003269B0">
                            <w:pPr>
                              <w:widowControl/>
                              <w:spacing w:line="190" w:lineRule="exact"/>
                              <w:jc w:val="both"/>
                              <w:rPr>
                                <w:rFonts w:ascii="標楷體" w:eastAsia="標楷體" w:hAnsi="標楷體"/>
                                <w:color w:val="000000" w:themeColor="text1"/>
                                <w:sz w:val="20"/>
                              </w:rPr>
                            </w:pPr>
                          </w:p>
                        </w:tc>
                      </w:tr>
                      <w:tr w:rsidR="00222E04" w:rsidRPr="00552187" w14:paraId="3286F427" w14:textId="77777777" w:rsidTr="00222E04">
                        <w:trPr>
                          <w:trHeight w:val="215"/>
                        </w:trPr>
                        <w:tc>
                          <w:tcPr>
                            <w:tcW w:w="1090" w:type="pct"/>
                            <w:vMerge w:val="restart"/>
                            <w:vAlign w:val="center"/>
                          </w:tcPr>
                          <w:p w14:paraId="2F76DFE6"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動植物生產</w:t>
                            </w:r>
                          </w:p>
                        </w:tc>
                        <w:tc>
                          <w:tcPr>
                            <w:tcW w:w="1100" w:type="pct"/>
                            <w:vAlign w:val="center"/>
                          </w:tcPr>
                          <w:p w14:paraId="7E7834EC" w14:textId="77777777" w:rsidR="00D94EF8" w:rsidRPr="00552187" w:rsidRDefault="00D94EF8" w:rsidP="003269B0">
                            <w:pPr>
                              <w:spacing w:line="190" w:lineRule="exact"/>
                              <w:jc w:val="both"/>
                              <w:rPr>
                                <w:rFonts w:ascii="標楷體" w:eastAsia="標楷體" w:hAnsi="標楷體" w:cs="新細明體"/>
                                <w:color w:val="000000" w:themeColor="text1"/>
                                <w:sz w:val="20"/>
                              </w:rPr>
                            </w:pPr>
                            <w:r w:rsidRPr="00552187">
                              <w:rPr>
                                <w:rFonts w:ascii="標楷體" w:eastAsia="標楷體" w:hAnsi="標楷體" w:cs="新細明體" w:hint="eastAsia"/>
                                <w:color w:val="000000" w:themeColor="text1"/>
                                <w:sz w:val="20"/>
                              </w:rPr>
                              <w:t>水產養殖業與畜牧業</w:t>
                            </w:r>
                          </w:p>
                        </w:tc>
                        <w:tc>
                          <w:tcPr>
                            <w:tcW w:w="1004" w:type="pct"/>
                            <w:vAlign w:val="center"/>
                          </w:tcPr>
                          <w:p w14:paraId="64932EAE" w14:textId="77777777" w:rsidR="00D94EF8" w:rsidRPr="00552187" w:rsidRDefault="00D94EF8" w:rsidP="003269B0">
                            <w:pPr>
                              <w:spacing w:line="190" w:lineRule="exact"/>
                              <w:jc w:val="both"/>
                              <w:rPr>
                                <w:rFonts w:ascii="標楷體" w:eastAsia="標楷體" w:hAnsi="標楷體" w:cs="新細明體"/>
                                <w:color w:val="000000" w:themeColor="text1"/>
                                <w:sz w:val="20"/>
                              </w:rPr>
                            </w:pPr>
                            <w:proofErr w:type="gramStart"/>
                            <w:r w:rsidRPr="00552187">
                              <w:rPr>
                                <w:rFonts w:ascii="標楷體" w:eastAsia="標楷體" w:hAnsi="標楷體" w:cs="新細明體" w:hint="eastAsia"/>
                                <w:color w:val="000000" w:themeColor="text1"/>
                                <w:sz w:val="20"/>
                              </w:rPr>
                              <w:t>1</w:t>
                            </w:r>
                            <w:r w:rsidRPr="00552187">
                              <w:rPr>
                                <w:rFonts w:ascii="標楷體" w:eastAsia="標楷體" w:hAnsi="標楷體" w:cs="新細明體"/>
                                <w:color w:val="000000" w:themeColor="text1"/>
                                <w:sz w:val="20"/>
                              </w:rPr>
                              <w:t>11</w:t>
                            </w:r>
                            <w:proofErr w:type="gramEnd"/>
                            <w:r w:rsidRPr="00552187">
                              <w:rPr>
                                <w:rFonts w:ascii="標楷體" w:eastAsia="標楷體" w:hAnsi="標楷體" w:cs="新細明體"/>
                                <w:color w:val="000000" w:themeColor="text1"/>
                                <w:sz w:val="20"/>
                              </w:rPr>
                              <w:t>年度</w:t>
                            </w:r>
                          </w:p>
                        </w:tc>
                        <w:tc>
                          <w:tcPr>
                            <w:tcW w:w="1806" w:type="pct"/>
                            <w:vAlign w:val="center"/>
                          </w:tcPr>
                          <w:p w14:paraId="7D72A73E" w14:textId="77777777" w:rsidR="00D94EF8" w:rsidRPr="00552187" w:rsidRDefault="00D94EF8" w:rsidP="003269B0">
                            <w:pPr>
                              <w:spacing w:line="190" w:lineRule="exact"/>
                              <w:jc w:val="both"/>
                              <w:rPr>
                                <w:rFonts w:ascii="標楷體" w:eastAsia="標楷體" w:hAnsi="標楷體"/>
                                <w:color w:val="000000" w:themeColor="text1"/>
                                <w:sz w:val="20"/>
                              </w:rPr>
                            </w:pPr>
                            <w:proofErr w:type="gramStart"/>
                            <w:r w:rsidRPr="00552187">
                              <w:rPr>
                                <w:rFonts w:ascii="標楷體" w:eastAsia="標楷體" w:hAnsi="標楷體" w:cs="新細明體" w:hint="eastAsia"/>
                                <w:color w:val="000000" w:themeColor="text1"/>
                                <w:sz w:val="20"/>
                              </w:rPr>
                              <w:t>磺</w:t>
                            </w:r>
                            <w:proofErr w:type="gramEnd"/>
                            <w:r w:rsidRPr="00552187">
                              <w:rPr>
                                <w:rFonts w:ascii="標楷體" w:eastAsia="標楷體" w:hAnsi="標楷體" w:cs="新細明體" w:hint="eastAsia"/>
                                <w:color w:val="000000" w:themeColor="text1"/>
                                <w:sz w:val="20"/>
                              </w:rPr>
                              <w:t>胺二甲嘧啶、泰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素、安比西林、紅黴素、氟滅菌、林可</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素、羥四環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w:t>
                            </w:r>
                            <w:proofErr w:type="gramStart"/>
                            <w:r w:rsidRPr="00552187">
                              <w:rPr>
                                <w:rFonts w:ascii="標楷體" w:eastAsia="標楷體" w:hAnsi="標楷體" w:cs="新細明體" w:hint="eastAsia"/>
                                <w:color w:val="000000" w:themeColor="text1"/>
                                <w:sz w:val="20"/>
                              </w:rPr>
                              <w:t>磺</w:t>
                            </w:r>
                            <w:proofErr w:type="gramEnd"/>
                            <w:r w:rsidRPr="00552187">
                              <w:rPr>
                                <w:rFonts w:ascii="標楷體" w:eastAsia="標楷體" w:hAnsi="標楷體" w:cs="新細明體" w:hint="eastAsia"/>
                                <w:color w:val="000000" w:themeColor="text1"/>
                                <w:sz w:val="20"/>
                              </w:rPr>
                              <w:t>胺二甲氧嘧啶、</w:t>
                            </w:r>
                            <w:proofErr w:type="gramStart"/>
                            <w:r w:rsidRPr="00552187">
                              <w:rPr>
                                <w:rFonts w:ascii="標楷體" w:eastAsia="標楷體" w:hAnsi="標楷體" w:cs="新細明體" w:hint="eastAsia"/>
                                <w:color w:val="000000" w:themeColor="text1"/>
                                <w:sz w:val="20"/>
                              </w:rPr>
                              <w:t>磺</w:t>
                            </w:r>
                            <w:proofErr w:type="gramEnd"/>
                            <w:r w:rsidRPr="00552187">
                              <w:rPr>
                                <w:rFonts w:ascii="標楷體" w:eastAsia="標楷體" w:hAnsi="標楷體" w:cs="新細明體" w:hint="eastAsia"/>
                                <w:color w:val="000000" w:themeColor="text1"/>
                                <w:sz w:val="20"/>
                              </w:rPr>
                              <w:t>胺</w:t>
                            </w:r>
                            <w:proofErr w:type="gramStart"/>
                            <w:r w:rsidRPr="00552187">
                              <w:rPr>
                                <w:rFonts w:ascii="標楷體" w:eastAsia="標楷體" w:hAnsi="標楷體" w:cs="新細明體" w:hint="eastAsia"/>
                                <w:color w:val="000000" w:themeColor="text1"/>
                                <w:sz w:val="20"/>
                              </w:rPr>
                              <w:t>一</w:t>
                            </w:r>
                            <w:proofErr w:type="gramEnd"/>
                            <w:r w:rsidRPr="00552187">
                              <w:rPr>
                                <w:rFonts w:ascii="標楷體" w:eastAsia="標楷體" w:hAnsi="標楷體" w:cs="新細明體" w:hint="eastAsia"/>
                                <w:color w:val="000000" w:themeColor="text1"/>
                                <w:sz w:val="20"/>
                              </w:rPr>
                              <w:t>甲氧嘧啶</w:t>
                            </w:r>
                          </w:p>
                        </w:tc>
                      </w:tr>
                      <w:tr w:rsidR="00222E04" w:rsidRPr="00552187" w14:paraId="78990FAE" w14:textId="77777777" w:rsidTr="00222E04">
                        <w:trPr>
                          <w:trHeight w:val="748"/>
                        </w:trPr>
                        <w:tc>
                          <w:tcPr>
                            <w:tcW w:w="1090" w:type="pct"/>
                            <w:vMerge/>
                            <w:vAlign w:val="center"/>
                          </w:tcPr>
                          <w:p w14:paraId="7E51551B" w14:textId="77777777" w:rsidR="00D94EF8" w:rsidRPr="00552187" w:rsidRDefault="00D94EF8" w:rsidP="003269B0">
                            <w:pPr>
                              <w:spacing w:line="190" w:lineRule="exact"/>
                              <w:jc w:val="center"/>
                              <w:rPr>
                                <w:rFonts w:ascii="標楷體" w:eastAsia="標楷體" w:hAnsi="標楷體"/>
                                <w:bCs/>
                                <w:color w:val="000000" w:themeColor="text1"/>
                                <w:sz w:val="20"/>
                              </w:rPr>
                            </w:pPr>
                          </w:p>
                        </w:tc>
                        <w:tc>
                          <w:tcPr>
                            <w:tcW w:w="1100" w:type="pct"/>
                            <w:vAlign w:val="center"/>
                          </w:tcPr>
                          <w:p w14:paraId="113ADDF4" w14:textId="77777777" w:rsidR="00D94EF8" w:rsidRPr="00552187" w:rsidRDefault="00D94EF8" w:rsidP="003269B0">
                            <w:pPr>
                              <w:spacing w:line="190" w:lineRule="exact"/>
                              <w:jc w:val="both"/>
                              <w:rPr>
                                <w:rFonts w:ascii="標楷體" w:eastAsia="標楷體" w:hAnsi="標楷體" w:cs="新細明體"/>
                                <w:color w:val="000000" w:themeColor="text1"/>
                                <w:sz w:val="20"/>
                              </w:rPr>
                            </w:pPr>
                            <w:proofErr w:type="gramStart"/>
                            <w:r w:rsidRPr="00552187">
                              <w:rPr>
                                <w:rFonts w:ascii="標楷體" w:eastAsia="標楷體" w:hAnsi="標楷體" w:cs="新細明體" w:hint="eastAsia"/>
                                <w:color w:val="000000" w:themeColor="text1"/>
                                <w:sz w:val="20"/>
                              </w:rPr>
                              <w:t>農業熱區溪流</w:t>
                            </w:r>
                            <w:proofErr w:type="gramEnd"/>
                            <w:r w:rsidRPr="00552187">
                              <w:rPr>
                                <w:rFonts w:ascii="標楷體" w:eastAsia="標楷體" w:hAnsi="標楷體" w:cs="新細明體" w:hint="eastAsia"/>
                                <w:color w:val="000000" w:themeColor="text1"/>
                                <w:sz w:val="20"/>
                              </w:rPr>
                              <w:t>主要灌排渠道匯流口</w:t>
                            </w:r>
                          </w:p>
                        </w:tc>
                        <w:tc>
                          <w:tcPr>
                            <w:tcW w:w="1004" w:type="pct"/>
                            <w:vAlign w:val="center"/>
                          </w:tcPr>
                          <w:p w14:paraId="1A6197E9" w14:textId="77777777" w:rsidR="00D94EF8" w:rsidRPr="00552187" w:rsidRDefault="00D94EF8" w:rsidP="003269B0">
                            <w:pPr>
                              <w:spacing w:line="190" w:lineRule="exact"/>
                              <w:jc w:val="both"/>
                              <w:rPr>
                                <w:rFonts w:ascii="標楷體" w:eastAsia="標楷體" w:hAnsi="標楷體" w:cs="新細明體"/>
                                <w:color w:val="000000" w:themeColor="text1"/>
                                <w:sz w:val="20"/>
                              </w:rPr>
                            </w:pPr>
                            <w:r w:rsidRPr="00552187">
                              <w:rPr>
                                <w:rFonts w:ascii="標楷體" w:eastAsia="標楷體" w:hAnsi="標楷體" w:cs="新細明體" w:hint="eastAsia"/>
                                <w:color w:val="000000" w:themeColor="text1"/>
                                <w:sz w:val="20"/>
                              </w:rPr>
                              <w:t>1</w:t>
                            </w:r>
                            <w:r w:rsidRPr="00552187">
                              <w:rPr>
                                <w:rFonts w:ascii="標楷體" w:eastAsia="標楷體" w:hAnsi="標楷體" w:cs="新細明體"/>
                                <w:color w:val="000000" w:themeColor="text1"/>
                                <w:sz w:val="20"/>
                              </w:rPr>
                              <w:t>11至113年度</w:t>
                            </w:r>
                          </w:p>
                        </w:tc>
                        <w:tc>
                          <w:tcPr>
                            <w:tcW w:w="1806" w:type="pct"/>
                            <w:vAlign w:val="center"/>
                          </w:tcPr>
                          <w:p w14:paraId="2D0D76F3" w14:textId="77777777" w:rsidR="00D94EF8" w:rsidRPr="00552187" w:rsidRDefault="00D94EF8" w:rsidP="003269B0">
                            <w:pPr>
                              <w:spacing w:line="190" w:lineRule="exact"/>
                              <w:jc w:val="both"/>
                              <w:rPr>
                                <w:rFonts w:ascii="標楷體" w:eastAsia="標楷體" w:hAnsi="標楷體" w:cs="新細明體"/>
                                <w:color w:val="000000" w:themeColor="text1"/>
                                <w:sz w:val="20"/>
                              </w:rPr>
                            </w:pPr>
                            <w:r w:rsidRPr="00552187">
                              <w:rPr>
                                <w:rFonts w:ascii="標楷體" w:eastAsia="標楷體" w:hAnsi="標楷體" w:cs="新細明體" w:hint="eastAsia"/>
                                <w:color w:val="000000" w:themeColor="text1"/>
                                <w:sz w:val="20"/>
                              </w:rPr>
                              <w:t>脫氧</w:t>
                            </w:r>
                            <w:proofErr w:type="gramStart"/>
                            <w:r w:rsidRPr="00552187">
                              <w:rPr>
                                <w:rFonts w:ascii="標楷體" w:eastAsia="標楷體" w:hAnsi="標楷體" w:cs="新細明體" w:hint="eastAsia"/>
                                <w:color w:val="000000" w:themeColor="text1"/>
                                <w:sz w:val="20"/>
                              </w:rPr>
                              <w:t>羥</w:t>
                            </w:r>
                            <w:proofErr w:type="gramEnd"/>
                            <w:r w:rsidRPr="00552187">
                              <w:rPr>
                                <w:rFonts w:ascii="標楷體" w:eastAsia="標楷體" w:hAnsi="標楷體" w:cs="新細明體" w:hint="eastAsia"/>
                                <w:color w:val="000000" w:themeColor="text1"/>
                                <w:sz w:val="20"/>
                              </w:rPr>
                              <w:t>四環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素、氯四環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w:t>
                            </w:r>
                            <w:proofErr w:type="gramStart"/>
                            <w:r w:rsidRPr="00552187">
                              <w:rPr>
                                <w:rFonts w:ascii="標楷體" w:eastAsia="標楷體" w:hAnsi="標楷體" w:cs="新細明體" w:hint="eastAsia"/>
                                <w:color w:val="000000" w:themeColor="text1"/>
                                <w:sz w:val="20"/>
                              </w:rPr>
                              <w:t>磺胺甲異噁唑</w:t>
                            </w:r>
                            <w:proofErr w:type="gramEnd"/>
                            <w:r w:rsidRPr="00552187">
                              <w:rPr>
                                <w:rFonts w:ascii="標楷體" w:eastAsia="標楷體" w:hAnsi="標楷體" w:cs="新細明體" w:hint="eastAsia"/>
                                <w:color w:val="000000" w:themeColor="text1"/>
                                <w:sz w:val="20"/>
                              </w:rPr>
                              <w:t>、泰</w:t>
                            </w:r>
                            <w:proofErr w:type="gramStart"/>
                            <w:r w:rsidRPr="00552187">
                              <w:rPr>
                                <w:rFonts w:ascii="標楷體" w:eastAsia="標楷體" w:hAnsi="標楷體" w:cs="新細明體" w:hint="eastAsia"/>
                                <w:color w:val="000000" w:themeColor="text1"/>
                                <w:sz w:val="20"/>
                              </w:rPr>
                              <w:t>黴</w:t>
                            </w:r>
                            <w:proofErr w:type="gramEnd"/>
                            <w:r w:rsidRPr="00552187">
                              <w:rPr>
                                <w:rFonts w:ascii="標楷體" w:eastAsia="標楷體" w:hAnsi="標楷體" w:cs="新細明體" w:hint="eastAsia"/>
                                <w:color w:val="000000" w:themeColor="text1"/>
                                <w:sz w:val="20"/>
                              </w:rPr>
                              <w:t>素</w:t>
                            </w:r>
                          </w:p>
                        </w:tc>
                      </w:tr>
                      <w:tr w:rsidR="00552187" w:rsidRPr="00552187" w14:paraId="2F37444F" w14:textId="77777777" w:rsidTr="00222E04">
                        <w:trPr>
                          <w:trHeight w:val="398"/>
                        </w:trPr>
                        <w:tc>
                          <w:tcPr>
                            <w:tcW w:w="1090" w:type="pct"/>
                            <w:vAlign w:val="center"/>
                          </w:tcPr>
                          <w:p w14:paraId="22FB8A63" w14:textId="77777777" w:rsidR="00D94EF8" w:rsidRPr="00552187" w:rsidRDefault="00D94EF8" w:rsidP="003269B0">
                            <w:pPr>
                              <w:spacing w:line="190" w:lineRule="exact"/>
                              <w:jc w:val="center"/>
                              <w:rPr>
                                <w:rFonts w:ascii="標楷體" w:eastAsia="標楷體" w:hAnsi="標楷體"/>
                                <w:bCs/>
                                <w:color w:val="000000" w:themeColor="text1"/>
                                <w:sz w:val="20"/>
                              </w:rPr>
                            </w:pPr>
                            <w:r w:rsidRPr="00552187">
                              <w:rPr>
                                <w:rFonts w:ascii="標楷體" w:eastAsia="標楷體" w:hAnsi="標楷體" w:hint="eastAsia"/>
                                <w:bCs/>
                                <w:color w:val="000000" w:themeColor="text1"/>
                                <w:sz w:val="20"/>
                              </w:rPr>
                              <w:t>抗生素製造</w:t>
                            </w:r>
                          </w:p>
                        </w:tc>
                        <w:tc>
                          <w:tcPr>
                            <w:tcW w:w="3910" w:type="pct"/>
                            <w:gridSpan w:val="3"/>
                            <w:vAlign w:val="center"/>
                          </w:tcPr>
                          <w:p w14:paraId="26F8BB54" w14:textId="77777777" w:rsidR="00D94EF8" w:rsidRPr="00552187" w:rsidRDefault="00D94EF8" w:rsidP="003269B0">
                            <w:pPr>
                              <w:spacing w:line="190" w:lineRule="exact"/>
                              <w:jc w:val="both"/>
                              <w:rPr>
                                <w:rFonts w:ascii="標楷體" w:eastAsia="標楷體" w:hAnsi="標楷體"/>
                                <w:color w:val="000000" w:themeColor="text1"/>
                                <w:sz w:val="20"/>
                              </w:rPr>
                            </w:pPr>
                            <w:r w:rsidRPr="00552187">
                              <w:rPr>
                                <w:rFonts w:ascii="標楷體" w:eastAsia="標楷體" w:hAnsi="標楷體" w:hint="eastAsia"/>
                                <w:color w:val="000000" w:themeColor="text1"/>
                                <w:sz w:val="20"/>
                              </w:rPr>
                              <w:t>無</w:t>
                            </w:r>
                          </w:p>
                        </w:tc>
                      </w:tr>
                    </w:tbl>
                    <w:p w14:paraId="7644466A" w14:textId="77777777" w:rsidR="00D94EF8" w:rsidRPr="00552187" w:rsidRDefault="00D94EF8" w:rsidP="00D94EF8">
                      <w:pPr>
                        <w:spacing w:line="200" w:lineRule="exact"/>
                        <w:ind w:left="540" w:hangingChars="300" w:hanging="540"/>
                        <w:jc w:val="both"/>
                        <w:rPr>
                          <w:color w:val="000000" w:themeColor="text1"/>
                          <w:sz w:val="22"/>
                        </w:rPr>
                      </w:pPr>
                      <w:r w:rsidRPr="00552187">
                        <w:rPr>
                          <w:rFonts w:ascii="標楷體" w:eastAsia="標楷體" w:hAnsi="標楷體" w:hint="eastAsia"/>
                          <w:color w:val="000000" w:themeColor="text1"/>
                          <w:sz w:val="18"/>
                        </w:rPr>
                        <w:t>資料來源：整理自環境部「環保</w:t>
                      </w:r>
                      <w:r w:rsidRPr="00552187">
                        <w:rPr>
                          <w:rFonts w:ascii="標楷體" w:eastAsia="標楷體" w:hAnsi="標楷體"/>
                          <w:color w:val="000000" w:themeColor="text1"/>
                          <w:sz w:val="18"/>
                        </w:rPr>
                        <w:t>專案成果報告查詢系統</w:t>
                      </w:r>
                      <w:r w:rsidRPr="00552187">
                        <w:rPr>
                          <w:rFonts w:ascii="標楷體" w:eastAsia="標楷體" w:hAnsi="標楷體" w:hint="eastAsia"/>
                          <w:color w:val="000000" w:themeColor="text1"/>
                          <w:sz w:val="18"/>
                        </w:rPr>
                        <w:t>」網站資料。</w:t>
                      </w:r>
                    </w:p>
                  </w:txbxContent>
                </v:textbox>
                <w10:wrap type="square" anchorx="margin"/>
              </v:shape>
            </w:pict>
          </mc:Fallback>
        </mc:AlternateContent>
      </w:r>
      <w:r w:rsidRPr="003269B0">
        <w:rPr>
          <w:rFonts w:ascii="標楷體" w:eastAsia="標楷體" w:hAnsi="標楷體" w:cs="標楷體" w:hint="eastAsia"/>
          <w:b/>
          <w:spacing w:val="-2"/>
          <w:szCs w:val="24"/>
        </w:rPr>
        <w:t xml:space="preserve">2.　</w:t>
      </w:r>
      <w:proofErr w:type="gramStart"/>
      <w:r w:rsidRPr="003269B0">
        <w:rPr>
          <w:rFonts w:ascii="標楷體" w:eastAsia="標楷體" w:hAnsi="標楷體" w:cs="標楷體" w:hint="eastAsia"/>
          <w:b/>
          <w:spacing w:val="-2"/>
          <w:szCs w:val="24"/>
        </w:rPr>
        <w:t>環境部久未</w:t>
      </w:r>
      <w:proofErr w:type="gramEnd"/>
      <w:r w:rsidRPr="003269B0">
        <w:rPr>
          <w:rFonts w:ascii="標楷體" w:eastAsia="標楷體" w:hAnsi="標楷體" w:cs="標楷體" w:hint="eastAsia"/>
          <w:b/>
          <w:spacing w:val="-2"/>
          <w:szCs w:val="24"/>
        </w:rPr>
        <w:t>辦理抗生素製造領域之廢污水抗生素殘留監測調查，且尚未就環境中抗生素抗藥性細菌及</w:t>
      </w:r>
      <w:r w:rsidR="00731C30">
        <w:rPr>
          <w:rFonts w:ascii="標楷體" w:eastAsia="標楷體" w:hAnsi="標楷體" w:cs="標楷體" w:hint="eastAsia"/>
          <w:b/>
          <w:spacing w:val="-2"/>
          <w:szCs w:val="24"/>
        </w:rPr>
        <w:t>抗藥性</w:t>
      </w:r>
      <w:r w:rsidRPr="003269B0">
        <w:rPr>
          <w:rFonts w:ascii="標楷體" w:eastAsia="標楷體" w:hAnsi="標楷體" w:cs="標楷體" w:hint="eastAsia"/>
          <w:b/>
          <w:spacing w:val="-2"/>
          <w:szCs w:val="24"/>
        </w:rPr>
        <w:t>基因建立監測及管理機制：</w:t>
      </w:r>
      <w:r w:rsidRPr="003269B0">
        <w:rPr>
          <w:rFonts w:ascii="標楷體" w:eastAsia="標楷體" w:hAnsi="標楷體" w:cs="標楷體" w:hint="eastAsia"/>
          <w:spacing w:val="-2"/>
          <w:szCs w:val="24"/>
        </w:rPr>
        <w:t>聯合國四方聯盟指出，廢（污）水管理是預防感染及減少抗生素抗藥性傳播關鍵要素之一，</w:t>
      </w:r>
      <w:proofErr w:type="gramStart"/>
      <w:r w:rsidRPr="003269B0">
        <w:rPr>
          <w:rFonts w:ascii="標楷體" w:eastAsia="標楷體" w:hAnsi="標楷體" w:cs="標楷體" w:hint="eastAsia"/>
          <w:spacing w:val="-2"/>
          <w:szCs w:val="24"/>
        </w:rPr>
        <w:t>爰</w:t>
      </w:r>
      <w:proofErr w:type="gramEnd"/>
      <w:r w:rsidRPr="003269B0">
        <w:rPr>
          <w:rFonts w:ascii="標楷體" w:eastAsia="標楷體" w:hAnsi="標楷體" w:cs="標楷體" w:hint="eastAsia"/>
          <w:spacing w:val="-2"/>
          <w:szCs w:val="24"/>
        </w:rPr>
        <w:t>建議廢（污）水管理主管機關應加強「家庭與社區」、「醫療機構」、「動植物生產」、「抗生素製造」等4大領域之廢（污）水監測及管理機制。經查</w:t>
      </w:r>
      <w:r w:rsidR="00316C28">
        <w:rPr>
          <w:rFonts w:ascii="標楷體" w:eastAsia="標楷體" w:hAnsi="標楷體" w:cs="標楷體" w:hint="eastAsia"/>
          <w:spacing w:val="-2"/>
          <w:szCs w:val="24"/>
        </w:rPr>
        <w:t>，</w:t>
      </w:r>
      <w:proofErr w:type="gramStart"/>
      <w:r w:rsidRPr="003269B0">
        <w:rPr>
          <w:rFonts w:ascii="標楷體" w:eastAsia="標楷體" w:hAnsi="標楷體" w:cs="標楷體" w:hint="eastAsia"/>
          <w:spacing w:val="-2"/>
          <w:szCs w:val="24"/>
        </w:rPr>
        <w:t>環境部為強化</w:t>
      </w:r>
      <w:proofErr w:type="gramEnd"/>
      <w:r w:rsidRPr="003269B0">
        <w:rPr>
          <w:rFonts w:ascii="標楷體" w:eastAsia="標楷體" w:hAnsi="標楷體" w:cs="標楷體" w:hint="eastAsia"/>
          <w:spacing w:val="-2"/>
          <w:szCs w:val="24"/>
        </w:rPr>
        <w:t>廢（污）水抗生素抗藥性相關監測及管理作為，在「家庭與社區」及「醫療機構」等2大領域，已於109至113年間針對公共污水下水道系統污水處理廠、</w:t>
      </w:r>
      <w:proofErr w:type="gramStart"/>
      <w:r w:rsidRPr="003269B0">
        <w:rPr>
          <w:rFonts w:ascii="標楷體" w:eastAsia="標楷體" w:hAnsi="標楷體" w:cs="標楷體" w:hint="eastAsia"/>
          <w:spacing w:val="-2"/>
          <w:szCs w:val="24"/>
        </w:rPr>
        <w:t>醫院等場域</w:t>
      </w:r>
      <w:proofErr w:type="gramEnd"/>
      <w:r w:rsidRPr="003269B0">
        <w:rPr>
          <w:rFonts w:ascii="標楷體" w:eastAsia="標楷體" w:hAnsi="標楷體" w:cs="標楷體" w:hint="eastAsia"/>
          <w:spacing w:val="-2"/>
          <w:szCs w:val="24"/>
        </w:rPr>
        <w:t>，陸續抽樣調查原廢水及放流水之抗生素殘留濃度；在「動植物生產」領域，亦於111至113年間，針對水產養殖業與畜牧業及</w:t>
      </w:r>
      <w:proofErr w:type="gramStart"/>
      <w:r w:rsidRPr="003269B0">
        <w:rPr>
          <w:rFonts w:ascii="標楷體" w:eastAsia="標楷體" w:hAnsi="標楷體" w:cs="標楷體" w:hint="eastAsia"/>
          <w:spacing w:val="-2"/>
          <w:szCs w:val="24"/>
        </w:rPr>
        <w:t>農業熱區溪流</w:t>
      </w:r>
      <w:proofErr w:type="gramEnd"/>
      <w:r w:rsidRPr="003269B0">
        <w:rPr>
          <w:rFonts w:ascii="標楷體" w:eastAsia="標楷體" w:hAnsi="標楷體" w:cs="標楷體" w:hint="eastAsia"/>
          <w:spacing w:val="-2"/>
          <w:szCs w:val="24"/>
        </w:rPr>
        <w:t>，抽樣調查原廢水、養殖池水、主要灌排渠道匯流口等抗生素殘留濃度。</w:t>
      </w:r>
      <w:proofErr w:type="gramStart"/>
      <w:r w:rsidRPr="003269B0">
        <w:rPr>
          <w:rFonts w:ascii="標楷體" w:eastAsia="標楷體" w:hAnsi="標楷體" w:cs="標楷體" w:hint="eastAsia"/>
          <w:spacing w:val="-2"/>
          <w:szCs w:val="24"/>
        </w:rPr>
        <w:t>惟</w:t>
      </w:r>
      <w:proofErr w:type="gramEnd"/>
      <w:r w:rsidRPr="003269B0">
        <w:rPr>
          <w:rFonts w:ascii="標楷體" w:eastAsia="標楷體" w:hAnsi="標楷體" w:cs="標楷體" w:hint="eastAsia"/>
          <w:spacing w:val="-2"/>
          <w:szCs w:val="24"/>
        </w:rPr>
        <w:t>針對「抗生素製造」領域，</w:t>
      </w:r>
      <w:proofErr w:type="gramStart"/>
      <w:r w:rsidRPr="003269B0">
        <w:rPr>
          <w:rFonts w:ascii="標楷體" w:eastAsia="標楷體" w:hAnsi="標楷體" w:cs="標楷體" w:hint="eastAsia"/>
          <w:spacing w:val="-2"/>
          <w:szCs w:val="24"/>
        </w:rPr>
        <w:t>環境部則久</w:t>
      </w:r>
      <w:proofErr w:type="gramEnd"/>
      <w:r w:rsidRPr="003269B0">
        <w:rPr>
          <w:rFonts w:ascii="標楷體" w:eastAsia="標楷體" w:hAnsi="標楷體" w:cs="標楷體" w:hint="eastAsia"/>
          <w:spacing w:val="-2"/>
          <w:szCs w:val="24"/>
        </w:rPr>
        <w:t>未辦理相關監測（表</w:t>
      </w:r>
      <w:r w:rsidR="007E142E" w:rsidRPr="003269B0">
        <w:rPr>
          <w:rFonts w:ascii="標楷體" w:eastAsia="標楷體" w:hAnsi="標楷體" w:cs="標楷體"/>
          <w:spacing w:val="-2"/>
          <w:szCs w:val="24"/>
        </w:rPr>
        <w:t>29</w:t>
      </w:r>
      <w:r w:rsidRPr="003269B0">
        <w:rPr>
          <w:rFonts w:ascii="標楷體" w:eastAsia="標楷體" w:hAnsi="標楷體" w:cs="標楷體" w:hint="eastAsia"/>
          <w:spacing w:val="-2"/>
          <w:szCs w:val="24"/>
        </w:rPr>
        <w:t>）。</w:t>
      </w:r>
      <w:r w:rsidRPr="00D94EF8">
        <w:rPr>
          <w:rFonts w:ascii="標楷體" w:eastAsia="標楷體" w:hAnsi="標楷體" w:cs="標楷體" w:hint="eastAsia"/>
          <w:szCs w:val="24"/>
        </w:rPr>
        <w:t>又環</w:t>
      </w:r>
    </w:p>
    <w:p w14:paraId="1A78C537" w14:textId="6630F7B7" w:rsidR="00D94EF8" w:rsidRPr="00D94EF8" w:rsidRDefault="001E22F7" w:rsidP="00EA2A66">
      <w:pPr>
        <w:overflowPunct w:val="0"/>
        <w:spacing w:line="440" w:lineRule="exact"/>
        <w:jc w:val="both"/>
        <w:rPr>
          <w:rFonts w:ascii="標楷體" w:eastAsia="標楷體" w:hAnsi="標楷體"/>
          <w:szCs w:val="24"/>
        </w:rPr>
      </w:pPr>
      <w:proofErr w:type="gramStart"/>
      <w:r w:rsidRPr="00D94EF8">
        <w:rPr>
          <w:rFonts w:ascii="標楷體" w:eastAsia="標楷體" w:hAnsi="標楷體" w:cs="標楷體" w:hint="eastAsia"/>
          <w:szCs w:val="24"/>
        </w:rPr>
        <w:lastRenderedPageBreak/>
        <w:t>境部為強化</w:t>
      </w:r>
      <w:proofErr w:type="gramEnd"/>
      <w:r w:rsidRPr="00D94EF8">
        <w:rPr>
          <w:rFonts w:ascii="標楷體" w:eastAsia="標楷體" w:hAnsi="標楷體" w:cs="標楷體" w:hint="eastAsia"/>
          <w:szCs w:val="24"/>
        </w:rPr>
        <w:t>廢水</w:t>
      </w:r>
      <w:r w:rsidR="00D94EF8" w:rsidRPr="00D94EF8">
        <w:rPr>
          <w:rFonts w:ascii="標楷體" w:eastAsia="標楷體" w:hAnsi="標楷體" w:cs="標楷體" w:hint="eastAsia"/>
          <w:szCs w:val="24"/>
        </w:rPr>
        <w:t>中藥物等新興關注項目之管理，業於114年1月20日修正「水污染防治措施及檢測申報管理辦法」，規範醫學中心與核准污水排放每日1千立方公尺以上之醫院，及該等機構納管之污水下水道系統，應檢測申報</w:t>
      </w:r>
      <w:proofErr w:type="gramStart"/>
      <w:r w:rsidR="00D94EF8" w:rsidRPr="00D94EF8">
        <w:rPr>
          <w:rFonts w:ascii="標楷體" w:eastAsia="標楷體" w:hAnsi="標楷體" w:cs="標楷體" w:hint="eastAsia"/>
          <w:szCs w:val="24"/>
        </w:rPr>
        <w:t>環丙沙</w:t>
      </w:r>
      <w:proofErr w:type="gramEnd"/>
      <w:r w:rsidR="00D94EF8" w:rsidRPr="00D94EF8">
        <w:rPr>
          <w:rFonts w:ascii="標楷體" w:eastAsia="標楷體" w:hAnsi="標楷體" w:cs="標楷體" w:hint="eastAsia"/>
          <w:szCs w:val="24"/>
        </w:rPr>
        <w:t>星等</w:t>
      </w:r>
      <w:proofErr w:type="gramStart"/>
      <w:r w:rsidR="00D94EF8" w:rsidRPr="00D94EF8">
        <w:rPr>
          <w:rFonts w:ascii="標楷體" w:eastAsia="標楷體" w:hAnsi="標楷體" w:cs="標楷體" w:hint="eastAsia"/>
          <w:szCs w:val="24"/>
        </w:rPr>
        <w:t>抗生素於放流水</w:t>
      </w:r>
      <w:proofErr w:type="gramEnd"/>
      <w:r w:rsidR="00D94EF8" w:rsidRPr="00D94EF8">
        <w:rPr>
          <w:rFonts w:ascii="標楷體" w:eastAsia="標楷體" w:hAnsi="標楷體" w:cs="標楷體" w:hint="eastAsia"/>
          <w:szCs w:val="24"/>
        </w:rPr>
        <w:t>之濃度；至「動植物生產」及「抗生素製造」等領域，則尚乏監測管理之法規或草案。另聯合國四方聯盟建議各國除監測及管理環境中抗生素之化合物及</w:t>
      </w:r>
      <w:proofErr w:type="gramStart"/>
      <w:r w:rsidR="00D94EF8" w:rsidRPr="00D94EF8">
        <w:rPr>
          <w:rFonts w:ascii="標楷體" w:eastAsia="標楷體" w:hAnsi="標楷體" w:cs="標楷體" w:hint="eastAsia"/>
          <w:szCs w:val="24"/>
        </w:rPr>
        <w:t>代謝物外</w:t>
      </w:r>
      <w:proofErr w:type="gramEnd"/>
      <w:r w:rsidR="00D94EF8" w:rsidRPr="00D94EF8">
        <w:rPr>
          <w:rFonts w:ascii="標楷體" w:eastAsia="標楷體" w:hAnsi="標楷體" w:cs="標楷體" w:hint="eastAsia"/>
          <w:szCs w:val="24"/>
        </w:rPr>
        <w:t>，亦應監測及管理環境與廢（污）水中抗生素抗藥性細菌及抗生素抗藥性基因等，惟截至113年底止，國內尚未針對環境中抗生素抗藥性細菌及基因建立相關定期監測機制，恐難掌握環境中微生物所存抗生素抗藥性情形，不利提供政策</w:t>
      </w:r>
      <w:proofErr w:type="gramStart"/>
      <w:r w:rsidR="00D94EF8" w:rsidRPr="00D94EF8">
        <w:rPr>
          <w:rFonts w:ascii="標楷體" w:eastAsia="標楷體" w:hAnsi="標楷體" w:cs="標楷體" w:hint="eastAsia"/>
          <w:szCs w:val="24"/>
        </w:rPr>
        <w:t>研</w:t>
      </w:r>
      <w:proofErr w:type="gramEnd"/>
      <w:r w:rsidR="00D94EF8" w:rsidRPr="00D94EF8">
        <w:rPr>
          <w:rFonts w:ascii="標楷體" w:eastAsia="標楷體" w:hAnsi="標楷體" w:cs="標楷體" w:hint="eastAsia"/>
          <w:szCs w:val="24"/>
        </w:rPr>
        <w:t>擬與法規制定所需之實證基礎。經函請行政院督促權責機關參酌國際組織建議，建立對於環境中抗生素抗藥性細菌及基因等監測及管理機制，並</w:t>
      </w:r>
      <w:proofErr w:type="gramStart"/>
      <w:r w:rsidR="00D94EF8" w:rsidRPr="00D94EF8">
        <w:rPr>
          <w:rFonts w:ascii="標楷體" w:eastAsia="標楷體" w:hAnsi="標楷體" w:cs="標楷體" w:hint="eastAsia"/>
          <w:szCs w:val="24"/>
        </w:rPr>
        <w:t>完善廢</w:t>
      </w:r>
      <w:proofErr w:type="gramEnd"/>
      <w:r w:rsidR="00D94EF8" w:rsidRPr="00D94EF8">
        <w:rPr>
          <w:rFonts w:ascii="標楷體" w:eastAsia="標楷體" w:hAnsi="標楷體" w:cs="標楷體" w:hint="eastAsia"/>
          <w:szCs w:val="24"/>
        </w:rPr>
        <w:t>（污）水監管法規，以健全環境中抗生素抗藥性之管理。據復：</w:t>
      </w:r>
      <w:proofErr w:type="gramStart"/>
      <w:r w:rsidR="00D94EF8" w:rsidRPr="00D94EF8">
        <w:rPr>
          <w:rFonts w:ascii="標楷體" w:eastAsia="標楷體" w:hAnsi="標楷體" w:cs="標楷體" w:hint="eastAsia"/>
          <w:szCs w:val="24"/>
        </w:rPr>
        <w:t>環境部已規劃</w:t>
      </w:r>
      <w:proofErr w:type="gramEnd"/>
      <w:r w:rsidR="00D94EF8" w:rsidRPr="00D94EF8">
        <w:rPr>
          <w:rFonts w:ascii="標楷體" w:eastAsia="標楷體" w:hAnsi="標楷體" w:cs="標楷體" w:hint="eastAsia"/>
          <w:szCs w:val="24"/>
        </w:rPr>
        <w:t>於</w:t>
      </w:r>
      <w:proofErr w:type="gramStart"/>
      <w:r w:rsidR="00D94EF8" w:rsidRPr="00D94EF8">
        <w:rPr>
          <w:rFonts w:ascii="標楷體" w:eastAsia="標楷體" w:hAnsi="標楷體" w:cs="標楷體" w:hint="eastAsia"/>
          <w:szCs w:val="24"/>
        </w:rPr>
        <w:t>114</w:t>
      </w:r>
      <w:proofErr w:type="gramEnd"/>
      <w:r w:rsidR="00D94EF8" w:rsidRPr="00D94EF8">
        <w:rPr>
          <w:rFonts w:ascii="標楷體" w:eastAsia="標楷體" w:hAnsi="標楷體" w:cs="標楷體" w:hint="eastAsia"/>
          <w:szCs w:val="24"/>
        </w:rPr>
        <w:t>年度針對藥品製造業廢污水或放流水等進行水質</w:t>
      </w:r>
      <w:proofErr w:type="gramStart"/>
      <w:r w:rsidR="00D94EF8" w:rsidRPr="00D94EF8">
        <w:rPr>
          <w:rFonts w:ascii="標楷體" w:eastAsia="標楷體" w:hAnsi="標楷體" w:cs="標楷體" w:hint="eastAsia"/>
          <w:szCs w:val="24"/>
        </w:rPr>
        <w:t>採</w:t>
      </w:r>
      <w:proofErr w:type="gramEnd"/>
      <w:r w:rsidR="00D94EF8" w:rsidRPr="00D94EF8">
        <w:rPr>
          <w:rFonts w:ascii="標楷體" w:eastAsia="標楷體" w:hAnsi="標楷體" w:cs="標楷體" w:hint="eastAsia"/>
          <w:szCs w:val="24"/>
        </w:rPr>
        <w:t>樣調查，</w:t>
      </w:r>
      <w:proofErr w:type="gramStart"/>
      <w:r w:rsidR="00D94EF8" w:rsidRPr="00D94EF8">
        <w:rPr>
          <w:rFonts w:ascii="標楷體" w:eastAsia="標楷體" w:hAnsi="標楷體" w:cs="標楷體" w:hint="eastAsia"/>
          <w:szCs w:val="24"/>
        </w:rPr>
        <w:t>疾管署亦</w:t>
      </w:r>
      <w:proofErr w:type="gramEnd"/>
      <w:r w:rsidR="00D94EF8" w:rsidRPr="00D94EF8">
        <w:rPr>
          <w:rFonts w:ascii="標楷體" w:eastAsia="標楷體" w:hAnsi="標楷體" w:cs="標楷體" w:hint="eastAsia"/>
          <w:szCs w:val="24"/>
        </w:rPr>
        <w:t>規劃於</w:t>
      </w:r>
      <w:proofErr w:type="gramStart"/>
      <w:r w:rsidR="00D94EF8" w:rsidRPr="00D94EF8">
        <w:rPr>
          <w:rFonts w:ascii="標楷體" w:eastAsia="標楷體" w:hAnsi="標楷體" w:cs="標楷體" w:hint="eastAsia"/>
          <w:szCs w:val="24"/>
        </w:rPr>
        <w:t>115</w:t>
      </w:r>
      <w:proofErr w:type="gramEnd"/>
      <w:r w:rsidR="00D94EF8" w:rsidRPr="00D94EF8">
        <w:rPr>
          <w:rFonts w:ascii="標楷體" w:eastAsia="標楷體" w:hAnsi="標楷體" w:cs="標楷體" w:hint="eastAsia"/>
          <w:szCs w:val="24"/>
        </w:rPr>
        <w:t>年度建立環境污水抗生素抗藥性監測機制及作業程序，作為後續抗生素抗藥性基因監測之基礎。</w:t>
      </w:r>
    </w:p>
    <w:p w14:paraId="3827E92C" w14:textId="44939242" w:rsidR="00603231" w:rsidRDefault="00D94EF8" w:rsidP="00EA2A66">
      <w:pPr>
        <w:overflowPunct w:val="0"/>
        <w:spacing w:line="434" w:lineRule="exact"/>
        <w:ind w:firstLineChars="450" w:firstLine="1081"/>
        <w:jc w:val="both"/>
        <w:rPr>
          <w:rFonts w:ascii="標楷體" w:eastAsia="標楷體" w:hAnsi="標楷體" w:cs="New Gulim"/>
          <w:bCs/>
          <w:szCs w:val="24"/>
        </w:rPr>
      </w:pPr>
      <w:r w:rsidRPr="00D94EF8">
        <w:rPr>
          <w:rFonts w:ascii="標楷體" w:eastAsia="標楷體" w:hAnsi="標楷體" w:cs="標楷體"/>
          <w:b/>
          <w:szCs w:val="24"/>
        </w:rPr>
        <w:t>3</w:t>
      </w:r>
      <w:r w:rsidRPr="00D94EF8">
        <w:rPr>
          <w:rFonts w:ascii="標楷體" w:eastAsia="標楷體" w:hAnsi="標楷體" w:cs="標楷體" w:hint="eastAsia"/>
          <w:b/>
          <w:szCs w:val="24"/>
        </w:rPr>
        <w:t>.　部分動物用抗生素屬世界衛生組織建議應完全限制使用之人類重要抗生素，又部分應謹慎使用之抗生素抗藥性比率偏高或持續上升，不利降低人類與動物間抗生素抗藥性之風險：</w:t>
      </w:r>
      <w:r w:rsidRPr="00D94EF8">
        <w:rPr>
          <w:rFonts w:ascii="標楷體" w:eastAsia="標楷體" w:hAnsi="標楷體" w:cs="標楷體" w:hint="eastAsia"/>
          <w:bCs/>
          <w:szCs w:val="24"/>
        </w:rPr>
        <w:t>畜禽水產飼養多</w:t>
      </w:r>
      <w:proofErr w:type="gramStart"/>
      <w:r w:rsidRPr="00D94EF8">
        <w:rPr>
          <w:rFonts w:ascii="標楷體" w:eastAsia="標楷體" w:hAnsi="標楷體" w:cs="標楷體" w:hint="eastAsia"/>
          <w:bCs/>
          <w:szCs w:val="24"/>
        </w:rPr>
        <w:t>採</w:t>
      </w:r>
      <w:proofErr w:type="gramEnd"/>
      <w:r w:rsidRPr="00D94EF8">
        <w:rPr>
          <w:rFonts w:ascii="標楷體" w:eastAsia="標楷體" w:hAnsi="標楷體" w:cs="標楷體" w:hint="eastAsia"/>
          <w:bCs/>
          <w:szCs w:val="24"/>
        </w:rPr>
        <w:t>高密集生產模式，抗生素使用較人類為多，對動物謹慎使用抗生素已為全球趨勢，部分國家亦已逐步禁止抗生素作為預防動物疾病及改進飼料利用效率之使用。WHO為維持人類重要抗生素之有效性，</w:t>
      </w:r>
      <w:proofErr w:type="gramStart"/>
      <w:r w:rsidRPr="00D94EF8">
        <w:rPr>
          <w:rFonts w:ascii="標楷體" w:eastAsia="標楷體" w:hAnsi="標楷體" w:cs="標楷體" w:hint="eastAsia"/>
          <w:bCs/>
          <w:szCs w:val="24"/>
        </w:rPr>
        <w:t>針對產食動物</w:t>
      </w:r>
      <w:proofErr w:type="gramEnd"/>
      <w:r w:rsidRPr="00D94EF8">
        <w:rPr>
          <w:rFonts w:ascii="標楷體" w:eastAsia="標楷體" w:hAnsi="標楷體" w:cs="標楷體" w:hint="eastAsia"/>
          <w:bCs/>
          <w:szCs w:val="24"/>
        </w:rPr>
        <w:t>使用「極度重要-最高優先」、「極度重要-高度優先」、「高度重要」、「重要」等4類具人類醫學重要性之抗生素，在促進生長、預防傳染病、控制傳染病傳播、治療等用途領域，提出應採取「完全限制」或「負責任及謹慎使用」之建議。截至</w:t>
      </w:r>
      <w:r w:rsidRPr="00D94EF8">
        <w:rPr>
          <w:rFonts w:ascii="標楷體" w:eastAsia="標楷體" w:hAnsi="標楷體" w:cs="標楷體"/>
          <w:bCs/>
          <w:szCs w:val="24"/>
        </w:rPr>
        <w:t>113</w:t>
      </w:r>
      <w:r w:rsidRPr="00D94EF8">
        <w:rPr>
          <w:rFonts w:ascii="標楷體" w:eastAsia="標楷體" w:hAnsi="標楷體" w:cs="標楷體" w:hint="eastAsia"/>
          <w:bCs/>
          <w:szCs w:val="24"/>
        </w:rPr>
        <w:t>年</w:t>
      </w:r>
      <w:r w:rsidRPr="00D94EF8">
        <w:rPr>
          <w:rFonts w:ascii="標楷體" w:eastAsia="標楷體" w:hAnsi="標楷體" w:cs="標楷體"/>
          <w:bCs/>
          <w:szCs w:val="24"/>
        </w:rPr>
        <w:t>8</w:t>
      </w:r>
      <w:r w:rsidRPr="00D94EF8">
        <w:rPr>
          <w:rFonts w:ascii="標楷體" w:eastAsia="標楷體" w:hAnsi="標楷體" w:cs="標楷體" w:hint="eastAsia"/>
          <w:bCs/>
          <w:szCs w:val="24"/>
        </w:rPr>
        <w:t>月底止，我國核准動物使用抗生素，對應</w:t>
      </w:r>
      <w:r w:rsidRPr="00D94EF8">
        <w:rPr>
          <w:rFonts w:ascii="標楷體" w:eastAsia="標楷體" w:hAnsi="標楷體" w:cs="標楷體"/>
          <w:bCs/>
          <w:szCs w:val="24"/>
        </w:rPr>
        <w:t>WHO</w:t>
      </w:r>
      <w:r w:rsidRPr="00D94EF8">
        <w:rPr>
          <w:rFonts w:ascii="標楷體" w:eastAsia="標楷體" w:hAnsi="標楷體" w:cs="標楷體" w:hint="eastAsia"/>
          <w:bCs/>
          <w:szCs w:val="24"/>
        </w:rPr>
        <w:t>建議應「完全限制」使用之抗生素類別，尚有多</w:t>
      </w:r>
      <w:proofErr w:type="gramStart"/>
      <w:r w:rsidRPr="00D94EF8">
        <w:rPr>
          <w:rFonts w:ascii="標楷體" w:eastAsia="標楷體" w:hAnsi="標楷體" w:cs="標楷體" w:hint="eastAsia"/>
          <w:bCs/>
          <w:szCs w:val="24"/>
        </w:rPr>
        <w:t>胜</w:t>
      </w:r>
      <w:proofErr w:type="gramEnd"/>
      <w:r w:rsidRPr="00D94EF8">
        <w:rPr>
          <w:rFonts w:ascii="標楷體" w:eastAsia="標楷體" w:hAnsi="標楷體" w:cs="標楷體" w:hint="eastAsia"/>
          <w:bCs/>
          <w:szCs w:val="24"/>
        </w:rPr>
        <w:t>肽類、截短側耳素類等</w:t>
      </w:r>
      <w:r w:rsidRPr="00D94EF8">
        <w:rPr>
          <w:rFonts w:ascii="標楷體" w:eastAsia="標楷體" w:hAnsi="標楷體" w:cs="標楷體"/>
          <w:bCs/>
          <w:szCs w:val="24"/>
        </w:rPr>
        <w:t>2</w:t>
      </w:r>
      <w:r w:rsidRPr="00D94EF8">
        <w:rPr>
          <w:rFonts w:ascii="標楷體" w:eastAsia="標楷體" w:hAnsi="標楷體" w:cs="標楷體" w:hint="eastAsia"/>
          <w:bCs/>
          <w:szCs w:val="24"/>
        </w:rPr>
        <w:t>類「重要」抗生素藥物，可用於促進生長（表</w:t>
      </w:r>
      <w:r w:rsidR="000A330A">
        <w:rPr>
          <w:rFonts w:ascii="標楷體" w:eastAsia="標楷體" w:hAnsi="標楷體" w:cs="標楷體"/>
          <w:bCs/>
          <w:szCs w:val="24"/>
        </w:rPr>
        <w:t>30</w:t>
      </w:r>
      <w:r w:rsidRPr="00D94EF8">
        <w:rPr>
          <w:rFonts w:ascii="標楷體" w:eastAsia="標楷體" w:hAnsi="標楷體" w:cs="標楷體" w:hint="eastAsia"/>
          <w:bCs/>
          <w:szCs w:val="24"/>
        </w:rPr>
        <w:t>），舉如農業部動植物防疫檢疫署（下稱防檢署）所訂動物用藥品使用準則「含藥物飼料添加物使用規範」允許使用之恩黴素、泰妙素等</w:t>
      </w:r>
      <w:r w:rsidRPr="00D94EF8">
        <w:rPr>
          <w:rFonts w:ascii="標楷體" w:eastAsia="標楷體" w:hAnsi="標楷體" w:cs="標楷體"/>
          <w:bCs/>
          <w:szCs w:val="24"/>
        </w:rPr>
        <w:t>2</w:t>
      </w:r>
      <w:r w:rsidRPr="00D94EF8">
        <w:rPr>
          <w:rFonts w:ascii="標楷體" w:eastAsia="標楷體" w:hAnsi="標楷體" w:cs="標楷體" w:hint="eastAsia"/>
          <w:bCs/>
          <w:szCs w:val="24"/>
        </w:rPr>
        <w:t>抗生素品項，即屬該</w:t>
      </w:r>
      <w:r w:rsidRPr="00D94EF8">
        <w:rPr>
          <w:rFonts w:ascii="標楷體" w:eastAsia="標楷體" w:hAnsi="標楷體" w:cs="標楷體"/>
          <w:bCs/>
          <w:szCs w:val="24"/>
        </w:rPr>
        <w:t>2</w:t>
      </w:r>
      <w:r w:rsidRPr="00D94EF8">
        <w:rPr>
          <w:rFonts w:ascii="標楷體" w:eastAsia="標楷體" w:hAnsi="標楷體" w:cs="標楷體" w:hint="eastAsia"/>
          <w:bCs/>
          <w:szCs w:val="24"/>
        </w:rPr>
        <w:t>類重要抗生素藥物，顯示國內現行動物抗生素使用相關規範與國際標準仍有落差。又在有例外條件之「完全限制」使用抗生素類別中，亦尚有第</w:t>
      </w:r>
      <w:r w:rsidRPr="00D94EF8">
        <w:rPr>
          <w:rFonts w:ascii="標楷體" w:eastAsia="標楷體" w:hAnsi="標楷體" w:cs="標楷體"/>
          <w:bCs/>
          <w:szCs w:val="24"/>
        </w:rPr>
        <w:t>3</w:t>
      </w:r>
      <w:r w:rsidRPr="00D94EF8">
        <w:rPr>
          <w:rFonts w:ascii="標楷體" w:eastAsia="標楷體" w:hAnsi="標楷體" w:cs="標楷體" w:hint="eastAsia"/>
          <w:bCs/>
          <w:szCs w:val="24"/>
        </w:rPr>
        <w:t>代及第</w:t>
      </w:r>
      <w:r w:rsidRPr="00D94EF8">
        <w:rPr>
          <w:rFonts w:ascii="標楷體" w:eastAsia="標楷體" w:hAnsi="標楷體" w:cs="標楷體"/>
          <w:bCs/>
          <w:szCs w:val="24"/>
        </w:rPr>
        <w:t>4</w:t>
      </w:r>
      <w:r w:rsidRPr="00D94EF8">
        <w:rPr>
          <w:rFonts w:ascii="標楷體" w:eastAsia="標楷體" w:hAnsi="標楷體" w:cs="標楷體" w:hint="eastAsia"/>
          <w:bCs/>
          <w:szCs w:val="24"/>
        </w:rPr>
        <w:t>代頭孢子</w:t>
      </w:r>
      <w:proofErr w:type="gramStart"/>
      <w:r w:rsidRPr="00D94EF8">
        <w:rPr>
          <w:rFonts w:ascii="標楷體" w:eastAsia="標楷體" w:hAnsi="標楷體" w:cs="標楷體" w:hint="eastAsia"/>
          <w:bCs/>
          <w:szCs w:val="24"/>
        </w:rPr>
        <w:t>菌素類</w:t>
      </w:r>
      <w:proofErr w:type="gramEnd"/>
      <w:r w:rsidRPr="00D94EF8">
        <w:rPr>
          <w:rFonts w:ascii="標楷體" w:eastAsia="標楷體" w:hAnsi="標楷體" w:cs="標楷體" w:hint="eastAsia"/>
          <w:bCs/>
          <w:szCs w:val="24"/>
        </w:rPr>
        <w:t>、氟</w:t>
      </w:r>
      <w:proofErr w:type="gramStart"/>
      <w:r w:rsidRPr="00D94EF8">
        <w:rPr>
          <w:rFonts w:ascii="標楷體" w:eastAsia="標楷體" w:hAnsi="標楷體" w:cs="標楷體" w:hint="eastAsia"/>
          <w:bCs/>
          <w:szCs w:val="24"/>
        </w:rPr>
        <w:t>奎諾酮類</w:t>
      </w:r>
      <w:proofErr w:type="gramEnd"/>
      <w:r w:rsidRPr="00D94EF8">
        <w:rPr>
          <w:rFonts w:ascii="標楷體" w:eastAsia="標楷體" w:hAnsi="標楷體" w:cs="標楷體" w:hint="eastAsia"/>
          <w:bCs/>
          <w:szCs w:val="24"/>
        </w:rPr>
        <w:t>等</w:t>
      </w:r>
      <w:r w:rsidRPr="00D94EF8">
        <w:rPr>
          <w:rFonts w:ascii="標楷體" w:eastAsia="標楷體" w:hAnsi="標楷體" w:cs="標楷體"/>
          <w:bCs/>
          <w:szCs w:val="24"/>
        </w:rPr>
        <w:t>2</w:t>
      </w:r>
      <w:r w:rsidRPr="00D94EF8">
        <w:rPr>
          <w:rFonts w:ascii="標楷體" w:eastAsia="標楷體" w:hAnsi="標楷體" w:cs="標楷體" w:hint="eastAsia"/>
          <w:bCs/>
          <w:szCs w:val="24"/>
        </w:rPr>
        <w:t>類「極度重要</w:t>
      </w:r>
      <w:r w:rsidRPr="00D94EF8">
        <w:rPr>
          <w:rFonts w:ascii="標楷體" w:eastAsia="標楷體" w:hAnsi="標楷體" w:hint="eastAsia"/>
          <w:bCs/>
          <w:szCs w:val="24"/>
        </w:rPr>
        <w:t>-</w:t>
      </w:r>
      <w:r w:rsidRPr="00D94EF8">
        <w:rPr>
          <w:rFonts w:ascii="標楷體" w:eastAsia="標楷體" w:hAnsi="標楷體" w:cs="標楷體" w:hint="eastAsia"/>
          <w:bCs/>
          <w:szCs w:val="24"/>
        </w:rPr>
        <w:t>最高優先」抗生素藥物可用於治療（表</w:t>
      </w:r>
      <w:r w:rsidR="00A41DBD">
        <w:rPr>
          <w:rFonts w:ascii="標楷體" w:eastAsia="標楷體" w:hAnsi="標楷體" w:cs="標楷體"/>
          <w:bCs/>
          <w:szCs w:val="24"/>
        </w:rPr>
        <w:t>30</w:t>
      </w:r>
      <w:r w:rsidRPr="00D94EF8">
        <w:rPr>
          <w:rFonts w:ascii="標楷體" w:eastAsia="標楷體" w:hAnsi="標楷體" w:cs="標楷體" w:hint="eastAsia"/>
          <w:bCs/>
          <w:szCs w:val="24"/>
        </w:rPr>
        <w:t>），其中屬第</w:t>
      </w:r>
      <w:r w:rsidRPr="00D94EF8">
        <w:rPr>
          <w:rFonts w:ascii="標楷體" w:eastAsia="標楷體" w:hAnsi="標楷體" w:cs="標楷體"/>
          <w:bCs/>
          <w:szCs w:val="24"/>
        </w:rPr>
        <w:t>3</w:t>
      </w:r>
      <w:r w:rsidRPr="00D94EF8">
        <w:rPr>
          <w:rFonts w:ascii="標楷體" w:eastAsia="標楷體" w:hAnsi="標楷體" w:cs="標楷體" w:hint="eastAsia"/>
          <w:bCs/>
          <w:szCs w:val="24"/>
        </w:rPr>
        <w:t>代及第</w:t>
      </w:r>
      <w:r w:rsidRPr="00D94EF8">
        <w:rPr>
          <w:rFonts w:ascii="標楷體" w:eastAsia="標楷體" w:hAnsi="標楷體" w:cs="標楷體"/>
          <w:bCs/>
          <w:szCs w:val="24"/>
        </w:rPr>
        <w:t>4</w:t>
      </w:r>
      <w:r w:rsidRPr="00D94EF8">
        <w:rPr>
          <w:rFonts w:ascii="標楷體" w:eastAsia="標楷體" w:hAnsi="標楷體" w:cs="標楷體" w:hint="eastAsia"/>
          <w:bCs/>
          <w:szCs w:val="24"/>
        </w:rPr>
        <w:t>代頭孢子</w:t>
      </w:r>
      <w:proofErr w:type="gramStart"/>
      <w:r w:rsidRPr="00D94EF8">
        <w:rPr>
          <w:rFonts w:ascii="標楷體" w:eastAsia="標楷體" w:hAnsi="標楷體" w:cs="標楷體" w:hint="eastAsia"/>
          <w:bCs/>
          <w:szCs w:val="24"/>
        </w:rPr>
        <w:t>菌素類抗生素</w:t>
      </w:r>
      <w:proofErr w:type="gramEnd"/>
      <w:r w:rsidRPr="00D94EF8">
        <w:rPr>
          <w:rFonts w:ascii="標楷體" w:eastAsia="標楷體" w:hAnsi="標楷體" w:cs="標楷體" w:hint="eastAsia"/>
          <w:bCs/>
          <w:szCs w:val="24"/>
        </w:rPr>
        <w:t>之動物用抗生素「</w:t>
      </w:r>
      <w:proofErr w:type="gramStart"/>
      <w:r w:rsidRPr="00D94EF8">
        <w:rPr>
          <w:rFonts w:ascii="標楷體" w:eastAsia="標楷體" w:hAnsi="標楷體" w:cs="標楷體" w:hint="eastAsia"/>
          <w:bCs/>
          <w:szCs w:val="24"/>
        </w:rPr>
        <w:t>畜福</w:t>
      </w:r>
      <w:proofErr w:type="gramEnd"/>
      <w:r w:rsidRPr="00D94EF8">
        <w:rPr>
          <w:rFonts w:ascii="標楷體" w:eastAsia="標楷體" w:hAnsi="標楷體" w:cs="標楷體" w:hint="eastAsia"/>
          <w:bCs/>
          <w:szCs w:val="24"/>
        </w:rPr>
        <w:t>」，據防檢署監測</w:t>
      </w:r>
      <w:proofErr w:type="gramStart"/>
      <w:r w:rsidRPr="00D94EF8">
        <w:rPr>
          <w:rFonts w:ascii="標楷體" w:eastAsia="標楷體" w:hAnsi="標楷體" w:cs="標楷體"/>
          <w:bCs/>
          <w:szCs w:val="24"/>
        </w:rPr>
        <w:t>110</w:t>
      </w:r>
      <w:r w:rsidRPr="00D94EF8">
        <w:rPr>
          <w:rFonts w:ascii="標楷體" w:eastAsia="標楷體" w:hAnsi="標楷體" w:cs="標楷體" w:hint="eastAsia"/>
          <w:bCs/>
          <w:szCs w:val="24"/>
        </w:rPr>
        <w:t>至</w:t>
      </w:r>
      <w:r w:rsidRPr="00D94EF8">
        <w:rPr>
          <w:rFonts w:ascii="標楷體" w:eastAsia="標楷體" w:hAnsi="標楷體" w:cs="標楷體"/>
          <w:bCs/>
          <w:szCs w:val="24"/>
        </w:rPr>
        <w:t>112</w:t>
      </w:r>
      <w:r w:rsidRPr="00D94EF8">
        <w:rPr>
          <w:rFonts w:ascii="標楷體" w:eastAsia="標楷體" w:hAnsi="標楷體" w:cs="標楷體" w:hint="eastAsia"/>
          <w:bCs/>
          <w:szCs w:val="24"/>
        </w:rPr>
        <w:t>年畜</w:t>
      </w:r>
      <w:proofErr w:type="gramEnd"/>
      <w:r w:rsidRPr="00D94EF8">
        <w:rPr>
          <w:rFonts w:ascii="標楷體" w:eastAsia="標楷體" w:hAnsi="標楷體" w:cs="標楷體" w:hint="eastAsia"/>
          <w:bCs/>
          <w:szCs w:val="24"/>
        </w:rPr>
        <w:t>禽分離腸球菌之抗藥性均為</w:t>
      </w:r>
      <w:proofErr w:type="gramStart"/>
      <w:r w:rsidRPr="00D94EF8">
        <w:rPr>
          <w:rFonts w:ascii="標楷體" w:eastAsia="標楷體" w:hAnsi="標楷體" w:cs="標楷體"/>
          <w:bCs/>
          <w:szCs w:val="24"/>
        </w:rPr>
        <w:t>9</w:t>
      </w:r>
      <w:r w:rsidRPr="00D94EF8">
        <w:rPr>
          <w:rFonts w:ascii="標楷體" w:eastAsia="標楷體" w:hAnsi="標楷體" w:cs="標楷體" w:hint="eastAsia"/>
          <w:bCs/>
          <w:szCs w:val="24"/>
        </w:rPr>
        <w:t>成</w:t>
      </w:r>
      <w:proofErr w:type="gramEnd"/>
      <w:r w:rsidRPr="00D94EF8">
        <w:rPr>
          <w:rFonts w:ascii="標楷體" w:eastAsia="標楷體" w:hAnsi="標楷體" w:cs="標楷體" w:hint="eastAsia"/>
          <w:bCs/>
          <w:szCs w:val="24"/>
        </w:rPr>
        <w:t>以上；「負責任及謹慎使用」抗生素類別部分，則有胺</w:t>
      </w:r>
      <w:proofErr w:type="gramStart"/>
      <w:r w:rsidRPr="00D94EF8">
        <w:rPr>
          <w:rFonts w:ascii="標楷體" w:eastAsia="標楷體" w:hAnsi="標楷體" w:cs="標楷體" w:hint="eastAsia"/>
          <w:bCs/>
          <w:szCs w:val="24"/>
        </w:rPr>
        <w:t>基配醣體類</w:t>
      </w:r>
      <w:proofErr w:type="gramEnd"/>
      <w:r w:rsidRPr="00D94EF8">
        <w:rPr>
          <w:rFonts w:ascii="標楷體" w:eastAsia="標楷體" w:hAnsi="標楷體" w:cs="標楷體" w:hint="eastAsia"/>
          <w:bCs/>
          <w:szCs w:val="24"/>
        </w:rPr>
        <w:t>等</w:t>
      </w:r>
      <w:r w:rsidRPr="00D94EF8">
        <w:rPr>
          <w:rFonts w:ascii="標楷體" w:eastAsia="標楷體" w:hAnsi="標楷體" w:cs="標楷體"/>
          <w:bCs/>
          <w:szCs w:val="24"/>
        </w:rPr>
        <w:t>10</w:t>
      </w:r>
      <w:r w:rsidRPr="00D94EF8">
        <w:rPr>
          <w:rFonts w:ascii="標楷體" w:eastAsia="標楷體" w:hAnsi="標楷體" w:cs="標楷體" w:hint="eastAsia"/>
          <w:bCs/>
          <w:szCs w:val="24"/>
        </w:rPr>
        <w:t>類「極度重要</w:t>
      </w:r>
      <w:r w:rsidRPr="00D94EF8">
        <w:rPr>
          <w:rFonts w:ascii="標楷體" w:eastAsia="標楷體" w:hAnsi="標楷體" w:cs="標楷體"/>
          <w:bCs/>
          <w:szCs w:val="24"/>
        </w:rPr>
        <w:t>-</w:t>
      </w:r>
      <w:r w:rsidRPr="00D94EF8">
        <w:rPr>
          <w:rFonts w:ascii="標楷體" w:eastAsia="標楷體" w:hAnsi="標楷體" w:cs="標楷體" w:hint="eastAsia"/>
          <w:bCs/>
          <w:szCs w:val="24"/>
        </w:rPr>
        <w:t>高度優先」、「高度重要」或「重要」抗生素藥物可用於治療（表</w:t>
      </w:r>
      <w:r w:rsidR="005A1366">
        <w:rPr>
          <w:rFonts w:ascii="標楷體" w:eastAsia="標楷體" w:hAnsi="標楷體" w:cs="標楷體"/>
          <w:bCs/>
          <w:szCs w:val="24"/>
        </w:rPr>
        <w:t>30</w:t>
      </w:r>
      <w:r w:rsidRPr="00D94EF8">
        <w:rPr>
          <w:rFonts w:ascii="標楷體" w:eastAsia="標楷體" w:hAnsi="標楷體" w:cs="標楷體" w:hint="eastAsia"/>
          <w:bCs/>
          <w:szCs w:val="24"/>
        </w:rPr>
        <w:t>），</w:t>
      </w:r>
      <w:proofErr w:type="gramStart"/>
      <w:r w:rsidRPr="00D94EF8">
        <w:rPr>
          <w:rFonts w:ascii="標楷體" w:eastAsia="標楷體" w:hAnsi="標楷體" w:cs="標楷體" w:hint="eastAsia"/>
          <w:bCs/>
          <w:szCs w:val="24"/>
        </w:rPr>
        <w:t>依防檢</w:t>
      </w:r>
      <w:proofErr w:type="gramEnd"/>
      <w:r w:rsidRPr="00D94EF8">
        <w:rPr>
          <w:rFonts w:ascii="標楷體" w:eastAsia="標楷體" w:hAnsi="標楷體" w:cs="標楷體" w:hint="eastAsia"/>
          <w:bCs/>
          <w:szCs w:val="24"/>
        </w:rPr>
        <w:t>署</w:t>
      </w:r>
      <w:proofErr w:type="gramStart"/>
      <w:r w:rsidRPr="00D94EF8">
        <w:rPr>
          <w:rFonts w:ascii="標楷體" w:eastAsia="標楷體" w:hAnsi="標楷體" w:cs="標楷體"/>
          <w:bCs/>
          <w:szCs w:val="24"/>
        </w:rPr>
        <w:t>110</w:t>
      </w:r>
      <w:r w:rsidRPr="00D94EF8">
        <w:rPr>
          <w:rFonts w:ascii="標楷體" w:eastAsia="標楷體" w:hAnsi="標楷體" w:cs="標楷體" w:hint="eastAsia"/>
          <w:bCs/>
          <w:szCs w:val="24"/>
        </w:rPr>
        <w:t>至</w:t>
      </w:r>
      <w:r w:rsidRPr="00D94EF8">
        <w:rPr>
          <w:rFonts w:ascii="標楷體" w:eastAsia="標楷體" w:hAnsi="標楷體" w:cs="標楷體"/>
          <w:bCs/>
          <w:szCs w:val="24"/>
        </w:rPr>
        <w:t>112</w:t>
      </w:r>
      <w:r w:rsidRPr="00D94EF8">
        <w:rPr>
          <w:rFonts w:ascii="標楷體" w:eastAsia="標楷體" w:hAnsi="標楷體" w:cs="標楷體" w:hint="eastAsia"/>
          <w:bCs/>
          <w:szCs w:val="24"/>
        </w:rPr>
        <w:t>年畜</w:t>
      </w:r>
      <w:proofErr w:type="gramEnd"/>
      <w:r w:rsidRPr="00D94EF8">
        <w:rPr>
          <w:rFonts w:ascii="標楷體" w:eastAsia="標楷體" w:hAnsi="標楷體" w:cs="標楷體" w:hint="eastAsia"/>
          <w:bCs/>
          <w:szCs w:val="24"/>
        </w:rPr>
        <w:t>禽分離大腸桿菌及腸球菌之抗藥性監測結果，胺</w:t>
      </w:r>
      <w:proofErr w:type="gramStart"/>
      <w:r w:rsidRPr="00D94EF8">
        <w:rPr>
          <w:rFonts w:ascii="標楷體" w:eastAsia="標楷體" w:hAnsi="標楷體" w:cs="標楷體" w:hint="eastAsia"/>
          <w:bCs/>
          <w:szCs w:val="24"/>
        </w:rPr>
        <w:t>基配醣體類、巨環內酯類</w:t>
      </w:r>
      <w:proofErr w:type="gramEnd"/>
      <w:r w:rsidRPr="00D94EF8">
        <w:rPr>
          <w:rFonts w:ascii="標楷體" w:eastAsia="標楷體" w:hAnsi="標楷體" w:cs="標楷體" w:hint="eastAsia"/>
          <w:bCs/>
          <w:szCs w:val="24"/>
        </w:rPr>
        <w:t>、酰胺醇類、盤尼西林類、四環黴素等抗生素抗藥性達</w:t>
      </w:r>
      <w:r w:rsidRPr="00D94EF8">
        <w:rPr>
          <w:rFonts w:ascii="標楷體" w:eastAsia="標楷體" w:hAnsi="標楷體" w:cs="標楷體"/>
          <w:bCs/>
          <w:szCs w:val="24"/>
        </w:rPr>
        <w:t>8</w:t>
      </w:r>
      <w:r w:rsidRPr="00D94EF8">
        <w:rPr>
          <w:rFonts w:ascii="標楷體" w:eastAsia="標楷體" w:hAnsi="標楷體" w:cs="標楷體" w:hint="eastAsia"/>
          <w:bCs/>
          <w:szCs w:val="24"/>
        </w:rPr>
        <w:t>至</w:t>
      </w:r>
      <w:r w:rsidRPr="00D94EF8">
        <w:rPr>
          <w:rFonts w:ascii="標楷體" w:eastAsia="標楷體" w:hAnsi="標楷體" w:cs="標楷體"/>
          <w:bCs/>
          <w:szCs w:val="24"/>
        </w:rPr>
        <w:t>9</w:t>
      </w:r>
      <w:r w:rsidRPr="00D94EF8">
        <w:rPr>
          <w:rFonts w:ascii="標楷體" w:eastAsia="標楷體" w:hAnsi="標楷體" w:cs="標楷體" w:hint="eastAsia"/>
          <w:bCs/>
          <w:szCs w:val="24"/>
        </w:rPr>
        <w:t>成或持續升高，均不利減少人類與動物間抗生素抗藥性之風險。經函請行政院督促權責機關</w:t>
      </w:r>
      <w:proofErr w:type="gramStart"/>
      <w:r w:rsidRPr="00D94EF8">
        <w:rPr>
          <w:rFonts w:ascii="標楷體" w:eastAsia="標楷體" w:hAnsi="標楷體" w:cs="標楷體" w:hint="eastAsia"/>
          <w:bCs/>
          <w:szCs w:val="24"/>
        </w:rPr>
        <w:t>研</w:t>
      </w:r>
      <w:proofErr w:type="gramEnd"/>
      <w:r w:rsidRPr="00D94EF8">
        <w:rPr>
          <w:rFonts w:ascii="標楷體" w:eastAsia="標楷體" w:hAnsi="標楷體" w:cs="標楷體" w:hint="eastAsia"/>
          <w:bCs/>
          <w:szCs w:val="24"/>
        </w:rPr>
        <w:t>謀因應，評估動物使用該等抗生素對於人類健康之影響，並強化相關管理措施，以維繫國內重</w:t>
      </w:r>
      <w:r w:rsidRPr="00D94EF8">
        <w:rPr>
          <w:rFonts w:ascii="標楷體" w:eastAsia="標楷體" w:hAnsi="標楷體" w:cs="標楷體" w:hint="eastAsia"/>
          <w:bCs/>
          <w:szCs w:val="24"/>
        </w:rPr>
        <w:lastRenderedPageBreak/>
        <w:t>要性抗生素之有效性。據復：防檢署已規劃評估</w:t>
      </w:r>
      <w:r w:rsidR="005E04B5">
        <w:rPr>
          <w:rFonts w:ascii="標楷體" w:eastAsia="標楷體" w:hAnsi="標楷體" w:cs="標楷體" w:hint="eastAsia"/>
          <w:bCs/>
          <w:szCs w:val="24"/>
        </w:rPr>
        <w:t>動物</w:t>
      </w:r>
      <w:r w:rsidRPr="00D94EF8">
        <w:rPr>
          <w:rFonts w:ascii="標楷體" w:eastAsia="標楷體" w:hAnsi="標楷體" w:cs="標楷體" w:hint="eastAsia"/>
          <w:bCs/>
          <w:szCs w:val="24"/>
        </w:rPr>
        <w:t>使用抗生素對人</w:t>
      </w:r>
      <w:r w:rsidRPr="00D94EF8">
        <w:rPr>
          <w:rFonts w:ascii="標楷體" w:eastAsia="標楷體" w:hAnsi="標楷體" w:cs="標楷體" w:hint="eastAsia"/>
          <w:bCs/>
          <w:spacing w:val="-2"/>
          <w:szCs w:val="24"/>
        </w:rPr>
        <w:t>類健康之影響，</w:t>
      </w:r>
      <w:proofErr w:type="gramStart"/>
      <w:r w:rsidRPr="00D94EF8">
        <w:rPr>
          <w:rFonts w:ascii="標楷體" w:eastAsia="標楷體" w:hAnsi="標楷體" w:cs="標楷體" w:hint="eastAsia"/>
          <w:bCs/>
          <w:spacing w:val="-2"/>
          <w:szCs w:val="24"/>
        </w:rPr>
        <w:t>研</w:t>
      </w:r>
      <w:proofErr w:type="gramEnd"/>
      <w:r w:rsidRPr="00D94EF8">
        <w:rPr>
          <w:rFonts w:ascii="標楷體" w:eastAsia="標楷體" w:hAnsi="標楷體" w:cs="標楷體" w:hint="eastAsia"/>
          <w:bCs/>
          <w:spacing w:val="-2"/>
          <w:szCs w:val="24"/>
        </w:rPr>
        <w:t>議禁止將</w:t>
      </w:r>
      <w:r w:rsidR="00EA2A66" w:rsidRPr="00D94EF8">
        <w:rPr>
          <w:rFonts w:ascii="標楷體" w:eastAsia="標楷體" w:hAnsi="標楷體"/>
          <w:b/>
          <w:noProof/>
          <w:sz w:val="32"/>
          <w:szCs w:val="32"/>
        </w:rPr>
        <mc:AlternateContent>
          <mc:Choice Requires="wps">
            <w:drawing>
              <wp:anchor distT="0" distB="0" distL="114300" distR="114300" simplePos="0" relativeHeight="251689984" behindDoc="0" locked="0" layoutInCell="1" allowOverlap="1" wp14:anchorId="71C7EDA5" wp14:editId="4DC6267E">
                <wp:simplePos x="0" y="0"/>
                <wp:positionH relativeFrom="margin">
                  <wp:posOffset>1710690</wp:posOffset>
                </wp:positionH>
                <wp:positionV relativeFrom="paragraph">
                  <wp:posOffset>88265</wp:posOffset>
                </wp:positionV>
                <wp:extent cx="4562475" cy="6057900"/>
                <wp:effectExtent l="0" t="0" r="9525" b="0"/>
                <wp:wrapSquare wrapText="bothSides"/>
                <wp:docPr id="20083270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2475" cy="6057900"/>
                        </a:xfrm>
                        <a:prstGeom prst="rect">
                          <a:avLst/>
                        </a:prstGeom>
                        <a:solidFill>
                          <a:srgbClr val="FFFFFF"/>
                        </a:solidFill>
                        <a:ln w="9525">
                          <a:noFill/>
                          <a:miter lim="800000"/>
                          <a:headEnd/>
                          <a:tailEnd/>
                        </a:ln>
                      </wps:spPr>
                      <wps:txbx>
                        <w:txbxContent>
                          <w:p w14:paraId="45452D83" w14:textId="77777777" w:rsidR="00EA2A66" w:rsidRPr="00E32DDD" w:rsidRDefault="00EA2A66" w:rsidP="00EA2A66">
                            <w:pPr>
                              <w:tabs>
                                <w:tab w:val="left" w:pos="6379"/>
                              </w:tabs>
                              <w:spacing w:line="340" w:lineRule="exact"/>
                              <w:ind w:left="721" w:hangingChars="300" w:hanging="721"/>
                              <w:jc w:val="both"/>
                              <w:rPr>
                                <w:rFonts w:ascii="標楷體" w:eastAsia="標楷體" w:hAnsi="標楷體"/>
                                <w:b/>
                                <w:spacing w:val="-20"/>
                              </w:rPr>
                            </w:pPr>
                            <w:r w:rsidRPr="00CC47C1">
                              <w:rPr>
                                <w:rFonts w:ascii="標楷體" w:eastAsia="標楷體" w:hAnsi="標楷體" w:hint="eastAsia"/>
                                <w:b/>
                              </w:rPr>
                              <w:t>表</w:t>
                            </w:r>
                            <w:r w:rsidRPr="00CC47C1">
                              <w:rPr>
                                <w:rFonts w:ascii="標楷體" w:eastAsia="標楷體" w:hAnsi="標楷體"/>
                                <w:b/>
                              </w:rPr>
                              <w:t>30</w:t>
                            </w:r>
                            <w:r w:rsidRPr="00E32DDD">
                              <w:rPr>
                                <w:rFonts w:ascii="標楷體" w:eastAsia="標楷體" w:hAnsi="標楷體" w:hint="eastAsia"/>
                                <w:b/>
                                <w:spacing w:val="-20"/>
                              </w:rPr>
                              <w:t xml:space="preserve">　截至113年8月底我國核准動物使用人類重要抗生素對應</w:t>
                            </w:r>
                            <w:r w:rsidRPr="00E32DDD">
                              <w:rPr>
                                <w:rFonts w:ascii="標楷體" w:eastAsia="標楷體" w:hAnsi="標楷體"/>
                                <w:b/>
                                <w:spacing w:val="-20"/>
                              </w:rPr>
                              <w:t>WHO</w:t>
                            </w:r>
                            <w:r w:rsidRPr="00E32DDD">
                              <w:rPr>
                                <w:rFonts w:ascii="標楷體" w:eastAsia="標楷體" w:hAnsi="標楷體" w:hint="eastAsia"/>
                                <w:b/>
                                <w:spacing w:val="-20"/>
                              </w:rPr>
                              <w:t>建議情形</w:t>
                            </w:r>
                          </w:p>
                          <w:tbl>
                            <w:tblPr>
                              <w:tblStyle w:val="45"/>
                              <w:tblW w:w="4989" w:type="pct"/>
                              <w:tblLook w:val="04A0" w:firstRow="1" w:lastRow="0" w:firstColumn="1" w:lastColumn="0" w:noHBand="0" w:noVBand="1"/>
                            </w:tblPr>
                            <w:tblGrid>
                              <w:gridCol w:w="617"/>
                              <w:gridCol w:w="680"/>
                              <w:gridCol w:w="1236"/>
                              <w:gridCol w:w="1127"/>
                              <w:gridCol w:w="1215"/>
                              <w:gridCol w:w="2223"/>
                            </w:tblGrid>
                            <w:tr w:rsidR="00EA2A66" w:rsidRPr="00C02659" w14:paraId="7EE70C6E" w14:textId="77777777" w:rsidTr="00E80824">
                              <w:trPr>
                                <w:trHeight w:val="780"/>
                              </w:trPr>
                              <w:tc>
                                <w:tcPr>
                                  <w:tcW w:w="912" w:type="pct"/>
                                  <w:gridSpan w:val="2"/>
                                  <w:vAlign w:val="center"/>
                                </w:tcPr>
                                <w:p w14:paraId="09EFE404" w14:textId="77777777" w:rsidR="00EA2A66" w:rsidRPr="00C02659" w:rsidRDefault="00EA2A66" w:rsidP="00A542E5">
                                  <w:pPr>
                                    <w:pStyle w:val="afffa"/>
                                    <w:overflowPunct w:val="0"/>
                                    <w:spacing w:line="200" w:lineRule="exact"/>
                                    <w:ind w:leftChars="0" w:left="0"/>
                                    <w:jc w:val="both"/>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對人類具有醫學重要性抗生素分類</w:t>
                                  </w:r>
                                </w:p>
                              </w:tc>
                              <w:tc>
                                <w:tcPr>
                                  <w:tcW w:w="871" w:type="pct"/>
                                  <w:vAlign w:val="center"/>
                                </w:tcPr>
                                <w:p w14:paraId="530B36BB" w14:textId="77777777" w:rsidR="00EA2A66" w:rsidRPr="00C02659" w:rsidRDefault="00EA2A66" w:rsidP="00E32DDD">
                                  <w:pPr>
                                    <w:pStyle w:val="afffa"/>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用於促進生長</w:t>
                                  </w:r>
                                </w:p>
                              </w:tc>
                              <w:tc>
                                <w:tcPr>
                                  <w:tcW w:w="794" w:type="pct"/>
                                  <w:vAlign w:val="center"/>
                                </w:tcPr>
                                <w:p w14:paraId="703F967F"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用於預防傳染病</w:t>
                                  </w:r>
                                </w:p>
                                <w:p w14:paraId="527D7BEC"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Pr>
                                      <w:rFonts w:ascii="標楷體" w:eastAsia="標楷體" w:hAnsi="標楷體" w:cs="標楷體"/>
                                      <w:bCs/>
                                      <w:snapToGrid w:val="0"/>
                                      <w:color w:val="000000" w:themeColor="text1"/>
                                      <w:sz w:val="20"/>
                                    </w:rPr>
                                    <w:t>1</w:t>
                                  </w:r>
                                  <w:r w:rsidRPr="00866921">
                                    <w:rPr>
                                      <w:rFonts w:ascii="標楷體" w:eastAsia="標楷體" w:hAnsi="標楷體" w:cs="標楷體" w:hint="eastAsia"/>
                                      <w:bCs/>
                                      <w:snapToGrid w:val="0"/>
                                      <w:color w:val="000000" w:themeColor="text1"/>
                                      <w:sz w:val="20"/>
                                    </w:rPr>
                                    <w:t>)</w:t>
                                  </w:r>
                                </w:p>
                              </w:tc>
                              <w:tc>
                                <w:tcPr>
                                  <w:tcW w:w="856" w:type="pct"/>
                                  <w:vAlign w:val="center"/>
                                </w:tcPr>
                                <w:p w14:paraId="3307FB41" w14:textId="77777777" w:rsidR="00EA2A66" w:rsidRDefault="00EA2A66" w:rsidP="00E32DDD">
                                  <w:pPr>
                                    <w:pStyle w:val="afffa"/>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用於控制</w:t>
                                  </w:r>
                                </w:p>
                                <w:p w14:paraId="543EC361" w14:textId="77777777" w:rsidR="00EA2A66" w:rsidRPr="00C02659" w:rsidRDefault="00EA2A66" w:rsidP="00E32DDD">
                                  <w:pPr>
                                    <w:pStyle w:val="afffa"/>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傳染病傳播</w:t>
                                  </w:r>
                                </w:p>
                              </w:tc>
                              <w:tc>
                                <w:tcPr>
                                  <w:tcW w:w="1567" w:type="pct"/>
                                  <w:vAlign w:val="center"/>
                                </w:tcPr>
                                <w:p w14:paraId="06DA471E"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用於治療</w:t>
                                  </w:r>
                                </w:p>
                              </w:tc>
                            </w:tr>
                            <w:tr w:rsidR="00EA2A66" w:rsidRPr="00C02659" w14:paraId="296A58A2" w14:textId="77777777" w:rsidTr="00E80824">
                              <w:trPr>
                                <w:trHeight w:val="189"/>
                              </w:trPr>
                              <w:tc>
                                <w:tcPr>
                                  <w:tcW w:w="434" w:type="pct"/>
                                  <w:vMerge w:val="restart"/>
                                  <w:vAlign w:val="center"/>
                                </w:tcPr>
                                <w:p w14:paraId="00D4E38E"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極度重要</w:t>
                                  </w:r>
                                </w:p>
                              </w:tc>
                              <w:tc>
                                <w:tcPr>
                                  <w:tcW w:w="479" w:type="pct"/>
                                  <w:vMerge w:val="restart"/>
                                  <w:vAlign w:val="center"/>
                                </w:tcPr>
                                <w:p w14:paraId="022A815A"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最高優先</w:t>
                                  </w:r>
                                </w:p>
                              </w:tc>
                              <w:tc>
                                <w:tcPr>
                                  <w:tcW w:w="4088" w:type="pct"/>
                                  <w:gridSpan w:val="4"/>
                                  <w:vAlign w:val="center"/>
                                </w:tcPr>
                                <w:p w14:paraId="33B1071B" w14:textId="77777777" w:rsidR="00EA2A66" w:rsidRPr="00DA4643" w:rsidRDefault="00EA2A66" w:rsidP="00BD3E4A">
                                  <w:pPr>
                                    <w:pStyle w:val="afffa"/>
                                    <w:overflowPunct w:val="0"/>
                                    <w:spacing w:line="200" w:lineRule="exact"/>
                                    <w:ind w:leftChars="0" w:left="0"/>
                                    <w:jc w:val="center"/>
                                    <w:rPr>
                                      <w:rFonts w:ascii="標楷體" w:eastAsia="標楷體" w:hAnsi="標楷體" w:cs="標楷體"/>
                                      <w:b/>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31BF834E" w14:textId="77777777" w:rsidTr="00E80824">
                              <w:trPr>
                                <w:trHeight w:val="18"/>
                              </w:trPr>
                              <w:tc>
                                <w:tcPr>
                                  <w:tcW w:w="434" w:type="pct"/>
                                  <w:vMerge/>
                                  <w:vAlign w:val="center"/>
                                </w:tcPr>
                                <w:p w14:paraId="6FD7046B"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ign w:val="center"/>
                                </w:tcPr>
                                <w:p w14:paraId="26D182F5"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1664" w:type="pct"/>
                                  <w:gridSpan w:val="2"/>
                                  <w:vAlign w:val="center"/>
                                </w:tcPr>
                                <w:p w14:paraId="4E99B976"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tcPr>
                                <w:p w14:paraId="7A6CB024" w14:textId="77777777" w:rsidR="00EA2A66"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有例外條件之完全限制</w:t>
                                  </w:r>
                                </w:p>
                                <w:p w14:paraId="36AE51D6" w14:textId="77777777" w:rsidR="00EA2A66" w:rsidRPr="00DA4643"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sidRPr="00866921">
                                    <w:rPr>
                                      <w:rFonts w:ascii="標楷體" w:eastAsia="標楷體" w:hAnsi="標楷體" w:cs="標楷體" w:hint="eastAsia"/>
                                      <w:bCs/>
                                      <w:snapToGrid w:val="0"/>
                                      <w:color w:val="000000" w:themeColor="text1"/>
                                      <w:sz w:val="20"/>
                                    </w:rPr>
                                    <w:t>2)</w:t>
                                  </w:r>
                                </w:p>
                              </w:tc>
                              <w:tc>
                                <w:tcPr>
                                  <w:tcW w:w="1567" w:type="pct"/>
                                  <w:vAlign w:val="center"/>
                                </w:tcPr>
                                <w:p w14:paraId="588642DA" w14:textId="77777777" w:rsidR="00EA2A66" w:rsidRPr="00DA4643"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有例外條件之完全限制</w:t>
                                  </w: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sidRPr="00866921">
                                    <w:rPr>
                                      <w:rFonts w:ascii="標楷體" w:eastAsia="標楷體" w:hAnsi="標楷體" w:cs="標楷體" w:hint="eastAsia"/>
                                      <w:bCs/>
                                      <w:snapToGrid w:val="0"/>
                                      <w:color w:val="000000" w:themeColor="text1"/>
                                      <w:sz w:val="20"/>
                                    </w:rPr>
                                    <w:t>2)</w:t>
                                  </w:r>
                                </w:p>
                              </w:tc>
                            </w:tr>
                            <w:tr w:rsidR="00EA2A66" w:rsidRPr="00C02659" w14:paraId="01379815" w14:textId="77777777" w:rsidTr="00E80824">
                              <w:trPr>
                                <w:trHeight w:val="258"/>
                              </w:trPr>
                              <w:tc>
                                <w:tcPr>
                                  <w:tcW w:w="434" w:type="pct"/>
                                  <w:vMerge/>
                                  <w:vAlign w:val="center"/>
                                </w:tcPr>
                                <w:p w14:paraId="1B1D2693"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ign w:val="center"/>
                                </w:tcPr>
                                <w:p w14:paraId="485D83B5"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4088" w:type="pct"/>
                                  <w:gridSpan w:val="4"/>
                                  <w:vAlign w:val="center"/>
                                </w:tcPr>
                                <w:p w14:paraId="46929A55" w14:textId="77777777" w:rsidR="00EA2A66" w:rsidRPr="00DA4643" w:rsidRDefault="00EA2A66" w:rsidP="00BD3E4A">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7C5D5D30" w14:textId="77777777" w:rsidTr="00E80824">
                              <w:trPr>
                                <w:trHeight w:val="18"/>
                              </w:trPr>
                              <w:tc>
                                <w:tcPr>
                                  <w:tcW w:w="434" w:type="pct"/>
                                  <w:vMerge/>
                                  <w:vAlign w:val="center"/>
                                </w:tcPr>
                                <w:p w14:paraId="4CD21201"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ign w:val="center"/>
                                </w:tcPr>
                                <w:p w14:paraId="320988EE"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871" w:type="pct"/>
                                  <w:vAlign w:val="center"/>
                                </w:tcPr>
                                <w:p w14:paraId="32D6EC3A"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794" w:type="pct"/>
                                  <w:vAlign w:val="center"/>
                                </w:tcPr>
                                <w:p w14:paraId="7A3137C5"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4D358471"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tcPr>
                                <w:p w14:paraId="1926B0E7" w14:textId="77777777" w:rsidR="00EA2A66" w:rsidRPr="00C02659" w:rsidRDefault="00EA2A66" w:rsidP="00E32DDD">
                                  <w:pPr>
                                    <w:overflowPunct w:val="0"/>
                                    <w:spacing w:line="200" w:lineRule="exact"/>
                                    <w:ind w:rightChars="-50" w:right="-120"/>
                                    <w:jc w:val="both"/>
                                    <w:rPr>
                                      <w:rFonts w:ascii="標楷體" w:eastAsia="標楷體" w:hAnsi="標楷體" w:cs="標楷體"/>
                                      <w:bCs/>
                                      <w:snapToGrid w:val="0"/>
                                      <w:color w:val="000000" w:themeColor="text1"/>
                                      <w:sz w:val="20"/>
                                      <w:u w:val="single"/>
                                    </w:rPr>
                                  </w:pPr>
                                  <w:r w:rsidRPr="00771125">
                                    <w:rPr>
                                      <w:rFonts w:ascii="標楷體" w:eastAsia="標楷體" w:hAnsi="標楷體" w:hint="eastAsia"/>
                                      <w:color w:val="000000" w:themeColor="text1"/>
                                      <w:sz w:val="20"/>
                                    </w:rPr>
                                    <w:t>第3代及第4代頭孢子</w:t>
                                  </w:r>
                                  <w:proofErr w:type="gramStart"/>
                                  <w:r w:rsidRPr="00771125">
                                    <w:rPr>
                                      <w:rFonts w:ascii="標楷體" w:eastAsia="標楷體" w:hAnsi="標楷體" w:hint="eastAsia"/>
                                      <w:color w:val="000000" w:themeColor="text1"/>
                                      <w:sz w:val="20"/>
                                    </w:rPr>
                                    <w:t>菌素類</w:t>
                                  </w:r>
                                  <w:proofErr w:type="gramEnd"/>
                                  <w:r>
                                    <w:rPr>
                                      <w:rFonts w:ascii="標楷體" w:eastAsia="標楷體" w:hAnsi="標楷體" w:hint="eastAsia"/>
                                      <w:color w:val="000000" w:themeColor="text1"/>
                                      <w:sz w:val="20"/>
                                    </w:rPr>
                                    <w:t>、</w:t>
                                  </w:r>
                                  <w:r w:rsidRPr="00C02659">
                                    <w:rPr>
                                      <w:rFonts w:ascii="標楷體" w:eastAsia="標楷體" w:hAnsi="標楷體" w:hint="eastAsia"/>
                                      <w:color w:val="000000" w:themeColor="text1"/>
                                      <w:sz w:val="20"/>
                                    </w:rPr>
                                    <w:t>氟</w:t>
                                  </w:r>
                                  <w:proofErr w:type="gramStart"/>
                                  <w:r w:rsidRPr="00C02659">
                                    <w:rPr>
                                      <w:rFonts w:ascii="標楷體" w:eastAsia="標楷體" w:hAnsi="標楷體" w:hint="eastAsia"/>
                                      <w:color w:val="000000" w:themeColor="text1"/>
                                      <w:sz w:val="20"/>
                                    </w:rPr>
                                    <w:t>奎諾酮類</w:t>
                                  </w:r>
                                  <w:proofErr w:type="gramEnd"/>
                                </w:p>
                              </w:tc>
                            </w:tr>
                            <w:tr w:rsidR="00EA2A66" w:rsidRPr="00C02659" w14:paraId="0E44DCF2" w14:textId="77777777" w:rsidTr="00E80824">
                              <w:trPr>
                                <w:trHeight w:val="286"/>
                              </w:trPr>
                              <w:tc>
                                <w:tcPr>
                                  <w:tcW w:w="434" w:type="pct"/>
                                  <w:vMerge/>
                                  <w:vAlign w:val="center"/>
                                </w:tcPr>
                                <w:p w14:paraId="24CD0163"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restart"/>
                                  <w:vAlign w:val="center"/>
                                </w:tcPr>
                                <w:p w14:paraId="67BAEBAF"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高度優先</w:t>
                                  </w:r>
                                </w:p>
                              </w:tc>
                              <w:tc>
                                <w:tcPr>
                                  <w:tcW w:w="4088" w:type="pct"/>
                                  <w:gridSpan w:val="4"/>
                                  <w:vAlign w:val="center"/>
                                </w:tcPr>
                                <w:p w14:paraId="08F085AC" w14:textId="77777777" w:rsidR="00EA2A66" w:rsidRPr="007E0D9D" w:rsidRDefault="00EA2A66" w:rsidP="00BD3E4A">
                                  <w:pPr>
                                    <w:overflowPunct w:val="0"/>
                                    <w:spacing w:line="200" w:lineRule="exact"/>
                                    <w:jc w:val="center"/>
                                    <w:rPr>
                                      <w:rFonts w:ascii="標楷體" w:eastAsia="標楷體" w:hAnsi="標楷體"/>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77B95994" w14:textId="77777777" w:rsidTr="00E80824">
                              <w:trPr>
                                <w:trHeight w:val="87"/>
                              </w:trPr>
                              <w:tc>
                                <w:tcPr>
                                  <w:tcW w:w="434" w:type="pct"/>
                                  <w:vMerge/>
                                </w:tcPr>
                                <w:p w14:paraId="02DCF201"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tcPr>
                                <w:p w14:paraId="713CCBC7"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1664" w:type="pct"/>
                                  <w:gridSpan w:val="2"/>
                                  <w:vAlign w:val="center"/>
                                </w:tcPr>
                                <w:p w14:paraId="44629312"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tcPr>
                                <w:p w14:paraId="14B0FB2C" w14:textId="77777777" w:rsidR="00EA2A66"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有例外條件之完全限制</w:t>
                                  </w:r>
                                </w:p>
                                <w:p w14:paraId="64A09475" w14:textId="77777777" w:rsidR="00EA2A66" w:rsidRPr="00DA4643"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sidRPr="00866921">
                                    <w:rPr>
                                      <w:rFonts w:ascii="標楷體" w:eastAsia="標楷體" w:hAnsi="標楷體" w:cs="標楷體" w:hint="eastAsia"/>
                                      <w:bCs/>
                                      <w:snapToGrid w:val="0"/>
                                      <w:color w:val="000000" w:themeColor="text1"/>
                                      <w:sz w:val="20"/>
                                    </w:rPr>
                                    <w:t>2)</w:t>
                                  </w:r>
                                </w:p>
                              </w:tc>
                              <w:tc>
                                <w:tcPr>
                                  <w:tcW w:w="1567" w:type="pct"/>
                                  <w:vAlign w:val="center"/>
                                </w:tcPr>
                                <w:p w14:paraId="7F6C45A9" w14:textId="77777777" w:rsidR="00EA2A66" w:rsidRPr="007E0D9D" w:rsidRDefault="00EA2A66" w:rsidP="00E32DDD">
                                  <w:pPr>
                                    <w:overflowPunct w:val="0"/>
                                    <w:spacing w:line="200" w:lineRule="exact"/>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r>
                            <w:tr w:rsidR="00EA2A66" w:rsidRPr="00C02659" w14:paraId="4DB3BD68" w14:textId="77777777" w:rsidTr="00E80824">
                              <w:trPr>
                                <w:trHeight w:val="299"/>
                              </w:trPr>
                              <w:tc>
                                <w:tcPr>
                                  <w:tcW w:w="434" w:type="pct"/>
                                  <w:vMerge/>
                                </w:tcPr>
                                <w:p w14:paraId="1CAE8644"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tcPr>
                                <w:p w14:paraId="6E61B026"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088" w:type="pct"/>
                                  <w:gridSpan w:val="4"/>
                                  <w:vAlign w:val="center"/>
                                </w:tcPr>
                                <w:p w14:paraId="34AF8CA7" w14:textId="77777777" w:rsidR="00EA2A66" w:rsidRPr="00DA4643" w:rsidRDefault="00EA2A66" w:rsidP="00BD3E4A">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4896DD26" w14:textId="77777777" w:rsidTr="00E80824">
                              <w:trPr>
                                <w:trHeight w:val="81"/>
                              </w:trPr>
                              <w:tc>
                                <w:tcPr>
                                  <w:tcW w:w="434" w:type="pct"/>
                                  <w:vMerge/>
                                </w:tcPr>
                                <w:p w14:paraId="0376175A"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tcPr>
                                <w:p w14:paraId="646A7FA1"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871" w:type="pct"/>
                                  <w:vAlign w:val="center"/>
                                </w:tcPr>
                                <w:p w14:paraId="64AF3C92"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794" w:type="pct"/>
                                  <w:vAlign w:val="center"/>
                                </w:tcPr>
                                <w:p w14:paraId="31B39B43"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5258143C"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tcPr>
                                <w:p w14:paraId="180D12CC" w14:textId="77777777" w:rsidR="00EA2A66" w:rsidRPr="00C02659" w:rsidRDefault="00EA2A66" w:rsidP="00E32DDD">
                                  <w:pPr>
                                    <w:overflowPunct w:val="0"/>
                                    <w:spacing w:line="200" w:lineRule="exact"/>
                                    <w:jc w:val="both"/>
                                    <w:rPr>
                                      <w:rFonts w:ascii="標楷體" w:eastAsia="標楷體" w:hAnsi="標楷體" w:cs="標楷體"/>
                                      <w:bCs/>
                                      <w:snapToGrid w:val="0"/>
                                      <w:color w:val="000000" w:themeColor="text1"/>
                                      <w:sz w:val="20"/>
                                      <w:u w:val="single"/>
                                    </w:rPr>
                                  </w:pPr>
                                  <w:r w:rsidRPr="00771125">
                                    <w:rPr>
                                      <w:rFonts w:ascii="標楷體" w:eastAsia="標楷體" w:hAnsi="標楷體" w:hint="eastAsia"/>
                                      <w:color w:val="000000" w:themeColor="text1"/>
                                      <w:sz w:val="20"/>
                                    </w:rPr>
                                    <w:t>胺</w:t>
                                  </w:r>
                                  <w:proofErr w:type="gramStart"/>
                                  <w:r w:rsidRPr="00771125">
                                    <w:rPr>
                                      <w:rFonts w:ascii="標楷體" w:eastAsia="標楷體" w:hAnsi="標楷體" w:hint="eastAsia"/>
                                      <w:color w:val="000000" w:themeColor="text1"/>
                                      <w:sz w:val="20"/>
                                    </w:rPr>
                                    <w:t>基配醣體類</w:t>
                                  </w:r>
                                  <w:r>
                                    <w:rPr>
                                      <w:rFonts w:ascii="標楷體" w:eastAsia="標楷體" w:hAnsi="標楷體" w:hint="eastAsia"/>
                                      <w:color w:val="000000" w:themeColor="text1"/>
                                      <w:sz w:val="20"/>
                                    </w:rPr>
                                    <w:t>、</w:t>
                                  </w:r>
                                  <w:r w:rsidRPr="00C02659">
                                    <w:rPr>
                                      <w:rFonts w:ascii="標楷體" w:eastAsia="標楷體" w:hAnsi="標楷體" w:hint="eastAsia"/>
                                      <w:color w:val="000000" w:themeColor="text1"/>
                                      <w:sz w:val="20"/>
                                    </w:rPr>
                                    <w:t>巨環內酯類</w:t>
                                  </w:r>
                                  <w:proofErr w:type="gramEnd"/>
                                </w:p>
                              </w:tc>
                            </w:tr>
                            <w:tr w:rsidR="00EA2A66" w:rsidRPr="00C02659" w14:paraId="08E32E3C" w14:textId="77777777" w:rsidTr="00E80824">
                              <w:trPr>
                                <w:trHeight w:val="258"/>
                              </w:trPr>
                              <w:tc>
                                <w:tcPr>
                                  <w:tcW w:w="912" w:type="pct"/>
                                  <w:gridSpan w:val="2"/>
                                  <w:vMerge w:val="restart"/>
                                  <w:vAlign w:val="center"/>
                                </w:tcPr>
                                <w:p w14:paraId="5EAEC7C1"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高度重要</w:t>
                                  </w:r>
                                </w:p>
                              </w:tc>
                              <w:tc>
                                <w:tcPr>
                                  <w:tcW w:w="4088" w:type="pct"/>
                                  <w:gridSpan w:val="4"/>
                                  <w:vAlign w:val="center"/>
                                </w:tcPr>
                                <w:p w14:paraId="723225DB" w14:textId="77777777" w:rsidR="00EA2A66" w:rsidRPr="007E0D9D" w:rsidRDefault="00EA2A66" w:rsidP="00E32DDD">
                                  <w:pPr>
                                    <w:overflowPunct w:val="0"/>
                                    <w:spacing w:line="200" w:lineRule="exact"/>
                                    <w:jc w:val="center"/>
                                    <w:rPr>
                                      <w:rFonts w:ascii="標楷體" w:eastAsia="標楷體" w:hAnsi="標楷體"/>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697F3289" w14:textId="77777777" w:rsidTr="00E80824">
                              <w:trPr>
                                <w:trHeight w:val="132"/>
                              </w:trPr>
                              <w:tc>
                                <w:tcPr>
                                  <w:tcW w:w="912" w:type="pct"/>
                                  <w:gridSpan w:val="2"/>
                                  <w:vMerge/>
                                  <w:vAlign w:val="center"/>
                                </w:tcPr>
                                <w:p w14:paraId="0E716806"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1664" w:type="pct"/>
                                  <w:gridSpan w:val="2"/>
                                  <w:vAlign w:val="center"/>
                                </w:tcPr>
                                <w:p w14:paraId="2FB078CF"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vAlign w:val="center"/>
                                </w:tcPr>
                                <w:p w14:paraId="201773BE"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c>
                                <w:tcPr>
                                  <w:tcW w:w="1567" w:type="pct"/>
                                  <w:vAlign w:val="center"/>
                                </w:tcPr>
                                <w:p w14:paraId="3EC011FF" w14:textId="77777777" w:rsidR="00EA2A66" w:rsidRPr="007E0D9D" w:rsidRDefault="00EA2A66" w:rsidP="00E32DDD">
                                  <w:pPr>
                                    <w:overflowPunct w:val="0"/>
                                    <w:spacing w:line="200" w:lineRule="exact"/>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r>
                            <w:tr w:rsidR="00EA2A66" w:rsidRPr="00C02659" w14:paraId="4FB90161" w14:textId="77777777" w:rsidTr="00E80824">
                              <w:trPr>
                                <w:trHeight w:val="300"/>
                              </w:trPr>
                              <w:tc>
                                <w:tcPr>
                                  <w:tcW w:w="912" w:type="pct"/>
                                  <w:gridSpan w:val="2"/>
                                  <w:vMerge/>
                                  <w:vAlign w:val="center"/>
                                </w:tcPr>
                                <w:p w14:paraId="4FC295E0"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4088" w:type="pct"/>
                                  <w:gridSpan w:val="4"/>
                                  <w:vAlign w:val="center"/>
                                </w:tcPr>
                                <w:p w14:paraId="76FC7F9F" w14:textId="77777777" w:rsidR="00EA2A66" w:rsidRPr="00DA4643" w:rsidRDefault="00EA2A66" w:rsidP="00E32DDD">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33361B8A" w14:textId="77777777" w:rsidTr="00E80824">
                              <w:trPr>
                                <w:trHeight w:val="190"/>
                              </w:trPr>
                              <w:tc>
                                <w:tcPr>
                                  <w:tcW w:w="912" w:type="pct"/>
                                  <w:gridSpan w:val="2"/>
                                  <w:vMerge/>
                                  <w:vAlign w:val="center"/>
                                </w:tcPr>
                                <w:p w14:paraId="0776C194"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871" w:type="pct"/>
                                  <w:vAlign w:val="center"/>
                                </w:tcPr>
                                <w:p w14:paraId="71ED0E59"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794" w:type="pct"/>
                                  <w:vAlign w:val="center"/>
                                </w:tcPr>
                                <w:p w14:paraId="2E4C6664"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4400E01F"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tcPr>
                                <w:p w14:paraId="70A2DE46" w14:textId="77777777" w:rsidR="00EA2A66" w:rsidRPr="00812DD4" w:rsidRDefault="00EA2A66" w:rsidP="00E32DDD">
                                  <w:pPr>
                                    <w:overflowPunct w:val="0"/>
                                    <w:spacing w:line="200" w:lineRule="exact"/>
                                    <w:jc w:val="both"/>
                                    <w:rPr>
                                      <w:rFonts w:ascii="標楷體" w:eastAsia="標楷體" w:hAnsi="標楷體" w:cs="標楷體"/>
                                      <w:bCs/>
                                      <w:snapToGrid w:val="0"/>
                                      <w:color w:val="000000" w:themeColor="text1"/>
                                      <w:spacing w:val="-10"/>
                                      <w:sz w:val="20"/>
                                      <w:u w:val="single"/>
                                    </w:rPr>
                                  </w:pPr>
                                  <w:r w:rsidRPr="00812DD4">
                                    <w:rPr>
                                      <w:rFonts w:ascii="標楷體" w:eastAsia="標楷體" w:hAnsi="標楷體" w:hint="eastAsia"/>
                                      <w:color w:val="000000" w:themeColor="text1"/>
                                      <w:spacing w:val="-10"/>
                                      <w:sz w:val="20"/>
                                    </w:rPr>
                                    <w:t>第1代及第2代頭孢子</w:t>
                                  </w:r>
                                  <w:proofErr w:type="gramStart"/>
                                  <w:r w:rsidRPr="00812DD4">
                                    <w:rPr>
                                      <w:rFonts w:ascii="標楷體" w:eastAsia="標楷體" w:hAnsi="標楷體" w:hint="eastAsia"/>
                                      <w:color w:val="000000" w:themeColor="text1"/>
                                      <w:spacing w:val="-10"/>
                                      <w:sz w:val="20"/>
                                    </w:rPr>
                                    <w:t>菌素類</w:t>
                                  </w:r>
                                  <w:proofErr w:type="gramEnd"/>
                                  <w:r w:rsidRPr="00812DD4">
                                    <w:rPr>
                                      <w:rFonts w:ascii="標楷體" w:eastAsia="標楷體" w:hAnsi="標楷體" w:hint="eastAsia"/>
                                      <w:color w:val="000000" w:themeColor="text1"/>
                                      <w:spacing w:val="-10"/>
                                      <w:sz w:val="20"/>
                                    </w:rPr>
                                    <w:t>、酰胺醇類、林可黴素類、盤尼西林類、磺胺類</w:t>
                                  </w:r>
                                  <w:r w:rsidRPr="00CA4FA2">
                                    <w:rPr>
                                      <w:rFonts w:ascii="標楷體" w:eastAsia="標楷體" w:hAnsi="標楷體" w:hint="eastAsia"/>
                                      <w:spacing w:val="-10"/>
                                      <w:sz w:val="20"/>
                                    </w:rPr>
                                    <w:t>（包括三甲氧芐氨嘧啶）</w:t>
                                  </w:r>
                                  <w:r w:rsidRPr="00812DD4">
                                    <w:rPr>
                                      <w:rFonts w:ascii="標楷體" w:eastAsia="標楷體" w:hAnsi="標楷體" w:hint="eastAsia"/>
                                      <w:color w:val="000000" w:themeColor="text1"/>
                                      <w:spacing w:val="-10"/>
                                      <w:sz w:val="20"/>
                                    </w:rPr>
                                    <w:t>、四環黴</w:t>
                                  </w:r>
                                  <w:r w:rsidRPr="00812DD4">
                                    <w:rPr>
                                      <w:rFonts w:ascii="標楷體" w:eastAsia="標楷體" w:hAnsi="標楷體"/>
                                      <w:color w:val="000000" w:themeColor="text1"/>
                                      <w:spacing w:val="-10"/>
                                      <w:sz w:val="20"/>
                                    </w:rPr>
                                    <w:t>素</w:t>
                                  </w:r>
                                </w:p>
                              </w:tc>
                            </w:tr>
                            <w:tr w:rsidR="00EA2A66" w:rsidRPr="00C02659" w14:paraId="22AD11C2" w14:textId="77777777" w:rsidTr="00E80824">
                              <w:trPr>
                                <w:trHeight w:val="257"/>
                              </w:trPr>
                              <w:tc>
                                <w:tcPr>
                                  <w:tcW w:w="912" w:type="pct"/>
                                  <w:gridSpan w:val="2"/>
                                  <w:vMerge w:val="restart"/>
                                  <w:vAlign w:val="center"/>
                                </w:tcPr>
                                <w:p w14:paraId="3DCB5D91"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重要</w:t>
                                  </w:r>
                                </w:p>
                              </w:tc>
                              <w:tc>
                                <w:tcPr>
                                  <w:tcW w:w="4088" w:type="pct"/>
                                  <w:gridSpan w:val="4"/>
                                  <w:vAlign w:val="center"/>
                                </w:tcPr>
                                <w:p w14:paraId="3DD154C0"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56589810" w14:textId="77777777" w:rsidTr="00E80824">
                              <w:trPr>
                                <w:trHeight w:val="543"/>
                              </w:trPr>
                              <w:tc>
                                <w:tcPr>
                                  <w:tcW w:w="912" w:type="pct"/>
                                  <w:gridSpan w:val="2"/>
                                  <w:vMerge/>
                                </w:tcPr>
                                <w:p w14:paraId="648F084E"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1664" w:type="pct"/>
                                  <w:gridSpan w:val="2"/>
                                  <w:vAlign w:val="center"/>
                                </w:tcPr>
                                <w:p w14:paraId="5E3E8774"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vAlign w:val="center"/>
                                </w:tcPr>
                                <w:p w14:paraId="1FDF554B"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c>
                                <w:tcPr>
                                  <w:tcW w:w="1567" w:type="pct"/>
                                  <w:vAlign w:val="center"/>
                                </w:tcPr>
                                <w:p w14:paraId="55D7E427"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r>
                            <w:tr w:rsidR="00EA2A66" w:rsidRPr="00C02659" w14:paraId="5516EA81" w14:textId="77777777" w:rsidTr="00E80824">
                              <w:trPr>
                                <w:trHeight w:val="314"/>
                              </w:trPr>
                              <w:tc>
                                <w:tcPr>
                                  <w:tcW w:w="912" w:type="pct"/>
                                  <w:gridSpan w:val="2"/>
                                  <w:vMerge/>
                                </w:tcPr>
                                <w:p w14:paraId="1FCE8D3C"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088" w:type="pct"/>
                                  <w:gridSpan w:val="4"/>
                                  <w:vAlign w:val="center"/>
                                </w:tcPr>
                                <w:p w14:paraId="520CEE18" w14:textId="77777777" w:rsidR="00EA2A66" w:rsidRPr="00DA4643" w:rsidRDefault="00EA2A66" w:rsidP="00E32DDD">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61B6C26D" w14:textId="77777777" w:rsidTr="00E80824">
                              <w:trPr>
                                <w:trHeight w:val="537"/>
                              </w:trPr>
                              <w:tc>
                                <w:tcPr>
                                  <w:tcW w:w="912" w:type="pct"/>
                                  <w:gridSpan w:val="2"/>
                                  <w:vMerge/>
                                </w:tcPr>
                                <w:p w14:paraId="6B2F4442"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871" w:type="pct"/>
                                  <w:vAlign w:val="center"/>
                                </w:tcPr>
                                <w:p w14:paraId="0F5A7950" w14:textId="77777777" w:rsidR="00EA2A66" w:rsidRPr="00C02659" w:rsidRDefault="00EA2A66" w:rsidP="00BD3E4A">
                                  <w:pPr>
                                    <w:overflowPunct w:val="0"/>
                                    <w:spacing w:line="200" w:lineRule="exact"/>
                                    <w:ind w:leftChars="-50" w:left="-120" w:rightChars="-50" w:right="-120"/>
                                    <w:jc w:val="both"/>
                                    <w:rPr>
                                      <w:rFonts w:ascii="標楷體" w:eastAsia="標楷體" w:hAnsi="標楷體" w:cs="標楷體"/>
                                      <w:bCs/>
                                      <w:snapToGrid w:val="0"/>
                                      <w:color w:val="000000" w:themeColor="text1"/>
                                      <w:sz w:val="20"/>
                                      <w:u w:val="single"/>
                                    </w:rPr>
                                  </w:pPr>
                                  <w:r w:rsidRPr="00771125">
                                    <w:rPr>
                                      <w:rFonts w:ascii="標楷體" w:eastAsia="標楷體" w:hAnsi="標楷體" w:cs="標楷體" w:hint="eastAsia"/>
                                      <w:bCs/>
                                      <w:snapToGrid w:val="0"/>
                                      <w:color w:val="000000" w:themeColor="text1"/>
                                      <w:sz w:val="20"/>
                                    </w:rPr>
                                    <w:t>多</w:t>
                                  </w:r>
                                  <w:proofErr w:type="gramStart"/>
                                  <w:r w:rsidRPr="00771125">
                                    <w:rPr>
                                      <w:rFonts w:ascii="標楷體" w:eastAsia="標楷體" w:hAnsi="標楷體" w:cs="標楷體" w:hint="eastAsia"/>
                                      <w:bCs/>
                                      <w:snapToGrid w:val="0"/>
                                      <w:color w:val="000000" w:themeColor="text1"/>
                                      <w:sz w:val="20"/>
                                    </w:rPr>
                                    <w:t>胜</w:t>
                                  </w:r>
                                  <w:proofErr w:type="gramEnd"/>
                                  <w:r w:rsidRPr="00771125">
                                    <w:rPr>
                                      <w:rFonts w:ascii="標楷體" w:eastAsia="標楷體" w:hAnsi="標楷體" w:cs="標楷體" w:hint="eastAsia"/>
                                      <w:bCs/>
                                      <w:snapToGrid w:val="0"/>
                                      <w:color w:val="000000" w:themeColor="text1"/>
                                      <w:sz w:val="20"/>
                                    </w:rPr>
                                    <w:t>肽類</w:t>
                                  </w:r>
                                  <w:r>
                                    <w:rPr>
                                      <w:rFonts w:ascii="標楷體" w:eastAsia="標楷體" w:hAnsi="標楷體" w:hint="eastAsia"/>
                                      <w:color w:val="000000" w:themeColor="text1"/>
                                      <w:sz w:val="20"/>
                                    </w:rPr>
                                    <w:t>、</w:t>
                                  </w:r>
                                  <w:r w:rsidRPr="00C02659">
                                    <w:rPr>
                                      <w:rFonts w:ascii="標楷體" w:eastAsia="標楷體" w:hAnsi="標楷體" w:cs="標楷體" w:hint="eastAsia"/>
                                      <w:bCs/>
                                      <w:snapToGrid w:val="0"/>
                                      <w:color w:val="000000" w:themeColor="text1"/>
                                      <w:sz w:val="20"/>
                                    </w:rPr>
                                    <w:t>截短側耳素類</w:t>
                                  </w:r>
                                </w:p>
                              </w:tc>
                              <w:tc>
                                <w:tcPr>
                                  <w:tcW w:w="794" w:type="pct"/>
                                  <w:vAlign w:val="center"/>
                                </w:tcPr>
                                <w:p w14:paraId="1CECA3BE"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3D5273E9"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vAlign w:val="center"/>
                                </w:tcPr>
                                <w:p w14:paraId="1F357ADA" w14:textId="77777777" w:rsidR="00EA2A66" w:rsidRPr="00812DD4" w:rsidRDefault="00EA2A66" w:rsidP="00E32DDD">
                                  <w:pPr>
                                    <w:overflowPunct w:val="0"/>
                                    <w:spacing w:line="200" w:lineRule="exact"/>
                                    <w:ind w:leftChars="-50" w:left="-120" w:rightChars="-50" w:right="-120"/>
                                    <w:jc w:val="both"/>
                                    <w:rPr>
                                      <w:rFonts w:ascii="標楷體" w:eastAsia="標楷體" w:hAnsi="標楷體" w:cs="標楷體"/>
                                      <w:bCs/>
                                      <w:snapToGrid w:val="0"/>
                                      <w:color w:val="000000" w:themeColor="text1"/>
                                      <w:spacing w:val="-10"/>
                                      <w:sz w:val="20"/>
                                      <w:u w:val="single"/>
                                    </w:rPr>
                                  </w:pPr>
                                  <w:r w:rsidRPr="00812DD4">
                                    <w:rPr>
                                      <w:rFonts w:ascii="標楷體" w:eastAsia="標楷體" w:hAnsi="標楷體" w:cs="標楷體" w:hint="eastAsia"/>
                                      <w:bCs/>
                                      <w:snapToGrid w:val="0"/>
                                      <w:color w:val="000000" w:themeColor="text1"/>
                                      <w:spacing w:val="-10"/>
                                      <w:sz w:val="20"/>
                                    </w:rPr>
                                    <w:t>多</w:t>
                                  </w:r>
                                  <w:proofErr w:type="gramStart"/>
                                  <w:r w:rsidRPr="00812DD4">
                                    <w:rPr>
                                      <w:rFonts w:ascii="標楷體" w:eastAsia="標楷體" w:hAnsi="標楷體" w:cs="標楷體" w:hint="eastAsia"/>
                                      <w:bCs/>
                                      <w:snapToGrid w:val="0"/>
                                      <w:color w:val="000000" w:themeColor="text1"/>
                                      <w:spacing w:val="-10"/>
                                      <w:sz w:val="20"/>
                                    </w:rPr>
                                    <w:t>胜</w:t>
                                  </w:r>
                                  <w:proofErr w:type="gramEnd"/>
                                  <w:r w:rsidRPr="00812DD4">
                                    <w:rPr>
                                      <w:rFonts w:ascii="標楷體" w:eastAsia="標楷體" w:hAnsi="標楷體" w:cs="標楷體" w:hint="eastAsia"/>
                                      <w:bCs/>
                                      <w:snapToGrid w:val="0"/>
                                      <w:color w:val="000000" w:themeColor="text1"/>
                                      <w:spacing w:val="-10"/>
                                      <w:sz w:val="20"/>
                                    </w:rPr>
                                    <w:t>肽類</w:t>
                                  </w:r>
                                  <w:r w:rsidRPr="00812DD4">
                                    <w:rPr>
                                      <w:rFonts w:ascii="標楷體" w:eastAsia="標楷體" w:hAnsi="標楷體" w:hint="eastAsia"/>
                                      <w:color w:val="000000" w:themeColor="text1"/>
                                      <w:spacing w:val="-10"/>
                                      <w:sz w:val="20"/>
                                    </w:rPr>
                                    <w:t>、</w:t>
                                  </w:r>
                                  <w:r w:rsidRPr="00812DD4">
                                    <w:rPr>
                                      <w:rFonts w:ascii="標楷體" w:eastAsia="標楷體" w:hAnsi="標楷體" w:cs="標楷體" w:hint="eastAsia"/>
                                      <w:bCs/>
                                      <w:snapToGrid w:val="0"/>
                                      <w:color w:val="000000" w:themeColor="text1"/>
                                      <w:spacing w:val="-10"/>
                                      <w:sz w:val="20"/>
                                    </w:rPr>
                                    <w:t>截短側耳素類</w:t>
                                  </w:r>
                                </w:p>
                              </w:tc>
                            </w:tr>
                          </w:tbl>
                          <w:p w14:paraId="3B4DC982" w14:textId="77777777" w:rsidR="00EA2A66" w:rsidRPr="00866921" w:rsidRDefault="00EA2A66" w:rsidP="00EA2A66">
                            <w:pPr>
                              <w:overflowPunct w:val="0"/>
                              <w:spacing w:line="180" w:lineRule="exact"/>
                              <w:ind w:left="522" w:hangingChars="290" w:hanging="522"/>
                              <w:jc w:val="both"/>
                              <w:rPr>
                                <w:rFonts w:ascii="標楷體" w:eastAsia="標楷體" w:hAnsi="標楷體" w:cs="標楷體"/>
                                <w:bCs/>
                                <w:snapToGrid w:val="0"/>
                                <w:color w:val="000000" w:themeColor="text1"/>
                                <w:sz w:val="18"/>
                                <w:szCs w:val="18"/>
                              </w:rPr>
                            </w:pPr>
                            <w:proofErr w:type="gramStart"/>
                            <w:r w:rsidRPr="00866921">
                              <w:rPr>
                                <w:rFonts w:ascii="標楷體" w:eastAsia="標楷體" w:hAnsi="標楷體" w:cs="標楷體" w:hint="eastAsia"/>
                                <w:bCs/>
                                <w:snapToGrid w:val="0"/>
                                <w:color w:val="000000" w:themeColor="text1"/>
                                <w:sz w:val="18"/>
                                <w:szCs w:val="18"/>
                              </w:rPr>
                              <w:t>註</w:t>
                            </w:r>
                            <w:proofErr w:type="gramEnd"/>
                            <w:r w:rsidRPr="00866921">
                              <w:rPr>
                                <w:rFonts w:ascii="標楷體" w:eastAsia="標楷體" w:hAnsi="標楷體" w:cs="標楷體" w:hint="eastAsia"/>
                                <w:bCs/>
                                <w:snapToGrid w:val="0"/>
                                <w:color w:val="000000" w:themeColor="text1"/>
                                <w:sz w:val="18"/>
                                <w:szCs w:val="18"/>
                              </w:rPr>
                              <w:t>：1.根據熟悉獸群疾病史之獸醫專業人士判斷，</w:t>
                            </w:r>
                            <w:r w:rsidRPr="008F4AA1">
                              <w:rPr>
                                <w:rFonts w:ascii="標楷體" w:eastAsia="標楷體" w:hAnsi="標楷體" w:cs="標楷體" w:hint="eastAsia"/>
                                <w:bCs/>
                                <w:snapToGrid w:val="0"/>
                                <w:color w:val="000000" w:themeColor="text1"/>
                                <w:sz w:val="18"/>
                                <w:szCs w:val="18"/>
                              </w:rPr>
                              <w:t>倘</w:t>
                            </w:r>
                            <w:r w:rsidRPr="00866921">
                              <w:rPr>
                                <w:rFonts w:ascii="標楷體" w:eastAsia="標楷體" w:hAnsi="標楷體" w:cs="標楷體" w:hint="eastAsia"/>
                                <w:bCs/>
                                <w:snapToGrid w:val="0"/>
                                <w:color w:val="000000" w:themeColor="text1"/>
                                <w:sz w:val="18"/>
                                <w:szCs w:val="18"/>
                              </w:rPr>
                              <w:t>感染特定傳染病風險很高，則可能允許使用這些用途。</w:t>
                            </w:r>
                          </w:p>
                          <w:p w14:paraId="32384802" w14:textId="77777777" w:rsidR="00EA2A66" w:rsidRPr="00866921" w:rsidRDefault="00EA2A66" w:rsidP="00EA2A66">
                            <w:pPr>
                              <w:overflowPunct w:val="0"/>
                              <w:spacing w:line="180" w:lineRule="exact"/>
                              <w:ind w:leftChars="140" w:left="516" w:hangingChars="100" w:hanging="180"/>
                              <w:jc w:val="both"/>
                              <w:rPr>
                                <w:rFonts w:ascii="標楷體" w:eastAsia="標楷體" w:hAnsi="標楷體" w:cs="標楷體"/>
                                <w:bCs/>
                                <w:snapToGrid w:val="0"/>
                                <w:color w:val="000000" w:themeColor="text1"/>
                                <w:sz w:val="18"/>
                                <w:szCs w:val="18"/>
                              </w:rPr>
                            </w:pPr>
                            <w:r w:rsidRPr="00866921">
                              <w:rPr>
                                <w:rFonts w:ascii="標楷體" w:eastAsia="標楷體" w:hAnsi="標楷體" w:cs="標楷體"/>
                                <w:bCs/>
                                <w:snapToGrid w:val="0"/>
                                <w:color w:val="000000" w:themeColor="text1"/>
                                <w:sz w:val="18"/>
                                <w:szCs w:val="18"/>
                              </w:rPr>
                              <w:t>2</w:t>
                            </w:r>
                            <w:r w:rsidRPr="00866921">
                              <w:rPr>
                                <w:rFonts w:ascii="標楷體" w:eastAsia="標楷體" w:hAnsi="標楷體" w:cs="標楷體" w:hint="eastAsia"/>
                                <w:bCs/>
                                <w:snapToGrid w:val="0"/>
                                <w:color w:val="000000" w:themeColor="text1"/>
                                <w:sz w:val="18"/>
                                <w:szCs w:val="18"/>
                              </w:rPr>
                              <w:t>.根據合格獸醫之建議，倘無其他較不具人類醫學重要性藥物可用於治療受感染之動物或防止已診斷疾病在動物群體中傳播，則可能允許使用。</w:t>
                            </w:r>
                          </w:p>
                          <w:p w14:paraId="342F4F04" w14:textId="77777777" w:rsidR="00EA2A66" w:rsidRPr="00866921" w:rsidRDefault="00EA2A66" w:rsidP="00EA2A66">
                            <w:pPr>
                              <w:overflowPunct w:val="0"/>
                              <w:spacing w:line="180" w:lineRule="exact"/>
                              <w:ind w:leftChars="140" w:left="516" w:hangingChars="100" w:hanging="180"/>
                              <w:jc w:val="both"/>
                              <w:rPr>
                                <w:rFonts w:ascii="標楷體" w:eastAsia="標楷體" w:hAnsi="標楷體"/>
                                <w:sz w:val="18"/>
                                <w:szCs w:val="18"/>
                              </w:rPr>
                            </w:pPr>
                            <w:r w:rsidRPr="00866921">
                              <w:rPr>
                                <w:rFonts w:ascii="標楷體" w:eastAsia="標楷體" w:hAnsi="標楷體" w:cs="標楷體"/>
                                <w:bCs/>
                                <w:snapToGrid w:val="0"/>
                                <w:color w:val="000000" w:themeColor="text1"/>
                                <w:sz w:val="18"/>
                                <w:szCs w:val="18"/>
                              </w:rPr>
                              <w:t>3</w:t>
                            </w:r>
                            <w:r w:rsidRPr="00866921">
                              <w:rPr>
                                <w:rFonts w:ascii="標楷體" w:eastAsia="標楷體" w:hAnsi="標楷體" w:cs="標楷體" w:hint="eastAsia"/>
                                <w:bCs/>
                                <w:snapToGrid w:val="0"/>
                                <w:color w:val="000000" w:themeColor="text1"/>
                                <w:sz w:val="18"/>
                                <w:szCs w:val="18"/>
                              </w:rPr>
                              <w:t>.資料來源：</w:t>
                            </w:r>
                            <w:r w:rsidRPr="00866921">
                              <w:rPr>
                                <w:rFonts w:ascii="標楷體" w:eastAsia="標楷體" w:hAnsi="標楷體" w:hint="eastAsia"/>
                                <w:sz w:val="18"/>
                                <w:szCs w:val="18"/>
                              </w:rPr>
                              <w:t>整理自WHO</w:t>
                            </w:r>
                            <w:r>
                              <w:rPr>
                                <w:rFonts w:ascii="標楷體" w:eastAsia="標楷體" w:hAnsi="標楷體"/>
                                <w:sz w:val="18"/>
                                <w:szCs w:val="18"/>
                              </w:rPr>
                              <w:t xml:space="preserve"> </w:t>
                            </w:r>
                            <w:r w:rsidRPr="00866921">
                              <w:rPr>
                                <w:rFonts w:ascii="標楷體" w:eastAsia="標楷體" w:hAnsi="標楷體" w:hint="eastAsia"/>
                                <w:sz w:val="18"/>
                                <w:szCs w:val="18"/>
                              </w:rPr>
                              <w:t>2017年「世界衛生組織</w:t>
                            </w:r>
                            <w:proofErr w:type="gramStart"/>
                            <w:r w:rsidRPr="00866921">
                              <w:rPr>
                                <w:rFonts w:ascii="標楷體" w:eastAsia="標楷體" w:hAnsi="標楷體" w:hint="eastAsia"/>
                                <w:sz w:val="18"/>
                                <w:szCs w:val="18"/>
                              </w:rPr>
                              <w:t>對於產食動物</w:t>
                            </w:r>
                            <w:proofErr w:type="gramEnd"/>
                            <w:r w:rsidRPr="00866921">
                              <w:rPr>
                                <w:rFonts w:ascii="標楷體" w:eastAsia="標楷體" w:hAnsi="標楷體" w:hint="eastAsia"/>
                                <w:sz w:val="18"/>
                                <w:szCs w:val="18"/>
                              </w:rPr>
                              <w:t>使用具有人類醫學重要性抗菌藥物指南：政策簡報」(WHO Guidelines on Use of Medically Important Antimicrobials in Food-Producing Animals: Policy brief)、</w:t>
                            </w:r>
                            <w:r>
                              <w:rPr>
                                <w:rFonts w:ascii="標楷體" w:eastAsia="標楷體" w:hAnsi="標楷體" w:hint="eastAsia"/>
                                <w:sz w:val="18"/>
                                <w:szCs w:val="18"/>
                              </w:rPr>
                              <w:t>農業部動植物</w:t>
                            </w:r>
                            <w:r w:rsidRPr="00866921">
                              <w:rPr>
                                <w:rFonts w:ascii="標楷體" w:eastAsia="標楷體" w:hAnsi="標楷體" w:hint="eastAsia"/>
                                <w:sz w:val="18"/>
                                <w:szCs w:val="18"/>
                              </w:rPr>
                              <w:t>防</w:t>
                            </w:r>
                            <w:r>
                              <w:rPr>
                                <w:rFonts w:ascii="標楷體" w:eastAsia="標楷體" w:hAnsi="標楷體" w:hint="eastAsia"/>
                                <w:sz w:val="18"/>
                                <w:szCs w:val="18"/>
                              </w:rPr>
                              <w:t>疫</w:t>
                            </w:r>
                            <w:r w:rsidRPr="00866921">
                              <w:rPr>
                                <w:rFonts w:ascii="標楷體" w:eastAsia="標楷體" w:hAnsi="標楷體" w:hint="eastAsia"/>
                                <w:sz w:val="18"/>
                                <w:szCs w:val="18"/>
                              </w:rPr>
                              <w:t>檢</w:t>
                            </w:r>
                            <w:r>
                              <w:rPr>
                                <w:rFonts w:ascii="標楷體" w:eastAsia="標楷體" w:hAnsi="標楷體" w:hint="eastAsia"/>
                                <w:sz w:val="18"/>
                                <w:szCs w:val="18"/>
                              </w:rPr>
                              <w:t>疫</w:t>
                            </w:r>
                            <w:r w:rsidRPr="00866921">
                              <w:rPr>
                                <w:rFonts w:ascii="標楷體" w:eastAsia="標楷體" w:hAnsi="標楷體" w:hint="eastAsia"/>
                                <w:sz w:val="18"/>
                                <w:szCs w:val="18"/>
                              </w:rPr>
                              <w:t>署提供資料及動物用重要</w:t>
                            </w:r>
                            <w:proofErr w:type="gramStart"/>
                            <w:r w:rsidRPr="00866921">
                              <w:rPr>
                                <w:rFonts w:ascii="標楷體" w:eastAsia="標楷體" w:hAnsi="標楷體" w:hint="eastAsia"/>
                                <w:sz w:val="18"/>
                                <w:szCs w:val="18"/>
                              </w:rPr>
                              <w:t>抗菌劑清單</w:t>
                            </w:r>
                            <w:proofErr w:type="gramEnd"/>
                            <w:r w:rsidRPr="00866921">
                              <w:rPr>
                                <w:rFonts w:ascii="標楷體" w:eastAsia="標楷體" w:hAnsi="標楷體" w:hint="eastAsia"/>
                                <w:sz w:val="18"/>
                                <w:szCs w:val="18"/>
                              </w:rPr>
                              <w:t>（產食動物）。</w:t>
                            </w:r>
                          </w:p>
                          <w:p w14:paraId="15F72193" w14:textId="77777777" w:rsidR="00EA2A66" w:rsidRPr="00E80824" w:rsidRDefault="00EA2A66" w:rsidP="00EA2A66">
                            <w:pPr>
                              <w:overflowPunct w:val="0"/>
                              <w:spacing w:line="180" w:lineRule="exact"/>
                              <w:ind w:left="522" w:hangingChars="290" w:hanging="522"/>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7EDA5" id="_x0000_s1081" type="#_x0000_t202" style="position:absolute;left:0;text-align:left;margin-left:134.7pt;margin-top:6.95pt;width:359.25pt;height:47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" stroked="f">
                <v:textbox>
                  <w:txbxContent>
                    <w:p w14:paraId="45452D83" w14:textId="77777777" w:rsidR="00EA2A66" w:rsidRPr="00E32DDD" w:rsidRDefault="00EA2A66" w:rsidP="00EA2A66">
                      <w:pPr>
                        <w:tabs>
                          <w:tab w:val="left" w:pos="6379"/>
                        </w:tabs>
                        <w:spacing w:line="340" w:lineRule="exact"/>
                        <w:ind w:left="721" w:hangingChars="300" w:hanging="721"/>
                        <w:jc w:val="both"/>
                        <w:rPr>
                          <w:rFonts w:ascii="標楷體" w:eastAsia="標楷體" w:hAnsi="標楷體"/>
                          <w:b/>
                          <w:spacing w:val="-20"/>
                        </w:rPr>
                      </w:pPr>
                      <w:r w:rsidRPr="00CC47C1">
                        <w:rPr>
                          <w:rFonts w:ascii="標楷體" w:eastAsia="標楷體" w:hAnsi="標楷體" w:hint="eastAsia"/>
                          <w:b/>
                        </w:rPr>
                        <w:t>表</w:t>
                      </w:r>
                      <w:r w:rsidRPr="00CC47C1">
                        <w:rPr>
                          <w:rFonts w:ascii="標楷體" w:eastAsia="標楷體" w:hAnsi="標楷體"/>
                          <w:b/>
                        </w:rPr>
                        <w:t>30</w:t>
                      </w:r>
                      <w:r w:rsidRPr="00E32DDD">
                        <w:rPr>
                          <w:rFonts w:ascii="標楷體" w:eastAsia="標楷體" w:hAnsi="標楷體" w:hint="eastAsia"/>
                          <w:b/>
                          <w:spacing w:val="-20"/>
                        </w:rPr>
                        <w:t xml:space="preserve">　截至113年8月底我國核准動物使用人類重要抗生素對應</w:t>
                      </w:r>
                      <w:r w:rsidRPr="00E32DDD">
                        <w:rPr>
                          <w:rFonts w:ascii="標楷體" w:eastAsia="標楷體" w:hAnsi="標楷體"/>
                          <w:b/>
                          <w:spacing w:val="-20"/>
                        </w:rPr>
                        <w:t>WHO</w:t>
                      </w:r>
                      <w:r w:rsidRPr="00E32DDD">
                        <w:rPr>
                          <w:rFonts w:ascii="標楷體" w:eastAsia="標楷體" w:hAnsi="標楷體" w:hint="eastAsia"/>
                          <w:b/>
                          <w:spacing w:val="-20"/>
                        </w:rPr>
                        <w:t>建議情形</w:t>
                      </w:r>
                    </w:p>
                    <w:tbl>
                      <w:tblPr>
                        <w:tblStyle w:val="45"/>
                        <w:tblW w:w="4989" w:type="pct"/>
                        <w:tblLook w:val="04A0" w:firstRow="1" w:lastRow="0" w:firstColumn="1" w:lastColumn="0" w:noHBand="0" w:noVBand="1"/>
                      </w:tblPr>
                      <w:tblGrid>
                        <w:gridCol w:w="617"/>
                        <w:gridCol w:w="680"/>
                        <w:gridCol w:w="1236"/>
                        <w:gridCol w:w="1127"/>
                        <w:gridCol w:w="1215"/>
                        <w:gridCol w:w="2223"/>
                      </w:tblGrid>
                      <w:tr w:rsidR="00EA2A66" w:rsidRPr="00C02659" w14:paraId="7EE70C6E" w14:textId="77777777" w:rsidTr="00E80824">
                        <w:trPr>
                          <w:trHeight w:val="780"/>
                        </w:trPr>
                        <w:tc>
                          <w:tcPr>
                            <w:tcW w:w="912" w:type="pct"/>
                            <w:gridSpan w:val="2"/>
                            <w:vAlign w:val="center"/>
                          </w:tcPr>
                          <w:p w14:paraId="09EFE404" w14:textId="77777777" w:rsidR="00EA2A66" w:rsidRPr="00C02659" w:rsidRDefault="00EA2A66" w:rsidP="00A542E5">
                            <w:pPr>
                              <w:pStyle w:val="afffa"/>
                              <w:overflowPunct w:val="0"/>
                              <w:spacing w:line="200" w:lineRule="exact"/>
                              <w:ind w:leftChars="0" w:left="0"/>
                              <w:jc w:val="both"/>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對人類具有醫學重要性抗生素分類</w:t>
                            </w:r>
                          </w:p>
                        </w:tc>
                        <w:tc>
                          <w:tcPr>
                            <w:tcW w:w="871" w:type="pct"/>
                            <w:vAlign w:val="center"/>
                          </w:tcPr>
                          <w:p w14:paraId="530B36BB" w14:textId="77777777" w:rsidR="00EA2A66" w:rsidRPr="00C02659" w:rsidRDefault="00EA2A66" w:rsidP="00E32DDD">
                            <w:pPr>
                              <w:pStyle w:val="afffa"/>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用於促進生長</w:t>
                            </w:r>
                          </w:p>
                        </w:tc>
                        <w:tc>
                          <w:tcPr>
                            <w:tcW w:w="794" w:type="pct"/>
                            <w:vAlign w:val="center"/>
                          </w:tcPr>
                          <w:p w14:paraId="703F967F"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用於預防傳染病</w:t>
                            </w:r>
                          </w:p>
                          <w:p w14:paraId="527D7BEC"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Pr>
                                <w:rFonts w:ascii="標楷體" w:eastAsia="標楷體" w:hAnsi="標楷體" w:cs="標楷體"/>
                                <w:bCs/>
                                <w:snapToGrid w:val="0"/>
                                <w:color w:val="000000" w:themeColor="text1"/>
                                <w:sz w:val="20"/>
                              </w:rPr>
                              <w:t>1</w:t>
                            </w:r>
                            <w:r w:rsidRPr="00866921">
                              <w:rPr>
                                <w:rFonts w:ascii="標楷體" w:eastAsia="標楷體" w:hAnsi="標楷體" w:cs="標楷體" w:hint="eastAsia"/>
                                <w:bCs/>
                                <w:snapToGrid w:val="0"/>
                                <w:color w:val="000000" w:themeColor="text1"/>
                                <w:sz w:val="20"/>
                              </w:rPr>
                              <w:t>)</w:t>
                            </w:r>
                          </w:p>
                        </w:tc>
                        <w:tc>
                          <w:tcPr>
                            <w:tcW w:w="856" w:type="pct"/>
                            <w:vAlign w:val="center"/>
                          </w:tcPr>
                          <w:p w14:paraId="3307FB41" w14:textId="77777777" w:rsidR="00EA2A66" w:rsidRDefault="00EA2A66" w:rsidP="00E32DDD">
                            <w:pPr>
                              <w:pStyle w:val="afffa"/>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用於控制</w:t>
                            </w:r>
                          </w:p>
                          <w:p w14:paraId="543EC361" w14:textId="77777777" w:rsidR="00EA2A66" w:rsidRPr="00C02659" w:rsidRDefault="00EA2A66" w:rsidP="00E32DDD">
                            <w:pPr>
                              <w:pStyle w:val="afffa"/>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傳染病傳播</w:t>
                            </w:r>
                          </w:p>
                        </w:tc>
                        <w:tc>
                          <w:tcPr>
                            <w:tcW w:w="1567" w:type="pct"/>
                            <w:vAlign w:val="center"/>
                          </w:tcPr>
                          <w:p w14:paraId="06DA471E"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用於治療</w:t>
                            </w:r>
                          </w:p>
                        </w:tc>
                      </w:tr>
                      <w:tr w:rsidR="00EA2A66" w:rsidRPr="00C02659" w14:paraId="296A58A2" w14:textId="77777777" w:rsidTr="00E80824">
                        <w:trPr>
                          <w:trHeight w:val="189"/>
                        </w:trPr>
                        <w:tc>
                          <w:tcPr>
                            <w:tcW w:w="434" w:type="pct"/>
                            <w:vMerge w:val="restart"/>
                            <w:vAlign w:val="center"/>
                          </w:tcPr>
                          <w:p w14:paraId="00D4E38E"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極度重要</w:t>
                            </w:r>
                          </w:p>
                        </w:tc>
                        <w:tc>
                          <w:tcPr>
                            <w:tcW w:w="479" w:type="pct"/>
                            <w:vMerge w:val="restart"/>
                            <w:vAlign w:val="center"/>
                          </w:tcPr>
                          <w:p w14:paraId="022A815A"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最高優先</w:t>
                            </w:r>
                          </w:p>
                        </w:tc>
                        <w:tc>
                          <w:tcPr>
                            <w:tcW w:w="4088" w:type="pct"/>
                            <w:gridSpan w:val="4"/>
                            <w:vAlign w:val="center"/>
                          </w:tcPr>
                          <w:p w14:paraId="33B1071B" w14:textId="77777777" w:rsidR="00EA2A66" w:rsidRPr="00DA4643" w:rsidRDefault="00EA2A66" w:rsidP="00BD3E4A">
                            <w:pPr>
                              <w:pStyle w:val="afffa"/>
                              <w:overflowPunct w:val="0"/>
                              <w:spacing w:line="200" w:lineRule="exact"/>
                              <w:ind w:leftChars="0" w:left="0"/>
                              <w:jc w:val="center"/>
                              <w:rPr>
                                <w:rFonts w:ascii="標楷體" w:eastAsia="標楷體" w:hAnsi="標楷體" w:cs="標楷體"/>
                                <w:b/>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31BF834E" w14:textId="77777777" w:rsidTr="00E80824">
                        <w:trPr>
                          <w:trHeight w:val="18"/>
                        </w:trPr>
                        <w:tc>
                          <w:tcPr>
                            <w:tcW w:w="434" w:type="pct"/>
                            <w:vMerge/>
                            <w:vAlign w:val="center"/>
                          </w:tcPr>
                          <w:p w14:paraId="6FD7046B"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ign w:val="center"/>
                          </w:tcPr>
                          <w:p w14:paraId="26D182F5"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1664" w:type="pct"/>
                            <w:gridSpan w:val="2"/>
                            <w:vAlign w:val="center"/>
                          </w:tcPr>
                          <w:p w14:paraId="4E99B976"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tcPr>
                          <w:p w14:paraId="7A6CB024" w14:textId="77777777" w:rsidR="00EA2A66"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有例外條件之完全限制</w:t>
                            </w:r>
                          </w:p>
                          <w:p w14:paraId="36AE51D6" w14:textId="77777777" w:rsidR="00EA2A66" w:rsidRPr="00DA4643"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sidRPr="00866921">
                              <w:rPr>
                                <w:rFonts w:ascii="標楷體" w:eastAsia="標楷體" w:hAnsi="標楷體" w:cs="標楷體" w:hint="eastAsia"/>
                                <w:bCs/>
                                <w:snapToGrid w:val="0"/>
                                <w:color w:val="000000" w:themeColor="text1"/>
                                <w:sz w:val="20"/>
                              </w:rPr>
                              <w:t>2)</w:t>
                            </w:r>
                          </w:p>
                        </w:tc>
                        <w:tc>
                          <w:tcPr>
                            <w:tcW w:w="1567" w:type="pct"/>
                            <w:vAlign w:val="center"/>
                          </w:tcPr>
                          <w:p w14:paraId="588642DA" w14:textId="77777777" w:rsidR="00EA2A66" w:rsidRPr="00DA4643"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有例外條件之完全限制</w:t>
                            </w: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sidRPr="00866921">
                              <w:rPr>
                                <w:rFonts w:ascii="標楷體" w:eastAsia="標楷體" w:hAnsi="標楷體" w:cs="標楷體" w:hint="eastAsia"/>
                                <w:bCs/>
                                <w:snapToGrid w:val="0"/>
                                <w:color w:val="000000" w:themeColor="text1"/>
                                <w:sz w:val="20"/>
                              </w:rPr>
                              <w:t>2)</w:t>
                            </w:r>
                          </w:p>
                        </w:tc>
                      </w:tr>
                      <w:tr w:rsidR="00EA2A66" w:rsidRPr="00C02659" w14:paraId="01379815" w14:textId="77777777" w:rsidTr="00E80824">
                        <w:trPr>
                          <w:trHeight w:val="258"/>
                        </w:trPr>
                        <w:tc>
                          <w:tcPr>
                            <w:tcW w:w="434" w:type="pct"/>
                            <w:vMerge/>
                            <w:vAlign w:val="center"/>
                          </w:tcPr>
                          <w:p w14:paraId="1B1D2693"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ign w:val="center"/>
                          </w:tcPr>
                          <w:p w14:paraId="485D83B5"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4088" w:type="pct"/>
                            <w:gridSpan w:val="4"/>
                            <w:vAlign w:val="center"/>
                          </w:tcPr>
                          <w:p w14:paraId="46929A55" w14:textId="77777777" w:rsidR="00EA2A66" w:rsidRPr="00DA4643" w:rsidRDefault="00EA2A66" w:rsidP="00BD3E4A">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7C5D5D30" w14:textId="77777777" w:rsidTr="00E80824">
                        <w:trPr>
                          <w:trHeight w:val="18"/>
                        </w:trPr>
                        <w:tc>
                          <w:tcPr>
                            <w:tcW w:w="434" w:type="pct"/>
                            <w:vMerge/>
                            <w:vAlign w:val="center"/>
                          </w:tcPr>
                          <w:p w14:paraId="4CD21201"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ign w:val="center"/>
                          </w:tcPr>
                          <w:p w14:paraId="320988EE"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871" w:type="pct"/>
                            <w:vAlign w:val="center"/>
                          </w:tcPr>
                          <w:p w14:paraId="32D6EC3A"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794" w:type="pct"/>
                            <w:vAlign w:val="center"/>
                          </w:tcPr>
                          <w:p w14:paraId="7A3137C5"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4D358471"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tcPr>
                          <w:p w14:paraId="1926B0E7" w14:textId="77777777" w:rsidR="00EA2A66" w:rsidRPr="00C02659" w:rsidRDefault="00EA2A66" w:rsidP="00E32DDD">
                            <w:pPr>
                              <w:overflowPunct w:val="0"/>
                              <w:spacing w:line="200" w:lineRule="exact"/>
                              <w:ind w:rightChars="-50" w:right="-120"/>
                              <w:jc w:val="both"/>
                              <w:rPr>
                                <w:rFonts w:ascii="標楷體" w:eastAsia="標楷體" w:hAnsi="標楷體" w:cs="標楷體"/>
                                <w:bCs/>
                                <w:snapToGrid w:val="0"/>
                                <w:color w:val="000000" w:themeColor="text1"/>
                                <w:sz w:val="20"/>
                                <w:u w:val="single"/>
                              </w:rPr>
                            </w:pPr>
                            <w:r w:rsidRPr="00771125">
                              <w:rPr>
                                <w:rFonts w:ascii="標楷體" w:eastAsia="標楷體" w:hAnsi="標楷體" w:hint="eastAsia"/>
                                <w:color w:val="000000" w:themeColor="text1"/>
                                <w:sz w:val="20"/>
                              </w:rPr>
                              <w:t>第3代及第4代頭孢子</w:t>
                            </w:r>
                            <w:proofErr w:type="gramStart"/>
                            <w:r w:rsidRPr="00771125">
                              <w:rPr>
                                <w:rFonts w:ascii="標楷體" w:eastAsia="標楷體" w:hAnsi="標楷體" w:hint="eastAsia"/>
                                <w:color w:val="000000" w:themeColor="text1"/>
                                <w:sz w:val="20"/>
                              </w:rPr>
                              <w:t>菌素類</w:t>
                            </w:r>
                            <w:proofErr w:type="gramEnd"/>
                            <w:r>
                              <w:rPr>
                                <w:rFonts w:ascii="標楷體" w:eastAsia="標楷體" w:hAnsi="標楷體" w:hint="eastAsia"/>
                                <w:color w:val="000000" w:themeColor="text1"/>
                                <w:sz w:val="20"/>
                              </w:rPr>
                              <w:t>、</w:t>
                            </w:r>
                            <w:r w:rsidRPr="00C02659">
                              <w:rPr>
                                <w:rFonts w:ascii="標楷體" w:eastAsia="標楷體" w:hAnsi="標楷體" w:hint="eastAsia"/>
                                <w:color w:val="000000" w:themeColor="text1"/>
                                <w:sz w:val="20"/>
                              </w:rPr>
                              <w:t>氟</w:t>
                            </w:r>
                            <w:proofErr w:type="gramStart"/>
                            <w:r w:rsidRPr="00C02659">
                              <w:rPr>
                                <w:rFonts w:ascii="標楷體" w:eastAsia="標楷體" w:hAnsi="標楷體" w:hint="eastAsia"/>
                                <w:color w:val="000000" w:themeColor="text1"/>
                                <w:sz w:val="20"/>
                              </w:rPr>
                              <w:t>奎諾酮類</w:t>
                            </w:r>
                            <w:proofErr w:type="gramEnd"/>
                          </w:p>
                        </w:tc>
                      </w:tr>
                      <w:tr w:rsidR="00EA2A66" w:rsidRPr="00C02659" w14:paraId="0E44DCF2" w14:textId="77777777" w:rsidTr="00E80824">
                        <w:trPr>
                          <w:trHeight w:val="286"/>
                        </w:trPr>
                        <w:tc>
                          <w:tcPr>
                            <w:tcW w:w="434" w:type="pct"/>
                            <w:vMerge/>
                            <w:vAlign w:val="center"/>
                          </w:tcPr>
                          <w:p w14:paraId="24CD0163"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val="restart"/>
                            <w:vAlign w:val="center"/>
                          </w:tcPr>
                          <w:p w14:paraId="67BAEBAF"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高度優先</w:t>
                            </w:r>
                          </w:p>
                        </w:tc>
                        <w:tc>
                          <w:tcPr>
                            <w:tcW w:w="4088" w:type="pct"/>
                            <w:gridSpan w:val="4"/>
                            <w:vAlign w:val="center"/>
                          </w:tcPr>
                          <w:p w14:paraId="08F085AC" w14:textId="77777777" w:rsidR="00EA2A66" w:rsidRPr="007E0D9D" w:rsidRDefault="00EA2A66" w:rsidP="00BD3E4A">
                            <w:pPr>
                              <w:overflowPunct w:val="0"/>
                              <w:spacing w:line="200" w:lineRule="exact"/>
                              <w:jc w:val="center"/>
                              <w:rPr>
                                <w:rFonts w:ascii="標楷體" w:eastAsia="標楷體" w:hAnsi="標楷體"/>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77B95994" w14:textId="77777777" w:rsidTr="00E80824">
                        <w:trPr>
                          <w:trHeight w:val="87"/>
                        </w:trPr>
                        <w:tc>
                          <w:tcPr>
                            <w:tcW w:w="434" w:type="pct"/>
                            <w:vMerge/>
                          </w:tcPr>
                          <w:p w14:paraId="02DCF201"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tcPr>
                          <w:p w14:paraId="713CCBC7"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1664" w:type="pct"/>
                            <w:gridSpan w:val="2"/>
                            <w:vAlign w:val="center"/>
                          </w:tcPr>
                          <w:p w14:paraId="44629312"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tcPr>
                          <w:p w14:paraId="14B0FB2C" w14:textId="77777777" w:rsidR="00EA2A66"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有例外條件之完全限制</w:t>
                            </w:r>
                          </w:p>
                          <w:p w14:paraId="64A09475" w14:textId="77777777" w:rsidR="00EA2A66" w:rsidRPr="00DA4643" w:rsidRDefault="00EA2A66" w:rsidP="00E32DDD">
                            <w:pPr>
                              <w:overflowPunct w:val="0"/>
                              <w:spacing w:line="200" w:lineRule="exact"/>
                              <w:ind w:leftChars="-50" w:left="-120" w:rightChars="-50" w:right="-120"/>
                              <w:jc w:val="center"/>
                              <w:rPr>
                                <w:rFonts w:ascii="標楷體" w:eastAsia="標楷體" w:hAnsi="標楷體" w:cs="標楷體"/>
                                <w:bCs/>
                                <w:snapToGrid w:val="0"/>
                                <w:color w:val="000000" w:themeColor="text1"/>
                                <w:sz w:val="20"/>
                              </w:rPr>
                            </w:pPr>
                            <w:r w:rsidRPr="00866921">
                              <w:rPr>
                                <w:rFonts w:ascii="標楷體" w:eastAsia="標楷體" w:hAnsi="標楷體" w:cs="標楷體" w:hint="eastAsia"/>
                                <w:bCs/>
                                <w:snapToGrid w:val="0"/>
                                <w:color w:val="000000" w:themeColor="text1"/>
                                <w:sz w:val="20"/>
                              </w:rPr>
                              <w:t>(</w:t>
                            </w:r>
                            <w:proofErr w:type="gramStart"/>
                            <w:r w:rsidRPr="00866921">
                              <w:rPr>
                                <w:rFonts w:ascii="標楷體" w:eastAsia="標楷體" w:hAnsi="標楷體" w:cs="標楷體" w:hint="eastAsia"/>
                                <w:bCs/>
                                <w:snapToGrid w:val="0"/>
                                <w:color w:val="000000" w:themeColor="text1"/>
                                <w:sz w:val="20"/>
                              </w:rPr>
                              <w:t>註</w:t>
                            </w:r>
                            <w:proofErr w:type="gramEnd"/>
                            <w:r w:rsidRPr="00866921">
                              <w:rPr>
                                <w:rFonts w:ascii="標楷體" w:eastAsia="標楷體" w:hAnsi="標楷體" w:cs="標楷體" w:hint="eastAsia"/>
                                <w:bCs/>
                                <w:snapToGrid w:val="0"/>
                                <w:color w:val="000000" w:themeColor="text1"/>
                                <w:sz w:val="20"/>
                              </w:rPr>
                              <w:t>2)</w:t>
                            </w:r>
                          </w:p>
                        </w:tc>
                        <w:tc>
                          <w:tcPr>
                            <w:tcW w:w="1567" w:type="pct"/>
                            <w:vAlign w:val="center"/>
                          </w:tcPr>
                          <w:p w14:paraId="7F6C45A9" w14:textId="77777777" w:rsidR="00EA2A66" w:rsidRPr="007E0D9D" w:rsidRDefault="00EA2A66" w:rsidP="00E32DDD">
                            <w:pPr>
                              <w:overflowPunct w:val="0"/>
                              <w:spacing w:line="200" w:lineRule="exact"/>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r>
                      <w:tr w:rsidR="00EA2A66" w:rsidRPr="00C02659" w14:paraId="4DB3BD68" w14:textId="77777777" w:rsidTr="00E80824">
                        <w:trPr>
                          <w:trHeight w:val="299"/>
                        </w:trPr>
                        <w:tc>
                          <w:tcPr>
                            <w:tcW w:w="434" w:type="pct"/>
                            <w:vMerge/>
                          </w:tcPr>
                          <w:p w14:paraId="1CAE8644"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tcPr>
                          <w:p w14:paraId="6E61B026"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088" w:type="pct"/>
                            <w:gridSpan w:val="4"/>
                            <w:vAlign w:val="center"/>
                          </w:tcPr>
                          <w:p w14:paraId="34AF8CA7" w14:textId="77777777" w:rsidR="00EA2A66" w:rsidRPr="00DA4643" w:rsidRDefault="00EA2A66" w:rsidP="00BD3E4A">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4896DD26" w14:textId="77777777" w:rsidTr="00E80824">
                        <w:trPr>
                          <w:trHeight w:val="81"/>
                        </w:trPr>
                        <w:tc>
                          <w:tcPr>
                            <w:tcW w:w="434" w:type="pct"/>
                            <w:vMerge/>
                          </w:tcPr>
                          <w:p w14:paraId="0376175A"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79" w:type="pct"/>
                            <w:vMerge/>
                          </w:tcPr>
                          <w:p w14:paraId="646A7FA1"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871" w:type="pct"/>
                            <w:vAlign w:val="center"/>
                          </w:tcPr>
                          <w:p w14:paraId="64AF3C92"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794" w:type="pct"/>
                            <w:vAlign w:val="center"/>
                          </w:tcPr>
                          <w:p w14:paraId="31B39B43"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5258143C"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tcPr>
                          <w:p w14:paraId="180D12CC" w14:textId="77777777" w:rsidR="00EA2A66" w:rsidRPr="00C02659" w:rsidRDefault="00EA2A66" w:rsidP="00E32DDD">
                            <w:pPr>
                              <w:overflowPunct w:val="0"/>
                              <w:spacing w:line="200" w:lineRule="exact"/>
                              <w:jc w:val="both"/>
                              <w:rPr>
                                <w:rFonts w:ascii="標楷體" w:eastAsia="標楷體" w:hAnsi="標楷體" w:cs="標楷體"/>
                                <w:bCs/>
                                <w:snapToGrid w:val="0"/>
                                <w:color w:val="000000" w:themeColor="text1"/>
                                <w:sz w:val="20"/>
                                <w:u w:val="single"/>
                              </w:rPr>
                            </w:pPr>
                            <w:r w:rsidRPr="00771125">
                              <w:rPr>
                                <w:rFonts w:ascii="標楷體" w:eastAsia="標楷體" w:hAnsi="標楷體" w:hint="eastAsia"/>
                                <w:color w:val="000000" w:themeColor="text1"/>
                                <w:sz w:val="20"/>
                              </w:rPr>
                              <w:t>胺</w:t>
                            </w:r>
                            <w:proofErr w:type="gramStart"/>
                            <w:r w:rsidRPr="00771125">
                              <w:rPr>
                                <w:rFonts w:ascii="標楷體" w:eastAsia="標楷體" w:hAnsi="標楷體" w:hint="eastAsia"/>
                                <w:color w:val="000000" w:themeColor="text1"/>
                                <w:sz w:val="20"/>
                              </w:rPr>
                              <w:t>基配醣體類</w:t>
                            </w:r>
                            <w:r>
                              <w:rPr>
                                <w:rFonts w:ascii="標楷體" w:eastAsia="標楷體" w:hAnsi="標楷體" w:hint="eastAsia"/>
                                <w:color w:val="000000" w:themeColor="text1"/>
                                <w:sz w:val="20"/>
                              </w:rPr>
                              <w:t>、</w:t>
                            </w:r>
                            <w:r w:rsidRPr="00C02659">
                              <w:rPr>
                                <w:rFonts w:ascii="標楷體" w:eastAsia="標楷體" w:hAnsi="標楷體" w:hint="eastAsia"/>
                                <w:color w:val="000000" w:themeColor="text1"/>
                                <w:sz w:val="20"/>
                              </w:rPr>
                              <w:t>巨環內酯類</w:t>
                            </w:r>
                            <w:proofErr w:type="gramEnd"/>
                          </w:p>
                        </w:tc>
                      </w:tr>
                      <w:tr w:rsidR="00EA2A66" w:rsidRPr="00C02659" w14:paraId="08E32E3C" w14:textId="77777777" w:rsidTr="00E80824">
                        <w:trPr>
                          <w:trHeight w:val="258"/>
                        </w:trPr>
                        <w:tc>
                          <w:tcPr>
                            <w:tcW w:w="912" w:type="pct"/>
                            <w:gridSpan w:val="2"/>
                            <w:vMerge w:val="restart"/>
                            <w:vAlign w:val="center"/>
                          </w:tcPr>
                          <w:p w14:paraId="5EAEC7C1"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高度重要</w:t>
                            </w:r>
                          </w:p>
                        </w:tc>
                        <w:tc>
                          <w:tcPr>
                            <w:tcW w:w="4088" w:type="pct"/>
                            <w:gridSpan w:val="4"/>
                            <w:vAlign w:val="center"/>
                          </w:tcPr>
                          <w:p w14:paraId="723225DB" w14:textId="77777777" w:rsidR="00EA2A66" w:rsidRPr="007E0D9D" w:rsidRDefault="00EA2A66" w:rsidP="00E32DDD">
                            <w:pPr>
                              <w:overflowPunct w:val="0"/>
                              <w:spacing w:line="200" w:lineRule="exact"/>
                              <w:jc w:val="center"/>
                              <w:rPr>
                                <w:rFonts w:ascii="標楷體" w:eastAsia="標楷體" w:hAnsi="標楷體"/>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697F3289" w14:textId="77777777" w:rsidTr="00E80824">
                        <w:trPr>
                          <w:trHeight w:val="132"/>
                        </w:trPr>
                        <w:tc>
                          <w:tcPr>
                            <w:tcW w:w="912" w:type="pct"/>
                            <w:gridSpan w:val="2"/>
                            <w:vMerge/>
                            <w:vAlign w:val="center"/>
                          </w:tcPr>
                          <w:p w14:paraId="0E716806"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1664" w:type="pct"/>
                            <w:gridSpan w:val="2"/>
                            <w:vAlign w:val="center"/>
                          </w:tcPr>
                          <w:p w14:paraId="2FB078CF"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vAlign w:val="center"/>
                          </w:tcPr>
                          <w:p w14:paraId="201773BE"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c>
                          <w:tcPr>
                            <w:tcW w:w="1567" w:type="pct"/>
                            <w:vAlign w:val="center"/>
                          </w:tcPr>
                          <w:p w14:paraId="3EC011FF" w14:textId="77777777" w:rsidR="00EA2A66" w:rsidRPr="007E0D9D" w:rsidRDefault="00EA2A66" w:rsidP="00E32DDD">
                            <w:pPr>
                              <w:overflowPunct w:val="0"/>
                              <w:spacing w:line="200" w:lineRule="exact"/>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r>
                      <w:tr w:rsidR="00EA2A66" w:rsidRPr="00C02659" w14:paraId="4FB90161" w14:textId="77777777" w:rsidTr="00E80824">
                        <w:trPr>
                          <w:trHeight w:val="300"/>
                        </w:trPr>
                        <w:tc>
                          <w:tcPr>
                            <w:tcW w:w="912" w:type="pct"/>
                            <w:gridSpan w:val="2"/>
                            <w:vMerge/>
                            <w:vAlign w:val="center"/>
                          </w:tcPr>
                          <w:p w14:paraId="4FC295E0"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4088" w:type="pct"/>
                            <w:gridSpan w:val="4"/>
                            <w:vAlign w:val="center"/>
                          </w:tcPr>
                          <w:p w14:paraId="76FC7F9F" w14:textId="77777777" w:rsidR="00EA2A66" w:rsidRPr="00DA4643" w:rsidRDefault="00EA2A66" w:rsidP="00E32DDD">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33361B8A" w14:textId="77777777" w:rsidTr="00E80824">
                        <w:trPr>
                          <w:trHeight w:val="190"/>
                        </w:trPr>
                        <w:tc>
                          <w:tcPr>
                            <w:tcW w:w="912" w:type="pct"/>
                            <w:gridSpan w:val="2"/>
                            <w:vMerge/>
                            <w:vAlign w:val="center"/>
                          </w:tcPr>
                          <w:p w14:paraId="0776C194"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p>
                        </w:tc>
                        <w:tc>
                          <w:tcPr>
                            <w:tcW w:w="871" w:type="pct"/>
                            <w:vAlign w:val="center"/>
                          </w:tcPr>
                          <w:p w14:paraId="71ED0E59"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794" w:type="pct"/>
                            <w:vAlign w:val="center"/>
                          </w:tcPr>
                          <w:p w14:paraId="2E4C6664"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4400E01F"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tcPr>
                          <w:p w14:paraId="70A2DE46" w14:textId="77777777" w:rsidR="00EA2A66" w:rsidRPr="00812DD4" w:rsidRDefault="00EA2A66" w:rsidP="00E32DDD">
                            <w:pPr>
                              <w:overflowPunct w:val="0"/>
                              <w:spacing w:line="200" w:lineRule="exact"/>
                              <w:jc w:val="both"/>
                              <w:rPr>
                                <w:rFonts w:ascii="標楷體" w:eastAsia="標楷體" w:hAnsi="標楷體" w:cs="標楷體"/>
                                <w:bCs/>
                                <w:snapToGrid w:val="0"/>
                                <w:color w:val="000000" w:themeColor="text1"/>
                                <w:spacing w:val="-10"/>
                                <w:sz w:val="20"/>
                                <w:u w:val="single"/>
                              </w:rPr>
                            </w:pPr>
                            <w:r w:rsidRPr="00812DD4">
                              <w:rPr>
                                <w:rFonts w:ascii="標楷體" w:eastAsia="標楷體" w:hAnsi="標楷體" w:hint="eastAsia"/>
                                <w:color w:val="000000" w:themeColor="text1"/>
                                <w:spacing w:val="-10"/>
                                <w:sz w:val="20"/>
                              </w:rPr>
                              <w:t>第1代及第2代頭孢子</w:t>
                            </w:r>
                            <w:proofErr w:type="gramStart"/>
                            <w:r w:rsidRPr="00812DD4">
                              <w:rPr>
                                <w:rFonts w:ascii="標楷體" w:eastAsia="標楷體" w:hAnsi="標楷體" w:hint="eastAsia"/>
                                <w:color w:val="000000" w:themeColor="text1"/>
                                <w:spacing w:val="-10"/>
                                <w:sz w:val="20"/>
                              </w:rPr>
                              <w:t>菌素類</w:t>
                            </w:r>
                            <w:proofErr w:type="gramEnd"/>
                            <w:r w:rsidRPr="00812DD4">
                              <w:rPr>
                                <w:rFonts w:ascii="標楷體" w:eastAsia="標楷體" w:hAnsi="標楷體" w:hint="eastAsia"/>
                                <w:color w:val="000000" w:themeColor="text1"/>
                                <w:spacing w:val="-10"/>
                                <w:sz w:val="20"/>
                              </w:rPr>
                              <w:t>、酰胺醇類、林可黴素類、盤尼西林類、磺胺類</w:t>
                            </w:r>
                            <w:r w:rsidRPr="00CA4FA2">
                              <w:rPr>
                                <w:rFonts w:ascii="標楷體" w:eastAsia="標楷體" w:hAnsi="標楷體" w:hint="eastAsia"/>
                                <w:spacing w:val="-10"/>
                                <w:sz w:val="20"/>
                              </w:rPr>
                              <w:t>（包括三甲氧芐氨嘧啶）</w:t>
                            </w:r>
                            <w:r w:rsidRPr="00812DD4">
                              <w:rPr>
                                <w:rFonts w:ascii="標楷體" w:eastAsia="標楷體" w:hAnsi="標楷體" w:hint="eastAsia"/>
                                <w:color w:val="000000" w:themeColor="text1"/>
                                <w:spacing w:val="-10"/>
                                <w:sz w:val="20"/>
                              </w:rPr>
                              <w:t>、四環黴</w:t>
                            </w:r>
                            <w:r w:rsidRPr="00812DD4">
                              <w:rPr>
                                <w:rFonts w:ascii="標楷體" w:eastAsia="標楷體" w:hAnsi="標楷體"/>
                                <w:color w:val="000000" w:themeColor="text1"/>
                                <w:spacing w:val="-10"/>
                                <w:sz w:val="20"/>
                              </w:rPr>
                              <w:t>素</w:t>
                            </w:r>
                          </w:p>
                        </w:tc>
                      </w:tr>
                      <w:tr w:rsidR="00EA2A66" w:rsidRPr="00C02659" w14:paraId="22AD11C2" w14:textId="77777777" w:rsidTr="00E80824">
                        <w:trPr>
                          <w:trHeight w:val="257"/>
                        </w:trPr>
                        <w:tc>
                          <w:tcPr>
                            <w:tcW w:w="912" w:type="pct"/>
                            <w:gridSpan w:val="2"/>
                            <w:vMerge w:val="restart"/>
                            <w:vAlign w:val="center"/>
                          </w:tcPr>
                          <w:p w14:paraId="3DCB5D91" w14:textId="77777777" w:rsidR="00EA2A66" w:rsidRPr="00C02659"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重要</w:t>
                            </w:r>
                          </w:p>
                        </w:tc>
                        <w:tc>
                          <w:tcPr>
                            <w:tcW w:w="4088" w:type="pct"/>
                            <w:gridSpan w:val="4"/>
                            <w:vAlign w:val="center"/>
                          </w:tcPr>
                          <w:p w14:paraId="3DD154C0"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
                                <w:bCs/>
                                <w:snapToGrid w:val="0"/>
                                <w:color w:val="000000" w:themeColor="text1"/>
                                <w:sz w:val="20"/>
                              </w:rPr>
                            </w:pPr>
                            <w:r w:rsidRPr="00DA4643">
                              <w:rPr>
                                <w:rFonts w:ascii="標楷體" w:eastAsia="標楷體" w:hAnsi="標楷體" w:cs="標楷體" w:hint="eastAsia"/>
                                <w:b/>
                                <w:bCs/>
                                <w:snapToGrid w:val="0"/>
                                <w:color w:val="000000" w:themeColor="text1"/>
                                <w:sz w:val="20"/>
                              </w:rPr>
                              <w:t>WHO建議</w:t>
                            </w:r>
                          </w:p>
                        </w:tc>
                      </w:tr>
                      <w:tr w:rsidR="00EA2A66" w:rsidRPr="00C02659" w14:paraId="56589810" w14:textId="77777777" w:rsidTr="00E80824">
                        <w:trPr>
                          <w:trHeight w:val="543"/>
                        </w:trPr>
                        <w:tc>
                          <w:tcPr>
                            <w:tcW w:w="912" w:type="pct"/>
                            <w:gridSpan w:val="2"/>
                            <w:vMerge/>
                          </w:tcPr>
                          <w:p w14:paraId="648F084E"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1664" w:type="pct"/>
                            <w:gridSpan w:val="2"/>
                            <w:vAlign w:val="center"/>
                          </w:tcPr>
                          <w:p w14:paraId="5E3E8774"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DA4643">
                              <w:rPr>
                                <w:rFonts w:ascii="標楷體" w:eastAsia="標楷體" w:hAnsi="標楷體" w:cs="標楷體" w:hint="eastAsia"/>
                                <w:bCs/>
                                <w:snapToGrid w:val="0"/>
                                <w:color w:val="000000" w:themeColor="text1"/>
                                <w:sz w:val="20"/>
                              </w:rPr>
                              <w:t>完全限制</w:t>
                            </w:r>
                          </w:p>
                        </w:tc>
                        <w:tc>
                          <w:tcPr>
                            <w:tcW w:w="856" w:type="pct"/>
                            <w:vAlign w:val="center"/>
                          </w:tcPr>
                          <w:p w14:paraId="1FDF554B"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c>
                          <w:tcPr>
                            <w:tcW w:w="1567" w:type="pct"/>
                            <w:vAlign w:val="center"/>
                          </w:tcPr>
                          <w:p w14:paraId="55D7E427" w14:textId="77777777" w:rsidR="00EA2A66" w:rsidRPr="00DA4643"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7E0D9D">
                              <w:rPr>
                                <w:rFonts w:ascii="標楷體" w:eastAsia="標楷體" w:hAnsi="標楷體" w:cs="標楷體" w:hint="eastAsia"/>
                                <w:bCs/>
                                <w:snapToGrid w:val="0"/>
                                <w:color w:val="000000" w:themeColor="text1"/>
                                <w:sz w:val="20"/>
                              </w:rPr>
                              <w:t>負責任及謹慎使用</w:t>
                            </w:r>
                          </w:p>
                        </w:tc>
                      </w:tr>
                      <w:tr w:rsidR="00EA2A66" w:rsidRPr="00C02659" w14:paraId="5516EA81" w14:textId="77777777" w:rsidTr="00E80824">
                        <w:trPr>
                          <w:trHeight w:val="314"/>
                        </w:trPr>
                        <w:tc>
                          <w:tcPr>
                            <w:tcW w:w="912" w:type="pct"/>
                            <w:gridSpan w:val="2"/>
                            <w:vMerge/>
                          </w:tcPr>
                          <w:p w14:paraId="1FCE8D3C"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4088" w:type="pct"/>
                            <w:gridSpan w:val="4"/>
                            <w:vAlign w:val="center"/>
                          </w:tcPr>
                          <w:p w14:paraId="520CEE18" w14:textId="77777777" w:rsidR="00EA2A66" w:rsidRPr="00DA4643" w:rsidRDefault="00EA2A66" w:rsidP="00E32DDD">
                            <w:pPr>
                              <w:pStyle w:val="afffa"/>
                              <w:overflowPunct w:val="0"/>
                              <w:spacing w:line="200" w:lineRule="exact"/>
                              <w:ind w:leftChars="-50" w:left="-120" w:rightChars="-50" w:right="-120"/>
                              <w:jc w:val="center"/>
                              <w:rPr>
                                <w:rFonts w:ascii="標楷體" w:eastAsia="標楷體" w:hAnsi="標楷體" w:cs="標楷體"/>
                                <w:b/>
                                <w:bCs/>
                                <w:snapToGrid w:val="0"/>
                                <w:color w:val="000000" w:themeColor="text1"/>
                                <w:sz w:val="20"/>
                                <w:u w:val="single"/>
                              </w:rPr>
                            </w:pPr>
                            <w:r w:rsidRPr="00DA4643">
                              <w:rPr>
                                <w:rFonts w:ascii="標楷體" w:eastAsia="標楷體" w:hAnsi="標楷體" w:cs="標楷體" w:hint="eastAsia"/>
                                <w:b/>
                                <w:bCs/>
                                <w:snapToGrid w:val="0"/>
                                <w:color w:val="000000" w:themeColor="text1"/>
                                <w:spacing w:val="-16"/>
                                <w:sz w:val="20"/>
                              </w:rPr>
                              <w:t>我國核准</w:t>
                            </w:r>
                            <w:r>
                              <w:rPr>
                                <w:rFonts w:ascii="標楷體" w:eastAsia="標楷體" w:hAnsi="標楷體" w:cs="標楷體" w:hint="eastAsia"/>
                                <w:b/>
                                <w:bCs/>
                                <w:snapToGrid w:val="0"/>
                                <w:color w:val="000000" w:themeColor="text1"/>
                                <w:spacing w:val="-16"/>
                                <w:sz w:val="20"/>
                              </w:rPr>
                              <w:t>動物使用情形</w:t>
                            </w:r>
                          </w:p>
                        </w:tc>
                      </w:tr>
                      <w:tr w:rsidR="00EA2A66" w:rsidRPr="00C02659" w14:paraId="61B6C26D" w14:textId="77777777" w:rsidTr="00E80824">
                        <w:trPr>
                          <w:trHeight w:val="537"/>
                        </w:trPr>
                        <w:tc>
                          <w:tcPr>
                            <w:tcW w:w="912" w:type="pct"/>
                            <w:gridSpan w:val="2"/>
                            <w:vMerge/>
                          </w:tcPr>
                          <w:p w14:paraId="6B2F4442" w14:textId="77777777" w:rsidR="00EA2A66" w:rsidRPr="00C02659" w:rsidRDefault="00EA2A66" w:rsidP="00E32DDD">
                            <w:pPr>
                              <w:pStyle w:val="afffa"/>
                              <w:overflowPunct w:val="0"/>
                              <w:spacing w:line="200" w:lineRule="exact"/>
                              <w:ind w:leftChars="0" w:left="0"/>
                              <w:jc w:val="both"/>
                              <w:rPr>
                                <w:rFonts w:ascii="標楷體" w:eastAsia="標楷體" w:hAnsi="標楷體" w:cs="標楷體"/>
                                <w:bCs/>
                                <w:snapToGrid w:val="0"/>
                                <w:color w:val="000000" w:themeColor="text1"/>
                                <w:sz w:val="20"/>
                              </w:rPr>
                            </w:pPr>
                          </w:p>
                        </w:tc>
                        <w:tc>
                          <w:tcPr>
                            <w:tcW w:w="871" w:type="pct"/>
                            <w:vAlign w:val="center"/>
                          </w:tcPr>
                          <w:p w14:paraId="0F5A7950" w14:textId="77777777" w:rsidR="00EA2A66" w:rsidRPr="00C02659" w:rsidRDefault="00EA2A66" w:rsidP="00BD3E4A">
                            <w:pPr>
                              <w:overflowPunct w:val="0"/>
                              <w:spacing w:line="200" w:lineRule="exact"/>
                              <w:ind w:leftChars="-50" w:left="-120" w:rightChars="-50" w:right="-120"/>
                              <w:jc w:val="both"/>
                              <w:rPr>
                                <w:rFonts w:ascii="標楷體" w:eastAsia="標楷體" w:hAnsi="標楷體" w:cs="標楷體"/>
                                <w:bCs/>
                                <w:snapToGrid w:val="0"/>
                                <w:color w:val="000000" w:themeColor="text1"/>
                                <w:sz w:val="20"/>
                                <w:u w:val="single"/>
                              </w:rPr>
                            </w:pPr>
                            <w:r w:rsidRPr="00771125">
                              <w:rPr>
                                <w:rFonts w:ascii="標楷體" w:eastAsia="標楷體" w:hAnsi="標楷體" w:cs="標楷體" w:hint="eastAsia"/>
                                <w:bCs/>
                                <w:snapToGrid w:val="0"/>
                                <w:color w:val="000000" w:themeColor="text1"/>
                                <w:sz w:val="20"/>
                              </w:rPr>
                              <w:t>多</w:t>
                            </w:r>
                            <w:proofErr w:type="gramStart"/>
                            <w:r w:rsidRPr="00771125">
                              <w:rPr>
                                <w:rFonts w:ascii="標楷體" w:eastAsia="標楷體" w:hAnsi="標楷體" w:cs="標楷體" w:hint="eastAsia"/>
                                <w:bCs/>
                                <w:snapToGrid w:val="0"/>
                                <w:color w:val="000000" w:themeColor="text1"/>
                                <w:sz w:val="20"/>
                              </w:rPr>
                              <w:t>胜</w:t>
                            </w:r>
                            <w:proofErr w:type="gramEnd"/>
                            <w:r w:rsidRPr="00771125">
                              <w:rPr>
                                <w:rFonts w:ascii="標楷體" w:eastAsia="標楷體" w:hAnsi="標楷體" w:cs="標楷體" w:hint="eastAsia"/>
                                <w:bCs/>
                                <w:snapToGrid w:val="0"/>
                                <w:color w:val="000000" w:themeColor="text1"/>
                                <w:sz w:val="20"/>
                              </w:rPr>
                              <w:t>肽類</w:t>
                            </w:r>
                            <w:r>
                              <w:rPr>
                                <w:rFonts w:ascii="標楷體" w:eastAsia="標楷體" w:hAnsi="標楷體" w:hint="eastAsia"/>
                                <w:color w:val="000000" w:themeColor="text1"/>
                                <w:sz w:val="20"/>
                              </w:rPr>
                              <w:t>、</w:t>
                            </w:r>
                            <w:r w:rsidRPr="00C02659">
                              <w:rPr>
                                <w:rFonts w:ascii="標楷體" w:eastAsia="標楷體" w:hAnsi="標楷體" w:cs="標楷體" w:hint="eastAsia"/>
                                <w:bCs/>
                                <w:snapToGrid w:val="0"/>
                                <w:color w:val="000000" w:themeColor="text1"/>
                                <w:sz w:val="20"/>
                              </w:rPr>
                              <w:t>截短側耳素類</w:t>
                            </w:r>
                          </w:p>
                        </w:tc>
                        <w:tc>
                          <w:tcPr>
                            <w:tcW w:w="794" w:type="pct"/>
                            <w:vAlign w:val="center"/>
                          </w:tcPr>
                          <w:p w14:paraId="1CECA3BE"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856" w:type="pct"/>
                            <w:vAlign w:val="center"/>
                          </w:tcPr>
                          <w:p w14:paraId="3D5273E9" w14:textId="77777777" w:rsidR="00EA2A66" w:rsidRDefault="00EA2A66" w:rsidP="00E32DDD">
                            <w:pPr>
                              <w:pStyle w:val="afffa"/>
                              <w:overflowPunct w:val="0"/>
                              <w:spacing w:line="200" w:lineRule="exact"/>
                              <w:ind w:leftChars="0" w:left="0"/>
                              <w:jc w:val="center"/>
                              <w:rPr>
                                <w:rFonts w:ascii="標楷體" w:eastAsia="標楷體" w:hAnsi="標楷體" w:cs="標楷體"/>
                                <w:bCs/>
                                <w:snapToGrid w:val="0"/>
                                <w:color w:val="000000" w:themeColor="text1"/>
                                <w:sz w:val="20"/>
                              </w:rPr>
                            </w:pPr>
                            <w:r w:rsidRPr="00C02659">
                              <w:rPr>
                                <w:rFonts w:ascii="標楷體" w:eastAsia="標楷體" w:hAnsi="標楷體" w:cs="標楷體" w:hint="eastAsia"/>
                                <w:bCs/>
                                <w:snapToGrid w:val="0"/>
                                <w:color w:val="000000" w:themeColor="text1"/>
                                <w:sz w:val="20"/>
                              </w:rPr>
                              <w:t>無</w:t>
                            </w:r>
                          </w:p>
                        </w:tc>
                        <w:tc>
                          <w:tcPr>
                            <w:tcW w:w="1567" w:type="pct"/>
                            <w:vAlign w:val="center"/>
                          </w:tcPr>
                          <w:p w14:paraId="1F357ADA" w14:textId="77777777" w:rsidR="00EA2A66" w:rsidRPr="00812DD4" w:rsidRDefault="00EA2A66" w:rsidP="00E32DDD">
                            <w:pPr>
                              <w:overflowPunct w:val="0"/>
                              <w:spacing w:line="200" w:lineRule="exact"/>
                              <w:ind w:leftChars="-50" w:left="-120" w:rightChars="-50" w:right="-120"/>
                              <w:jc w:val="both"/>
                              <w:rPr>
                                <w:rFonts w:ascii="標楷體" w:eastAsia="標楷體" w:hAnsi="標楷體" w:cs="標楷體"/>
                                <w:bCs/>
                                <w:snapToGrid w:val="0"/>
                                <w:color w:val="000000" w:themeColor="text1"/>
                                <w:spacing w:val="-10"/>
                                <w:sz w:val="20"/>
                                <w:u w:val="single"/>
                              </w:rPr>
                            </w:pPr>
                            <w:r w:rsidRPr="00812DD4">
                              <w:rPr>
                                <w:rFonts w:ascii="標楷體" w:eastAsia="標楷體" w:hAnsi="標楷體" w:cs="標楷體" w:hint="eastAsia"/>
                                <w:bCs/>
                                <w:snapToGrid w:val="0"/>
                                <w:color w:val="000000" w:themeColor="text1"/>
                                <w:spacing w:val="-10"/>
                                <w:sz w:val="20"/>
                              </w:rPr>
                              <w:t>多</w:t>
                            </w:r>
                            <w:proofErr w:type="gramStart"/>
                            <w:r w:rsidRPr="00812DD4">
                              <w:rPr>
                                <w:rFonts w:ascii="標楷體" w:eastAsia="標楷體" w:hAnsi="標楷體" w:cs="標楷體" w:hint="eastAsia"/>
                                <w:bCs/>
                                <w:snapToGrid w:val="0"/>
                                <w:color w:val="000000" w:themeColor="text1"/>
                                <w:spacing w:val="-10"/>
                                <w:sz w:val="20"/>
                              </w:rPr>
                              <w:t>胜</w:t>
                            </w:r>
                            <w:proofErr w:type="gramEnd"/>
                            <w:r w:rsidRPr="00812DD4">
                              <w:rPr>
                                <w:rFonts w:ascii="標楷體" w:eastAsia="標楷體" w:hAnsi="標楷體" w:cs="標楷體" w:hint="eastAsia"/>
                                <w:bCs/>
                                <w:snapToGrid w:val="0"/>
                                <w:color w:val="000000" w:themeColor="text1"/>
                                <w:spacing w:val="-10"/>
                                <w:sz w:val="20"/>
                              </w:rPr>
                              <w:t>肽類</w:t>
                            </w:r>
                            <w:r w:rsidRPr="00812DD4">
                              <w:rPr>
                                <w:rFonts w:ascii="標楷體" w:eastAsia="標楷體" w:hAnsi="標楷體" w:hint="eastAsia"/>
                                <w:color w:val="000000" w:themeColor="text1"/>
                                <w:spacing w:val="-10"/>
                                <w:sz w:val="20"/>
                              </w:rPr>
                              <w:t>、</w:t>
                            </w:r>
                            <w:r w:rsidRPr="00812DD4">
                              <w:rPr>
                                <w:rFonts w:ascii="標楷體" w:eastAsia="標楷體" w:hAnsi="標楷體" w:cs="標楷體" w:hint="eastAsia"/>
                                <w:bCs/>
                                <w:snapToGrid w:val="0"/>
                                <w:color w:val="000000" w:themeColor="text1"/>
                                <w:spacing w:val="-10"/>
                                <w:sz w:val="20"/>
                              </w:rPr>
                              <w:t>截短側耳素類</w:t>
                            </w:r>
                          </w:p>
                        </w:tc>
                      </w:tr>
                    </w:tbl>
                    <w:p w14:paraId="3B4DC982" w14:textId="77777777" w:rsidR="00EA2A66" w:rsidRPr="00866921" w:rsidRDefault="00EA2A66" w:rsidP="00EA2A66">
                      <w:pPr>
                        <w:overflowPunct w:val="0"/>
                        <w:spacing w:line="180" w:lineRule="exact"/>
                        <w:ind w:left="522" w:hangingChars="290" w:hanging="522"/>
                        <w:jc w:val="both"/>
                        <w:rPr>
                          <w:rFonts w:ascii="標楷體" w:eastAsia="標楷體" w:hAnsi="標楷體" w:cs="標楷體"/>
                          <w:bCs/>
                          <w:snapToGrid w:val="0"/>
                          <w:color w:val="000000" w:themeColor="text1"/>
                          <w:sz w:val="18"/>
                          <w:szCs w:val="18"/>
                        </w:rPr>
                      </w:pPr>
                      <w:proofErr w:type="gramStart"/>
                      <w:r w:rsidRPr="00866921">
                        <w:rPr>
                          <w:rFonts w:ascii="標楷體" w:eastAsia="標楷體" w:hAnsi="標楷體" w:cs="標楷體" w:hint="eastAsia"/>
                          <w:bCs/>
                          <w:snapToGrid w:val="0"/>
                          <w:color w:val="000000" w:themeColor="text1"/>
                          <w:sz w:val="18"/>
                          <w:szCs w:val="18"/>
                        </w:rPr>
                        <w:t>註</w:t>
                      </w:r>
                      <w:proofErr w:type="gramEnd"/>
                      <w:r w:rsidRPr="00866921">
                        <w:rPr>
                          <w:rFonts w:ascii="標楷體" w:eastAsia="標楷體" w:hAnsi="標楷體" w:cs="標楷體" w:hint="eastAsia"/>
                          <w:bCs/>
                          <w:snapToGrid w:val="0"/>
                          <w:color w:val="000000" w:themeColor="text1"/>
                          <w:sz w:val="18"/>
                          <w:szCs w:val="18"/>
                        </w:rPr>
                        <w:t>：1.根據熟悉獸群疾病史之獸醫專業人士判斷，</w:t>
                      </w:r>
                      <w:r w:rsidRPr="008F4AA1">
                        <w:rPr>
                          <w:rFonts w:ascii="標楷體" w:eastAsia="標楷體" w:hAnsi="標楷體" w:cs="標楷體" w:hint="eastAsia"/>
                          <w:bCs/>
                          <w:snapToGrid w:val="0"/>
                          <w:color w:val="000000" w:themeColor="text1"/>
                          <w:sz w:val="18"/>
                          <w:szCs w:val="18"/>
                        </w:rPr>
                        <w:t>倘</w:t>
                      </w:r>
                      <w:r w:rsidRPr="00866921">
                        <w:rPr>
                          <w:rFonts w:ascii="標楷體" w:eastAsia="標楷體" w:hAnsi="標楷體" w:cs="標楷體" w:hint="eastAsia"/>
                          <w:bCs/>
                          <w:snapToGrid w:val="0"/>
                          <w:color w:val="000000" w:themeColor="text1"/>
                          <w:sz w:val="18"/>
                          <w:szCs w:val="18"/>
                        </w:rPr>
                        <w:t>感染特定傳染病風險很高，則可能允許使用這些用途。</w:t>
                      </w:r>
                    </w:p>
                    <w:p w14:paraId="32384802" w14:textId="77777777" w:rsidR="00EA2A66" w:rsidRPr="00866921" w:rsidRDefault="00EA2A66" w:rsidP="00EA2A66">
                      <w:pPr>
                        <w:overflowPunct w:val="0"/>
                        <w:spacing w:line="180" w:lineRule="exact"/>
                        <w:ind w:leftChars="140" w:left="516" w:hangingChars="100" w:hanging="180"/>
                        <w:jc w:val="both"/>
                        <w:rPr>
                          <w:rFonts w:ascii="標楷體" w:eastAsia="標楷體" w:hAnsi="標楷體" w:cs="標楷體"/>
                          <w:bCs/>
                          <w:snapToGrid w:val="0"/>
                          <w:color w:val="000000" w:themeColor="text1"/>
                          <w:sz w:val="18"/>
                          <w:szCs w:val="18"/>
                        </w:rPr>
                      </w:pPr>
                      <w:r w:rsidRPr="00866921">
                        <w:rPr>
                          <w:rFonts w:ascii="標楷體" w:eastAsia="標楷體" w:hAnsi="標楷體" w:cs="標楷體"/>
                          <w:bCs/>
                          <w:snapToGrid w:val="0"/>
                          <w:color w:val="000000" w:themeColor="text1"/>
                          <w:sz w:val="18"/>
                          <w:szCs w:val="18"/>
                        </w:rPr>
                        <w:t>2</w:t>
                      </w:r>
                      <w:r w:rsidRPr="00866921">
                        <w:rPr>
                          <w:rFonts w:ascii="標楷體" w:eastAsia="標楷體" w:hAnsi="標楷體" w:cs="標楷體" w:hint="eastAsia"/>
                          <w:bCs/>
                          <w:snapToGrid w:val="0"/>
                          <w:color w:val="000000" w:themeColor="text1"/>
                          <w:sz w:val="18"/>
                          <w:szCs w:val="18"/>
                        </w:rPr>
                        <w:t>.根據合格獸醫之建議，倘無其他較不具人類醫學重要性藥物可用於治療受感染之動物或防止已診斷疾病在動物群體中傳播，則可能允許使用。</w:t>
                      </w:r>
                    </w:p>
                    <w:p w14:paraId="342F4F04" w14:textId="77777777" w:rsidR="00EA2A66" w:rsidRPr="00866921" w:rsidRDefault="00EA2A66" w:rsidP="00EA2A66">
                      <w:pPr>
                        <w:overflowPunct w:val="0"/>
                        <w:spacing w:line="180" w:lineRule="exact"/>
                        <w:ind w:leftChars="140" w:left="516" w:hangingChars="100" w:hanging="180"/>
                        <w:jc w:val="both"/>
                        <w:rPr>
                          <w:rFonts w:ascii="標楷體" w:eastAsia="標楷體" w:hAnsi="標楷體"/>
                          <w:sz w:val="18"/>
                          <w:szCs w:val="18"/>
                        </w:rPr>
                      </w:pPr>
                      <w:r w:rsidRPr="00866921">
                        <w:rPr>
                          <w:rFonts w:ascii="標楷體" w:eastAsia="標楷體" w:hAnsi="標楷體" w:cs="標楷體"/>
                          <w:bCs/>
                          <w:snapToGrid w:val="0"/>
                          <w:color w:val="000000" w:themeColor="text1"/>
                          <w:sz w:val="18"/>
                          <w:szCs w:val="18"/>
                        </w:rPr>
                        <w:t>3</w:t>
                      </w:r>
                      <w:r w:rsidRPr="00866921">
                        <w:rPr>
                          <w:rFonts w:ascii="標楷體" w:eastAsia="標楷體" w:hAnsi="標楷體" w:cs="標楷體" w:hint="eastAsia"/>
                          <w:bCs/>
                          <w:snapToGrid w:val="0"/>
                          <w:color w:val="000000" w:themeColor="text1"/>
                          <w:sz w:val="18"/>
                          <w:szCs w:val="18"/>
                        </w:rPr>
                        <w:t>.資料來源：</w:t>
                      </w:r>
                      <w:r w:rsidRPr="00866921">
                        <w:rPr>
                          <w:rFonts w:ascii="標楷體" w:eastAsia="標楷體" w:hAnsi="標楷體" w:hint="eastAsia"/>
                          <w:sz w:val="18"/>
                          <w:szCs w:val="18"/>
                        </w:rPr>
                        <w:t>整理自WHO</w:t>
                      </w:r>
                      <w:r>
                        <w:rPr>
                          <w:rFonts w:ascii="標楷體" w:eastAsia="標楷體" w:hAnsi="標楷體"/>
                          <w:sz w:val="18"/>
                          <w:szCs w:val="18"/>
                        </w:rPr>
                        <w:t xml:space="preserve"> </w:t>
                      </w:r>
                      <w:r w:rsidRPr="00866921">
                        <w:rPr>
                          <w:rFonts w:ascii="標楷體" w:eastAsia="標楷體" w:hAnsi="標楷體" w:hint="eastAsia"/>
                          <w:sz w:val="18"/>
                          <w:szCs w:val="18"/>
                        </w:rPr>
                        <w:t>2017年「世界衛生組織</w:t>
                      </w:r>
                      <w:proofErr w:type="gramStart"/>
                      <w:r w:rsidRPr="00866921">
                        <w:rPr>
                          <w:rFonts w:ascii="標楷體" w:eastAsia="標楷體" w:hAnsi="標楷體" w:hint="eastAsia"/>
                          <w:sz w:val="18"/>
                          <w:szCs w:val="18"/>
                        </w:rPr>
                        <w:t>對於產食動物</w:t>
                      </w:r>
                      <w:proofErr w:type="gramEnd"/>
                      <w:r w:rsidRPr="00866921">
                        <w:rPr>
                          <w:rFonts w:ascii="標楷體" w:eastAsia="標楷體" w:hAnsi="標楷體" w:hint="eastAsia"/>
                          <w:sz w:val="18"/>
                          <w:szCs w:val="18"/>
                        </w:rPr>
                        <w:t>使用具有人類醫學重要性抗菌藥物指南：政策簡報」(WHO Guidelines on Use of Medically Important Antimicrobials in Food-Producing Animals: Policy brief)、</w:t>
                      </w:r>
                      <w:r>
                        <w:rPr>
                          <w:rFonts w:ascii="標楷體" w:eastAsia="標楷體" w:hAnsi="標楷體" w:hint="eastAsia"/>
                          <w:sz w:val="18"/>
                          <w:szCs w:val="18"/>
                        </w:rPr>
                        <w:t>農業部動植物</w:t>
                      </w:r>
                      <w:r w:rsidRPr="00866921">
                        <w:rPr>
                          <w:rFonts w:ascii="標楷體" w:eastAsia="標楷體" w:hAnsi="標楷體" w:hint="eastAsia"/>
                          <w:sz w:val="18"/>
                          <w:szCs w:val="18"/>
                        </w:rPr>
                        <w:t>防</w:t>
                      </w:r>
                      <w:r>
                        <w:rPr>
                          <w:rFonts w:ascii="標楷體" w:eastAsia="標楷體" w:hAnsi="標楷體" w:hint="eastAsia"/>
                          <w:sz w:val="18"/>
                          <w:szCs w:val="18"/>
                        </w:rPr>
                        <w:t>疫</w:t>
                      </w:r>
                      <w:r w:rsidRPr="00866921">
                        <w:rPr>
                          <w:rFonts w:ascii="標楷體" w:eastAsia="標楷體" w:hAnsi="標楷體" w:hint="eastAsia"/>
                          <w:sz w:val="18"/>
                          <w:szCs w:val="18"/>
                        </w:rPr>
                        <w:t>檢</w:t>
                      </w:r>
                      <w:r>
                        <w:rPr>
                          <w:rFonts w:ascii="標楷體" w:eastAsia="標楷體" w:hAnsi="標楷體" w:hint="eastAsia"/>
                          <w:sz w:val="18"/>
                          <w:szCs w:val="18"/>
                        </w:rPr>
                        <w:t>疫</w:t>
                      </w:r>
                      <w:r w:rsidRPr="00866921">
                        <w:rPr>
                          <w:rFonts w:ascii="標楷體" w:eastAsia="標楷體" w:hAnsi="標楷體" w:hint="eastAsia"/>
                          <w:sz w:val="18"/>
                          <w:szCs w:val="18"/>
                        </w:rPr>
                        <w:t>署提供資料及動物用重要</w:t>
                      </w:r>
                      <w:proofErr w:type="gramStart"/>
                      <w:r w:rsidRPr="00866921">
                        <w:rPr>
                          <w:rFonts w:ascii="標楷體" w:eastAsia="標楷體" w:hAnsi="標楷體" w:hint="eastAsia"/>
                          <w:sz w:val="18"/>
                          <w:szCs w:val="18"/>
                        </w:rPr>
                        <w:t>抗菌劑清單</w:t>
                      </w:r>
                      <w:proofErr w:type="gramEnd"/>
                      <w:r w:rsidRPr="00866921">
                        <w:rPr>
                          <w:rFonts w:ascii="標楷體" w:eastAsia="標楷體" w:hAnsi="標楷體" w:hint="eastAsia"/>
                          <w:sz w:val="18"/>
                          <w:szCs w:val="18"/>
                        </w:rPr>
                        <w:t>（產食動物）。</w:t>
                      </w:r>
                    </w:p>
                    <w:p w14:paraId="15F72193" w14:textId="77777777" w:rsidR="00EA2A66" w:rsidRPr="00E80824" w:rsidRDefault="00EA2A66" w:rsidP="00EA2A66">
                      <w:pPr>
                        <w:overflowPunct w:val="0"/>
                        <w:spacing w:line="180" w:lineRule="exact"/>
                        <w:ind w:left="522" w:hangingChars="290" w:hanging="522"/>
                        <w:jc w:val="both"/>
                        <w:rPr>
                          <w:rFonts w:ascii="標楷體" w:eastAsia="標楷體" w:hAnsi="標楷體"/>
                          <w:sz w:val="18"/>
                          <w:szCs w:val="18"/>
                        </w:rPr>
                      </w:pPr>
                    </w:p>
                  </w:txbxContent>
                </v:textbox>
                <w10:wrap type="square" anchorx="margin"/>
              </v:shape>
            </w:pict>
          </mc:Fallback>
        </mc:AlternateContent>
      </w:r>
      <w:r w:rsidRPr="00D94EF8">
        <w:rPr>
          <w:rFonts w:ascii="標楷體" w:eastAsia="標楷體" w:hAnsi="標楷體" w:cs="標楷體" w:hint="eastAsia"/>
          <w:bCs/>
          <w:spacing w:val="-2"/>
          <w:szCs w:val="24"/>
        </w:rPr>
        <w:t>人類醫療重要抗生素用於促進動物生長，持續刪減「含藥物飼料添加物」品項，並強化「負責任及謹慎使用」抗生素相關管理措施，以維繫國內重要抗生素之有效性。</w:t>
      </w:r>
    </w:p>
    <w:p w14:paraId="51651DF5" w14:textId="370420D0" w:rsidR="001F3D33" w:rsidRPr="00603231" w:rsidRDefault="00D94EF8" w:rsidP="00EA2A66">
      <w:pPr>
        <w:overflowPunct w:val="0"/>
        <w:spacing w:line="418" w:lineRule="exact"/>
        <w:ind w:firstLineChars="450" w:firstLine="1081"/>
        <w:jc w:val="both"/>
        <w:rPr>
          <w:rFonts w:ascii="標楷體" w:eastAsia="標楷體" w:hAnsi="標楷體" w:cs="New Gulim"/>
          <w:bCs/>
          <w:szCs w:val="24"/>
        </w:rPr>
      </w:pPr>
      <w:r w:rsidRPr="00D94EF8">
        <w:rPr>
          <w:rFonts w:ascii="標楷體" w:eastAsia="標楷體" w:hAnsi="標楷體" w:cs="標楷體" w:hint="eastAsia"/>
          <w:b/>
          <w:szCs w:val="24"/>
        </w:rPr>
        <w:t>4.</w:t>
      </w:r>
      <w:r w:rsidR="003F6125">
        <w:rPr>
          <w:rFonts w:ascii="標楷體" w:eastAsia="標楷體" w:hAnsi="標楷體" w:cs="標楷體" w:hint="eastAsia"/>
          <w:b/>
          <w:szCs w:val="24"/>
        </w:rPr>
        <w:t xml:space="preserve">　</w:t>
      </w:r>
      <w:r w:rsidRPr="00D94EF8">
        <w:rPr>
          <w:rFonts w:ascii="標楷體" w:eastAsia="標楷體" w:hAnsi="標楷體" w:cs="標楷體" w:hint="eastAsia"/>
          <w:b/>
          <w:szCs w:val="24"/>
        </w:rPr>
        <w:t>部分區域級以下醫院感染管制人力不足，影響抗生素抗藥性管理之有效性，又全民健康保險抗微生物製劑管理及感染管制品質提升計畫，未明定分配予感染症專科醫師等相關</w:t>
      </w:r>
      <w:proofErr w:type="gramStart"/>
      <w:r w:rsidRPr="00D94EF8">
        <w:rPr>
          <w:rFonts w:ascii="標楷體" w:eastAsia="標楷體" w:hAnsi="標楷體" w:cs="標楷體" w:hint="eastAsia"/>
          <w:b/>
          <w:szCs w:val="24"/>
        </w:rPr>
        <w:t>醫</w:t>
      </w:r>
      <w:proofErr w:type="gramEnd"/>
      <w:r w:rsidRPr="00D94EF8">
        <w:rPr>
          <w:rFonts w:ascii="標楷體" w:eastAsia="標楷體" w:hAnsi="標楷體" w:cs="標楷體" w:hint="eastAsia"/>
          <w:b/>
          <w:szCs w:val="24"/>
        </w:rPr>
        <w:t>事人員之經費成數範圍，不利吸引專業人才投入：</w:t>
      </w:r>
      <w:r w:rsidRPr="00D94EF8">
        <w:rPr>
          <w:rFonts w:ascii="標楷體" w:eastAsia="標楷體" w:hAnsi="標楷體" w:cs="標楷體" w:hint="eastAsia"/>
          <w:bCs/>
          <w:szCs w:val="24"/>
        </w:rPr>
        <w:t>醫療照護機構收治嚴重感染患者並大量使用抗生素，倘感染管制措施不足，將導致具抗生素抗藥性之微生物傳播。經查</w:t>
      </w:r>
      <w:r w:rsidR="00793696">
        <w:rPr>
          <w:rFonts w:ascii="標楷體" w:eastAsia="標楷體" w:hAnsi="標楷體" w:cs="標楷體" w:hint="eastAsia"/>
          <w:bCs/>
          <w:szCs w:val="24"/>
        </w:rPr>
        <w:t>，</w:t>
      </w:r>
      <w:proofErr w:type="gramStart"/>
      <w:r w:rsidRPr="00D94EF8">
        <w:rPr>
          <w:rFonts w:ascii="標楷體" w:eastAsia="標楷體" w:hAnsi="標楷體" w:cs="標楷體" w:hint="eastAsia"/>
          <w:bCs/>
          <w:szCs w:val="24"/>
        </w:rPr>
        <w:t>疾管署為</w:t>
      </w:r>
      <w:proofErr w:type="gramEnd"/>
      <w:r w:rsidRPr="00D94EF8">
        <w:rPr>
          <w:rFonts w:ascii="標楷體" w:eastAsia="標楷體" w:hAnsi="標楷體" w:cs="標楷體" w:hint="eastAsia"/>
          <w:bCs/>
          <w:szCs w:val="24"/>
        </w:rPr>
        <w:t>確保醫院感染管制品質，訂有醫療機構執行感染管制措施及查核辦法、醫院感染管制查核基準等規定，規範醫院應設立感染管制單位，聘有合格且足夠之感染管制人力負責業務推行。然據</w:t>
      </w:r>
      <w:r w:rsidRPr="00D94EF8">
        <w:rPr>
          <w:rFonts w:ascii="標楷體" w:eastAsia="標楷體" w:hAnsi="標楷體" w:cs="標楷體"/>
          <w:bCs/>
          <w:szCs w:val="24"/>
        </w:rPr>
        <w:t>112</w:t>
      </w:r>
      <w:r w:rsidRPr="00D94EF8">
        <w:rPr>
          <w:rFonts w:ascii="標楷體" w:eastAsia="標楷體" w:hAnsi="標楷體" w:cs="標楷體" w:hint="eastAsia"/>
          <w:bCs/>
          <w:szCs w:val="24"/>
        </w:rPr>
        <w:t>及</w:t>
      </w:r>
      <w:proofErr w:type="gramStart"/>
      <w:r w:rsidRPr="00D94EF8">
        <w:rPr>
          <w:rFonts w:ascii="標楷體" w:eastAsia="標楷體" w:hAnsi="標楷體" w:cs="標楷體"/>
          <w:bCs/>
          <w:szCs w:val="24"/>
        </w:rPr>
        <w:t>113</w:t>
      </w:r>
      <w:proofErr w:type="gramEnd"/>
      <w:r w:rsidRPr="00D94EF8">
        <w:rPr>
          <w:rFonts w:ascii="標楷體" w:eastAsia="標楷體" w:hAnsi="標楷體" w:cs="標楷體" w:hint="eastAsia"/>
          <w:bCs/>
          <w:szCs w:val="24"/>
        </w:rPr>
        <w:t>年度醫院感染管制查核結果，各該年度地方主管機關查核醫院數分別為238家、234家，未符感染管制人力查核基準規定之家數比率分別為16.81％、16.67％，其中除醫學中心全數符合規範外，區域醫院不符比率分別為7.32％、22.92％，地區醫院不符比率亦為19.79％、16.28％，且依</w:t>
      </w:r>
      <w:proofErr w:type="gramStart"/>
      <w:r w:rsidRPr="00D94EF8">
        <w:rPr>
          <w:rFonts w:ascii="標楷體" w:eastAsia="標楷體" w:hAnsi="標楷體" w:cs="標楷體" w:hint="eastAsia"/>
          <w:bCs/>
          <w:szCs w:val="24"/>
        </w:rPr>
        <w:t>113</w:t>
      </w:r>
      <w:proofErr w:type="gramEnd"/>
      <w:r w:rsidRPr="00D94EF8">
        <w:rPr>
          <w:rFonts w:ascii="標楷體" w:eastAsia="標楷體" w:hAnsi="標楷體" w:cs="標楷體" w:hint="eastAsia"/>
          <w:bCs/>
          <w:szCs w:val="24"/>
        </w:rPr>
        <w:t>年度感染管制受查醫院所提報之</w:t>
      </w:r>
      <w:proofErr w:type="gramStart"/>
      <w:r w:rsidRPr="00D94EF8">
        <w:rPr>
          <w:rFonts w:ascii="標楷體" w:eastAsia="標楷體" w:hAnsi="標楷體" w:cs="標楷體" w:hint="eastAsia"/>
          <w:bCs/>
          <w:szCs w:val="24"/>
        </w:rPr>
        <w:t>112</w:t>
      </w:r>
      <w:proofErr w:type="gramEnd"/>
      <w:r w:rsidRPr="00D94EF8">
        <w:rPr>
          <w:rFonts w:ascii="標楷體" w:eastAsia="標楷體" w:hAnsi="標楷體" w:cs="標楷體" w:hint="eastAsia"/>
          <w:bCs/>
          <w:szCs w:val="24"/>
        </w:rPr>
        <w:t>年度感染管制人力資料顯示，平均每家醫學中心配置專任專科醫師8.50人、專任護理人員6.79人、專任</w:t>
      </w:r>
      <w:proofErr w:type="gramStart"/>
      <w:r w:rsidRPr="00D94EF8">
        <w:rPr>
          <w:rFonts w:ascii="標楷體" w:eastAsia="標楷體" w:hAnsi="標楷體" w:cs="標楷體" w:hint="eastAsia"/>
          <w:bCs/>
          <w:szCs w:val="24"/>
        </w:rPr>
        <w:t>醫</w:t>
      </w:r>
      <w:proofErr w:type="gramEnd"/>
      <w:r w:rsidRPr="00D94EF8">
        <w:rPr>
          <w:rFonts w:ascii="標楷體" w:eastAsia="標楷體" w:hAnsi="標楷體" w:cs="標楷體" w:hint="eastAsia"/>
          <w:bCs/>
          <w:szCs w:val="24"/>
        </w:rPr>
        <w:t>檢人員1.21人，區域醫院則為2.19人、2.73人、0.29人，地區醫院更僅為0.19人、0.40人、0.02人，顯示醫院規模越小，其感染管制人力愈顯不足。又109至113年8月底各層級醫院6項重要多重抗</w:t>
      </w:r>
      <w:proofErr w:type="gramStart"/>
      <w:r w:rsidRPr="00D94EF8">
        <w:rPr>
          <w:rFonts w:ascii="標楷體" w:eastAsia="標楷體" w:hAnsi="標楷體" w:cs="標楷體" w:hint="eastAsia"/>
          <w:bCs/>
          <w:szCs w:val="24"/>
        </w:rPr>
        <w:t>藥菌</w:t>
      </w:r>
      <w:r w:rsidRPr="00D94EF8">
        <w:rPr>
          <w:rFonts w:ascii="標楷體" w:eastAsia="標楷體" w:hAnsi="標楷體" w:cs="標楷體" w:hint="eastAsia"/>
          <w:bCs/>
          <w:szCs w:val="24"/>
        </w:rPr>
        <w:lastRenderedPageBreak/>
        <w:t>檢</w:t>
      </w:r>
      <w:proofErr w:type="gramEnd"/>
      <w:r w:rsidRPr="00D94EF8">
        <w:rPr>
          <w:rFonts w:ascii="標楷體" w:eastAsia="標楷體" w:hAnsi="標楷體" w:cs="標楷體" w:hint="eastAsia"/>
          <w:bCs/>
          <w:szCs w:val="24"/>
        </w:rPr>
        <w:t>出情形，其中地區醫院及區域醫院即有5項多重抗</w:t>
      </w:r>
      <w:proofErr w:type="gramStart"/>
      <w:r w:rsidRPr="00D94EF8">
        <w:rPr>
          <w:rFonts w:ascii="標楷體" w:eastAsia="標楷體" w:hAnsi="標楷體" w:cs="標楷體" w:hint="eastAsia"/>
          <w:bCs/>
          <w:szCs w:val="24"/>
        </w:rPr>
        <w:t>藥菌檢</w:t>
      </w:r>
      <w:proofErr w:type="gramEnd"/>
      <w:r w:rsidRPr="00D94EF8">
        <w:rPr>
          <w:rFonts w:ascii="標楷體" w:eastAsia="標楷體" w:hAnsi="標楷體" w:cs="標楷體" w:hint="eastAsia"/>
          <w:bCs/>
          <w:szCs w:val="24"/>
        </w:rPr>
        <w:t>出百分比，較醫學中心為高，在感染管制人力相對不足之情況下，恐影響醫院抗生素抗藥性管理之執行及有效性。次查，衛生福利部中央健康</w:t>
      </w:r>
      <w:proofErr w:type="gramStart"/>
      <w:r w:rsidRPr="00D94EF8">
        <w:rPr>
          <w:rFonts w:ascii="標楷體" w:eastAsia="標楷體" w:hAnsi="標楷體" w:cs="標楷體" w:hint="eastAsia"/>
          <w:bCs/>
          <w:szCs w:val="24"/>
        </w:rPr>
        <w:t>保險署</w:t>
      </w:r>
      <w:proofErr w:type="gramEnd"/>
      <w:r w:rsidRPr="00D94EF8">
        <w:rPr>
          <w:rFonts w:ascii="標楷體" w:eastAsia="標楷體" w:hAnsi="標楷體" w:cs="標楷體" w:hint="eastAsia"/>
          <w:bCs/>
          <w:szCs w:val="24"/>
        </w:rPr>
        <w:t>（下稱健保署）為鼓勵醫院落實及強化感染管制措施，自113年6月起推動「全民健康保險抗微生物製劑管理及感染管制品質提升計畫」，導入「高度管制性抗微生物製劑使用暨抗藥性</w:t>
      </w:r>
      <w:proofErr w:type="gramStart"/>
      <w:r w:rsidRPr="00D94EF8">
        <w:rPr>
          <w:rFonts w:ascii="標楷體" w:eastAsia="標楷體" w:hAnsi="標楷體" w:cs="標楷體" w:hint="eastAsia"/>
          <w:bCs/>
          <w:szCs w:val="24"/>
        </w:rPr>
        <w:t>照護量表</w:t>
      </w:r>
      <w:proofErr w:type="gramEnd"/>
      <w:r w:rsidRPr="00D94EF8">
        <w:rPr>
          <w:rFonts w:ascii="標楷體" w:eastAsia="標楷體" w:hAnsi="標楷體" w:cs="標楷體" w:hint="eastAsia"/>
          <w:bCs/>
          <w:szCs w:val="24"/>
        </w:rPr>
        <w:t>」，由專任感染症專科醫師執行評估，並提供評估費，且依各醫院感染管制品質指標達成情形給予獎勵費，另規定評估費及獎勵費須分配一定成數予感染症專科醫師等相關</w:t>
      </w:r>
      <w:proofErr w:type="gramStart"/>
      <w:r w:rsidRPr="00D94EF8">
        <w:rPr>
          <w:rFonts w:ascii="標楷體" w:eastAsia="標楷體" w:hAnsi="標楷體" w:cs="標楷體" w:hint="eastAsia"/>
          <w:bCs/>
          <w:szCs w:val="24"/>
        </w:rPr>
        <w:t>醫</w:t>
      </w:r>
      <w:proofErr w:type="gramEnd"/>
      <w:r w:rsidRPr="00D94EF8">
        <w:rPr>
          <w:rFonts w:ascii="標楷體" w:eastAsia="標楷體" w:hAnsi="標楷體" w:cs="標楷體" w:hint="eastAsia"/>
          <w:bCs/>
          <w:szCs w:val="24"/>
        </w:rPr>
        <w:t>事人員，以促進專業人才投入，惟計畫未明定醫院分配評估及獎勵費用之成數範圍，恐難確保各醫院合理分配，不利吸引感染管制人員投入相關業務。經函請行政院督促妥謀因應，以改善醫院感染管制人力負荷，確保抗生素抗藥性管理品質。據復：</w:t>
      </w:r>
      <w:proofErr w:type="gramStart"/>
      <w:r w:rsidRPr="00D94EF8">
        <w:rPr>
          <w:rFonts w:ascii="標楷體" w:eastAsia="標楷體" w:hAnsi="標楷體" w:cs="標楷體" w:hint="eastAsia"/>
          <w:bCs/>
          <w:szCs w:val="24"/>
        </w:rPr>
        <w:t>疾管署於</w:t>
      </w:r>
      <w:proofErr w:type="gramEnd"/>
      <w:r w:rsidRPr="00D94EF8">
        <w:rPr>
          <w:rFonts w:ascii="標楷體" w:eastAsia="標楷體" w:hAnsi="標楷體" w:cs="標楷體" w:hint="eastAsia"/>
          <w:bCs/>
          <w:szCs w:val="24"/>
        </w:rPr>
        <w:t>114年擴增辦理提升醫院感染管制量能及人力品質獎勵計畫，針對不同規模之醫院，設定獎勵指標，鼓勵醫院導入多面向感染管制措施，並擴增人力量能，以提升抗生素抗藥性管理執行成效；</w:t>
      </w:r>
      <w:r w:rsidRPr="009E61B8">
        <w:rPr>
          <w:rFonts w:ascii="標楷體" w:eastAsia="標楷體" w:hAnsi="標楷體" w:cs="標楷體" w:hint="eastAsia"/>
          <w:bCs/>
          <w:spacing w:val="-2"/>
          <w:szCs w:val="24"/>
        </w:rPr>
        <w:t>另健保署已於114年5月29日修訂</w:t>
      </w:r>
      <w:proofErr w:type="gramStart"/>
      <w:r w:rsidRPr="009E61B8">
        <w:rPr>
          <w:rFonts w:ascii="標楷體" w:eastAsia="標楷體" w:hAnsi="標楷體" w:cs="標楷體" w:hint="eastAsia"/>
          <w:bCs/>
          <w:spacing w:val="-2"/>
          <w:szCs w:val="24"/>
        </w:rPr>
        <w:t>114</w:t>
      </w:r>
      <w:proofErr w:type="gramEnd"/>
      <w:r w:rsidRPr="009E61B8">
        <w:rPr>
          <w:rFonts w:ascii="標楷體" w:eastAsia="標楷體" w:hAnsi="標楷體" w:cs="標楷體" w:hint="eastAsia"/>
          <w:bCs/>
          <w:spacing w:val="-2"/>
          <w:szCs w:val="24"/>
        </w:rPr>
        <w:t>年度「全民健康保險抗微生物製劑管理及感染管制品質提升計畫」，訂定醫院分配</w:t>
      </w:r>
      <w:proofErr w:type="gramStart"/>
      <w:r w:rsidRPr="009E61B8">
        <w:rPr>
          <w:rFonts w:ascii="標楷體" w:eastAsia="標楷體" w:hAnsi="標楷體" w:cs="標楷體" w:hint="eastAsia"/>
          <w:bCs/>
          <w:spacing w:val="-2"/>
          <w:szCs w:val="24"/>
        </w:rPr>
        <w:t>醫</w:t>
      </w:r>
      <w:proofErr w:type="gramEnd"/>
      <w:r w:rsidRPr="009E61B8">
        <w:rPr>
          <w:rFonts w:ascii="標楷體" w:eastAsia="標楷體" w:hAnsi="標楷體" w:cs="標楷體" w:hint="eastAsia"/>
          <w:bCs/>
          <w:spacing w:val="-2"/>
          <w:szCs w:val="24"/>
        </w:rPr>
        <w:t>事人員之經費成數須達</w:t>
      </w:r>
      <w:proofErr w:type="gramStart"/>
      <w:r w:rsidRPr="009E61B8">
        <w:rPr>
          <w:rFonts w:ascii="標楷體" w:eastAsia="標楷體" w:hAnsi="標楷體" w:cs="標楷體" w:hint="eastAsia"/>
          <w:bCs/>
          <w:spacing w:val="-2"/>
          <w:szCs w:val="24"/>
        </w:rPr>
        <w:t>6成</w:t>
      </w:r>
      <w:proofErr w:type="gramEnd"/>
      <w:r w:rsidRPr="009E61B8">
        <w:rPr>
          <w:rFonts w:ascii="標楷體" w:eastAsia="標楷體" w:hAnsi="標楷體" w:cs="標楷體" w:hint="eastAsia"/>
          <w:bCs/>
          <w:spacing w:val="-2"/>
          <w:szCs w:val="24"/>
        </w:rPr>
        <w:t>以上，</w:t>
      </w:r>
      <w:proofErr w:type="gramStart"/>
      <w:r w:rsidRPr="009E61B8">
        <w:rPr>
          <w:rFonts w:ascii="標楷體" w:eastAsia="標楷體" w:hAnsi="標楷體" w:cs="標楷體" w:hint="eastAsia"/>
          <w:bCs/>
          <w:spacing w:val="-2"/>
          <w:szCs w:val="24"/>
        </w:rPr>
        <w:t>俾</w:t>
      </w:r>
      <w:proofErr w:type="gramEnd"/>
      <w:r w:rsidRPr="009E61B8">
        <w:rPr>
          <w:rFonts w:ascii="標楷體" w:eastAsia="標楷體" w:hAnsi="標楷體" w:cs="標楷體" w:hint="eastAsia"/>
          <w:bCs/>
          <w:spacing w:val="-2"/>
          <w:szCs w:val="24"/>
        </w:rPr>
        <w:t>免醫院間</w:t>
      </w:r>
      <w:proofErr w:type="gramStart"/>
      <w:r w:rsidRPr="009E61B8">
        <w:rPr>
          <w:rFonts w:ascii="標楷體" w:eastAsia="標楷體" w:hAnsi="標楷體" w:cs="標楷體" w:hint="eastAsia"/>
          <w:bCs/>
          <w:spacing w:val="-2"/>
          <w:szCs w:val="24"/>
        </w:rPr>
        <w:t>提撥</w:t>
      </w:r>
      <w:proofErr w:type="gramEnd"/>
      <w:r w:rsidRPr="009E61B8">
        <w:rPr>
          <w:rFonts w:ascii="標楷體" w:eastAsia="標楷體" w:hAnsi="標楷體" w:cs="標楷體" w:hint="eastAsia"/>
          <w:bCs/>
          <w:spacing w:val="-2"/>
          <w:szCs w:val="24"/>
        </w:rPr>
        <w:t>獎勵情形差異過大，影響人員投入意願。</w:t>
      </w:r>
    </w:p>
    <w:p w14:paraId="2A2921A5" w14:textId="14C2825D" w:rsidR="00ED695C" w:rsidRDefault="00ED695C" w:rsidP="00E82F29">
      <w:pPr>
        <w:pStyle w:val="affffff1"/>
        <w:spacing w:afterLines="0" w:after="0" w:line="460" w:lineRule="exact"/>
        <w:ind w:firstLineChars="200" w:firstLine="561"/>
        <w:outlineLvl w:val="1"/>
      </w:pPr>
      <w:r w:rsidRPr="005742C8">
        <w:rPr>
          <w:rFonts w:hint="eastAsia"/>
        </w:rPr>
        <w:t>（</w:t>
      </w:r>
      <w:r>
        <w:rPr>
          <w:rFonts w:hint="eastAsia"/>
        </w:rPr>
        <w:t>十</w:t>
      </w:r>
      <w:r w:rsidR="00781889">
        <w:rPr>
          <w:rFonts w:hint="eastAsia"/>
        </w:rPr>
        <w:t>九</w:t>
      </w:r>
      <w:r w:rsidRPr="005742C8">
        <w:rPr>
          <w:rFonts w:hint="eastAsia"/>
        </w:rPr>
        <w:t>）</w:t>
      </w:r>
      <w:r>
        <w:rPr>
          <w:rFonts w:hint="eastAsia"/>
        </w:rPr>
        <w:t xml:space="preserve">　</w:t>
      </w:r>
      <w:r w:rsidR="00B8302C" w:rsidRPr="00B8302C">
        <w:rPr>
          <w:rFonts w:hint="eastAsia"/>
        </w:rPr>
        <w:t>政府近年已運用多元方式活化國有非公用不動產，惟閒置國有土地數量及面積仍逐年增加，</w:t>
      </w:r>
      <w:proofErr w:type="gramStart"/>
      <w:r w:rsidR="00B8302C" w:rsidRPr="00B8302C">
        <w:rPr>
          <w:rFonts w:hint="eastAsia"/>
        </w:rPr>
        <w:t>間有位</w:t>
      </w:r>
      <w:proofErr w:type="gramEnd"/>
      <w:r w:rsidR="00B8302C" w:rsidRPr="00B8302C">
        <w:rPr>
          <w:rFonts w:hint="eastAsia"/>
        </w:rPr>
        <w:t>處生活機能發達、夜間人流稠密地區或長照</w:t>
      </w:r>
      <w:proofErr w:type="gramStart"/>
      <w:r w:rsidR="00B8302C" w:rsidRPr="00B8302C">
        <w:rPr>
          <w:rFonts w:hint="eastAsia"/>
        </w:rPr>
        <w:t>資源稀缺區域</w:t>
      </w:r>
      <w:proofErr w:type="gramEnd"/>
      <w:r w:rsidR="00B8302C" w:rsidRPr="00B8302C">
        <w:rPr>
          <w:rFonts w:hint="eastAsia"/>
        </w:rPr>
        <w:t>之閒置土地未妥為規劃利用，允宜配合國家重要施政方向，積極盤點整合、統籌調配閒置土地，</w:t>
      </w:r>
      <w:proofErr w:type="gramStart"/>
      <w:r w:rsidR="00B8302C" w:rsidRPr="00B8302C">
        <w:rPr>
          <w:rFonts w:hint="eastAsia"/>
        </w:rPr>
        <w:t>俾</w:t>
      </w:r>
      <w:proofErr w:type="gramEnd"/>
      <w:r w:rsidR="00B8302C" w:rsidRPr="00B8302C">
        <w:rPr>
          <w:rFonts w:hint="eastAsia"/>
        </w:rPr>
        <w:t>使國家資產發揮提升國民生活品質之綜效。</w:t>
      </w:r>
    </w:p>
    <w:p w14:paraId="418B6BB5" w14:textId="718E3F13" w:rsidR="004167FD" w:rsidRPr="004167FD" w:rsidRDefault="004167FD" w:rsidP="00E82F29">
      <w:pPr>
        <w:overflowPunct w:val="0"/>
        <w:spacing w:line="450" w:lineRule="exact"/>
        <w:ind w:firstLineChars="200" w:firstLine="480"/>
        <w:jc w:val="both"/>
        <w:rPr>
          <w:rFonts w:ascii="標楷體" w:eastAsia="標楷體" w:hAnsi="標楷體"/>
          <w:szCs w:val="24"/>
        </w:rPr>
      </w:pPr>
      <w:r w:rsidRPr="004167FD">
        <w:rPr>
          <w:rFonts w:ascii="標楷體" w:eastAsia="標楷體" w:hAnsi="標楷體" w:hint="eastAsia"/>
          <w:noProof/>
          <w:szCs w:val="24"/>
        </w:rPr>
        <mc:AlternateContent>
          <mc:Choice Requires="wps">
            <w:drawing>
              <wp:anchor distT="0" distB="0" distL="114300" distR="114300" simplePos="0" relativeHeight="251668480" behindDoc="0" locked="0" layoutInCell="1" allowOverlap="1" wp14:anchorId="1F7443A5" wp14:editId="45BF7BD3">
                <wp:simplePos x="0" y="0"/>
                <wp:positionH relativeFrom="column">
                  <wp:posOffset>2219325</wp:posOffset>
                </wp:positionH>
                <wp:positionV relativeFrom="paragraph">
                  <wp:posOffset>1009650</wp:posOffset>
                </wp:positionV>
                <wp:extent cx="4067175" cy="3032760"/>
                <wp:effectExtent l="0" t="0" r="9525" b="0"/>
                <wp:wrapSquare wrapText="bothSides"/>
                <wp:docPr id="2008327070" name="文字方塊 2008327070"/>
                <wp:cNvGraphicFramePr/>
                <a:graphic xmlns:a="http://schemas.openxmlformats.org/drawingml/2006/main">
                  <a:graphicData uri="http://schemas.microsoft.com/office/word/2010/wordprocessingShape">
                    <wps:wsp>
                      <wps:cNvSpPr txBox="1"/>
                      <wps:spPr>
                        <a:xfrm>
                          <a:off x="0" y="0"/>
                          <a:ext cx="4067175" cy="3032760"/>
                        </a:xfrm>
                        <a:prstGeom prst="rect">
                          <a:avLst/>
                        </a:prstGeom>
                        <a:solidFill>
                          <a:sysClr val="window" lastClr="FFFFFF"/>
                        </a:solidFill>
                        <a:ln w="6350">
                          <a:noFill/>
                        </a:ln>
                      </wps:spPr>
                      <wps:txbx>
                        <w:txbxContent>
                          <w:p w14:paraId="2F3B8119" w14:textId="0305C552" w:rsidR="004167FD" w:rsidRDefault="004167FD" w:rsidP="004167FD">
                            <w:pPr>
                              <w:jc w:val="center"/>
                              <w:rPr>
                                <w:rFonts w:ascii="標楷體" w:eastAsia="標楷體" w:hAnsi="標楷體"/>
                                <w:b/>
                                <w:bCs/>
                              </w:rPr>
                            </w:pPr>
                            <w:r w:rsidRPr="0097206C">
                              <w:rPr>
                                <w:rFonts w:ascii="標楷體" w:eastAsia="標楷體" w:hAnsi="標楷體" w:hint="eastAsia"/>
                                <w:b/>
                                <w:bCs/>
                              </w:rPr>
                              <w:t>圖</w:t>
                            </w:r>
                            <w:r>
                              <w:rPr>
                                <w:rFonts w:ascii="標楷體" w:eastAsia="標楷體" w:hAnsi="標楷體" w:hint="eastAsia"/>
                                <w:b/>
                                <w:bCs/>
                              </w:rPr>
                              <w:t>1</w:t>
                            </w:r>
                            <w:r w:rsidR="0039067B">
                              <w:rPr>
                                <w:rFonts w:ascii="標楷體" w:eastAsia="標楷體" w:hAnsi="標楷體"/>
                                <w:b/>
                                <w:bCs/>
                              </w:rPr>
                              <w:t>3</w:t>
                            </w:r>
                            <w:r w:rsidRPr="0097206C">
                              <w:rPr>
                                <w:rFonts w:ascii="標楷體" w:eastAsia="標楷體" w:hAnsi="標楷體" w:hint="eastAsia"/>
                                <w:b/>
                                <w:bCs/>
                              </w:rPr>
                              <w:t xml:space="preserve">　閒置國有非公用土地數量及面積</w:t>
                            </w:r>
                          </w:p>
                          <w:p w14:paraId="18D471BA" w14:textId="77777777" w:rsidR="004167FD" w:rsidRDefault="004167FD" w:rsidP="004167FD">
                            <w:pPr>
                              <w:jc w:val="center"/>
                              <w:rPr>
                                <w:rFonts w:ascii="標楷體" w:eastAsia="標楷體" w:hAnsi="標楷體"/>
                                <w:b/>
                                <w:bCs/>
                              </w:rPr>
                            </w:pPr>
                            <w:r>
                              <w:rPr>
                                <w:noProof/>
                              </w:rPr>
                              <w:drawing>
                                <wp:inline distT="0" distB="0" distL="0" distR="0" wp14:anchorId="2761354C" wp14:editId="57465DDA">
                                  <wp:extent cx="3973195" cy="2309611"/>
                                  <wp:effectExtent l="0" t="0" r="0" b="0"/>
                                  <wp:docPr id="2008327071" name="圖表 2008327071">
                                    <a:extLst xmlns:a="http://schemas.openxmlformats.org/drawingml/2006/main">
                                      <a:ext uri="{FF2B5EF4-FFF2-40B4-BE49-F238E27FC236}">
                                        <a16:creationId xmlns:a16="http://schemas.microsoft.com/office/drawing/2014/main" id="{2AA6C1F7-7C8A-483E-A00F-2AB16963F3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91BB7A6" w14:textId="17F70C4C" w:rsidR="004167FD" w:rsidRPr="00444DE7" w:rsidRDefault="004167FD" w:rsidP="004167FD">
                            <w:pPr>
                              <w:spacing w:line="240" w:lineRule="exact"/>
                              <w:ind w:firstLineChars="78" w:firstLine="140"/>
                              <w:rPr>
                                <w:rFonts w:ascii="標楷體" w:eastAsia="標楷體" w:hAnsi="標楷體"/>
                                <w:sz w:val="18"/>
                                <w:szCs w:val="16"/>
                              </w:rPr>
                            </w:pPr>
                            <w:r w:rsidRPr="00444DE7">
                              <w:rPr>
                                <w:rFonts w:ascii="標楷體" w:eastAsia="標楷體" w:hAnsi="標楷體" w:hint="eastAsia"/>
                                <w:sz w:val="18"/>
                                <w:szCs w:val="16"/>
                              </w:rPr>
                              <w:t>資料來源：整理自</w:t>
                            </w:r>
                            <w:r w:rsidR="00E27D01">
                              <w:rPr>
                                <w:rFonts w:ascii="標楷體" w:eastAsia="標楷體" w:hAnsi="標楷體" w:hint="eastAsia"/>
                                <w:sz w:val="18"/>
                                <w:szCs w:val="16"/>
                              </w:rPr>
                              <w:t>財政部</w:t>
                            </w:r>
                            <w:r w:rsidRPr="00444DE7">
                              <w:rPr>
                                <w:rFonts w:ascii="標楷體" w:eastAsia="標楷體" w:hAnsi="標楷體" w:hint="eastAsia"/>
                                <w:sz w:val="18"/>
                                <w:szCs w:val="16"/>
                              </w:rPr>
                              <w:t>國</w:t>
                            </w:r>
                            <w:r w:rsidR="00E27D01">
                              <w:rPr>
                                <w:rFonts w:ascii="標楷體" w:eastAsia="標楷體" w:hAnsi="標楷體" w:hint="eastAsia"/>
                                <w:sz w:val="18"/>
                                <w:szCs w:val="16"/>
                              </w:rPr>
                              <w:t>有財</w:t>
                            </w:r>
                            <w:r w:rsidRPr="00444DE7">
                              <w:rPr>
                                <w:rFonts w:ascii="標楷體" w:eastAsia="標楷體" w:hAnsi="標楷體" w:hint="eastAsia"/>
                                <w:sz w:val="18"/>
                                <w:szCs w:val="16"/>
                              </w:rPr>
                              <w:t>產署提供資料。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443A5" id="文字方塊 2008327070" o:spid="_x0000_s1082" type="#_x0000_t202" style="position:absolute;left:0;text-align:left;margin-left:174.75pt;margin-top:79.5pt;width:320.25pt;height:238.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" fillcolor="window" stroked="f" strokeweight=".5pt">
                <v:textbox>
                  <w:txbxContent>
                    <w:p w14:paraId="2F3B8119" w14:textId="0305C552" w:rsidR="004167FD" w:rsidRDefault="004167FD" w:rsidP="004167FD">
                      <w:pPr>
                        <w:jc w:val="center"/>
                        <w:rPr>
                          <w:rFonts w:ascii="標楷體" w:eastAsia="標楷體" w:hAnsi="標楷體"/>
                          <w:b/>
                          <w:bCs/>
                        </w:rPr>
                      </w:pPr>
                      <w:r w:rsidRPr="0097206C">
                        <w:rPr>
                          <w:rFonts w:ascii="標楷體" w:eastAsia="標楷體" w:hAnsi="標楷體" w:hint="eastAsia"/>
                          <w:b/>
                          <w:bCs/>
                        </w:rPr>
                        <w:t>圖</w:t>
                      </w:r>
                      <w:r>
                        <w:rPr>
                          <w:rFonts w:ascii="標楷體" w:eastAsia="標楷體" w:hAnsi="標楷體" w:hint="eastAsia"/>
                          <w:b/>
                          <w:bCs/>
                        </w:rPr>
                        <w:t>1</w:t>
                      </w:r>
                      <w:r w:rsidR="0039067B">
                        <w:rPr>
                          <w:rFonts w:ascii="標楷體" w:eastAsia="標楷體" w:hAnsi="標楷體"/>
                          <w:b/>
                          <w:bCs/>
                        </w:rPr>
                        <w:t>3</w:t>
                      </w:r>
                      <w:r w:rsidRPr="0097206C">
                        <w:rPr>
                          <w:rFonts w:ascii="標楷體" w:eastAsia="標楷體" w:hAnsi="標楷體" w:hint="eastAsia"/>
                          <w:b/>
                          <w:bCs/>
                        </w:rPr>
                        <w:t xml:space="preserve">　閒置國有非公用土地數量及面積</w:t>
                      </w:r>
                    </w:p>
                    <w:p w14:paraId="18D471BA" w14:textId="77777777" w:rsidR="004167FD" w:rsidRDefault="004167FD" w:rsidP="004167FD">
                      <w:pPr>
                        <w:jc w:val="center"/>
                        <w:rPr>
                          <w:rFonts w:ascii="標楷體" w:eastAsia="標楷體" w:hAnsi="標楷體"/>
                          <w:b/>
                          <w:bCs/>
                        </w:rPr>
                      </w:pPr>
                      <w:r>
                        <w:rPr>
                          <w:noProof/>
                        </w:rPr>
                        <w:drawing>
                          <wp:inline distT="0" distB="0" distL="0" distR="0" wp14:anchorId="2761354C" wp14:editId="57465DDA">
                            <wp:extent cx="3973195" cy="2309611"/>
                            <wp:effectExtent l="0" t="0" r="0" b="0"/>
                            <wp:docPr id="2008327071" name="圖表 2008327071">
                              <a:extLst xmlns:a="http://schemas.openxmlformats.org/drawingml/2006/main">
                                <a:ext uri="{FF2B5EF4-FFF2-40B4-BE49-F238E27FC236}">
                                  <a16:creationId xmlns:a16="http://schemas.microsoft.com/office/drawing/2014/main" id="{2AA6C1F7-7C8A-483E-A00F-2AB16963F3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91BB7A6" w14:textId="17F70C4C" w:rsidR="004167FD" w:rsidRPr="00444DE7" w:rsidRDefault="004167FD" w:rsidP="004167FD">
                      <w:pPr>
                        <w:spacing w:line="240" w:lineRule="exact"/>
                        <w:ind w:firstLineChars="78" w:firstLine="140"/>
                        <w:rPr>
                          <w:rFonts w:ascii="標楷體" w:eastAsia="標楷體" w:hAnsi="標楷體"/>
                          <w:sz w:val="18"/>
                          <w:szCs w:val="16"/>
                        </w:rPr>
                      </w:pPr>
                      <w:r w:rsidRPr="00444DE7">
                        <w:rPr>
                          <w:rFonts w:ascii="標楷體" w:eastAsia="標楷體" w:hAnsi="標楷體" w:hint="eastAsia"/>
                          <w:sz w:val="18"/>
                          <w:szCs w:val="16"/>
                        </w:rPr>
                        <w:t>資料來源：整理自</w:t>
                      </w:r>
                      <w:r w:rsidR="00E27D01">
                        <w:rPr>
                          <w:rFonts w:ascii="標楷體" w:eastAsia="標楷體" w:hAnsi="標楷體" w:hint="eastAsia"/>
                          <w:sz w:val="18"/>
                          <w:szCs w:val="16"/>
                        </w:rPr>
                        <w:t>財政部</w:t>
                      </w:r>
                      <w:r w:rsidRPr="00444DE7">
                        <w:rPr>
                          <w:rFonts w:ascii="標楷體" w:eastAsia="標楷體" w:hAnsi="標楷體" w:hint="eastAsia"/>
                          <w:sz w:val="18"/>
                          <w:szCs w:val="16"/>
                        </w:rPr>
                        <w:t>國</w:t>
                      </w:r>
                      <w:r w:rsidR="00E27D01">
                        <w:rPr>
                          <w:rFonts w:ascii="標楷體" w:eastAsia="標楷體" w:hAnsi="標楷體" w:hint="eastAsia"/>
                          <w:sz w:val="18"/>
                          <w:szCs w:val="16"/>
                        </w:rPr>
                        <w:t>有財</w:t>
                      </w:r>
                      <w:r w:rsidRPr="00444DE7">
                        <w:rPr>
                          <w:rFonts w:ascii="標楷體" w:eastAsia="標楷體" w:hAnsi="標楷體" w:hint="eastAsia"/>
                          <w:sz w:val="18"/>
                          <w:szCs w:val="16"/>
                        </w:rPr>
                        <w:t>產署提供資料。</w:t>
                      </w:r>
                    </w:p>
                  </w:txbxContent>
                </v:textbox>
                <w10:wrap type="square"/>
              </v:shape>
            </w:pict>
          </mc:Fallback>
        </mc:AlternateContent>
      </w:r>
      <w:r w:rsidRPr="004167FD">
        <w:rPr>
          <w:rFonts w:ascii="標楷體" w:eastAsia="標楷體" w:hAnsi="標楷體" w:hint="eastAsia"/>
          <w:szCs w:val="24"/>
        </w:rPr>
        <w:t>土地為國家重要資源，土地資源之有效利用對國家經濟與民眾福祉影響甚巨。按國有非公用土地數量龐大，截至113年底止，計193萬餘筆錄、21萬餘公頃，財政部國有財產署（下稱國產署）近年來為有效活化國家資產，加強盤點大面積閒置、低度利用之國有建築用地，逐步推動標租、設定地上權、結合目的事業主管機關共同開發等多元國有不動產活化機制，以促進國有非公用土地之有效利用，充裕國家財政收入。</w:t>
      </w:r>
      <w:r w:rsidRPr="004167FD">
        <w:rPr>
          <w:rFonts w:ascii="標楷體" w:eastAsia="標楷體" w:hAnsi="標楷體" w:hint="eastAsia"/>
          <w:spacing w:val="-4"/>
          <w:szCs w:val="24"/>
        </w:rPr>
        <w:t>然</w:t>
      </w:r>
      <w:proofErr w:type="gramStart"/>
      <w:r w:rsidRPr="004167FD">
        <w:rPr>
          <w:rFonts w:ascii="標楷體" w:eastAsia="標楷體" w:hAnsi="標楷體" w:hint="eastAsia"/>
          <w:spacing w:val="-4"/>
          <w:szCs w:val="24"/>
        </w:rPr>
        <w:t>囿</w:t>
      </w:r>
      <w:proofErr w:type="gramEnd"/>
      <w:r w:rsidRPr="004167FD">
        <w:rPr>
          <w:rFonts w:ascii="標楷體" w:eastAsia="標楷體" w:hAnsi="標楷體" w:hint="eastAsia"/>
          <w:spacing w:val="-4"/>
          <w:szCs w:val="24"/>
        </w:rPr>
        <w:t>於國產署處理量能不足，閒置國有非公用土地數量，由109年底之21萬餘筆錄、2萬2,527公頃，增加至113年底之23萬餘筆錄、2萬6,394公頃</w:t>
      </w:r>
      <w:r w:rsidR="006A74B0">
        <w:rPr>
          <w:rFonts w:ascii="標楷體" w:eastAsia="標楷體" w:hAnsi="標楷體" w:hint="eastAsia"/>
          <w:spacing w:val="-4"/>
          <w:szCs w:val="24"/>
        </w:rPr>
        <w:t>（</w:t>
      </w:r>
      <w:r w:rsidRPr="004167FD">
        <w:rPr>
          <w:rFonts w:ascii="標楷體" w:eastAsia="標楷體" w:hAnsi="標楷體" w:hint="eastAsia"/>
          <w:spacing w:val="-4"/>
          <w:szCs w:val="24"/>
        </w:rPr>
        <w:t>圖1</w:t>
      </w:r>
      <w:r w:rsidR="0039067B">
        <w:rPr>
          <w:rFonts w:ascii="標楷體" w:eastAsia="標楷體" w:hAnsi="標楷體" w:hint="eastAsia"/>
          <w:spacing w:val="-4"/>
          <w:szCs w:val="24"/>
        </w:rPr>
        <w:t>3</w:t>
      </w:r>
      <w:r w:rsidR="006A74B0">
        <w:rPr>
          <w:rFonts w:ascii="標楷體" w:eastAsia="標楷體" w:hAnsi="標楷體" w:hint="eastAsia"/>
          <w:spacing w:val="-4"/>
          <w:szCs w:val="24"/>
        </w:rPr>
        <w:t>）</w:t>
      </w:r>
      <w:r w:rsidRPr="004167FD">
        <w:rPr>
          <w:rFonts w:ascii="標楷體" w:eastAsia="標楷體" w:hAnsi="標楷體" w:hint="eastAsia"/>
          <w:spacing w:val="-4"/>
          <w:szCs w:val="24"/>
        </w:rPr>
        <w:t>，</w:t>
      </w:r>
      <w:r w:rsidRPr="004167FD">
        <w:rPr>
          <w:rFonts w:ascii="標楷體" w:eastAsia="標楷體" w:hAnsi="標楷體" w:hint="eastAsia"/>
          <w:szCs w:val="24"/>
        </w:rPr>
        <w:t>閒置面積占整體國有非公用土地總面積之</w:t>
      </w:r>
      <w:r w:rsidRPr="004167FD">
        <w:rPr>
          <w:rFonts w:ascii="標楷體" w:eastAsia="標楷體" w:hAnsi="標楷體" w:hint="eastAsia"/>
          <w:szCs w:val="24"/>
        </w:rPr>
        <w:lastRenderedPageBreak/>
        <w:t>比率，亦由109年底之10.26％，上升至113年底之12.14％，閒置數量、面積及占比均逐年增加，顯示仍有為數眾多之國有非公用土地閒置荒廢，未妥為規劃利用，部分甚遭棄置廢棄物，衍生環境衛生及治安疑慮，增加政府維護管理負擔。截至114年2月17日止，國有非公用閒置土地位處都市計畫住宅區、商業區、工業區等可建築用地，或位處非都市之甲、乙、丙、丁種建築用地，且屬500平方公尺以上之大面積土地者，計3,616筆錄、面積約570公頃，包含都市土地2,160筆錄、面積約356公頃，非都市土地1,456筆錄、面積約214公頃，</w:t>
      </w:r>
      <w:proofErr w:type="gramStart"/>
      <w:r w:rsidRPr="004167FD">
        <w:rPr>
          <w:rFonts w:ascii="標楷體" w:eastAsia="標楷體" w:hAnsi="標楷體" w:hint="eastAsia"/>
          <w:szCs w:val="24"/>
        </w:rPr>
        <w:t>間有閒置</w:t>
      </w:r>
      <w:proofErr w:type="gramEnd"/>
      <w:r w:rsidRPr="004167FD">
        <w:rPr>
          <w:rFonts w:ascii="標楷體" w:eastAsia="標楷體" w:hAnsi="標楷體" w:hint="eastAsia"/>
          <w:szCs w:val="24"/>
        </w:rPr>
        <w:t>大面積土地周邊百貨商圈發達、娛樂設施與休閒空間充足，具潛在開發利用之價值，尚待妥為規劃利用。</w:t>
      </w:r>
    </w:p>
    <w:p w14:paraId="7F3ED1E2" w14:textId="11B2E4D0" w:rsidR="00E82F29" w:rsidRDefault="004167FD" w:rsidP="00B234D7">
      <w:pPr>
        <w:widowControl/>
        <w:overflowPunct w:val="0"/>
        <w:spacing w:line="450" w:lineRule="exact"/>
        <w:ind w:firstLineChars="200" w:firstLine="480"/>
        <w:jc w:val="both"/>
        <w:rPr>
          <w:rFonts w:ascii="標楷體" w:eastAsia="標楷體" w:hAnsi="標楷體"/>
          <w:szCs w:val="24"/>
        </w:rPr>
      </w:pPr>
      <w:r w:rsidRPr="004167FD">
        <w:rPr>
          <w:rFonts w:ascii="標楷體" w:eastAsia="標楷體" w:hAnsi="標楷體" w:hint="eastAsia"/>
          <w:szCs w:val="24"/>
        </w:rPr>
        <w:t>次查，政府為因應國人居住負擔沉重，並照顧弱勢及青年族群居住需求，於</w:t>
      </w:r>
      <w:r w:rsidRPr="004167FD">
        <w:rPr>
          <w:rFonts w:ascii="標楷體" w:eastAsia="標楷體" w:hAnsi="標楷體"/>
          <w:szCs w:val="24"/>
        </w:rPr>
        <w:t>106</w:t>
      </w:r>
      <w:r w:rsidRPr="004167FD">
        <w:rPr>
          <w:rFonts w:ascii="標楷體" w:eastAsia="標楷體" w:hAnsi="標楷體" w:hint="eastAsia"/>
          <w:szCs w:val="24"/>
        </w:rPr>
        <w:t>年</w:t>
      </w:r>
      <w:r w:rsidRPr="004167FD">
        <w:rPr>
          <w:rFonts w:ascii="標楷體" w:eastAsia="標楷體" w:hAnsi="標楷體"/>
          <w:szCs w:val="24"/>
        </w:rPr>
        <w:t>3</w:t>
      </w:r>
      <w:r w:rsidRPr="004167FD">
        <w:rPr>
          <w:rFonts w:ascii="標楷體" w:eastAsia="標楷體" w:hAnsi="標楷體" w:hint="eastAsia"/>
          <w:szCs w:val="24"/>
        </w:rPr>
        <w:t>月推動「社會住宅興辦計畫」，國產署為配合政府推動社會住宅政策及擴增國有非公用房地活用管道，已透過撥用、捐贈、出租、出售等方式，陸續釋出國有</w:t>
      </w:r>
      <w:proofErr w:type="gramStart"/>
      <w:r w:rsidRPr="004167FD">
        <w:rPr>
          <w:rFonts w:ascii="標楷體" w:eastAsia="標楷體" w:hAnsi="標楷體" w:hint="eastAsia"/>
          <w:szCs w:val="24"/>
        </w:rPr>
        <w:t>房地予需用</w:t>
      </w:r>
      <w:proofErr w:type="gramEnd"/>
      <w:r w:rsidRPr="004167FD">
        <w:rPr>
          <w:rFonts w:ascii="標楷體" w:eastAsia="標楷體" w:hAnsi="標楷體" w:hint="eastAsia"/>
          <w:szCs w:val="24"/>
        </w:rPr>
        <w:t>單位興辦社會住宅，截至</w:t>
      </w:r>
      <w:r w:rsidRPr="004167FD">
        <w:rPr>
          <w:rFonts w:ascii="標楷體" w:eastAsia="標楷體" w:hAnsi="標楷體"/>
          <w:szCs w:val="24"/>
        </w:rPr>
        <w:t>113</w:t>
      </w:r>
      <w:r w:rsidRPr="004167FD">
        <w:rPr>
          <w:rFonts w:ascii="標楷體" w:eastAsia="標楷體" w:hAnsi="標楷體" w:hint="eastAsia"/>
          <w:szCs w:val="24"/>
        </w:rPr>
        <w:t>年底止，計已提供</w:t>
      </w:r>
      <w:r w:rsidRPr="004167FD">
        <w:rPr>
          <w:rFonts w:ascii="標楷體" w:eastAsia="標楷體" w:hAnsi="標楷體"/>
          <w:szCs w:val="24"/>
        </w:rPr>
        <w:t>169</w:t>
      </w:r>
      <w:r w:rsidRPr="004167FD">
        <w:rPr>
          <w:rFonts w:ascii="標楷體" w:eastAsia="標楷體" w:hAnsi="標楷體" w:hint="eastAsia"/>
          <w:szCs w:val="24"/>
        </w:rPr>
        <w:t>處國有土地（或房地），惟經運用地理資訊系統（QGIS），以內政部電信</w:t>
      </w:r>
      <w:proofErr w:type="gramStart"/>
      <w:r w:rsidRPr="004167FD">
        <w:rPr>
          <w:rFonts w:ascii="標楷體" w:eastAsia="標楷體" w:hAnsi="標楷體" w:hint="eastAsia"/>
          <w:szCs w:val="24"/>
        </w:rPr>
        <w:t>信</w:t>
      </w:r>
      <w:proofErr w:type="gramEnd"/>
      <w:r w:rsidRPr="004167FD">
        <w:rPr>
          <w:rFonts w:ascii="標楷體" w:eastAsia="標楷體" w:hAnsi="標楷體" w:hint="eastAsia"/>
          <w:szCs w:val="24"/>
        </w:rPr>
        <w:t>令夜間活動人口資料與閒置國有非公用土地</w:t>
      </w:r>
      <w:proofErr w:type="gramStart"/>
      <w:r w:rsidRPr="004167FD">
        <w:rPr>
          <w:rFonts w:ascii="標楷體" w:eastAsia="標楷體" w:hAnsi="標楷體" w:hint="eastAsia"/>
          <w:szCs w:val="24"/>
        </w:rPr>
        <w:t>圖資套疊</w:t>
      </w:r>
      <w:proofErr w:type="gramEnd"/>
      <w:r w:rsidRPr="004167FD">
        <w:rPr>
          <w:rFonts w:ascii="標楷體" w:eastAsia="標楷體" w:hAnsi="標楷體" w:hint="eastAsia"/>
          <w:szCs w:val="24"/>
        </w:rPr>
        <w:t>分析結果，</w:t>
      </w:r>
      <w:proofErr w:type="gramStart"/>
      <w:r w:rsidRPr="004167FD">
        <w:rPr>
          <w:rFonts w:ascii="標楷體" w:eastAsia="標楷體" w:hAnsi="標楷體" w:hint="eastAsia"/>
          <w:szCs w:val="24"/>
        </w:rPr>
        <w:t>仍間有地形</w:t>
      </w:r>
      <w:proofErr w:type="gramEnd"/>
      <w:r w:rsidRPr="004167FD">
        <w:rPr>
          <w:rFonts w:ascii="標楷體" w:eastAsia="標楷體" w:hAnsi="標楷體" w:hint="eastAsia"/>
          <w:szCs w:val="24"/>
        </w:rPr>
        <w:t>方整之大面積閒置國有非公用土地位處夜間人流稠密地區，推測應屬民眾平時休息、居住之處所，區域內大眾運輸系統發達，周邊教育機構或醫療資源分布完善，具興建社會住宅之潛在價值，可評估作為未來設置社會住宅之地點，</w:t>
      </w:r>
      <w:proofErr w:type="gramStart"/>
      <w:r w:rsidRPr="004167FD">
        <w:rPr>
          <w:rFonts w:ascii="標楷體" w:eastAsia="標楷體" w:hAnsi="標楷體" w:hint="eastAsia"/>
          <w:szCs w:val="24"/>
        </w:rPr>
        <w:t>俾</w:t>
      </w:r>
      <w:proofErr w:type="gramEnd"/>
      <w:r w:rsidRPr="004167FD">
        <w:rPr>
          <w:rFonts w:ascii="標楷體" w:eastAsia="標楷體" w:hAnsi="標楷體" w:hint="eastAsia"/>
          <w:szCs w:val="24"/>
        </w:rPr>
        <w:t>加速社會住宅之推動進程，以實現居住正義之政策目標。再查，政府為因應失能、失智長者之照護需求，自106年起推動「長期照顧十年計畫2.0」，持續布建各項服務資源，並自</w:t>
      </w:r>
      <w:proofErr w:type="gramStart"/>
      <w:r w:rsidRPr="004167FD">
        <w:rPr>
          <w:rFonts w:ascii="標楷體" w:eastAsia="標楷體" w:hAnsi="標楷體" w:hint="eastAsia"/>
          <w:szCs w:val="24"/>
        </w:rPr>
        <w:t>108</w:t>
      </w:r>
      <w:proofErr w:type="gramEnd"/>
      <w:r w:rsidRPr="004167FD">
        <w:rPr>
          <w:rFonts w:ascii="標楷體" w:eastAsia="標楷體" w:hAnsi="標楷體" w:hint="eastAsia"/>
          <w:szCs w:val="24"/>
        </w:rPr>
        <w:t>年度起推動「</w:t>
      </w:r>
      <w:proofErr w:type="gramStart"/>
      <w:r w:rsidRPr="004167FD">
        <w:rPr>
          <w:rFonts w:ascii="標楷體" w:eastAsia="標楷體" w:hAnsi="標楷體" w:hint="eastAsia"/>
          <w:szCs w:val="24"/>
        </w:rPr>
        <w:t>一</w:t>
      </w:r>
      <w:proofErr w:type="gramEnd"/>
      <w:r w:rsidRPr="004167FD">
        <w:rPr>
          <w:rFonts w:ascii="標楷體" w:eastAsia="標楷體" w:hAnsi="標楷體" w:hint="eastAsia"/>
          <w:szCs w:val="24"/>
        </w:rPr>
        <w:t>鄉鎮</w:t>
      </w:r>
      <w:proofErr w:type="gramStart"/>
      <w:r w:rsidRPr="004167FD">
        <w:rPr>
          <w:rFonts w:ascii="標楷體" w:eastAsia="標楷體" w:hAnsi="標楷體" w:hint="eastAsia"/>
          <w:szCs w:val="24"/>
        </w:rPr>
        <w:t>一</w:t>
      </w:r>
      <w:proofErr w:type="gramEnd"/>
      <w:r w:rsidRPr="004167FD">
        <w:rPr>
          <w:rFonts w:ascii="標楷體" w:eastAsia="標楷體" w:hAnsi="標楷體" w:hint="eastAsia"/>
          <w:szCs w:val="24"/>
        </w:rPr>
        <w:t>住宿機構」政策，由衛生福利部辦理「</w:t>
      </w:r>
      <w:proofErr w:type="gramStart"/>
      <w:r w:rsidRPr="004167FD">
        <w:rPr>
          <w:rFonts w:ascii="標楷體" w:eastAsia="標楷體" w:hAnsi="標楷體" w:hint="eastAsia"/>
          <w:szCs w:val="24"/>
        </w:rPr>
        <w:t>獎助布建住宿式長照</w:t>
      </w:r>
      <w:proofErr w:type="gramEnd"/>
      <w:r w:rsidRPr="004167FD">
        <w:rPr>
          <w:rFonts w:ascii="標楷體" w:eastAsia="標楷體" w:hAnsi="標楷體" w:hint="eastAsia"/>
          <w:szCs w:val="24"/>
        </w:rPr>
        <w:t>機構資源計畫」，於長照資源不足地區獎助設置</w:t>
      </w:r>
      <w:proofErr w:type="gramStart"/>
      <w:r w:rsidRPr="004167FD">
        <w:rPr>
          <w:rFonts w:ascii="標楷體" w:eastAsia="標楷體" w:hAnsi="標楷體" w:hint="eastAsia"/>
          <w:szCs w:val="24"/>
        </w:rPr>
        <w:t>住宿式長照</w:t>
      </w:r>
      <w:proofErr w:type="gramEnd"/>
      <w:r w:rsidRPr="004167FD">
        <w:rPr>
          <w:rFonts w:ascii="標楷體" w:eastAsia="標楷體" w:hAnsi="標楷體" w:hint="eastAsia"/>
          <w:szCs w:val="24"/>
        </w:rPr>
        <w:t>機構，國產署為配合政府推動長照政策，</w:t>
      </w:r>
      <w:proofErr w:type="gramStart"/>
      <w:r w:rsidRPr="004167FD">
        <w:rPr>
          <w:rFonts w:ascii="標楷體" w:eastAsia="標楷體" w:hAnsi="標楷體" w:hint="eastAsia"/>
          <w:szCs w:val="24"/>
        </w:rPr>
        <w:t>業透由</w:t>
      </w:r>
      <w:proofErr w:type="gramEnd"/>
      <w:r w:rsidRPr="004167FD">
        <w:rPr>
          <w:rFonts w:ascii="標楷體" w:eastAsia="標楷體" w:hAnsi="標楷體" w:hint="eastAsia"/>
          <w:szCs w:val="24"/>
        </w:rPr>
        <w:t>撥用、出租等方式，提供國有</w:t>
      </w:r>
      <w:proofErr w:type="gramStart"/>
      <w:r w:rsidRPr="004167FD">
        <w:rPr>
          <w:rFonts w:ascii="標楷體" w:eastAsia="標楷體" w:hAnsi="標楷體" w:hint="eastAsia"/>
          <w:szCs w:val="24"/>
        </w:rPr>
        <w:t>不動產予需用</w:t>
      </w:r>
      <w:proofErr w:type="gramEnd"/>
      <w:r w:rsidRPr="004167FD">
        <w:rPr>
          <w:rFonts w:ascii="標楷體" w:eastAsia="標楷體" w:hAnsi="標楷體" w:hint="eastAsia"/>
          <w:szCs w:val="24"/>
        </w:rPr>
        <w:t>單位設置長照機構或據點，截至</w:t>
      </w:r>
      <w:r w:rsidRPr="004167FD">
        <w:rPr>
          <w:rFonts w:ascii="標楷體" w:eastAsia="標楷體" w:hAnsi="標楷體"/>
          <w:szCs w:val="24"/>
        </w:rPr>
        <w:t>113</w:t>
      </w:r>
      <w:r w:rsidRPr="004167FD">
        <w:rPr>
          <w:rFonts w:ascii="標楷體" w:eastAsia="標楷體" w:hAnsi="標楷體" w:hint="eastAsia"/>
          <w:szCs w:val="24"/>
        </w:rPr>
        <w:t>年底止，計已提供</w:t>
      </w:r>
      <w:r w:rsidRPr="004167FD">
        <w:rPr>
          <w:rFonts w:ascii="標楷體" w:eastAsia="標楷體" w:hAnsi="標楷體"/>
          <w:szCs w:val="24"/>
        </w:rPr>
        <w:t>45</w:t>
      </w:r>
      <w:r w:rsidRPr="004167FD">
        <w:rPr>
          <w:rFonts w:ascii="標楷體" w:eastAsia="標楷體" w:hAnsi="標楷體" w:hint="eastAsia"/>
          <w:szCs w:val="24"/>
        </w:rPr>
        <w:t>處國有土地（或房地）；另辦理國有非公用土地指定產業（長照）招標設定地上權，截至</w:t>
      </w:r>
      <w:r w:rsidRPr="004167FD">
        <w:rPr>
          <w:rFonts w:ascii="標楷體" w:eastAsia="標楷體" w:hAnsi="標楷體"/>
          <w:szCs w:val="24"/>
        </w:rPr>
        <w:t>114</w:t>
      </w:r>
      <w:r w:rsidRPr="004167FD">
        <w:rPr>
          <w:rFonts w:ascii="標楷體" w:eastAsia="標楷體" w:hAnsi="標楷體" w:hint="eastAsia"/>
          <w:szCs w:val="24"/>
        </w:rPr>
        <w:t>年</w:t>
      </w:r>
      <w:r w:rsidRPr="004167FD">
        <w:rPr>
          <w:rFonts w:ascii="標楷體" w:eastAsia="標楷體" w:hAnsi="標楷體"/>
          <w:szCs w:val="24"/>
        </w:rPr>
        <w:t>4</w:t>
      </w:r>
      <w:r w:rsidRPr="004167FD">
        <w:rPr>
          <w:rFonts w:ascii="標楷體" w:eastAsia="標楷體" w:hAnsi="標楷體" w:hint="eastAsia"/>
          <w:szCs w:val="24"/>
        </w:rPr>
        <w:t>月</w:t>
      </w:r>
      <w:r w:rsidRPr="004167FD">
        <w:rPr>
          <w:rFonts w:ascii="標楷體" w:eastAsia="標楷體" w:hAnsi="標楷體"/>
          <w:szCs w:val="24"/>
        </w:rPr>
        <w:t>24</w:t>
      </w:r>
      <w:r w:rsidRPr="004167FD">
        <w:rPr>
          <w:rFonts w:ascii="標楷體" w:eastAsia="標楷體" w:hAnsi="標楷體" w:hint="eastAsia"/>
          <w:szCs w:val="24"/>
        </w:rPr>
        <w:t>日止，計有</w:t>
      </w:r>
      <w:r w:rsidRPr="004167FD">
        <w:rPr>
          <w:rFonts w:ascii="標楷體" w:eastAsia="標楷體" w:hAnsi="標楷體"/>
          <w:szCs w:val="24"/>
        </w:rPr>
        <w:t>6</w:t>
      </w:r>
      <w:r w:rsidRPr="004167FD">
        <w:rPr>
          <w:rFonts w:ascii="標楷體" w:eastAsia="標楷體" w:hAnsi="標楷體" w:hint="eastAsia"/>
          <w:szCs w:val="24"/>
        </w:rPr>
        <w:t>宗土地辦理招標，惟尚無成案案件，</w:t>
      </w:r>
      <w:proofErr w:type="gramStart"/>
      <w:r w:rsidRPr="004167FD">
        <w:rPr>
          <w:rFonts w:ascii="標楷體" w:eastAsia="標楷體" w:hAnsi="標楷體" w:hint="eastAsia"/>
          <w:szCs w:val="24"/>
        </w:rPr>
        <w:t>且間有位</w:t>
      </w:r>
      <w:proofErr w:type="gramEnd"/>
      <w:r w:rsidRPr="004167FD">
        <w:rPr>
          <w:rFonts w:ascii="標楷體" w:eastAsia="標楷體" w:hAnsi="標楷體" w:hint="eastAsia"/>
          <w:szCs w:val="24"/>
        </w:rPr>
        <w:t>處</w:t>
      </w:r>
      <w:proofErr w:type="gramStart"/>
      <w:r w:rsidRPr="004167FD">
        <w:rPr>
          <w:rFonts w:ascii="標楷體" w:eastAsia="標楷體" w:hAnsi="標楷體" w:hint="eastAsia"/>
          <w:szCs w:val="24"/>
        </w:rPr>
        <w:t>住宿式長照資源稀缺地區</w:t>
      </w:r>
      <w:proofErr w:type="gramEnd"/>
      <w:r w:rsidRPr="004167FD">
        <w:rPr>
          <w:rFonts w:ascii="標楷體" w:eastAsia="標楷體" w:hAnsi="標楷體" w:hint="eastAsia"/>
          <w:szCs w:val="24"/>
        </w:rPr>
        <w:t>之國有非公用可建築用地，鄰近醫療院所或捷運站，現況閒置尚未規劃利用，可進一步評估作為設置長照機構設施，以協助增進服務資源布建密度，實現在地老化之政策目標。</w:t>
      </w:r>
      <w:proofErr w:type="gramStart"/>
      <w:r w:rsidRPr="004167FD">
        <w:rPr>
          <w:rFonts w:ascii="標楷體" w:eastAsia="標楷體" w:hAnsi="標楷體" w:hint="eastAsia"/>
          <w:szCs w:val="24"/>
        </w:rPr>
        <w:t>鑑</w:t>
      </w:r>
      <w:proofErr w:type="gramEnd"/>
      <w:r w:rsidRPr="004167FD">
        <w:rPr>
          <w:rFonts w:ascii="標楷體" w:eastAsia="標楷體" w:hAnsi="標楷體" w:hint="eastAsia"/>
          <w:szCs w:val="24"/>
        </w:rPr>
        <w:t>於國有非公用土地為全民資產，具有調控土地供需、協助政策推動，進而增進社會與全民福祉之功能，經函請行政院督促權責機關配合各項政策及產業脈動，積極盤點整合、統籌調配閒置土地，持續精進國有不動產媒合機制，以充實社會住宅量能及加速布建長照資源，</w:t>
      </w:r>
      <w:proofErr w:type="gramStart"/>
      <w:r w:rsidRPr="004167FD">
        <w:rPr>
          <w:rFonts w:ascii="標楷體" w:eastAsia="標楷體" w:hAnsi="標楷體" w:hint="eastAsia"/>
          <w:szCs w:val="24"/>
        </w:rPr>
        <w:t>俾</w:t>
      </w:r>
      <w:proofErr w:type="gramEnd"/>
      <w:r w:rsidRPr="004167FD">
        <w:rPr>
          <w:rFonts w:ascii="標楷體" w:eastAsia="標楷體" w:hAnsi="標楷體" w:hint="eastAsia"/>
          <w:szCs w:val="24"/>
        </w:rPr>
        <w:t>使國家資產發揮提升國民生活品質之綜效。</w:t>
      </w:r>
      <w:r w:rsidRPr="004B7ADE">
        <w:rPr>
          <w:rFonts w:ascii="標楷體" w:eastAsia="標楷體" w:hAnsi="標楷體" w:hint="eastAsia"/>
          <w:szCs w:val="24"/>
        </w:rPr>
        <w:t>據復：</w:t>
      </w:r>
      <w:proofErr w:type="gramStart"/>
      <w:r w:rsidR="004B7ADE" w:rsidRPr="004B7ADE">
        <w:rPr>
          <w:rFonts w:ascii="標楷體" w:eastAsia="標楷體" w:hAnsi="標楷體" w:hint="eastAsia"/>
          <w:szCs w:val="24"/>
        </w:rPr>
        <w:t>國產署透由</w:t>
      </w:r>
      <w:proofErr w:type="gramEnd"/>
      <w:r w:rsidR="004B7ADE" w:rsidRPr="004B7ADE">
        <w:rPr>
          <w:rFonts w:ascii="標楷體" w:eastAsia="標楷體" w:hAnsi="標楷體" w:hint="eastAsia"/>
          <w:szCs w:val="24"/>
        </w:rPr>
        <w:t>多元途徑，依市場狀況及土地管理需求，排定活化利用期程，並持續精進相關活化利用措施；</w:t>
      </w:r>
      <w:r w:rsidR="001A6D4F">
        <w:rPr>
          <w:rFonts w:ascii="標楷體" w:eastAsia="標楷體" w:hAnsi="標楷體" w:hint="eastAsia"/>
          <w:szCs w:val="24"/>
        </w:rPr>
        <w:t>另</w:t>
      </w:r>
      <w:r w:rsidR="004B7ADE" w:rsidRPr="004B7ADE">
        <w:rPr>
          <w:rFonts w:ascii="標楷體" w:eastAsia="標楷體" w:hAnsi="標楷體" w:hint="eastAsia"/>
          <w:szCs w:val="24"/>
        </w:rPr>
        <w:t>將</w:t>
      </w:r>
      <w:proofErr w:type="gramStart"/>
      <w:r w:rsidR="004B7ADE" w:rsidRPr="004B7ADE">
        <w:rPr>
          <w:rFonts w:ascii="標楷體" w:eastAsia="標楷體" w:hAnsi="標楷體" w:hint="eastAsia"/>
          <w:szCs w:val="24"/>
        </w:rPr>
        <w:t>賡</w:t>
      </w:r>
      <w:proofErr w:type="gramEnd"/>
      <w:r w:rsidR="004B7ADE" w:rsidRPr="004B7ADE">
        <w:rPr>
          <w:rFonts w:ascii="標楷體" w:eastAsia="標楷體" w:hAnsi="標楷體" w:hint="eastAsia"/>
          <w:szCs w:val="24"/>
        </w:rPr>
        <w:t>續配合社會住宅、長照服務等國家重大政策，依主管機關需求，盤點篩選適宜之國有非公用不動產，並積極協助落實政策執行，以減輕民眾居住負擔，及提供長者照護需求。</w:t>
      </w:r>
    </w:p>
    <w:p w14:paraId="7066B247" w14:textId="77777777" w:rsidR="00E82F29" w:rsidRPr="00BC2940" w:rsidRDefault="00E82F29" w:rsidP="00DA1823">
      <w:pPr>
        <w:pStyle w:val="affffff1"/>
        <w:spacing w:beforeLines="20" w:before="72" w:line="440" w:lineRule="exact"/>
        <w:ind w:firstLineChars="200" w:firstLine="561"/>
        <w:outlineLvl w:val="1"/>
      </w:pPr>
      <w:r w:rsidRPr="00E31547">
        <w:rPr>
          <w:rStyle w:val="-0"/>
          <w:rFonts w:hint="eastAsia"/>
          <w:sz w:val="28"/>
          <w:szCs w:val="28"/>
        </w:rPr>
        <w:lastRenderedPageBreak/>
        <w:t xml:space="preserve">（二十）　</w:t>
      </w:r>
      <w:r w:rsidRPr="00015F0B">
        <w:rPr>
          <w:rStyle w:val="-0"/>
          <w:rFonts w:hint="eastAsia"/>
          <w:spacing w:val="4"/>
          <w:sz w:val="28"/>
          <w:szCs w:val="28"/>
        </w:rPr>
        <w:t>為遏止超商分公司設立或遷址至農地，經濟部已請業者申</w:t>
      </w:r>
      <w:proofErr w:type="gramStart"/>
      <w:r w:rsidRPr="00015F0B">
        <w:rPr>
          <w:rStyle w:val="-0"/>
          <w:rFonts w:hint="eastAsia"/>
          <w:spacing w:val="4"/>
          <w:sz w:val="28"/>
          <w:szCs w:val="28"/>
        </w:rPr>
        <w:t>設時檢附</w:t>
      </w:r>
      <w:proofErr w:type="gramEnd"/>
      <w:r w:rsidRPr="00015F0B">
        <w:rPr>
          <w:rStyle w:val="-0"/>
          <w:rFonts w:hint="eastAsia"/>
          <w:spacing w:val="4"/>
          <w:sz w:val="28"/>
          <w:szCs w:val="28"/>
        </w:rPr>
        <w:t>土地使用證明供審查，惟未實施至其他行業之公司登記及商業登記，造成申辦登記條件不一現象，且製造業仍有設立於農地之情形，潛存糧食生產環境污染之風險，允宜督促</w:t>
      </w:r>
      <w:proofErr w:type="gramStart"/>
      <w:r w:rsidRPr="00015F0B">
        <w:rPr>
          <w:rStyle w:val="-0"/>
          <w:rFonts w:hint="eastAsia"/>
          <w:spacing w:val="4"/>
          <w:sz w:val="28"/>
          <w:szCs w:val="28"/>
        </w:rPr>
        <w:t>研</w:t>
      </w:r>
      <w:proofErr w:type="gramEnd"/>
      <w:r w:rsidRPr="00015F0B">
        <w:rPr>
          <w:rStyle w:val="-0"/>
          <w:rFonts w:hint="eastAsia"/>
          <w:spacing w:val="4"/>
          <w:sz w:val="28"/>
          <w:szCs w:val="28"/>
        </w:rPr>
        <w:t>謀改善。</w:t>
      </w:r>
    </w:p>
    <w:p w14:paraId="781608BE" w14:textId="727028A7" w:rsidR="00A15E84" w:rsidRPr="00B4405D" w:rsidRDefault="00DA1823" w:rsidP="00DA1823">
      <w:pPr>
        <w:pStyle w:val="-"/>
        <w:spacing w:line="434" w:lineRule="exact"/>
        <w:ind w:firstLine="480"/>
        <w:jc w:val="both"/>
      </w:pPr>
      <w:r w:rsidRPr="00A1585B">
        <w:rPr>
          <w:noProof/>
        </w:rPr>
        <mc:AlternateContent>
          <mc:Choice Requires="wps">
            <w:drawing>
              <wp:anchor distT="45720" distB="45720" distL="114300" distR="114300" simplePos="0" relativeHeight="251618304" behindDoc="0" locked="0" layoutInCell="1" allowOverlap="1" wp14:anchorId="3C438770" wp14:editId="5DFE3580">
                <wp:simplePos x="0" y="0"/>
                <wp:positionH relativeFrom="margin">
                  <wp:posOffset>3533140</wp:posOffset>
                </wp:positionH>
                <wp:positionV relativeFrom="paragraph">
                  <wp:posOffset>1116965</wp:posOffset>
                </wp:positionV>
                <wp:extent cx="2674620" cy="1404620"/>
                <wp:effectExtent l="0" t="0" r="0" b="3810"/>
                <wp:wrapSquare wrapText="bothSides"/>
                <wp:docPr id="20083270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4620" cy="1404620"/>
                        </a:xfrm>
                        <a:prstGeom prst="rect">
                          <a:avLst/>
                        </a:prstGeom>
                        <a:noFill/>
                        <a:ln w="9525">
                          <a:noFill/>
                          <a:miter lim="800000"/>
                          <a:headEnd/>
                          <a:tailEnd/>
                        </a:ln>
                      </wps:spPr>
                      <wps:txbx>
                        <w:txbxContent>
                          <w:p w14:paraId="711A3D47" w14:textId="77777777" w:rsidR="00DA1823" w:rsidRDefault="00DA1823" w:rsidP="00DA1823">
                            <w:pPr>
                              <w:spacing w:line="320" w:lineRule="exact"/>
                              <w:ind w:left="781" w:hangingChars="325" w:hanging="781"/>
                              <w:rPr>
                                <w:rFonts w:ascii="標楷體" w:eastAsia="標楷體" w:hAnsi="標楷體"/>
                                <w:b/>
                              </w:rPr>
                            </w:pPr>
                            <w:r w:rsidRPr="00A1585B">
                              <w:rPr>
                                <w:rFonts w:ascii="標楷體" w:eastAsia="標楷體" w:hAnsi="標楷體" w:hint="eastAsia"/>
                                <w:b/>
                              </w:rPr>
                              <w:t>表</w:t>
                            </w:r>
                            <w:r>
                              <w:rPr>
                                <w:rFonts w:ascii="標楷體" w:eastAsia="標楷體" w:hAnsi="標楷體" w:hint="eastAsia"/>
                                <w:b/>
                              </w:rPr>
                              <w:t>31</w:t>
                            </w:r>
                            <w:r w:rsidRPr="00A1585B">
                              <w:rPr>
                                <w:rFonts w:ascii="標楷體" w:eastAsia="標楷體" w:hAnsi="標楷體" w:hint="eastAsia"/>
                                <w:b/>
                              </w:rPr>
                              <w:t xml:space="preserve">  農地疑似遭工廠、商場</w:t>
                            </w:r>
                            <w:r>
                              <w:rPr>
                                <w:rFonts w:ascii="標楷體" w:eastAsia="標楷體" w:hAnsi="標楷體" w:hint="eastAsia"/>
                                <w:b/>
                              </w:rPr>
                              <w:t>或</w:t>
                            </w:r>
                            <w:r w:rsidRPr="00A1585B">
                              <w:rPr>
                                <w:rFonts w:ascii="標楷體" w:eastAsia="標楷體" w:hAnsi="標楷體" w:hint="eastAsia"/>
                                <w:b/>
                              </w:rPr>
                              <w:t>餐廳使用</w:t>
                            </w:r>
                            <w:r>
                              <w:rPr>
                                <w:rFonts w:ascii="標楷體" w:eastAsia="標楷體" w:hAnsi="標楷體" w:hint="eastAsia"/>
                                <w:b/>
                              </w:rPr>
                              <w:t>情</w:t>
                            </w:r>
                            <w:r>
                              <w:rPr>
                                <w:rFonts w:ascii="標楷體" w:eastAsia="標楷體" w:hAnsi="標楷體"/>
                                <w:b/>
                              </w:rPr>
                              <w:t>形</w:t>
                            </w:r>
                          </w:p>
                          <w:p w14:paraId="16ADCF19" w14:textId="77777777" w:rsidR="00DA1823" w:rsidRPr="00A1585B" w:rsidRDefault="00DA1823" w:rsidP="00DA1823">
                            <w:pPr>
                              <w:spacing w:line="240" w:lineRule="exact"/>
                              <w:jc w:val="right"/>
                              <w:rPr>
                                <w:rFonts w:ascii="標楷體" w:eastAsia="標楷體" w:hAnsi="標楷體"/>
                              </w:rPr>
                            </w:pPr>
                            <w:r w:rsidRPr="00A1585B">
                              <w:rPr>
                                <w:rFonts w:ascii="標楷體" w:eastAsia="標楷體" w:hAnsi="標楷體" w:hint="eastAsia"/>
                                <w:sz w:val="20"/>
                              </w:rPr>
                              <w:t>單位</w:t>
                            </w:r>
                            <w:r w:rsidRPr="00A1585B">
                              <w:rPr>
                                <w:rFonts w:ascii="標楷體" w:eastAsia="標楷體" w:hAnsi="標楷體"/>
                                <w:sz w:val="20"/>
                              </w:rPr>
                              <w:t>：公頃</w:t>
                            </w:r>
                          </w:p>
                          <w:tbl>
                            <w:tblPr>
                              <w:tblW w:w="3964" w:type="dxa"/>
                              <w:tblCellMar>
                                <w:left w:w="28" w:type="dxa"/>
                                <w:right w:w="28" w:type="dxa"/>
                              </w:tblCellMar>
                              <w:tblLook w:val="04A0" w:firstRow="1" w:lastRow="0" w:firstColumn="1" w:lastColumn="0" w:noHBand="0" w:noVBand="1"/>
                            </w:tblPr>
                            <w:tblGrid>
                              <w:gridCol w:w="700"/>
                              <w:gridCol w:w="960"/>
                              <w:gridCol w:w="1120"/>
                              <w:gridCol w:w="1184"/>
                            </w:tblGrid>
                            <w:tr w:rsidR="00DA1823" w:rsidRPr="00A1585B" w14:paraId="04F309B4" w14:textId="77777777" w:rsidTr="00A1585B">
                              <w:trPr>
                                <w:trHeight w:val="31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EA0C4"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年度</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19A38E5"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合計</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4485A426"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疑似工廠</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55F7227D"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商場或餐廳</w:t>
                                  </w:r>
                                </w:p>
                              </w:tc>
                            </w:tr>
                            <w:tr w:rsidR="00DA1823" w:rsidRPr="00A1585B" w14:paraId="69058928"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AC7EE44"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106</w:t>
                                  </w:r>
                                </w:p>
                              </w:tc>
                              <w:tc>
                                <w:tcPr>
                                  <w:tcW w:w="960" w:type="dxa"/>
                                  <w:tcBorders>
                                    <w:top w:val="nil"/>
                                    <w:left w:val="nil"/>
                                    <w:bottom w:val="single" w:sz="4" w:space="0" w:color="auto"/>
                                    <w:right w:val="single" w:sz="4" w:space="0" w:color="auto"/>
                                  </w:tcBorders>
                                  <w:shd w:val="clear" w:color="auto" w:fill="auto"/>
                                  <w:noWrap/>
                                  <w:vAlign w:val="center"/>
                                  <w:hideMark/>
                                </w:tcPr>
                                <w:p w14:paraId="630CA987"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21,042</w:t>
                                  </w:r>
                                </w:p>
                              </w:tc>
                              <w:tc>
                                <w:tcPr>
                                  <w:tcW w:w="1120" w:type="dxa"/>
                                  <w:tcBorders>
                                    <w:top w:val="nil"/>
                                    <w:left w:val="nil"/>
                                    <w:bottom w:val="single" w:sz="4" w:space="0" w:color="auto"/>
                                    <w:right w:val="single" w:sz="4" w:space="0" w:color="auto"/>
                                  </w:tcBorders>
                                  <w:shd w:val="clear" w:color="auto" w:fill="auto"/>
                                  <w:noWrap/>
                                  <w:vAlign w:val="center"/>
                                  <w:hideMark/>
                                </w:tcPr>
                                <w:p w14:paraId="77D07F93"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16,589</w:t>
                                  </w:r>
                                </w:p>
                              </w:tc>
                              <w:tc>
                                <w:tcPr>
                                  <w:tcW w:w="1184" w:type="dxa"/>
                                  <w:tcBorders>
                                    <w:top w:val="nil"/>
                                    <w:left w:val="nil"/>
                                    <w:bottom w:val="single" w:sz="4" w:space="0" w:color="auto"/>
                                    <w:right w:val="single" w:sz="4" w:space="0" w:color="auto"/>
                                  </w:tcBorders>
                                  <w:shd w:val="clear" w:color="auto" w:fill="auto"/>
                                  <w:noWrap/>
                                  <w:vAlign w:val="center"/>
                                  <w:hideMark/>
                                </w:tcPr>
                                <w:p w14:paraId="14BB1AF3"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4,453</w:t>
                                  </w:r>
                                </w:p>
                              </w:tc>
                            </w:tr>
                            <w:tr w:rsidR="00DA1823" w:rsidRPr="00A1585B" w14:paraId="001AC6EB"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46BBC2B"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107</w:t>
                                  </w:r>
                                </w:p>
                              </w:tc>
                              <w:tc>
                                <w:tcPr>
                                  <w:tcW w:w="960" w:type="dxa"/>
                                  <w:tcBorders>
                                    <w:top w:val="nil"/>
                                    <w:left w:val="nil"/>
                                    <w:bottom w:val="single" w:sz="4" w:space="0" w:color="auto"/>
                                    <w:right w:val="single" w:sz="4" w:space="0" w:color="auto"/>
                                  </w:tcBorders>
                                  <w:shd w:val="clear" w:color="auto" w:fill="auto"/>
                                  <w:noWrap/>
                                  <w:vAlign w:val="center"/>
                                  <w:hideMark/>
                                </w:tcPr>
                                <w:p w14:paraId="041E8209"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22,923</w:t>
                                  </w:r>
                                </w:p>
                              </w:tc>
                              <w:tc>
                                <w:tcPr>
                                  <w:tcW w:w="1120" w:type="dxa"/>
                                  <w:tcBorders>
                                    <w:top w:val="nil"/>
                                    <w:left w:val="nil"/>
                                    <w:bottom w:val="single" w:sz="4" w:space="0" w:color="auto"/>
                                    <w:right w:val="single" w:sz="4" w:space="0" w:color="auto"/>
                                  </w:tcBorders>
                                  <w:shd w:val="clear" w:color="auto" w:fill="auto"/>
                                  <w:noWrap/>
                                  <w:vAlign w:val="center"/>
                                  <w:hideMark/>
                                </w:tcPr>
                                <w:p w14:paraId="216F4087"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18,336</w:t>
                                  </w:r>
                                </w:p>
                              </w:tc>
                              <w:tc>
                                <w:tcPr>
                                  <w:tcW w:w="1184" w:type="dxa"/>
                                  <w:tcBorders>
                                    <w:top w:val="nil"/>
                                    <w:left w:val="nil"/>
                                    <w:bottom w:val="single" w:sz="4" w:space="0" w:color="auto"/>
                                    <w:right w:val="single" w:sz="4" w:space="0" w:color="auto"/>
                                  </w:tcBorders>
                                  <w:shd w:val="clear" w:color="auto" w:fill="auto"/>
                                  <w:noWrap/>
                                  <w:vAlign w:val="center"/>
                                  <w:hideMark/>
                                </w:tcPr>
                                <w:p w14:paraId="440B49CB"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4,587</w:t>
                                  </w:r>
                                </w:p>
                              </w:tc>
                            </w:tr>
                            <w:tr w:rsidR="00DA1823" w:rsidRPr="00A1585B" w14:paraId="44204677"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E4DD481"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108</w:t>
                                  </w:r>
                                </w:p>
                              </w:tc>
                              <w:tc>
                                <w:tcPr>
                                  <w:tcW w:w="960" w:type="dxa"/>
                                  <w:tcBorders>
                                    <w:top w:val="nil"/>
                                    <w:left w:val="nil"/>
                                    <w:bottom w:val="single" w:sz="4" w:space="0" w:color="auto"/>
                                    <w:right w:val="single" w:sz="4" w:space="0" w:color="auto"/>
                                  </w:tcBorders>
                                  <w:shd w:val="clear" w:color="auto" w:fill="auto"/>
                                  <w:noWrap/>
                                  <w:vAlign w:val="center"/>
                                  <w:hideMark/>
                                </w:tcPr>
                                <w:p w14:paraId="2ADE1602"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24,514</w:t>
                                  </w:r>
                                </w:p>
                              </w:tc>
                              <w:tc>
                                <w:tcPr>
                                  <w:tcW w:w="1120" w:type="dxa"/>
                                  <w:tcBorders>
                                    <w:top w:val="nil"/>
                                    <w:left w:val="nil"/>
                                    <w:bottom w:val="single" w:sz="4" w:space="0" w:color="auto"/>
                                    <w:right w:val="single" w:sz="4" w:space="0" w:color="auto"/>
                                  </w:tcBorders>
                                  <w:shd w:val="clear" w:color="auto" w:fill="auto"/>
                                  <w:noWrap/>
                                  <w:vAlign w:val="center"/>
                                  <w:hideMark/>
                                </w:tcPr>
                                <w:p w14:paraId="24FF14FC"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19,729</w:t>
                                  </w:r>
                                </w:p>
                              </w:tc>
                              <w:tc>
                                <w:tcPr>
                                  <w:tcW w:w="1184" w:type="dxa"/>
                                  <w:tcBorders>
                                    <w:top w:val="nil"/>
                                    <w:left w:val="nil"/>
                                    <w:bottom w:val="single" w:sz="4" w:space="0" w:color="auto"/>
                                    <w:right w:val="single" w:sz="4" w:space="0" w:color="auto"/>
                                  </w:tcBorders>
                                  <w:shd w:val="clear" w:color="auto" w:fill="auto"/>
                                  <w:noWrap/>
                                  <w:vAlign w:val="center"/>
                                  <w:hideMark/>
                                </w:tcPr>
                                <w:p w14:paraId="68D4BB3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4,785</w:t>
                                  </w:r>
                                </w:p>
                              </w:tc>
                            </w:tr>
                            <w:tr w:rsidR="00DA1823" w:rsidRPr="00A1585B" w14:paraId="23EA6C4C"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53C1042"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109</w:t>
                                  </w:r>
                                </w:p>
                              </w:tc>
                              <w:tc>
                                <w:tcPr>
                                  <w:tcW w:w="960" w:type="dxa"/>
                                  <w:tcBorders>
                                    <w:top w:val="nil"/>
                                    <w:left w:val="nil"/>
                                    <w:bottom w:val="single" w:sz="4" w:space="0" w:color="auto"/>
                                    <w:right w:val="single" w:sz="4" w:space="0" w:color="auto"/>
                                  </w:tcBorders>
                                  <w:shd w:val="clear" w:color="auto" w:fill="auto"/>
                                  <w:noWrap/>
                                  <w:vAlign w:val="center"/>
                                  <w:hideMark/>
                                </w:tcPr>
                                <w:p w14:paraId="0C488354"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26,057</w:t>
                                  </w:r>
                                </w:p>
                              </w:tc>
                              <w:tc>
                                <w:tcPr>
                                  <w:tcW w:w="1120" w:type="dxa"/>
                                  <w:tcBorders>
                                    <w:top w:val="nil"/>
                                    <w:left w:val="nil"/>
                                    <w:bottom w:val="single" w:sz="4" w:space="0" w:color="auto"/>
                                    <w:right w:val="single" w:sz="4" w:space="0" w:color="auto"/>
                                  </w:tcBorders>
                                  <w:shd w:val="clear" w:color="auto" w:fill="auto"/>
                                  <w:noWrap/>
                                  <w:vAlign w:val="center"/>
                                  <w:hideMark/>
                                </w:tcPr>
                                <w:p w14:paraId="54E2EEB4"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20,987</w:t>
                                  </w:r>
                                </w:p>
                              </w:tc>
                              <w:tc>
                                <w:tcPr>
                                  <w:tcW w:w="1184" w:type="dxa"/>
                                  <w:tcBorders>
                                    <w:top w:val="nil"/>
                                    <w:left w:val="nil"/>
                                    <w:bottom w:val="single" w:sz="4" w:space="0" w:color="auto"/>
                                    <w:right w:val="single" w:sz="4" w:space="0" w:color="auto"/>
                                  </w:tcBorders>
                                  <w:shd w:val="clear" w:color="auto" w:fill="auto"/>
                                  <w:noWrap/>
                                  <w:vAlign w:val="center"/>
                                  <w:hideMark/>
                                </w:tcPr>
                                <w:p w14:paraId="20EC4A48"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5,070</w:t>
                                  </w:r>
                                </w:p>
                              </w:tc>
                            </w:tr>
                            <w:tr w:rsidR="00DA1823" w:rsidRPr="00A1585B" w14:paraId="05BC74F4"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34965AA"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110</w:t>
                                  </w:r>
                                </w:p>
                              </w:tc>
                              <w:tc>
                                <w:tcPr>
                                  <w:tcW w:w="960" w:type="dxa"/>
                                  <w:tcBorders>
                                    <w:top w:val="nil"/>
                                    <w:left w:val="nil"/>
                                    <w:bottom w:val="single" w:sz="4" w:space="0" w:color="auto"/>
                                    <w:right w:val="single" w:sz="4" w:space="0" w:color="auto"/>
                                  </w:tcBorders>
                                  <w:shd w:val="clear" w:color="auto" w:fill="auto"/>
                                  <w:noWrap/>
                                  <w:vAlign w:val="center"/>
                                  <w:hideMark/>
                                </w:tcPr>
                                <w:p w14:paraId="61CE2497"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26,666</w:t>
                                  </w:r>
                                </w:p>
                              </w:tc>
                              <w:tc>
                                <w:tcPr>
                                  <w:tcW w:w="1120" w:type="dxa"/>
                                  <w:tcBorders>
                                    <w:top w:val="nil"/>
                                    <w:left w:val="nil"/>
                                    <w:bottom w:val="single" w:sz="4" w:space="0" w:color="auto"/>
                                    <w:right w:val="single" w:sz="4" w:space="0" w:color="auto"/>
                                  </w:tcBorders>
                                  <w:shd w:val="clear" w:color="auto" w:fill="auto"/>
                                  <w:noWrap/>
                                  <w:vAlign w:val="center"/>
                                  <w:hideMark/>
                                </w:tcPr>
                                <w:p w14:paraId="3C5E9C2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21,554</w:t>
                                  </w:r>
                                </w:p>
                              </w:tc>
                              <w:tc>
                                <w:tcPr>
                                  <w:tcW w:w="1184" w:type="dxa"/>
                                  <w:tcBorders>
                                    <w:top w:val="nil"/>
                                    <w:left w:val="nil"/>
                                    <w:bottom w:val="single" w:sz="4" w:space="0" w:color="auto"/>
                                    <w:right w:val="single" w:sz="4" w:space="0" w:color="auto"/>
                                  </w:tcBorders>
                                  <w:shd w:val="clear" w:color="auto" w:fill="auto"/>
                                  <w:noWrap/>
                                  <w:vAlign w:val="center"/>
                                  <w:hideMark/>
                                </w:tcPr>
                                <w:p w14:paraId="149A7D0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5,112</w:t>
                                  </w:r>
                                </w:p>
                              </w:tc>
                            </w:tr>
                            <w:tr w:rsidR="00DA1823" w:rsidRPr="00A1585B" w14:paraId="1DC625E9"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9DF7994"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111</w:t>
                                  </w:r>
                                </w:p>
                              </w:tc>
                              <w:tc>
                                <w:tcPr>
                                  <w:tcW w:w="960" w:type="dxa"/>
                                  <w:tcBorders>
                                    <w:top w:val="nil"/>
                                    <w:left w:val="nil"/>
                                    <w:bottom w:val="single" w:sz="4" w:space="0" w:color="auto"/>
                                    <w:right w:val="single" w:sz="4" w:space="0" w:color="auto"/>
                                  </w:tcBorders>
                                  <w:shd w:val="clear" w:color="auto" w:fill="auto"/>
                                  <w:noWrap/>
                                  <w:vAlign w:val="center"/>
                                  <w:hideMark/>
                                </w:tcPr>
                                <w:p w14:paraId="7D47DA6F"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28,169</w:t>
                                  </w:r>
                                </w:p>
                              </w:tc>
                              <w:tc>
                                <w:tcPr>
                                  <w:tcW w:w="1120" w:type="dxa"/>
                                  <w:tcBorders>
                                    <w:top w:val="nil"/>
                                    <w:left w:val="nil"/>
                                    <w:bottom w:val="single" w:sz="4" w:space="0" w:color="auto"/>
                                    <w:right w:val="single" w:sz="4" w:space="0" w:color="auto"/>
                                  </w:tcBorders>
                                  <w:shd w:val="clear" w:color="auto" w:fill="auto"/>
                                  <w:noWrap/>
                                  <w:vAlign w:val="center"/>
                                  <w:hideMark/>
                                </w:tcPr>
                                <w:p w14:paraId="4893D2F4"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22,096</w:t>
                                  </w:r>
                                </w:p>
                              </w:tc>
                              <w:tc>
                                <w:tcPr>
                                  <w:tcW w:w="1184" w:type="dxa"/>
                                  <w:tcBorders>
                                    <w:top w:val="nil"/>
                                    <w:left w:val="nil"/>
                                    <w:bottom w:val="single" w:sz="4" w:space="0" w:color="auto"/>
                                    <w:right w:val="single" w:sz="4" w:space="0" w:color="auto"/>
                                  </w:tcBorders>
                                  <w:shd w:val="clear" w:color="auto" w:fill="auto"/>
                                  <w:noWrap/>
                                  <w:vAlign w:val="center"/>
                                  <w:hideMark/>
                                </w:tcPr>
                                <w:p w14:paraId="6A10B394"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6,073</w:t>
                                  </w:r>
                                </w:p>
                              </w:tc>
                            </w:tr>
                            <w:tr w:rsidR="00DA1823" w:rsidRPr="00A1585B" w14:paraId="1D06968E"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5A919C2"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112</w:t>
                                  </w:r>
                                </w:p>
                              </w:tc>
                              <w:tc>
                                <w:tcPr>
                                  <w:tcW w:w="960" w:type="dxa"/>
                                  <w:tcBorders>
                                    <w:top w:val="nil"/>
                                    <w:left w:val="nil"/>
                                    <w:bottom w:val="single" w:sz="4" w:space="0" w:color="auto"/>
                                    <w:right w:val="single" w:sz="4" w:space="0" w:color="auto"/>
                                  </w:tcBorders>
                                  <w:shd w:val="clear" w:color="auto" w:fill="auto"/>
                                  <w:noWrap/>
                                  <w:vAlign w:val="center"/>
                                  <w:hideMark/>
                                </w:tcPr>
                                <w:p w14:paraId="534E1792"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31,373</w:t>
                                  </w:r>
                                </w:p>
                              </w:tc>
                              <w:tc>
                                <w:tcPr>
                                  <w:tcW w:w="1120" w:type="dxa"/>
                                  <w:tcBorders>
                                    <w:top w:val="nil"/>
                                    <w:left w:val="nil"/>
                                    <w:bottom w:val="single" w:sz="4" w:space="0" w:color="auto"/>
                                    <w:right w:val="single" w:sz="4" w:space="0" w:color="auto"/>
                                  </w:tcBorders>
                                  <w:shd w:val="clear" w:color="auto" w:fill="auto"/>
                                  <w:noWrap/>
                                  <w:vAlign w:val="center"/>
                                  <w:hideMark/>
                                </w:tcPr>
                                <w:p w14:paraId="75EB0BA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25,258</w:t>
                                  </w:r>
                                </w:p>
                              </w:tc>
                              <w:tc>
                                <w:tcPr>
                                  <w:tcW w:w="1184" w:type="dxa"/>
                                  <w:tcBorders>
                                    <w:top w:val="nil"/>
                                    <w:left w:val="nil"/>
                                    <w:bottom w:val="single" w:sz="4" w:space="0" w:color="auto"/>
                                    <w:right w:val="single" w:sz="4" w:space="0" w:color="auto"/>
                                  </w:tcBorders>
                                  <w:shd w:val="clear" w:color="auto" w:fill="auto"/>
                                  <w:noWrap/>
                                  <w:vAlign w:val="center"/>
                                  <w:hideMark/>
                                </w:tcPr>
                                <w:p w14:paraId="552C3BF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6,115</w:t>
                                  </w:r>
                                </w:p>
                              </w:tc>
                            </w:tr>
                          </w:tbl>
                          <w:p w14:paraId="20CA9529" w14:textId="77777777" w:rsidR="00DA1823" w:rsidRPr="00A1585B" w:rsidRDefault="00DA1823" w:rsidP="00DA1823">
                            <w:pPr>
                              <w:spacing w:line="240" w:lineRule="exact"/>
                              <w:ind w:left="850" w:hangingChars="472" w:hanging="850"/>
                              <w:jc w:val="both"/>
                              <w:rPr>
                                <w:rFonts w:ascii="標楷體" w:eastAsia="標楷體" w:hAnsi="標楷體"/>
                              </w:rPr>
                            </w:pPr>
                            <w:r>
                              <w:rPr>
                                <w:rFonts w:ascii="標楷體" w:eastAsia="標楷體" w:hAnsi="標楷體" w:hint="eastAsia"/>
                                <w:sz w:val="18"/>
                              </w:rPr>
                              <w:t>資</w:t>
                            </w:r>
                            <w:r>
                              <w:rPr>
                                <w:rFonts w:ascii="標楷體" w:eastAsia="標楷體" w:hAnsi="標楷體"/>
                                <w:sz w:val="18"/>
                              </w:rPr>
                              <w:t>料來</w:t>
                            </w:r>
                            <w:r>
                              <w:rPr>
                                <w:rFonts w:ascii="標楷體" w:eastAsia="標楷體" w:hAnsi="標楷體" w:hint="eastAsia"/>
                                <w:sz w:val="18"/>
                              </w:rPr>
                              <w:t>源</w:t>
                            </w:r>
                            <w:r>
                              <w:rPr>
                                <w:rFonts w:ascii="標楷體" w:eastAsia="標楷體" w:hAnsi="標楷體"/>
                                <w:sz w:val="18"/>
                              </w:rPr>
                              <w:t>：</w:t>
                            </w:r>
                            <w:r w:rsidRPr="00A1585B">
                              <w:rPr>
                                <w:rFonts w:ascii="標楷體" w:eastAsia="標楷體" w:hAnsi="標楷體" w:hint="eastAsia"/>
                                <w:sz w:val="18"/>
                              </w:rPr>
                              <w:t>整</w:t>
                            </w:r>
                            <w:r w:rsidRPr="00A1585B">
                              <w:rPr>
                                <w:rFonts w:ascii="標楷體" w:eastAsia="標楷體" w:hAnsi="標楷體"/>
                                <w:sz w:val="18"/>
                              </w:rPr>
                              <w:t>理自</w:t>
                            </w:r>
                            <w:r>
                              <w:rPr>
                                <w:rFonts w:ascii="標楷體" w:eastAsia="標楷體" w:hAnsi="標楷體" w:hint="eastAsia"/>
                                <w:sz w:val="18"/>
                              </w:rPr>
                              <w:t>農</w:t>
                            </w:r>
                            <w:r>
                              <w:rPr>
                                <w:rFonts w:ascii="標楷體" w:eastAsia="標楷體" w:hAnsi="標楷體"/>
                                <w:sz w:val="18"/>
                              </w:rPr>
                              <w:t>業部</w:t>
                            </w:r>
                            <w:r w:rsidRPr="00A1585B">
                              <w:rPr>
                                <w:rFonts w:ascii="標楷體" w:eastAsia="標楷體" w:hAnsi="標楷體" w:hint="eastAsia"/>
                                <w:sz w:val="18"/>
                              </w:rPr>
                              <w:t>農業及農地資源盤查結果</w:t>
                            </w:r>
                            <w:proofErr w:type="gramStart"/>
                            <w:r w:rsidRPr="00A1585B">
                              <w:rPr>
                                <w:rFonts w:ascii="標楷體" w:eastAsia="標楷體" w:hAnsi="標楷體" w:hint="eastAsia"/>
                                <w:sz w:val="18"/>
                              </w:rPr>
                              <w:t>查詢圖</w:t>
                            </w:r>
                            <w:r>
                              <w:rPr>
                                <w:rFonts w:ascii="標楷體" w:eastAsia="標楷體" w:hAnsi="標楷體" w:hint="eastAsia"/>
                                <w:sz w:val="18"/>
                              </w:rPr>
                              <w:t>台公告</w:t>
                            </w:r>
                            <w:proofErr w:type="gramEnd"/>
                            <w:r>
                              <w:rPr>
                                <w:rFonts w:ascii="標楷體" w:eastAsia="標楷體" w:hAnsi="標楷體"/>
                                <w:sz w:val="18"/>
                              </w:rPr>
                              <w:t>資料</w:t>
                            </w:r>
                            <w:r>
                              <w:rPr>
                                <w:rFonts w:ascii="標楷體" w:eastAsia="標楷體" w:hAnsi="標楷體" w:hint="eastAsia"/>
                                <w:sz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438770" id="_x0000_s1083" type="#_x0000_t202" style="position:absolute;left:0;text-align:left;margin-left:278.2pt;margin-top:87.95pt;width:210.6pt;height:110.6pt;z-index:2516183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" filled="f" stroked="f">
                <v:textbox style="mso-fit-shape-to-text:t">
                  <w:txbxContent>
                    <w:p w14:paraId="711A3D47" w14:textId="77777777" w:rsidR="00DA1823" w:rsidRDefault="00DA1823" w:rsidP="00DA1823">
                      <w:pPr>
                        <w:spacing w:line="320" w:lineRule="exact"/>
                        <w:ind w:left="781" w:hangingChars="325" w:hanging="781"/>
                        <w:rPr>
                          <w:rFonts w:ascii="標楷體" w:eastAsia="標楷體" w:hAnsi="標楷體"/>
                          <w:b/>
                        </w:rPr>
                      </w:pPr>
                      <w:r w:rsidRPr="00A1585B">
                        <w:rPr>
                          <w:rFonts w:ascii="標楷體" w:eastAsia="標楷體" w:hAnsi="標楷體" w:hint="eastAsia"/>
                          <w:b/>
                        </w:rPr>
                        <w:t>表</w:t>
                      </w:r>
                      <w:r>
                        <w:rPr>
                          <w:rFonts w:ascii="標楷體" w:eastAsia="標楷體" w:hAnsi="標楷體" w:hint="eastAsia"/>
                          <w:b/>
                        </w:rPr>
                        <w:t>31</w:t>
                      </w:r>
                      <w:r w:rsidRPr="00A1585B">
                        <w:rPr>
                          <w:rFonts w:ascii="標楷體" w:eastAsia="標楷體" w:hAnsi="標楷體" w:hint="eastAsia"/>
                          <w:b/>
                        </w:rPr>
                        <w:t xml:space="preserve">  農地疑似遭工廠、商場</w:t>
                      </w:r>
                      <w:r>
                        <w:rPr>
                          <w:rFonts w:ascii="標楷體" w:eastAsia="標楷體" w:hAnsi="標楷體" w:hint="eastAsia"/>
                          <w:b/>
                        </w:rPr>
                        <w:t>或</w:t>
                      </w:r>
                      <w:r w:rsidRPr="00A1585B">
                        <w:rPr>
                          <w:rFonts w:ascii="標楷體" w:eastAsia="標楷體" w:hAnsi="標楷體" w:hint="eastAsia"/>
                          <w:b/>
                        </w:rPr>
                        <w:t>餐廳使用</w:t>
                      </w:r>
                      <w:r>
                        <w:rPr>
                          <w:rFonts w:ascii="標楷體" w:eastAsia="標楷體" w:hAnsi="標楷體" w:hint="eastAsia"/>
                          <w:b/>
                        </w:rPr>
                        <w:t>情</w:t>
                      </w:r>
                      <w:r>
                        <w:rPr>
                          <w:rFonts w:ascii="標楷體" w:eastAsia="標楷體" w:hAnsi="標楷體"/>
                          <w:b/>
                        </w:rPr>
                        <w:t>形</w:t>
                      </w:r>
                    </w:p>
                    <w:p w14:paraId="16ADCF19" w14:textId="77777777" w:rsidR="00DA1823" w:rsidRPr="00A1585B" w:rsidRDefault="00DA1823" w:rsidP="00DA1823">
                      <w:pPr>
                        <w:spacing w:line="240" w:lineRule="exact"/>
                        <w:jc w:val="right"/>
                        <w:rPr>
                          <w:rFonts w:ascii="標楷體" w:eastAsia="標楷體" w:hAnsi="標楷體"/>
                        </w:rPr>
                      </w:pPr>
                      <w:r w:rsidRPr="00A1585B">
                        <w:rPr>
                          <w:rFonts w:ascii="標楷體" w:eastAsia="標楷體" w:hAnsi="標楷體" w:hint="eastAsia"/>
                          <w:sz w:val="20"/>
                        </w:rPr>
                        <w:t>單位</w:t>
                      </w:r>
                      <w:r w:rsidRPr="00A1585B">
                        <w:rPr>
                          <w:rFonts w:ascii="標楷體" w:eastAsia="標楷體" w:hAnsi="標楷體"/>
                          <w:sz w:val="20"/>
                        </w:rPr>
                        <w:t>：公頃</w:t>
                      </w:r>
                    </w:p>
                    <w:tbl>
                      <w:tblPr>
                        <w:tblW w:w="3964" w:type="dxa"/>
                        <w:tblCellMar>
                          <w:left w:w="28" w:type="dxa"/>
                          <w:right w:w="28" w:type="dxa"/>
                        </w:tblCellMar>
                        <w:tblLook w:val="04A0" w:firstRow="1" w:lastRow="0" w:firstColumn="1" w:lastColumn="0" w:noHBand="0" w:noVBand="1"/>
                      </w:tblPr>
                      <w:tblGrid>
                        <w:gridCol w:w="700"/>
                        <w:gridCol w:w="960"/>
                        <w:gridCol w:w="1120"/>
                        <w:gridCol w:w="1184"/>
                      </w:tblGrid>
                      <w:tr w:rsidR="00DA1823" w:rsidRPr="00A1585B" w14:paraId="04F309B4" w14:textId="77777777" w:rsidTr="00A1585B">
                        <w:trPr>
                          <w:trHeight w:val="31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EA0C4"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年度</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19A38E5"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合計</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4485A426"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疑似工廠</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55F7227D"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商場或餐廳</w:t>
                            </w:r>
                          </w:p>
                        </w:tc>
                      </w:tr>
                      <w:tr w:rsidR="00DA1823" w:rsidRPr="00A1585B" w14:paraId="69058928"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AC7EE44"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106</w:t>
                            </w:r>
                          </w:p>
                        </w:tc>
                        <w:tc>
                          <w:tcPr>
                            <w:tcW w:w="960" w:type="dxa"/>
                            <w:tcBorders>
                              <w:top w:val="nil"/>
                              <w:left w:val="nil"/>
                              <w:bottom w:val="single" w:sz="4" w:space="0" w:color="auto"/>
                              <w:right w:val="single" w:sz="4" w:space="0" w:color="auto"/>
                            </w:tcBorders>
                            <w:shd w:val="clear" w:color="auto" w:fill="auto"/>
                            <w:noWrap/>
                            <w:vAlign w:val="center"/>
                            <w:hideMark/>
                          </w:tcPr>
                          <w:p w14:paraId="630CA987"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21,042</w:t>
                            </w:r>
                          </w:p>
                        </w:tc>
                        <w:tc>
                          <w:tcPr>
                            <w:tcW w:w="1120" w:type="dxa"/>
                            <w:tcBorders>
                              <w:top w:val="nil"/>
                              <w:left w:val="nil"/>
                              <w:bottom w:val="single" w:sz="4" w:space="0" w:color="auto"/>
                              <w:right w:val="single" w:sz="4" w:space="0" w:color="auto"/>
                            </w:tcBorders>
                            <w:shd w:val="clear" w:color="auto" w:fill="auto"/>
                            <w:noWrap/>
                            <w:vAlign w:val="center"/>
                            <w:hideMark/>
                          </w:tcPr>
                          <w:p w14:paraId="77D07F93"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16,589</w:t>
                            </w:r>
                          </w:p>
                        </w:tc>
                        <w:tc>
                          <w:tcPr>
                            <w:tcW w:w="1184" w:type="dxa"/>
                            <w:tcBorders>
                              <w:top w:val="nil"/>
                              <w:left w:val="nil"/>
                              <w:bottom w:val="single" w:sz="4" w:space="0" w:color="auto"/>
                              <w:right w:val="single" w:sz="4" w:space="0" w:color="auto"/>
                            </w:tcBorders>
                            <w:shd w:val="clear" w:color="auto" w:fill="auto"/>
                            <w:noWrap/>
                            <w:vAlign w:val="center"/>
                            <w:hideMark/>
                          </w:tcPr>
                          <w:p w14:paraId="14BB1AF3"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4,453</w:t>
                            </w:r>
                          </w:p>
                        </w:tc>
                      </w:tr>
                      <w:tr w:rsidR="00DA1823" w:rsidRPr="00A1585B" w14:paraId="001AC6EB"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46BBC2B"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107</w:t>
                            </w:r>
                          </w:p>
                        </w:tc>
                        <w:tc>
                          <w:tcPr>
                            <w:tcW w:w="960" w:type="dxa"/>
                            <w:tcBorders>
                              <w:top w:val="nil"/>
                              <w:left w:val="nil"/>
                              <w:bottom w:val="single" w:sz="4" w:space="0" w:color="auto"/>
                              <w:right w:val="single" w:sz="4" w:space="0" w:color="auto"/>
                            </w:tcBorders>
                            <w:shd w:val="clear" w:color="auto" w:fill="auto"/>
                            <w:noWrap/>
                            <w:vAlign w:val="center"/>
                            <w:hideMark/>
                          </w:tcPr>
                          <w:p w14:paraId="041E8209"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22,923</w:t>
                            </w:r>
                          </w:p>
                        </w:tc>
                        <w:tc>
                          <w:tcPr>
                            <w:tcW w:w="1120" w:type="dxa"/>
                            <w:tcBorders>
                              <w:top w:val="nil"/>
                              <w:left w:val="nil"/>
                              <w:bottom w:val="single" w:sz="4" w:space="0" w:color="auto"/>
                              <w:right w:val="single" w:sz="4" w:space="0" w:color="auto"/>
                            </w:tcBorders>
                            <w:shd w:val="clear" w:color="auto" w:fill="auto"/>
                            <w:noWrap/>
                            <w:vAlign w:val="center"/>
                            <w:hideMark/>
                          </w:tcPr>
                          <w:p w14:paraId="216F4087"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18,336</w:t>
                            </w:r>
                          </w:p>
                        </w:tc>
                        <w:tc>
                          <w:tcPr>
                            <w:tcW w:w="1184" w:type="dxa"/>
                            <w:tcBorders>
                              <w:top w:val="nil"/>
                              <w:left w:val="nil"/>
                              <w:bottom w:val="single" w:sz="4" w:space="0" w:color="auto"/>
                              <w:right w:val="single" w:sz="4" w:space="0" w:color="auto"/>
                            </w:tcBorders>
                            <w:shd w:val="clear" w:color="auto" w:fill="auto"/>
                            <w:noWrap/>
                            <w:vAlign w:val="center"/>
                            <w:hideMark/>
                          </w:tcPr>
                          <w:p w14:paraId="440B49CB"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4,587</w:t>
                            </w:r>
                          </w:p>
                        </w:tc>
                      </w:tr>
                      <w:tr w:rsidR="00DA1823" w:rsidRPr="00A1585B" w14:paraId="44204677"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E4DD481"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108</w:t>
                            </w:r>
                          </w:p>
                        </w:tc>
                        <w:tc>
                          <w:tcPr>
                            <w:tcW w:w="960" w:type="dxa"/>
                            <w:tcBorders>
                              <w:top w:val="nil"/>
                              <w:left w:val="nil"/>
                              <w:bottom w:val="single" w:sz="4" w:space="0" w:color="auto"/>
                              <w:right w:val="single" w:sz="4" w:space="0" w:color="auto"/>
                            </w:tcBorders>
                            <w:shd w:val="clear" w:color="auto" w:fill="auto"/>
                            <w:noWrap/>
                            <w:vAlign w:val="center"/>
                            <w:hideMark/>
                          </w:tcPr>
                          <w:p w14:paraId="2ADE1602"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24,514</w:t>
                            </w:r>
                          </w:p>
                        </w:tc>
                        <w:tc>
                          <w:tcPr>
                            <w:tcW w:w="1120" w:type="dxa"/>
                            <w:tcBorders>
                              <w:top w:val="nil"/>
                              <w:left w:val="nil"/>
                              <w:bottom w:val="single" w:sz="4" w:space="0" w:color="auto"/>
                              <w:right w:val="single" w:sz="4" w:space="0" w:color="auto"/>
                            </w:tcBorders>
                            <w:shd w:val="clear" w:color="auto" w:fill="auto"/>
                            <w:noWrap/>
                            <w:vAlign w:val="center"/>
                            <w:hideMark/>
                          </w:tcPr>
                          <w:p w14:paraId="24FF14FC"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19,729</w:t>
                            </w:r>
                          </w:p>
                        </w:tc>
                        <w:tc>
                          <w:tcPr>
                            <w:tcW w:w="1184" w:type="dxa"/>
                            <w:tcBorders>
                              <w:top w:val="nil"/>
                              <w:left w:val="nil"/>
                              <w:bottom w:val="single" w:sz="4" w:space="0" w:color="auto"/>
                              <w:right w:val="single" w:sz="4" w:space="0" w:color="auto"/>
                            </w:tcBorders>
                            <w:shd w:val="clear" w:color="auto" w:fill="auto"/>
                            <w:noWrap/>
                            <w:vAlign w:val="center"/>
                            <w:hideMark/>
                          </w:tcPr>
                          <w:p w14:paraId="68D4BB3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4,785</w:t>
                            </w:r>
                          </w:p>
                        </w:tc>
                      </w:tr>
                      <w:tr w:rsidR="00DA1823" w:rsidRPr="00A1585B" w14:paraId="23EA6C4C"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53C1042"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109</w:t>
                            </w:r>
                          </w:p>
                        </w:tc>
                        <w:tc>
                          <w:tcPr>
                            <w:tcW w:w="960" w:type="dxa"/>
                            <w:tcBorders>
                              <w:top w:val="nil"/>
                              <w:left w:val="nil"/>
                              <w:bottom w:val="single" w:sz="4" w:space="0" w:color="auto"/>
                              <w:right w:val="single" w:sz="4" w:space="0" w:color="auto"/>
                            </w:tcBorders>
                            <w:shd w:val="clear" w:color="auto" w:fill="auto"/>
                            <w:noWrap/>
                            <w:vAlign w:val="center"/>
                            <w:hideMark/>
                          </w:tcPr>
                          <w:p w14:paraId="0C488354"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26,057</w:t>
                            </w:r>
                          </w:p>
                        </w:tc>
                        <w:tc>
                          <w:tcPr>
                            <w:tcW w:w="1120" w:type="dxa"/>
                            <w:tcBorders>
                              <w:top w:val="nil"/>
                              <w:left w:val="nil"/>
                              <w:bottom w:val="single" w:sz="4" w:space="0" w:color="auto"/>
                              <w:right w:val="single" w:sz="4" w:space="0" w:color="auto"/>
                            </w:tcBorders>
                            <w:shd w:val="clear" w:color="auto" w:fill="auto"/>
                            <w:noWrap/>
                            <w:vAlign w:val="center"/>
                            <w:hideMark/>
                          </w:tcPr>
                          <w:p w14:paraId="54E2EEB4"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20,987</w:t>
                            </w:r>
                          </w:p>
                        </w:tc>
                        <w:tc>
                          <w:tcPr>
                            <w:tcW w:w="1184" w:type="dxa"/>
                            <w:tcBorders>
                              <w:top w:val="nil"/>
                              <w:left w:val="nil"/>
                              <w:bottom w:val="single" w:sz="4" w:space="0" w:color="auto"/>
                              <w:right w:val="single" w:sz="4" w:space="0" w:color="auto"/>
                            </w:tcBorders>
                            <w:shd w:val="clear" w:color="auto" w:fill="auto"/>
                            <w:noWrap/>
                            <w:vAlign w:val="center"/>
                            <w:hideMark/>
                          </w:tcPr>
                          <w:p w14:paraId="20EC4A48"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5,070</w:t>
                            </w:r>
                          </w:p>
                        </w:tc>
                      </w:tr>
                      <w:tr w:rsidR="00DA1823" w:rsidRPr="00A1585B" w14:paraId="05BC74F4"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34965AA"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110</w:t>
                            </w:r>
                          </w:p>
                        </w:tc>
                        <w:tc>
                          <w:tcPr>
                            <w:tcW w:w="960" w:type="dxa"/>
                            <w:tcBorders>
                              <w:top w:val="nil"/>
                              <w:left w:val="nil"/>
                              <w:bottom w:val="single" w:sz="4" w:space="0" w:color="auto"/>
                              <w:right w:val="single" w:sz="4" w:space="0" w:color="auto"/>
                            </w:tcBorders>
                            <w:shd w:val="clear" w:color="auto" w:fill="auto"/>
                            <w:noWrap/>
                            <w:vAlign w:val="center"/>
                            <w:hideMark/>
                          </w:tcPr>
                          <w:p w14:paraId="61CE2497"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26,666</w:t>
                            </w:r>
                          </w:p>
                        </w:tc>
                        <w:tc>
                          <w:tcPr>
                            <w:tcW w:w="1120" w:type="dxa"/>
                            <w:tcBorders>
                              <w:top w:val="nil"/>
                              <w:left w:val="nil"/>
                              <w:bottom w:val="single" w:sz="4" w:space="0" w:color="auto"/>
                              <w:right w:val="single" w:sz="4" w:space="0" w:color="auto"/>
                            </w:tcBorders>
                            <w:shd w:val="clear" w:color="auto" w:fill="auto"/>
                            <w:noWrap/>
                            <w:vAlign w:val="center"/>
                            <w:hideMark/>
                          </w:tcPr>
                          <w:p w14:paraId="3C5E9C2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21,554</w:t>
                            </w:r>
                          </w:p>
                        </w:tc>
                        <w:tc>
                          <w:tcPr>
                            <w:tcW w:w="1184" w:type="dxa"/>
                            <w:tcBorders>
                              <w:top w:val="nil"/>
                              <w:left w:val="nil"/>
                              <w:bottom w:val="single" w:sz="4" w:space="0" w:color="auto"/>
                              <w:right w:val="single" w:sz="4" w:space="0" w:color="auto"/>
                            </w:tcBorders>
                            <w:shd w:val="clear" w:color="auto" w:fill="auto"/>
                            <w:noWrap/>
                            <w:vAlign w:val="center"/>
                            <w:hideMark/>
                          </w:tcPr>
                          <w:p w14:paraId="149A7D0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5,112</w:t>
                            </w:r>
                          </w:p>
                        </w:tc>
                      </w:tr>
                      <w:tr w:rsidR="00DA1823" w:rsidRPr="00A1585B" w14:paraId="1DC625E9"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9DF7994"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111</w:t>
                            </w:r>
                          </w:p>
                        </w:tc>
                        <w:tc>
                          <w:tcPr>
                            <w:tcW w:w="960" w:type="dxa"/>
                            <w:tcBorders>
                              <w:top w:val="nil"/>
                              <w:left w:val="nil"/>
                              <w:bottom w:val="single" w:sz="4" w:space="0" w:color="auto"/>
                              <w:right w:val="single" w:sz="4" w:space="0" w:color="auto"/>
                            </w:tcBorders>
                            <w:shd w:val="clear" w:color="auto" w:fill="auto"/>
                            <w:noWrap/>
                            <w:vAlign w:val="center"/>
                            <w:hideMark/>
                          </w:tcPr>
                          <w:p w14:paraId="7D47DA6F"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28,169</w:t>
                            </w:r>
                          </w:p>
                        </w:tc>
                        <w:tc>
                          <w:tcPr>
                            <w:tcW w:w="1120" w:type="dxa"/>
                            <w:tcBorders>
                              <w:top w:val="nil"/>
                              <w:left w:val="nil"/>
                              <w:bottom w:val="single" w:sz="4" w:space="0" w:color="auto"/>
                              <w:right w:val="single" w:sz="4" w:space="0" w:color="auto"/>
                            </w:tcBorders>
                            <w:shd w:val="clear" w:color="auto" w:fill="auto"/>
                            <w:noWrap/>
                            <w:vAlign w:val="center"/>
                            <w:hideMark/>
                          </w:tcPr>
                          <w:p w14:paraId="4893D2F4"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22,096</w:t>
                            </w:r>
                          </w:p>
                        </w:tc>
                        <w:tc>
                          <w:tcPr>
                            <w:tcW w:w="1184" w:type="dxa"/>
                            <w:tcBorders>
                              <w:top w:val="nil"/>
                              <w:left w:val="nil"/>
                              <w:bottom w:val="single" w:sz="4" w:space="0" w:color="auto"/>
                              <w:right w:val="single" w:sz="4" w:space="0" w:color="auto"/>
                            </w:tcBorders>
                            <w:shd w:val="clear" w:color="auto" w:fill="auto"/>
                            <w:noWrap/>
                            <w:vAlign w:val="center"/>
                            <w:hideMark/>
                          </w:tcPr>
                          <w:p w14:paraId="6A10B394"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6,073</w:t>
                            </w:r>
                          </w:p>
                        </w:tc>
                      </w:tr>
                      <w:tr w:rsidR="00DA1823" w:rsidRPr="00A1585B" w14:paraId="1D06968E" w14:textId="77777777" w:rsidTr="00A1585B">
                        <w:trPr>
                          <w:trHeight w:val="31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5A919C2" w14:textId="77777777" w:rsidR="00DA1823" w:rsidRPr="00A1585B" w:rsidRDefault="00DA1823" w:rsidP="00A1585B">
                            <w:pPr>
                              <w:widowControl/>
                              <w:spacing w:line="240" w:lineRule="exact"/>
                              <w:jc w:val="center"/>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112</w:t>
                            </w:r>
                          </w:p>
                        </w:tc>
                        <w:tc>
                          <w:tcPr>
                            <w:tcW w:w="960" w:type="dxa"/>
                            <w:tcBorders>
                              <w:top w:val="nil"/>
                              <w:left w:val="nil"/>
                              <w:bottom w:val="single" w:sz="4" w:space="0" w:color="auto"/>
                              <w:right w:val="single" w:sz="4" w:space="0" w:color="auto"/>
                            </w:tcBorders>
                            <w:shd w:val="clear" w:color="auto" w:fill="auto"/>
                            <w:noWrap/>
                            <w:vAlign w:val="center"/>
                            <w:hideMark/>
                          </w:tcPr>
                          <w:p w14:paraId="534E1792" w14:textId="77777777" w:rsidR="00DA1823" w:rsidRPr="00A1585B" w:rsidRDefault="00DA1823" w:rsidP="00A1585B">
                            <w:pPr>
                              <w:widowControl/>
                              <w:spacing w:line="240" w:lineRule="exact"/>
                              <w:jc w:val="right"/>
                              <w:rPr>
                                <w:rFonts w:ascii="標楷體" w:eastAsia="標楷體" w:hAnsi="標楷體" w:cs="新細明體"/>
                                <w:b/>
                                <w:bCs/>
                                <w:color w:val="000000"/>
                                <w:kern w:val="0"/>
                                <w:sz w:val="20"/>
                                <w:szCs w:val="24"/>
                              </w:rPr>
                            </w:pPr>
                            <w:r w:rsidRPr="00A1585B">
                              <w:rPr>
                                <w:rFonts w:ascii="標楷體" w:eastAsia="標楷體" w:hAnsi="標楷體" w:cs="新細明體" w:hint="eastAsia"/>
                                <w:b/>
                                <w:bCs/>
                                <w:color w:val="000000"/>
                                <w:kern w:val="0"/>
                                <w:sz w:val="20"/>
                                <w:szCs w:val="24"/>
                              </w:rPr>
                              <w:t>31,373</w:t>
                            </w:r>
                          </w:p>
                        </w:tc>
                        <w:tc>
                          <w:tcPr>
                            <w:tcW w:w="1120" w:type="dxa"/>
                            <w:tcBorders>
                              <w:top w:val="nil"/>
                              <w:left w:val="nil"/>
                              <w:bottom w:val="single" w:sz="4" w:space="0" w:color="auto"/>
                              <w:right w:val="single" w:sz="4" w:space="0" w:color="auto"/>
                            </w:tcBorders>
                            <w:shd w:val="clear" w:color="auto" w:fill="auto"/>
                            <w:noWrap/>
                            <w:vAlign w:val="center"/>
                            <w:hideMark/>
                          </w:tcPr>
                          <w:p w14:paraId="75EB0BA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25,258</w:t>
                            </w:r>
                          </w:p>
                        </w:tc>
                        <w:tc>
                          <w:tcPr>
                            <w:tcW w:w="1184" w:type="dxa"/>
                            <w:tcBorders>
                              <w:top w:val="nil"/>
                              <w:left w:val="nil"/>
                              <w:bottom w:val="single" w:sz="4" w:space="0" w:color="auto"/>
                              <w:right w:val="single" w:sz="4" w:space="0" w:color="auto"/>
                            </w:tcBorders>
                            <w:shd w:val="clear" w:color="auto" w:fill="auto"/>
                            <w:noWrap/>
                            <w:vAlign w:val="center"/>
                            <w:hideMark/>
                          </w:tcPr>
                          <w:p w14:paraId="552C3BFF" w14:textId="77777777" w:rsidR="00DA1823" w:rsidRPr="00A1585B" w:rsidRDefault="00DA1823" w:rsidP="00A1585B">
                            <w:pPr>
                              <w:widowControl/>
                              <w:spacing w:line="240" w:lineRule="exact"/>
                              <w:jc w:val="right"/>
                              <w:rPr>
                                <w:rFonts w:ascii="標楷體" w:eastAsia="標楷體" w:hAnsi="標楷體" w:cs="新細明體"/>
                                <w:color w:val="000000"/>
                                <w:kern w:val="0"/>
                                <w:sz w:val="20"/>
                                <w:szCs w:val="24"/>
                              </w:rPr>
                            </w:pPr>
                            <w:r w:rsidRPr="00A1585B">
                              <w:rPr>
                                <w:rFonts w:ascii="標楷體" w:eastAsia="標楷體" w:hAnsi="標楷體" w:cs="新細明體" w:hint="eastAsia"/>
                                <w:color w:val="000000"/>
                                <w:kern w:val="0"/>
                                <w:sz w:val="20"/>
                                <w:szCs w:val="24"/>
                              </w:rPr>
                              <w:t>6,115</w:t>
                            </w:r>
                          </w:p>
                        </w:tc>
                      </w:tr>
                    </w:tbl>
                    <w:p w14:paraId="20CA9529" w14:textId="77777777" w:rsidR="00DA1823" w:rsidRPr="00A1585B" w:rsidRDefault="00DA1823" w:rsidP="00DA1823">
                      <w:pPr>
                        <w:spacing w:line="240" w:lineRule="exact"/>
                        <w:ind w:left="850" w:hangingChars="472" w:hanging="850"/>
                        <w:jc w:val="both"/>
                        <w:rPr>
                          <w:rFonts w:ascii="標楷體" w:eastAsia="標楷體" w:hAnsi="標楷體"/>
                        </w:rPr>
                      </w:pPr>
                      <w:r>
                        <w:rPr>
                          <w:rFonts w:ascii="標楷體" w:eastAsia="標楷體" w:hAnsi="標楷體" w:hint="eastAsia"/>
                          <w:sz w:val="18"/>
                        </w:rPr>
                        <w:t>資</w:t>
                      </w:r>
                      <w:r>
                        <w:rPr>
                          <w:rFonts w:ascii="標楷體" w:eastAsia="標楷體" w:hAnsi="標楷體"/>
                          <w:sz w:val="18"/>
                        </w:rPr>
                        <w:t>料來</w:t>
                      </w:r>
                      <w:r>
                        <w:rPr>
                          <w:rFonts w:ascii="標楷體" w:eastAsia="標楷體" w:hAnsi="標楷體" w:hint="eastAsia"/>
                          <w:sz w:val="18"/>
                        </w:rPr>
                        <w:t>源</w:t>
                      </w:r>
                      <w:r>
                        <w:rPr>
                          <w:rFonts w:ascii="標楷體" w:eastAsia="標楷體" w:hAnsi="標楷體"/>
                          <w:sz w:val="18"/>
                        </w:rPr>
                        <w:t>：</w:t>
                      </w:r>
                      <w:r w:rsidRPr="00A1585B">
                        <w:rPr>
                          <w:rFonts w:ascii="標楷體" w:eastAsia="標楷體" w:hAnsi="標楷體" w:hint="eastAsia"/>
                          <w:sz w:val="18"/>
                        </w:rPr>
                        <w:t>整</w:t>
                      </w:r>
                      <w:r w:rsidRPr="00A1585B">
                        <w:rPr>
                          <w:rFonts w:ascii="標楷體" w:eastAsia="標楷體" w:hAnsi="標楷體"/>
                          <w:sz w:val="18"/>
                        </w:rPr>
                        <w:t>理自</w:t>
                      </w:r>
                      <w:r>
                        <w:rPr>
                          <w:rFonts w:ascii="標楷體" w:eastAsia="標楷體" w:hAnsi="標楷體" w:hint="eastAsia"/>
                          <w:sz w:val="18"/>
                        </w:rPr>
                        <w:t>農</w:t>
                      </w:r>
                      <w:r>
                        <w:rPr>
                          <w:rFonts w:ascii="標楷體" w:eastAsia="標楷體" w:hAnsi="標楷體"/>
                          <w:sz w:val="18"/>
                        </w:rPr>
                        <w:t>業部</w:t>
                      </w:r>
                      <w:r w:rsidRPr="00A1585B">
                        <w:rPr>
                          <w:rFonts w:ascii="標楷體" w:eastAsia="標楷體" w:hAnsi="標楷體" w:hint="eastAsia"/>
                          <w:sz w:val="18"/>
                        </w:rPr>
                        <w:t>農業及農地資源盤查結果</w:t>
                      </w:r>
                      <w:proofErr w:type="gramStart"/>
                      <w:r w:rsidRPr="00A1585B">
                        <w:rPr>
                          <w:rFonts w:ascii="標楷體" w:eastAsia="標楷體" w:hAnsi="標楷體" w:hint="eastAsia"/>
                          <w:sz w:val="18"/>
                        </w:rPr>
                        <w:t>查詢圖</w:t>
                      </w:r>
                      <w:r>
                        <w:rPr>
                          <w:rFonts w:ascii="標楷體" w:eastAsia="標楷體" w:hAnsi="標楷體" w:hint="eastAsia"/>
                          <w:sz w:val="18"/>
                        </w:rPr>
                        <w:t>台公告</w:t>
                      </w:r>
                      <w:proofErr w:type="gramEnd"/>
                      <w:r>
                        <w:rPr>
                          <w:rFonts w:ascii="標楷體" w:eastAsia="標楷體" w:hAnsi="標楷體"/>
                          <w:sz w:val="18"/>
                        </w:rPr>
                        <w:t>資料</w:t>
                      </w:r>
                      <w:r>
                        <w:rPr>
                          <w:rFonts w:ascii="標楷體" w:eastAsia="標楷體" w:hAnsi="標楷體" w:hint="eastAsia"/>
                          <w:sz w:val="18"/>
                        </w:rPr>
                        <w:t>。</w:t>
                      </w:r>
                    </w:p>
                  </w:txbxContent>
                </v:textbox>
                <w10:wrap type="square" anchorx="margin"/>
              </v:shape>
            </w:pict>
          </mc:Fallback>
        </mc:AlternateContent>
      </w:r>
      <w:r w:rsidR="00E474B9">
        <w:rPr>
          <w:rFonts w:hint="eastAsia"/>
        </w:rPr>
        <w:t>農業部為因應氣候變遷及糧食安全，推動農業及農地資源盤查作業，全面盤點農地數量、實際從事農業生產之區位與面積，以維護一定品質與數量的農地資源。依據106至112年度農業及農地資源盤查結果，</w:t>
      </w:r>
      <w:proofErr w:type="gramStart"/>
      <w:r w:rsidR="00E474B9">
        <w:rPr>
          <w:rFonts w:hint="eastAsia"/>
        </w:rPr>
        <w:t>112</w:t>
      </w:r>
      <w:proofErr w:type="gramEnd"/>
      <w:r w:rsidR="00E474B9">
        <w:rPr>
          <w:rFonts w:hint="eastAsia"/>
        </w:rPr>
        <w:t>年度可供糧食生產土地總面積為69.59萬餘公頃，仍未達提供國內糧食生產安全之農地總量目標「74至81萬公頃」，且農地疑似遭工廠、商場或餐廳使用之面積，由</w:t>
      </w:r>
      <w:proofErr w:type="gramStart"/>
      <w:r w:rsidR="00E474B9">
        <w:rPr>
          <w:rFonts w:hint="eastAsia"/>
        </w:rPr>
        <w:t>106</w:t>
      </w:r>
      <w:proofErr w:type="gramEnd"/>
      <w:r w:rsidR="00E474B9">
        <w:rPr>
          <w:rFonts w:hint="eastAsia"/>
        </w:rPr>
        <w:t>年度之2.10萬餘公頃，逐年增加至</w:t>
      </w:r>
      <w:proofErr w:type="gramStart"/>
      <w:r w:rsidR="00E474B9">
        <w:rPr>
          <w:rFonts w:hint="eastAsia"/>
        </w:rPr>
        <w:t>112</w:t>
      </w:r>
      <w:proofErr w:type="gramEnd"/>
      <w:r w:rsidR="00E474B9">
        <w:rPr>
          <w:rFonts w:hint="eastAsia"/>
        </w:rPr>
        <w:t>年度之3.13萬餘公頃（表31），面積不減反增，顯示工商業違規使用農地情形仍未有效改善，潛存降低糧食自給率及升高糧食生產環境污染風險之疑慮。依公司登記辦法及商業登記申請辦法規定，公司及商業申請設立或變更所在地時，無須檢附土地使用分區或編定地籍等資料，致工商業設立於農地違反土地使用管制，仍可取得公司或商業登記，</w:t>
      </w:r>
      <w:proofErr w:type="gramStart"/>
      <w:r w:rsidR="00E474B9">
        <w:rPr>
          <w:rFonts w:hint="eastAsia"/>
        </w:rPr>
        <w:t>凸</w:t>
      </w:r>
      <w:proofErr w:type="gramEnd"/>
      <w:r w:rsidR="00E474B9">
        <w:rPr>
          <w:rFonts w:hint="eastAsia"/>
        </w:rPr>
        <w:t>顯政府對於公司及商業登記與農地管理間出現橫向管制漏洞。經查，經濟部（商業發展署）為配合農業部及內政部對於超商業者之土地使用管制措施，自111年3月起，四大超商申辦分公司設立登記或所在地變更登記前，須至內政部國土測繪中心「國土</w:t>
      </w:r>
      <w:proofErr w:type="gramStart"/>
      <w:r w:rsidR="00E474B9">
        <w:rPr>
          <w:rFonts w:hint="eastAsia"/>
        </w:rPr>
        <w:t>測繪圖資服務</w:t>
      </w:r>
      <w:proofErr w:type="gramEnd"/>
      <w:r w:rsidR="00E474B9">
        <w:rPr>
          <w:rFonts w:hint="eastAsia"/>
        </w:rPr>
        <w:t>雲」及內政部國土管理署城鄉發展分署「全國土地使用分區資料查詢系統」，先行檢核土地使用分區或編定地籍資料，確認是否符合土地使用分區規定，並於登記申請文件</w:t>
      </w:r>
      <w:proofErr w:type="gramStart"/>
      <w:r w:rsidR="00E474B9">
        <w:rPr>
          <w:rFonts w:hint="eastAsia"/>
        </w:rPr>
        <w:t>併</w:t>
      </w:r>
      <w:proofErr w:type="gramEnd"/>
      <w:r w:rsidR="00E474B9">
        <w:rPr>
          <w:rFonts w:hint="eastAsia"/>
        </w:rPr>
        <w:t>附前開檢核影本供經濟部（商業發展署）審查，以遏止四大超商業者新增分公司之設立或遷址至農地等情事。次查，經濟部（商業發展署）以公司法對於公司地址是否符合土地分區使用並無相關規定，土地使用管制應回歸各直轄市或縣（市）政府依職權審認為由，未要求超商以外行業之（分）公司申請設立或變更所在地時，提供符合土地合法使用證明供審查，已造成四大超商與其他行業別申辦登記條件不一現象。又據經濟部公告之公司行號及有限合夥營業項目代碼表，計有「製造業」、「批發、零售及餐飲業」等11大類，</w:t>
      </w:r>
      <w:proofErr w:type="gramStart"/>
      <w:r w:rsidR="00E474B9">
        <w:rPr>
          <w:rFonts w:hint="eastAsia"/>
        </w:rPr>
        <w:t>鑑</w:t>
      </w:r>
      <w:proofErr w:type="gramEnd"/>
      <w:r w:rsidR="00E474B9">
        <w:rPr>
          <w:rFonts w:hint="eastAsia"/>
        </w:rPr>
        <w:t>於製造業於產品製程產生之廢（污）水及事業廢棄物，如未經妥善處理，其污染農業生產環境之風險</w:t>
      </w:r>
      <w:proofErr w:type="gramStart"/>
      <w:r w:rsidR="00E474B9">
        <w:rPr>
          <w:rFonts w:hint="eastAsia"/>
        </w:rPr>
        <w:t>倍</w:t>
      </w:r>
      <w:proofErr w:type="gramEnd"/>
      <w:r w:rsidR="00E474B9">
        <w:rPr>
          <w:rFonts w:hint="eastAsia"/>
        </w:rPr>
        <w:t>於四大超商，經</w:t>
      </w:r>
      <w:r w:rsidR="00DE1BD5">
        <w:rPr>
          <w:rFonts w:hint="eastAsia"/>
        </w:rPr>
        <w:t>本部</w:t>
      </w:r>
      <w:r w:rsidR="00E474B9">
        <w:rPr>
          <w:rFonts w:hint="eastAsia"/>
        </w:rPr>
        <w:t>於114年3月19日自經濟部商工行政資料平台下載公司及商業登記營業項目包括製造業之明細資料計93,648家（排除現況非屬核准設立者），連同內政部提供之國土計畫、地籍圖及都市計畫圖，匯入QGIS地理資訊系統分析結果，發現製造業設立登記於農業用地者計有6,503家，</w:t>
      </w:r>
      <w:r w:rsidR="00E474B9">
        <w:rPr>
          <w:rFonts w:hint="eastAsia"/>
        </w:rPr>
        <w:lastRenderedPageBreak/>
        <w:t>約占總數之6.94％，土地面積2,814.19公頃，其中位於國土計畫可供糧食生產土地者計有3,715家、土地面積1,410.83公頃（表</w:t>
      </w:r>
      <w:r w:rsidR="007A6D75">
        <w:rPr>
          <w:rFonts w:hint="eastAsia"/>
        </w:rPr>
        <w:t>3</w:t>
      </w:r>
      <w:r w:rsidR="00E474B9">
        <w:rPr>
          <w:rFonts w:hint="eastAsia"/>
        </w:rPr>
        <w:t>2）。顯示製造業設立於農業用地之家數及土地面積龐巨，僅由土地使用管制機關事後稽查取締，無法有效防範製造業違規使用農地，增加農地無法回復農用風險，不利達成可供糧食生產土地之總量目標。再查，經濟部（商業發展署）於111年3月請四大超商業者申辦分公司設立登記或所在地變更登記時，應配合提供土地合法使用證明，惟未督促各市縣政府同步實施於商業登記，造成相同行業別不同組織型態申辦登記條件不一現</w:t>
      </w:r>
      <w:r w:rsidR="00E64B48">
        <w:rPr>
          <w:rFonts w:ascii="新細明體" w:hAnsi="新細明體" w:cs="新細明體"/>
          <w:noProof/>
        </w:rPr>
        <mc:AlternateContent>
          <mc:Choice Requires="wps">
            <w:drawing>
              <wp:anchor distT="45720" distB="45720" distL="114300" distR="114300" simplePos="0" relativeHeight="251620352" behindDoc="0" locked="0" layoutInCell="1" allowOverlap="1" wp14:anchorId="22706002" wp14:editId="7C576642">
                <wp:simplePos x="0" y="0"/>
                <wp:positionH relativeFrom="margin">
                  <wp:posOffset>2169160</wp:posOffset>
                </wp:positionH>
                <wp:positionV relativeFrom="paragraph">
                  <wp:posOffset>1876425</wp:posOffset>
                </wp:positionV>
                <wp:extent cx="4130040" cy="2339340"/>
                <wp:effectExtent l="0" t="0" r="0" b="3810"/>
                <wp:wrapSquare wrapText="bothSides"/>
                <wp:docPr id="2008327072" name="文字方塊 2008327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0040" cy="2339340"/>
                        </a:xfrm>
                        <a:prstGeom prst="rect">
                          <a:avLst/>
                        </a:prstGeom>
                        <a:noFill/>
                        <a:ln w="9525">
                          <a:noFill/>
                          <a:miter lim="800000"/>
                          <a:headEnd/>
                          <a:tailEnd/>
                        </a:ln>
                      </wps:spPr>
                      <wps:txbx>
                        <w:txbxContent>
                          <w:p w14:paraId="79517D5E" w14:textId="77777777" w:rsidR="00E64B48" w:rsidRDefault="00E64B48" w:rsidP="00E64B48">
                            <w:pPr>
                              <w:jc w:val="center"/>
                              <w:rPr>
                                <w:rFonts w:ascii="標楷體" w:eastAsia="標楷體" w:hAnsi="標楷體"/>
                                <w:b/>
                              </w:rPr>
                            </w:pPr>
                            <w:r>
                              <w:rPr>
                                <w:rFonts w:ascii="標楷體" w:eastAsia="標楷體" w:hAnsi="標楷體" w:hint="eastAsia"/>
                                <w:b/>
                              </w:rPr>
                              <w:t>表3</w:t>
                            </w:r>
                            <w:r>
                              <w:rPr>
                                <w:rFonts w:ascii="標楷體" w:eastAsia="標楷體" w:hAnsi="標楷體"/>
                                <w:b/>
                              </w:rPr>
                              <w:t>2</w:t>
                            </w:r>
                            <w:r>
                              <w:rPr>
                                <w:rFonts w:ascii="標楷體" w:eastAsia="標楷體" w:hAnsi="標楷體" w:hint="eastAsia"/>
                                <w:b/>
                              </w:rPr>
                              <w:t xml:space="preserve">  製造業設立登記於農業用地情形</w:t>
                            </w:r>
                          </w:p>
                          <w:p w14:paraId="4643728A" w14:textId="77777777" w:rsidR="00E64B48" w:rsidRDefault="00E64B48" w:rsidP="00E64B48">
                            <w:pPr>
                              <w:jc w:val="right"/>
                              <w:rPr>
                                <w:rFonts w:ascii="標楷體" w:eastAsia="標楷體" w:hAnsi="標楷體"/>
                              </w:rPr>
                            </w:pPr>
                            <w:r>
                              <w:rPr>
                                <w:rFonts w:ascii="標楷體" w:eastAsia="標楷體" w:hAnsi="標楷體" w:hint="eastAsia"/>
                                <w:sz w:val="20"/>
                              </w:rPr>
                              <w:t>單位：家、公頃</w:t>
                            </w:r>
                          </w:p>
                          <w:tbl>
                            <w:tblPr>
                              <w:tblStyle w:val="afff"/>
                              <w:tblW w:w="6232" w:type="dxa"/>
                              <w:tblInd w:w="108" w:type="dxa"/>
                              <w:tblLook w:val="04A0" w:firstRow="1" w:lastRow="0" w:firstColumn="1" w:lastColumn="0" w:noHBand="0" w:noVBand="1"/>
                            </w:tblPr>
                            <w:tblGrid>
                              <w:gridCol w:w="846"/>
                              <w:gridCol w:w="1346"/>
                              <w:gridCol w:w="1347"/>
                              <w:gridCol w:w="1346"/>
                              <w:gridCol w:w="1347"/>
                            </w:tblGrid>
                            <w:tr w:rsidR="00E64B48" w14:paraId="407CA127" w14:textId="77777777" w:rsidTr="00926E69">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248DE77C" w14:textId="77777777" w:rsidR="00E64B48" w:rsidRDefault="00E64B48">
                                  <w:pPr>
                                    <w:jc w:val="center"/>
                                    <w:rPr>
                                      <w:rFonts w:ascii="標楷體" w:eastAsia="標楷體" w:hAnsi="標楷體"/>
                                      <w:sz w:val="20"/>
                                    </w:rPr>
                                  </w:pPr>
                                  <w:r>
                                    <w:rPr>
                                      <w:rFonts w:ascii="標楷體" w:eastAsia="標楷體" w:hAnsi="標楷體" w:hint="eastAsia"/>
                                      <w:sz w:val="20"/>
                                    </w:rPr>
                                    <w:t>組織別</w:t>
                                  </w:r>
                                </w:p>
                              </w:tc>
                              <w:tc>
                                <w:tcPr>
                                  <w:tcW w:w="2693" w:type="dxa"/>
                                  <w:gridSpan w:val="2"/>
                                  <w:tcBorders>
                                    <w:top w:val="single" w:sz="4" w:space="0" w:color="auto"/>
                                    <w:left w:val="single" w:sz="4" w:space="0" w:color="auto"/>
                                    <w:bottom w:val="single" w:sz="4" w:space="0" w:color="auto"/>
                                    <w:right w:val="single" w:sz="4" w:space="0" w:color="auto"/>
                                  </w:tcBorders>
                                  <w:hideMark/>
                                </w:tcPr>
                                <w:p w14:paraId="72F6413B" w14:textId="77777777" w:rsidR="00E64B48" w:rsidRDefault="00E64B48">
                                  <w:pPr>
                                    <w:jc w:val="center"/>
                                    <w:rPr>
                                      <w:rFonts w:ascii="標楷體" w:eastAsia="標楷體" w:hAnsi="標楷體"/>
                                      <w:sz w:val="20"/>
                                    </w:rPr>
                                  </w:pPr>
                                  <w:r>
                                    <w:rPr>
                                      <w:rFonts w:ascii="標楷體" w:eastAsia="標楷體" w:hAnsi="標楷體" w:hint="eastAsia"/>
                                      <w:sz w:val="20"/>
                                    </w:rPr>
                                    <w:t>農業用地（</w:t>
                                  </w:r>
                                  <w:proofErr w:type="gramStart"/>
                                  <w:r>
                                    <w:rPr>
                                      <w:rFonts w:ascii="標楷體" w:eastAsia="標楷體" w:hAnsi="標楷體" w:hint="eastAsia"/>
                                      <w:sz w:val="20"/>
                                    </w:rPr>
                                    <w:t>註</w:t>
                                  </w:r>
                                  <w:proofErr w:type="gramEnd"/>
                                  <w:r>
                                    <w:rPr>
                                      <w:rFonts w:ascii="標楷體" w:eastAsia="標楷體" w:hAnsi="標楷體" w:hint="eastAsia"/>
                                      <w:sz w:val="20"/>
                                    </w:rPr>
                                    <w:t>2）</w:t>
                                  </w:r>
                                </w:p>
                              </w:tc>
                              <w:tc>
                                <w:tcPr>
                                  <w:tcW w:w="2693" w:type="dxa"/>
                                  <w:gridSpan w:val="2"/>
                                  <w:tcBorders>
                                    <w:top w:val="single" w:sz="4" w:space="0" w:color="auto"/>
                                    <w:left w:val="single" w:sz="4" w:space="0" w:color="auto"/>
                                    <w:bottom w:val="single" w:sz="4" w:space="0" w:color="auto"/>
                                    <w:right w:val="single" w:sz="4" w:space="0" w:color="auto"/>
                                  </w:tcBorders>
                                  <w:hideMark/>
                                </w:tcPr>
                                <w:p w14:paraId="6C3175AF" w14:textId="77777777" w:rsidR="00E64B48" w:rsidRDefault="00E64B48">
                                  <w:pPr>
                                    <w:jc w:val="center"/>
                                    <w:rPr>
                                      <w:rFonts w:ascii="標楷體" w:eastAsia="標楷體" w:hAnsi="標楷體"/>
                                      <w:sz w:val="20"/>
                                    </w:rPr>
                                  </w:pPr>
                                  <w:r>
                                    <w:rPr>
                                      <w:rFonts w:ascii="標楷體" w:eastAsia="標楷體" w:hAnsi="標楷體" w:hint="eastAsia"/>
                                      <w:sz w:val="20"/>
                                    </w:rPr>
                                    <w:t>可供糧食生產土地（</w:t>
                                  </w:r>
                                  <w:proofErr w:type="gramStart"/>
                                  <w:r>
                                    <w:rPr>
                                      <w:rFonts w:ascii="標楷體" w:eastAsia="標楷體" w:hAnsi="標楷體" w:hint="eastAsia"/>
                                      <w:sz w:val="20"/>
                                    </w:rPr>
                                    <w:t>註</w:t>
                                  </w:r>
                                  <w:proofErr w:type="gramEnd"/>
                                  <w:r>
                                    <w:rPr>
                                      <w:rFonts w:ascii="標楷體" w:eastAsia="標楷體" w:hAnsi="標楷體" w:hint="eastAsia"/>
                                      <w:sz w:val="20"/>
                                    </w:rPr>
                                    <w:t>3）</w:t>
                                  </w:r>
                                </w:p>
                              </w:tc>
                            </w:tr>
                            <w:tr w:rsidR="00E64B48" w14:paraId="3619EDA8" w14:textId="77777777" w:rsidTr="00926E69">
                              <w:tc>
                                <w:tcPr>
                                  <w:tcW w:w="0" w:type="auto"/>
                                  <w:vMerge/>
                                  <w:tcBorders>
                                    <w:top w:val="single" w:sz="4" w:space="0" w:color="auto"/>
                                    <w:left w:val="single" w:sz="4" w:space="0" w:color="auto"/>
                                    <w:bottom w:val="single" w:sz="4" w:space="0" w:color="auto"/>
                                    <w:right w:val="single" w:sz="4" w:space="0" w:color="auto"/>
                                  </w:tcBorders>
                                  <w:vAlign w:val="center"/>
                                  <w:hideMark/>
                                </w:tcPr>
                                <w:p w14:paraId="083F2246" w14:textId="77777777" w:rsidR="00E64B48" w:rsidRDefault="00E64B48">
                                  <w:pPr>
                                    <w:widowControl/>
                                    <w:rPr>
                                      <w:rFonts w:ascii="標楷體" w:eastAsia="標楷體" w:hAnsi="標楷體"/>
                                      <w:sz w:val="20"/>
                                    </w:rPr>
                                  </w:pPr>
                                </w:p>
                              </w:tc>
                              <w:tc>
                                <w:tcPr>
                                  <w:tcW w:w="1346" w:type="dxa"/>
                                  <w:tcBorders>
                                    <w:top w:val="single" w:sz="4" w:space="0" w:color="auto"/>
                                    <w:left w:val="single" w:sz="4" w:space="0" w:color="auto"/>
                                    <w:bottom w:val="single" w:sz="4" w:space="0" w:color="auto"/>
                                    <w:right w:val="single" w:sz="4" w:space="0" w:color="auto"/>
                                  </w:tcBorders>
                                  <w:vAlign w:val="center"/>
                                  <w:hideMark/>
                                </w:tcPr>
                                <w:p w14:paraId="79128761" w14:textId="77777777" w:rsidR="00E64B48" w:rsidRDefault="00E64B48">
                                  <w:pPr>
                                    <w:jc w:val="center"/>
                                    <w:rPr>
                                      <w:rFonts w:ascii="標楷體" w:eastAsia="標楷體" w:hAnsi="標楷體"/>
                                      <w:sz w:val="20"/>
                                    </w:rPr>
                                  </w:pPr>
                                  <w:r>
                                    <w:rPr>
                                      <w:rFonts w:ascii="標楷體" w:eastAsia="標楷體" w:hAnsi="標楷體" w:hint="eastAsia"/>
                                      <w:sz w:val="20"/>
                                    </w:rPr>
                                    <w:t>家數</w:t>
                                  </w:r>
                                </w:p>
                              </w:tc>
                              <w:tc>
                                <w:tcPr>
                                  <w:tcW w:w="1347" w:type="dxa"/>
                                  <w:tcBorders>
                                    <w:top w:val="single" w:sz="4" w:space="0" w:color="auto"/>
                                    <w:left w:val="single" w:sz="4" w:space="0" w:color="auto"/>
                                    <w:bottom w:val="single" w:sz="4" w:space="0" w:color="auto"/>
                                    <w:right w:val="single" w:sz="4" w:space="0" w:color="auto"/>
                                  </w:tcBorders>
                                  <w:vAlign w:val="center"/>
                                  <w:hideMark/>
                                </w:tcPr>
                                <w:p w14:paraId="56E09E08" w14:textId="77777777" w:rsidR="00E64B48" w:rsidRDefault="00E64B48">
                                  <w:pPr>
                                    <w:jc w:val="center"/>
                                    <w:rPr>
                                      <w:rFonts w:ascii="標楷體" w:eastAsia="標楷體" w:hAnsi="標楷體"/>
                                      <w:sz w:val="20"/>
                                    </w:rPr>
                                  </w:pPr>
                                  <w:r>
                                    <w:rPr>
                                      <w:rFonts w:ascii="標楷體" w:eastAsia="標楷體" w:hAnsi="標楷體" w:hint="eastAsia"/>
                                      <w:sz w:val="20"/>
                                    </w:rPr>
                                    <w:t>土地面積</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21B743F" w14:textId="77777777" w:rsidR="00E64B48" w:rsidRDefault="00E64B48">
                                  <w:pPr>
                                    <w:jc w:val="center"/>
                                    <w:rPr>
                                      <w:rFonts w:ascii="標楷體" w:eastAsia="標楷體" w:hAnsi="標楷體"/>
                                      <w:sz w:val="20"/>
                                    </w:rPr>
                                  </w:pPr>
                                  <w:r>
                                    <w:rPr>
                                      <w:rFonts w:ascii="標楷體" w:eastAsia="標楷體" w:hAnsi="標楷體" w:hint="eastAsia"/>
                                      <w:sz w:val="20"/>
                                    </w:rPr>
                                    <w:t>家數</w:t>
                                  </w:r>
                                </w:p>
                              </w:tc>
                              <w:tc>
                                <w:tcPr>
                                  <w:tcW w:w="1347" w:type="dxa"/>
                                  <w:tcBorders>
                                    <w:top w:val="single" w:sz="4" w:space="0" w:color="auto"/>
                                    <w:left w:val="single" w:sz="4" w:space="0" w:color="auto"/>
                                    <w:bottom w:val="single" w:sz="4" w:space="0" w:color="auto"/>
                                    <w:right w:val="single" w:sz="4" w:space="0" w:color="auto"/>
                                  </w:tcBorders>
                                  <w:vAlign w:val="center"/>
                                  <w:hideMark/>
                                </w:tcPr>
                                <w:p w14:paraId="72475878" w14:textId="77777777" w:rsidR="00E64B48" w:rsidRDefault="00E64B48">
                                  <w:pPr>
                                    <w:jc w:val="center"/>
                                    <w:rPr>
                                      <w:rFonts w:ascii="標楷體" w:eastAsia="標楷體" w:hAnsi="標楷體"/>
                                      <w:sz w:val="20"/>
                                    </w:rPr>
                                  </w:pPr>
                                  <w:r>
                                    <w:rPr>
                                      <w:rFonts w:ascii="標楷體" w:eastAsia="標楷體" w:hAnsi="標楷體" w:hint="eastAsia"/>
                                      <w:sz w:val="20"/>
                                    </w:rPr>
                                    <w:t>土地面積</w:t>
                                  </w:r>
                                </w:p>
                              </w:tc>
                            </w:tr>
                            <w:tr w:rsidR="00E64B48" w14:paraId="296A46C8" w14:textId="77777777" w:rsidTr="00926E69">
                              <w:tc>
                                <w:tcPr>
                                  <w:tcW w:w="846" w:type="dxa"/>
                                  <w:tcBorders>
                                    <w:top w:val="single" w:sz="4" w:space="0" w:color="auto"/>
                                    <w:left w:val="single" w:sz="4" w:space="0" w:color="auto"/>
                                    <w:bottom w:val="single" w:sz="4" w:space="0" w:color="auto"/>
                                    <w:right w:val="single" w:sz="4" w:space="0" w:color="auto"/>
                                  </w:tcBorders>
                                  <w:hideMark/>
                                </w:tcPr>
                                <w:p w14:paraId="1BBF0C64" w14:textId="77777777" w:rsidR="00E64B48" w:rsidRDefault="00E64B48">
                                  <w:pPr>
                                    <w:jc w:val="center"/>
                                    <w:rPr>
                                      <w:rFonts w:ascii="標楷體" w:eastAsia="標楷體" w:hAnsi="標楷體"/>
                                      <w:b/>
                                      <w:sz w:val="20"/>
                                    </w:rPr>
                                  </w:pPr>
                                  <w:r>
                                    <w:rPr>
                                      <w:rFonts w:ascii="標楷體" w:eastAsia="標楷體" w:hAnsi="標楷體" w:hint="eastAsia"/>
                                      <w:b/>
                                      <w:sz w:val="20"/>
                                    </w:rPr>
                                    <w:t>合計</w:t>
                                  </w:r>
                                </w:p>
                              </w:tc>
                              <w:tc>
                                <w:tcPr>
                                  <w:tcW w:w="1346" w:type="dxa"/>
                                  <w:tcBorders>
                                    <w:top w:val="single" w:sz="4" w:space="0" w:color="auto"/>
                                    <w:left w:val="single" w:sz="4" w:space="0" w:color="auto"/>
                                    <w:bottom w:val="single" w:sz="4" w:space="0" w:color="auto"/>
                                    <w:right w:val="single" w:sz="4" w:space="0" w:color="auto"/>
                                  </w:tcBorders>
                                  <w:hideMark/>
                                </w:tcPr>
                                <w:p w14:paraId="0B4B2150" w14:textId="77777777" w:rsidR="00E64B48" w:rsidRDefault="00E64B48">
                                  <w:pPr>
                                    <w:jc w:val="right"/>
                                    <w:rPr>
                                      <w:rFonts w:ascii="標楷體" w:eastAsia="標楷體" w:hAnsi="標楷體"/>
                                      <w:b/>
                                      <w:sz w:val="20"/>
                                    </w:rPr>
                                  </w:pPr>
                                  <w:r>
                                    <w:rPr>
                                      <w:rFonts w:ascii="標楷體" w:eastAsia="標楷體" w:hAnsi="標楷體" w:hint="eastAsia"/>
                                      <w:b/>
                                      <w:sz w:val="20"/>
                                    </w:rPr>
                                    <w:t>6,503</w:t>
                                  </w:r>
                                </w:p>
                              </w:tc>
                              <w:tc>
                                <w:tcPr>
                                  <w:tcW w:w="1347" w:type="dxa"/>
                                  <w:tcBorders>
                                    <w:top w:val="single" w:sz="4" w:space="0" w:color="auto"/>
                                    <w:left w:val="single" w:sz="4" w:space="0" w:color="auto"/>
                                    <w:bottom w:val="single" w:sz="4" w:space="0" w:color="auto"/>
                                    <w:right w:val="single" w:sz="4" w:space="0" w:color="auto"/>
                                  </w:tcBorders>
                                  <w:hideMark/>
                                </w:tcPr>
                                <w:p w14:paraId="5C49AA64" w14:textId="77777777" w:rsidR="00E64B48" w:rsidRDefault="00E64B48">
                                  <w:pPr>
                                    <w:jc w:val="right"/>
                                    <w:rPr>
                                      <w:rFonts w:ascii="標楷體" w:eastAsia="標楷體" w:hAnsi="標楷體"/>
                                      <w:b/>
                                      <w:sz w:val="20"/>
                                    </w:rPr>
                                  </w:pPr>
                                  <w:r>
                                    <w:rPr>
                                      <w:rFonts w:ascii="標楷體" w:eastAsia="標楷體" w:hAnsi="標楷體" w:hint="eastAsia"/>
                                      <w:b/>
                                      <w:sz w:val="20"/>
                                    </w:rPr>
                                    <w:t>2,814.19</w:t>
                                  </w:r>
                                </w:p>
                              </w:tc>
                              <w:tc>
                                <w:tcPr>
                                  <w:tcW w:w="1346" w:type="dxa"/>
                                  <w:tcBorders>
                                    <w:top w:val="single" w:sz="4" w:space="0" w:color="auto"/>
                                    <w:left w:val="single" w:sz="4" w:space="0" w:color="auto"/>
                                    <w:bottom w:val="single" w:sz="4" w:space="0" w:color="auto"/>
                                    <w:right w:val="single" w:sz="4" w:space="0" w:color="auto"/>
                                  </w:tcBorders>
                                  <w:hideMark/>
                                </w:tcPr>
                                <w:p w14:paraId="111A9E3D" w14:textId="77777777" w:rsidR="00E64B48" w:rsidRDefault="00E64B48">
                                  <w:pPr>
                                    <w:jc w:val="right"/>
                                    <w:rPr>
                                      <w:rFonts w:ascii="標楷體" w:eastAsia="標楷體" w:hAnsi="標楷體"/>
                                      <w:b/>
                                      <w:sz w:val="20"/>
                                    </w:rPr>
                                  </w:pPr>
                                  <w:r>
                                    <w:rPr>
                                      <w:rFonts w:ascii="標楷體" w:eastAsia="標楷體" w:hAnsi="標楷體" w:hint="eastAsia"/>
                                      <w:b/>
                                      <w:sz w:val="20"/>
                                    </w:rPr>
                                    <w:t>3,715</w:t>
                                  </w:r>
                                </w:p>
                              </w:tc>
                              <w:tc>
                                <w:tcPr>
                                  <w:tcW w:w="1347" w:type="dxa"/>
                                  <w:tcBorders>
                                    <w:top w:val="single" w:sz="4" w:space="0" w:color="auto"/>
                                    <w:left w:val="single" w:sz="4" w:space="0" w:color="auto"/>
                                    <w:bottom w:val="single" w:sz="4" w:space="0" w:color="auto"/>
                                    <w:right w:val="single" w:sz="4" w:space="0" w:color="auto"/>
                                  </w:tcBorders>
                                  <w:hideMark/>
                                </w:tcPr>
                                <w:p w14:paraId="453550D1" w14:textId="77777777" w:rsidR="00E64B48" w:rsidRDefault="00E64B48">
                                  <w:pPr>
                                    <w:jc w:val="right"/>
                                    <w:rPr>
                                      <w:rFonts w:ascii="標楷體" w:eastAsia="標楷體" w:hAnsi="標楷體"/>
                                      <w:b/>
                                      <w:sz w:val="20"/>
                                    </w:rPr>
                                  </w:pPr>
                                  <w:r>
                                    <w:rPr>
                                      <w:rFonts w:ascii="標楷體" w:eastAsia="標楷體" w:hAnsi="標楷體" w:hint="eastAsia"/>
                                      <w:b/>
                                      <w:sz w:val="20"/>
                                    </w:rPr>
                                    <w:t>1,410.83</w:t>
                                  </w:r>
                                </w:p>
                              </w:tc>
                            </w:tr>
                            <w:tr w:rsidR="00E64B48" w14:paraId="718634D4" w14:textId="77777777" w:rsidTr="00926E69">
                              <w:tc>
                                <w:tcPr>
                                  <w:tcW w:w="846" w:type="dxa"/>
                                  <w:tcBorders>
                                    <w:top w:val="single" w:sz="4" w:space="0" w:color="auto"/>
                                    <w:left w:val="single" w:sz="4" w:space="0" w:color="auto"/>
                                    <w:bottom w:val="single" w:sz="4" w:space="0" w:color="auto"/>
                                    <w:right w:val="single" w:sz="4" w:space="0" w:color="auto"/>
                                  </w:tcBorders>
                                  <w:hideMark/>
                                </w:tcPr>
                                <w:p w14:paraId="6D2A2CDD" w14:textId="77777777" w:rsidR="00E64B48" w:rsidRDefault="00E64B48">
                                  <w:pPr>
                                    <w:jc w:val="center"/>
                                    <w:rPr>
                                      <w:rFonts w:ascii="標楷體" w:eastAsia="標楷體" w:hAnsi="標楷體"/>
                                      <w:sz w:val="20"/>
                                    </w:rPr>
                                  </w:pPr>
                                  <w:r>
                                    <w:rPr>
                                      <w:rFonts w:ascii="標楷體" w:eastAsia="標楷體" w:hAnsi="標楷體" w:hint="eastAsia"/>
                                      <w:sz w:val="20"/>
                                    </w:rPr>
                                    <w:t>公司</w:t>
                                  </w:r>
                                </w:p>
                              </w:tc>
                              <w:tc>
                                <w:tcPr>
                                  <w:tcW w:w="1346" w:type="dxa"/>
                                  <w:tcBorders>
                                    <w:top w:val="single" w:sz="4" w:space="0" w:color="auto"/>
                                    <w:left w:val="single" w:sz="4" w:space="0" w:color="auto"/>
                                    <w:bottom w:val="single" w:sz="4" w:space="0" w:color="auto"/>
                                    <w:right w:val="single" w:sz="4" w:space="0" w:color="auto"/>
                                  </w:tcBorders>
                                  <w:hideMark/>
                                </w:tcPr>
                                <w:p w14:paraId="0607FBB2" w14:textId="77777777" w:rsidR="00E64B48" w:rsidRDefault="00E64B48">
                                  <w:pPr>
                                    <w:jc w:val="right"/>
                                    <w:rPr>
                                      <w:rFonts w:ascii="標楷體" w:eastAsia="標楷體" w:hAnsi="標楷體"/>
                                      <w:sz w:val="20"/>
                                    </w:rPr>
                                  </w:pPr>
                                  <w:r>
                                    <w:rPr>
                                      <w:rFonts w:ascii="標楷體" w:eastAsia="標楷體" w:hAnsi="標楷體" w:hint="eastAsia"/>
                                      <w:sz w:val="20"/>
                                    </w:rPr>
                                    <w:t>3,450</w:t>
                                  </w:r>
                                </w:p>
                              </w:tc>
                              <w:tc>
                                <w:tcPr>
                                  <w:tcW w:w="1347" w:type="dxa"/>
                                  <w:tcBorders>
                                    <w:top w:val="single" w:sz="4" w:space="0" w:color="auto"/>
                                    <w:left w:val="single" w:sz="4" w:space="0" w:color="auto"/>
                                    <w:bottom w:val="single" w:sz="4" w:space="0" w:color="auto"/>
                                    <w:right w:val="single" w:sz="4" w:space="0" w:color="auto"/>
                                  </w:tcBorders>
                                  <w:hideMark/>
                                </w:tcPr>
                                <w:p w14:paraId="7B4F943B" w14:textId="77777777" w:rsidR="00E64B48" w:rsidRDefault="00E64B48">
                                  <w:pPr>
                                    <w:jc w:val="right"/>
                                    <w:rPr>
                                      <w:rFonts w:ascii="標楷體" w:eastAsia="標楷體" w:hAnsi="標楷體"/>
                                      <w:sz w:val="20"/>
                                    </w:rPr>
                                  </w:pPr>
                                  <w:r>
                                    <w:rPr>
                                      <w:rFonts w:ascii="標楷體" w:eastAsia="標楷體" w:hAnsi="標楷體" w:hint="eastAsia"/>
                                      <w:sz w:val="20"/>
                                    </w:rPr>
                                    <w:t>1,065.29</w:t>
                                  </w:r>
                                </w:p>
                              </w:tc>
                              <w:tc>
                                <w:tcPr>
                                  <w:tcW w:w="1346" w:type="dxa"/>
                                  <w:tcBorders>
                                    <w:top w:val="single" w:sz="4" w:space="0" w:color="auto"/>
                                    <w:left w:val="single" w:sz="4" w:space="0" w:color="auto"/>
                                    <w:bottom w:val="single" w:sz="4" w:space="0" w:color="auto"/>
                                    <w:right w:val="single" w:sz="4" w:space="0" w:color="auto"/>
                                  </w:tcBorders>
                                  <w:hideMark/>
                                </w:tcPr>
                                <w:p w14:paraId="36F6A0F5" w14:textId="77777777" w:rsidR="00E64B48" w:rsidRDefault="00E64B48">
                                  <w:pPr>
                                    <w:jc w:val="right"/>
                                    <w:rPr>
                                      <w:rFonts w:ascii="標楷體" w:eastAsia="標楷體" w:hAnsi="標楷體"/>
                                      <w:sz w:val="20"/>
                                    </w:rPr>
                                  </w:pPr>
                                  <w:r>
                                    <w:rPr>
                                      <w:rFonts w:ascii="標楷體" w:eastAsia="標楷體" w:hAnsi="標楷體" w:hint="eastAsia"/>
                                      <w:sz w:val="20"/>
                                    </w:rPr>
                                    <w:t>1,979</w:t>
                                  </w:r>
                                </w:p>
                              </w:tc>
                              <w:tc>
                                <w:tcPr>
                                  <w:tcW w:w="1347" w:type="dxa"/>
                                  <w:tcBorders>
                                    <w:top w:val="single" w:sz="4" w:space="0" w:color="auto"/>
                                    <w:left w:val="single" w:sz="4" w:space="0" w:color="auto"/>
                                    <w:bottom w:val="single" w:sz="4" w:space="0" w:color="auto"/>
                                    <w:right w:val="single" w:sz="4" w:space="0" w:color="auto"/>
                                  </w:tcBorders>
                                  <w:hideMark/>
                                </w:tcPr>
                                <w:p w14:paraId="2E89A4DB" w14:textId="77777777" w:rsidR="00E64B48" w:rsidRDefault="00E64B48">
                                  <w:pPr>
                                    <w:jc w:val="right"/>
                                    <w:rPr>
                                      <w:rFonts w:ascii="標楷體" w:eastAsia="標楷體" w:hAnsi="標楷體"/>
                                      <w:sz w:val="20"/>
                                    </w:rPr>
                                  </w:pPr>
                                  <w:r>
                                    <w:rPr>
                                      <w:rFonts w:ascii="標楷體" w:eastAsia="標楷體" w:hAnsi="標楷體" w:hint="eastAsia"/>
                                      <w:sz w:val="20"/>
                                    </w:rPr>
                                    <w:t>711.95</w:t>
                                  </w:r>
                                </w:p>
                              </w:tc>
                            </w:tr>
                            <w:tr w:rsidR="00E64B48" w14:paraId="49A31ACC" w14:textId="77777777" w:rsidTr="00926E69">
                              <w:tc>
                                <w:tcPr>
                                  <w:tcW w:w="846" w:type="dxa"/>
                                  <w:tcBorders>
                                    <w:top w:val="single" w:sz="4" w:space="0" w:color="auto"/>
                                    <w:left w:val="single" w:sz="4" w:space="0" w:color="auto"/>
                                    <w:bottom w:val="single" w:sz="4" w:space="0" w:color="auto"/>
                                    <w:right w:val="single" w:sz="4" w:space="0" w:color="auto"/>
                                  </w:tcBorders>
                                  <w:hideMark/>
                                </w:tcPr>
                                <w:p w14:paraId="44A5AFF6" w14:textId="77777777" w:rsidR="00E64B48" w:rsidRDefault="00E64B48">
                                  <w:pPr>
                                    <w:jc w:val="center"/>
                                    <w:rPr>
                                      <w:rFonts w:ascii="標楷體" w:eastAsia="標楷體" w:hAnsi="標楷體"/>
                                      <w:sz w:val="20"/>
                                    </w:rPr>
                                  </w:pPr>
                                  <w:r>
                                    <w:rPr>
                                      <w:rFonts w:ascii="標楷體" w:eastAsia="標楷體" w:hAnsi="標楷體" w:hint="eastAsia"/>
                                      <w:sz w:val="20"/>
                                    </w:rPr>
                                    <w:t>商業</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35C4F74" w14:textId="77777777" w:rsidR="00E64B48" w:rsidRDefault="00E64B48">
                                  <w:pPr>
                                    <w:jc w:val="right"/>
                                    <w:rPr>
                                      <w:rFonts w:ascii="標楷體" w:eastAsia="標楷體" w:hAnsi="標楷體"/>
                                      <w:bCs/>
                                      <w:sz w:val="20"/>
                                    </w:rPr>
                                  </w:pPr>
                                  <w:r>
                                    <w:rPr>
                                      <w:rFonts w:ascii="標楷體" w:eastAsia="標楷體" w:hAnsi="標楷體" w:hint="eastAsia"/>
                                      <w:bCs/>
                                      <w:sz w:val="20"/>
                                    </w:rPr>
                                    <w:t>3,053</w:t>
                                  </w:r>
                                </w:p>
                              </w:tc>
                              <w:tc>
                                <w:tcPr>
                                  <w:tcW w:w="1347" w:type="dxa"/>
                                  <w:tcBorders>
                                    <w:top w:val="single" w:sz="4" w:space="0" w:color="auto"/>
                                    <w:left w:val="single" w:sz="4" w:space="0" w:color="auto"/>
                                    <w:bottom w:val="single" w:sz="4" w:space="0" w:color="auto"/>
                                    <w:right w:val="single" w:sz="4" w:space="0" w:color="auto"/>
                                  </w:tcBorders>
                                  <w:vAlign w:val="center"/>
                                  <w:hideMark/>
                                </w:tcPr>
                                <w:p w14:paraId="2760DBE0" w14:textId="77777777" w:rsidR="00E64B48" w:rsidRDefault="00E64B48">
                                  <w:pPr>
                                    <w:jc w:val="right"/>
                                    <w:rPr>
                                      <w:rFonts w:ascii="標楷體" w:eastAsia="標楷體" w:hAnsi="標楷體"/>
                                      <w:bCs/>
                                      <w:sz w:val="20"/>
                                    </w:rPr>
                                  </w:pPr>
                                  <w:r>
                                    <w:rPr>
                                      <w:rFonts w:ascii="標楷體" w:eastAsia="標楷體" w:hAnsi="標楷體" w:hint="eastAsia"/>
                                      <w:bCs/>
                                      <w:sz w:val="20"/>
                                    </w:rPr>
                                    <w:t>1,748.90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DFE5D5" w14:textId="77777777" w:rsidR="00E64B48" w:rsidRDefault="00E64B48">
                                  <w:pPr>
                                    <w:jc w:val="right"/>
                                    <w:rPr>
                                      <w:rFonts w:ascii="標楷體" w:eastAsia="標楷體" w:hAnsi="標楷體"/>
                                      <w:bCs/>
                                      <w:sz w:val="20"/>
                                    </w:rPr>
                                  </w:pPr>
                                  <w:r>
                                    <w:rPr>
                                      <w:rFonts w:ascii="標楷體" w:eastAsia="標楷體" w:hAnsi="標楷體" w:hint="eastAsia"/>
                                      <w:bCs/>
                                      <w:sz w:val="20"/>
                                    </w:rPr>
                                    <w:t>1,736</w:t>
                                  </w:r>
                                </w:p>
                              </w:tc>
                              <w:tc>
                                <w:tcPr>
                                  <w:tcW w:w="1347" w:type="dxa"/>
                                  <w:tcBorders>
                                    <w:top w:val="single" w:sz="4" w:space="0" w:color="auto"/>
                                    <w:left w:val="single" w:sz="4" w:space="0" w:color="auto"/>
                                    <w:bottom w:val="single" w:sz="4" w:space="0" w:color="auto"/>
                                    <w:right w:val="single" w:sz="4" w:space="0" w:color="auto"/>
                                  </w:tcBorders>
                                  <w:vAlign w:val="center"/>
                                  <w:hideMark/>
                                </w:tcPr>
                                <w:p w14:paraId="2D8104D5" w14:textId="77777777" w:rsidR="00E64B48" w:rsidRDefault="00E64B48">
                                  <w:pPr>
                                    <w:jc w:val="right"/>
                                    <w:rPr>
                                      <w:rFonts w:ascii="標楷體" w:eastAsia="標楷體" w:hAnsi="標楷體"/>
                                      <w:bCs/>
                                      <w:sz w:val="20"/>
                                    </w:rPr>
                                  </w:pPr>
                                  <w:r>
                                    <w:rPr>
                                      <w:rFonts w:ascii="標楷體" w:eastAsia="標楷體" w:hAnsi="標楷體" w:hint="eastAsia"/>
                                      <w:bCs/>
                                      <w:sz w:val="20"/>
                                    </w:rPr>
                                    <w:t>698.88</w:t>
                                  </w:r>
                                </w:p>
                              </w:tc>
                            </w:tr>
                          </w:tbl>
                          <w:p w14:paraId="1147DF86" w14:textId="77777777" w:rsidR="00E64B48" w:rsidRDefault="00E64B48" w:rsidP="00E64B48">
                            <w:pPr>
                              <w:spacing w:line="240" w:lineRule="exact"/>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：1.資料時點：114年3月19日。</w:t>
                            </w:r>
                          </w:p>
                          <w:p w14:paraId="0D56E23D" w14:textId="77777777" w:rsidR="00E64B48" w:rsidRDefault="00E64B48" w:rsidP="00E64B48">
                            <w:pPr>
                              <w:spacing w:line="240" w:lineRule="exact"/>
                              <w:ind w:leftChars="150" w:left="540" w:hangingChars="100" w:hanging="180"/>
                              <w:jc w:val="both"/>
                              <w:rPr>
                                <w:rFonts w:ascii="標楷體" w:eastAsia="標楷體" w:hAnsi="標楷體"/>
                                <w:sz w:val="18"/>
                              </w:rPr>
                            </w:pPr>
                            <w:r>
                              <w:rPr>
                                <w:rFonts w:ascii="標楷體" w:eastAsia="標楷體" w:hAnsi="標楷體" w:hint="eastAsia"/>
                                <w:sz w:val="18"/>
                              </w:rPr>
                              <w:t>2.係農業發展條例第3條第10款及其施行細則第2條規定之土地。</w:t>
                            </w:r>
                          </w:p>
                          <w:p w14:paraId="5931E75F" w14:textId="77777777" w:rsidR="00E64B48" w:rsidRDefault="00E64B48" w:rsidP="00E64B48">
                            <w:pPr>
                              <w:spacing w:line="240" w:lineRule="exact"/>
                              <w:ind w:leftChars="150" w:left="540" w:hangingChars="100" w:hanging="180"/>
                              <w:jc w:val="both"/>
                              <w:rPr>
                                <w:rFonts w:ascii="標楷體" w:eastAsia="標楷體" w:hAnsi="標楷體"/>
                                <w:sz w:val="18"/>
                              </w:rPr>
                            </w:pPr>
                            <w:r>
                              <w:rPr>
                                <w:rFonts w:ascii="標楷體" w:eastAsia="標楷體" w:hAnsi="標楷體" w:hint="eastAsia"/>
                                <w:sz w:val="18"/>
                              </w:rPr>
                              <w:t>3.係國土保育地區第一類及第二類之非都市土地農牧用地、養殖用地；農業發展地區</w:t>
                            </w:r>
                            <w:proofErr w:type="gramStart"/>
                            <w:r>
                              <w:rPr>
                                <w:rFonts w:ascii="標楷體" w:eastAsia="標楷體" w:hAnsi="標楷體" w:hint="eastAsia"/>
                                <w:sz w:val="18"/>
                              </w:rPr>
                              <w:t>第一類至第三</w:t>
                            </w:r>
                            <w:proofErr w:type="gramEnd"/>
                            <w:r>
                              <w:rPr>
                                <w:rFonts w:ascii="標楷體" w:eastAsia="標楷體" w:hAnsi="標楷體" w:hint="eastAsia"/>
                                <w:sz w:val="18"/>
                              </w:rPr>
                              <w:t>類之非都市土地農牧用地、養殖用地；農業發展地區第五類之都市計畫農業區。</w:t>
                            </w:r>
                          </w:p>
                          <w:p w14:paraId="6A85FD9A" w14:textId="77777777" w:rsidR="00E64B48" w:rsidRDefault="00E64B48" w:rsidP="00E64B48">
                            <w:pPr>
                              <w:spacing w:line="240" w:lineRule="exact"/>
                              <w:ind w:leftChars="150" w:left="540" w:hangingChars="100" w:hanging="180"/>
                              <w:jc w:val="both"/>
                              <w:rPr>
                                <w:rFonts w:ascii="標楷體" w:eastAsia="標楷體" w:hAnsi="標楷體"/>
                                <w:sz w:val="18"/>
                              </w:rPr>
                            </w:pPr>
                            <w:r>
                              <w:rPr>
                                <w:rFonts w:ascii="標楷體" w:eastAsia="標楷體" w:hAnsi="標楷體" w:hint="eastAsia"/>
                                <w:sz w:val="18"/>
                              </w:rPr>
                              <w:t>4.整理自經濟部商工行政資料平台網站及內政部提供資料。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706002" id="文字方塊 2008327072" o:spid="_x0000_s1084" type="#_x0000_t202" style="position:absolute;left:0;text-align:left;margin-left:170.8pt;margin-top:147.75pt;width:325.2pt;height:184.2pt;z-index:251620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" filled="f" stroked="f">
                <v:textbox>
                  <w:txbxContent>
                    <w:p w14:paraId="79517D5E" w14:textId="77777777" w:rsidR="00E64B48" w:rsidRDefault="00E64B48" w:rsidP="00E64B48">
                      <w:pPr>
                        <w:jc w:val="center"/>
                        <w:rPr>
                          <w:rFonts w:ascii="標楷體" w:eastAsia="標楷體" w:hAnsi="標楷體"/>
                          <w:b/>
                        </w:rPr>
                      </w:pPr>
                      <w:r>
                        <w:rPr>
                          <w:rFonts w:ascii="標楷體" w:eastAsia="標楷體" w:hAnsi="標楷體" w:hint="eastAsia"/>
                          <w:b/>
                        </w:rPr>
                        <w:t>表3</w:t>
                      </w:r>
                      <w:r>
                        <w:rPr>
                          <w:rFonts w:ascii="標楷體" w:eastAsia="標楷體" w:hAnsi="標楷體"/>
                          <w:b/>
                        </w:rPr>
                        <w:t>2</w:t>
                      </w:r>
                      <w:r>
                        <w:rPr>
                          <w:rFonts w:ascii="標楷體" w:eastAsia="標楷體" w:hAnsi="標楷體" w:hint="eastAsia"/>
                          <w:b/>
                        </w:rPr>
                        <w:t xml:space="preserve">  製造業設立登記於農業用地情形</w:t>
                      </w:r>
                    </w:p>
                    <w:p w14:paraId="4643728A" w14:textId="77777777" w:rsidR="00E64B48" w:rsidRDefault="00E64B48" w:rsidP="00E64B48">
                      <w:pPr>
                        <w:jc w:val="right"/>
                        <w:rPr>
                          <w:rFonts w:ascii="標楷體" w:eastAsia="標楷體" w:hAnsi="標楷體"/>
                        </w:rPr>
                      </w:pPr>
                      <w:r>
                        <w:rPr>
                          <w:rFonts w:ascii="標楷體" w:eastAsia="標楷體" w:hAnsi="標楷體" w:hint="eastAsia"/>
                          <w:sz w:val="20"/>
                        </w:rPr>
                        <w:t>單位：家、公頃</w:t>
                      </w:r>
                    </w:p>
                    <w:tbl>
                      <w:tblPr>
                        <w:tblStyle w:val="afff"/>
                        <w:tblW w:w="6232" w:type="dxa"/>
                        <w:tblInd w:w="108" w:type="dxa"/>
                        <w:tblLook w:val="04A0" w:firstRow="1" w:lastRow="0" w:firstColumn="1" w:lastColumn="0" w:noHBand="0" w:noVBand="1"/>
                      </w:tblPr>
                      <w:tblGrid>
                        <w:gridCol w:w="846"/>
                        <w:gridCol w:w="1346"/>
                        <w:gridCol w:w="1347"/>
                        <w:gridCol w:w="1346"/>
                        <w:gridCol w:w="1347"/>
                      </w:tblGrid>
                      <w:tr w:rsidR="00E64B48" w14:paraId="407CA127" w14:textId="77777777" w:rsidTr="00926E69">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248DE77C" w14:textId="77777777" w:rsidR="00E64B48" w:rsidRDefault="00E64B48">
                            <w:pPr>
                              <w:jc w:val="center"/>
                              <w:rPr>
                                <w:rFonts w:ascii="標楷體" w:eastAsia="標楷體" w:hAnsi="標楷體"/>
                                <w:sz w:val="20"/>
                              </w:rPr>
                            </w:pPr>
                            <w:r>
                              <w:rPr>
                                <w:rFonts w:ascii="標楷體" w:eastAsia="標楷體" w:hAnsi="標楷體" w:hint="eastAsia"/>
                                <w:sz w:val="20"/>
                              </w:rPr>
                              <w:t>組織別</w:t>
                            </w:r>
                          </w:p>
                        </w:tc>
                        <w:tc>
                          <w:tcPr>
                            <w:tcW w:w="2693" w:type="dxa"/>
                            <w:gridSpan w:val="2"/>
                            <w:tcBorders>
                              <w:top w:val="single" w:sz="4" w:space="0" w:color="auto"/>
                              <w:left w:val="single" w:sz="4" w:space="0" w:color="auto"/>
                              <w:bottom w:val="single" w:sz="4" w:space="0" w:color="auto"/>
                              <w:right w:val="single" w:sz="4" w:space="0" w:color="auto"/>
                            </w:tcBorders>
                            <w:hideMark/>
                          </w:tcPr>
                          <w:p w14:paraId="72F6413B" w14:textId="77777777" w:rsidR="00E64B48" w:rsidRDefault="00E64B48">
                            <w:pPr>
                              <w:jc w:val="center"/>
                              <w:rPr>
                                <w:rFonts w:ascii="標楷體" w:eastAsia="標楷體" w:hAnsi="標楷體"/>
                                <w:sz w:val="20"/>
                              </w:rPr>
                            </w:pPr>
                            <w:r>
                              <w:rPr>
                                <w:rFonts w:ascii="標楷體" w:eastAsia="標楷體" w:hAnsi="標楷體" w:hint="eastAsia"/>
                                <w:sz w:val="20"/>
                              </w:rPr>
                              <w:t>農業用地（</w:t>
                            </w:r>
                            <w:proofErr w:type="gramStart"/>
                            <w:r>
                              <w:rPr>
                                <w:rFonts w:ascii="標楷體" w:eastAsia="標楷體" w:hAnsi="標楷體" w:hint="eastAsia"/>
                                <w:sz w:val="20"/>
                              </w:rPr>
                              <w:t>註</w:t>
                            </w:r>
                            <w:proofErr w:type="gramEnd"/>
                            <w:r>
                              <w:rPr>
                                <w:rFonts w:ascii="標楷體" w:eastAsia="標楷體" w:hAnsi="標楷體" w:hint="eastAsia"/>
                                <w:sz w:val="20"/>
                              </w:rPr>
                              <w:t>2）</w:t>
                            </w:r>
                          </w:p>
                        </w:tc>
                        <w:tc>
                          <w:tcPr>
                            <w:tcW w:w="2693" w:type="dxa"/>
                            <w:gridSpan w:val="2"/>
                            <w:tcBorders>
                              <w:top w:val="single" w:sz="4" w:space="0" w:color="auto"/>
                              <w:left w:val="single" w:sz="4" w:space="0" w:color="auto"/>
                              <w:bottom w:val="single" w:sz="4" w:space="0" w:color="auto"/>
                              <w:right w:val="single" w:sz="4" w:space="0" w:color="auto"/>
                            </w:tcBorders>
                            <w:hideMark/>
                          </w:tcPr>
                          <w:p w14:paraId="6C3175AF" w14:textId="77777777" w:rsidR="00E64B48" w:rsidRDefault="00E64B48">
                            <w:pPr>
                              <w:jc w:val="center"/>
                              <w:rPr>
                                <w:rFonts w:ascii="標楷體" w:eastAsia="標楷體" w:hAnsi="標楷體"/>
                                <w:sz w:val="20"/>
                              </w:rPr>
                            </w:pPr>
                            <w:r>
                              <w:rPr>
                                <w:rFonts w:ascii="標楷體" w:eastAsia="標楷體" w:hAnsi="標楷體" w:hint="eastAsia"/>
                                <w:sz w:val="20"/>
                              </w:rPr>
                              <w:t>可供糧食生產土地（</w:t>
                            </w:r>
                            <w:proofErr w:type="gramStart"/>
                            <w:r>
                              <w:rPr>
                                <w:rFonts w:ascii="標楷體" w:eastAsia="標楷體" w:hAnsi="標楷體" w:hint="eastAsia"/>
                                <w:sz w:val="20"/>
                              </w:rPr>
                              <w:t>註</w:t>
                            </w:r>
                            <w:proofErr w:type="gramEnd"/>
                            <w:r>
                              <w:rPr>
                                <w:rFonts w:ascii="標楷體" w:eastAsia="標楷體" w:hAnsi="標楷體" w:hint="eastAsia"/>
                                <w:sz w:val="20"/>
                              </w:rPr>
                              <w:t>3）</w:t>
                            </w:r>
                          </w:p>
                        </w:tc>
                      </w:tr>
                      <w:tr w:rsidR="00E64B48" w14:paraId="3619EDA8" w14:textId="77777777" w:rsidTr="00926E69">
                        <w:tc>
                          <w:tcPr>
                            <w:tcW w:w="0" w:type="auto"/>
                            <w:vMerge/>
                            <w:tcBorders>
                              <w:top w:val="single" w:sz="4" w:space="0" w:color="auto"/>
                              <w:left w:val="single" w:sz="4" w:space="0" w:color="auto"/>
                              <w:bottom w:val="single" w:sz="4" w:space="0" w:color="auto"/>
                              <w:right w:val="single" w:sz="4" w:space="0" w:color="auto"/>
                            </w:tcBorders>
                            <w:vAlign w:val="center"/>
                            <w:hideMark/>
                          </w:tcPr>
                          <w:p w14:paraId="083F2246" w14:textId="77777777" w:rsidR="00E64B48" w:rsidRDefault="00E64B48">
                            <w:pPr>
                              <w:widowControl/>
                              <w:rPr>
                                <w:rFonts w:ascii="標楷體" w:eastAsia="標楷體" w:hAnsi="標楷體"/>
                                <w:sz w:val="20"/>
                              </w:rPr>
                            </w:pPr>
                          </w:p>
                        </w:tc>
                        <w:tc>
                          <w:tcPr>
                            <w:tcW w:w="1346" w:type="dxa"/>
                            <w:tcBorders>
                              <w:top w:val="single" w:sz="4" w:space="0" w:color="auto"/>
                              <w:left w:val="single" w:sz="4" w:space="0" w:color="auto"/>
                              <w:bottom w:val="single" w:sz="4" w:space="0" w:color="auto"/>
                              <w:right w:val="single" w:sz="4" w:space="0" w:color="auto"/>
                            </w:tcBorders>
                            <w:vAlign w:val="center"/>
                            <w:hideMark/>
                          </w:tcPr>
                          <w:p w14:paraId="79128761" w14:textId="77777777" w:rsidR="00E64B48" w:rsidRDefault="00E64B48">
                            <w:pPr>
                              <w:jc w:val="center"/>
                              <w:rPr>
                                <w:rFonts w:ascii="標楷體" w:eastAsia="標楷體" w:hAnsi="標楷體"/>
                                <w:sz w:val="20"/>
                              </w:rPr>
                            </w:pPr>
                            <w:r>
                              <w:rPr>
                                <w:rFonts w:ascii="標楷體" w:eastAsia="標楷體" w:hAnsi="標楷體" w:hint="eastAsia"/>
                                <w:sz w:val="20"/>
                              </w:rPr>
                              <w:t>家數</w:t>
                            </w:r>
                          </w:p>
                        </w:tc>
                        <w:tc>
                          <w:tcPr>
                            <w:tcW w:w="1347" w:type="dxa"/>
                            <w:tcBorders>
                              <w:top w:val="single" w:sz="4" w:space="0" w:color="auto"/>
                              <w:left w:val="single" w:sz="4" w:space="0" w:color="auto"/>
                              <w:bottom w:val="single" w:sz="4" w:space="0" w:color="auto"/>
                              <w:right w:val="single" w:sz="4" w:space="0" w:color="auto"/>
                            </w:tcBorders>
                            <w:vAlign w:val="center"/>
                            <w:hideMark/>
                          </w:tcPr>
                          <w:p w14:paraId="56E09E08" w14:textId="77777777" w:rsidR="00E64B48" w:rsidRDefault="00E64B48">
                            <w:pPr>
                              <w:jc w:val="center"/>
                              <w:rPr>
                                <w:rFonts w:ascii="標楷體" w:eastAsia="標楷體" w:hAnsi="標楷體"/>
                                <w:sz w:val="20"/>
                              </w:rPr>
                            </w:pPr>
                            <w:r>
                              <w:rPr>
                                <w:rFonts w:ascii="標楷體" w:eastAsia="標楷體" w:hAnsi="標楷體" w:hint="eastAsia"/>
                                <w:sz w:val="20"/>
                              </w:rPr>
                              <w:t>土地面積</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21B743F" w14:textId="77777777" w:rsidR="00E64B48" w:rsidRDefault="00E64B48">
                            <w:pPr>
                              <w:jc w:val="center"/>
                              <w:rPr>
                                <w:rFonts w:ascii="標楷體" w:eastAsia="標楷體" w:hAnsi="標楷體"/>
                                <w:sz w:val="20"/>
                              </w:rPr>
                            </w:pPr>
                            <w:r>
                              <w:rPr>
                                <w:rFonts w:ascii="標楷體" w:eastAsia="標楷體" w:hAnsi="標楷體" w:hint="eastAsia"/>
                                <w:sz w:val="20"/>
                              </w:rPr>
                              <w:t>家數</w:t>
                            </w:r>
                          </w:p>
                        </w:tc>
                        <w:tc>
                          <w:tcPr>
                            <w:tcW w:w="1347" w:type="dxa"/>
                            <w:tcBorders>
                              <w:top w:val="single" w:sz="4" w:space="0" w:color="auto"/>
                              <w:left w:val="single" w:sz="4" w:space="0" w:color="auto"/>
                              <w:bottom w:val="single" w:sz="4" w:space="0" w:color="auto"/>
                              <w:right w:val="single" w:sz="4" w:space="0" w:color="auto"/>
                            </w:tcBorders>
                            <w:vAlign w:val="center"/>
                            <w:hideMark/>
                          </w:tcPr>
                          <w:p w14:paraId="72475878" w14:textId="77777777" w:rsidR="00E64B48" w:rsidRDefault="00E64B48">
                            <w:pPr>
                              <w:jc w:val="center"/>
                              <w:rPr>
                                <w:rFonts w:ascii="標楷體" w:eastAsia="標楷體" w:hAnsi="標楷體"/>
                                <w:sz w:val="20"/>
                              </w:rPr>
                            </w:pPr>
                            <w:r>
                              <w:rPr>
                                <w:rFonts w:ascii="標楷體" w:eastAsia="標楷體" w:hAnsi="標楷體" w:hint="eastAsia"/>
                                <w:sz w:val="20"/>
                              </w:rPr>
                              <w:t>土地面積</w:t>
                            </w:r>
                          </w:p>
                        </w:tc>
                      </w:tr>
                      <w:tr w:rsidR="00E64B48" w14:paraId="296A46C8" w14:textId="77777777" w:rsidTr="00926E69">
                        <w:tc>
                          <w:tcPr>
                            <w:tcW w:w="846" w:type="dxa"/>
                            <w:tcBorders>
                              <w:top w:val="single" w:sz="4" w:space="0" w:color="auto"/>
                              <w:left w:val="single" w:sz="4" w:space="0" w:color="auto"/>
                              <w:bottom w:val="single" w:sz="4" w:space="0" w:color="auto"/>
                              <w:right w:val="single" w:sz="4" w:space="0" w:color="auto"/>
                            </w:tcBorders>
                            <w:hideMark/>
                          </w:tcPr>
                          <w:p w14:paraId="1BBF0C64" w14:textId="77777777" w:rsidR="00E64B48" w:rsidRDefault="00E64B48">
                            <w:pPr>
                              <w:jc w:val="center"/>
                              <w:rPr>
                                <w:rFonts w:ascii="標楷體" w:eastAsia="標楷體" w:hAnsi="標楷體"/>
                                <w:b/>
                                <w:sz w:val="20"/>
                              </w:rPr>
                            </w:pPr>
                            <w:r>
                              <w:rPr>
                                <w:rFonts w:ascii="標楷體" w:eastAsia="標楷體" w:hAnsi="標楷體" w:hint="eastAsia"/>
                                <w:b/>
                                <w:sz w:val="20"/>
                              </w:rPr>
                              <w:t>合計</w:t>
                            </w:r>
                          </w:p>
                        </w:tc>
                        <w:tc>
                          <w:tcPr>
                            <w:tcW w:w="1346" w:type="dxa"/>
                            <w:tcBorders>
                              <w:top w:val="single" w:sz="4" w:space="0" w:color="auto"/>
                              <w:left w:val="single" w:sz="4" w:space="0" w:color="auto"/>
                              <w:bottom w:val="single" w:sz="4" w:space="0" w:color="auto"/>
                              <w:right w:val="single" w:sz="4" w:space="0" w:color="auto"/>
                            </w:tcBorders>
                            <w:hideMark/>
                          </w:tcPr>
                          <w:p w14:paraId="0B4B2150" w14:textId="77777777" w:rsidR="00E64B48" w:rsidRDefault="00E64B48">
                            <w:pPr>
                              <w:jc w:val="right"/>
                              <w:rPr>
                                <w:rFonts w:ascii="標楷體" w:eastAsia="標楷體" w:hAnsi="標楷體"/>
                                <w:b/>
                                <w:sz w:val="20"/>
                              </w:rPr>
                            </w:pPr>
                            <w:r>
                              <w:rPr>
                                <w:rFonts w:ascii="標楷體" w:eastAsia="標楷體" w:hAnsi="標楷體" w:hint="eastAsia"/>
                                <w:b/>
                                <w:sz w:val="20"/>
                              </w:rPr>
                              <w:t>6,503</w:t>
                            </w:r>
                          </w:p>
                        </w:tc>
                        <w:tc>
                          <w:tcPr>
                            <w:tcW w:w="1347" w:type="dxa"/>
                            <w:tcBorders>
                              <w:top w:val="single" w:sz="4" w:space="0" w:color="auto"/>
                              <w:left w:val="single" w:sz="4" w:space="0" w:color="auto"/>
                              <w:bottom w:val="single" w:sz="4" w:space="0" w:color="auto"/>
                              <w:right w:val="single" w:sz="4" w:space="0" w:color="auto"/>
                            </w:tcBorders>
                            <w:hideMark/>
                          </w:tcPr>
                          <w:p w14:paraId="5C49AA64" w14:textId="77777777" w:rsidR="00E64B48" w:rsidRDefault="00E64B48">
                            <w:pPr>
                              <w:jc w:val="right"/>
                              <w:rPr>
                                <w:rFonts w:ascii="標楷體" w:eastAsia="標楷體" w:hAnsi="標楷體"/>
                                <w:b/>
                                <w:sz w:val="20"/>
                              </w:rPr>
                            </w:pPr>
                            <w:r>
                              <w:rPr>
                                <w:rFonts w:ascii="標楷體" w:eastAsia="標楷體" w:hAnsi="標楷體" w:hint="eastAsia"/>
                                <w:b/>
                                <w:sz w:val="20"/>
                              </w:rPr>
                              <w:t>2,814.19</w:t>
                            </w:r>
                          </w:p>
                        </w:tc>
                        <w:tc>
                          <w:tcPr>
                            <w:tcW w:w="1346" w:type="dxa"/>
                            <w:tcBorders>
                              <w:top w:val="single" w:sz="4" w:space="0" w:color="auto"/>
                              <w:left w:val="single" w:sz="4" w:space="0" w:color="auto"/>
                              <w:bottom w:val="single" w:sz="4" w:space="0" w:color="auto"/>
                              <w:right w:val="single" w:sz="4" w:space="0" w:color="auto"/>
                            </w:tcBorders>
                            <w:hideMark/>
                          </w:tcPr>
                          <w:p w14:paraId="111A9E3D" w14:textId="77777777" w:rsidR="00E64B48" w:rsidRDefault="00E64B48">
                            <w:pPr>
                              <w:jc w:val="right"/>
                              <w:rPr>
                                <w:rFonts w:ascii="標楷體" w:eastAsia="標楷體" w:hAnsi="標楷體"/>
                                <w:b/>
                                <w:sz w:val="20"/>
                              </w:rPr>
                            </w:pPr>
                            <w:r>
                              <w:rPr>
                                <w:rFonts w:ascii="標楷體" w:eastAsia="標楷體" w:hAnsi="標楷體" w:hint="eastAsia"/>
                                <w:b/>
                                <w:sz w:val="20"/>
                              </w:rPr>
                              <w:t>3,715</w:t>
                            </w:r>
                          </w:p>
                        </w:tc>
                        <w:tc>
                          <w:tcPr>
                            <w:tcW w:w="1347" w:type="dxa"/>
                            <w:tcBorders>
                              <w:top w:val="single" w:sz="4" w:space="0" w:color="auto"/>
                              <w:left w:val="single" w:sz="4" w:space="0" w:color="auto"/>
                              <w:bottom w:val="single" w:sz="4" w:space="0" w:color="auto"/>
                              <w:right w:val="single" w:sz="4" w:space="0" w:color="auto"/>
                            </w:tcBorders>
                            <w:hideMark/>
                          </w:tcPr>
                          <w:p w14:paraId="453550D1" w14:textId="77777777" w:rsidR="00E64B48" w:rsidRDefault="00E64B48">
                            <w:pPr>
                              <w:jc w:val="right"/>
                              <w:rPr>
                                <w:rFonts w:ascii="標楷體" w:eastAsia="標楷體" w:hAnsi="標楷體"/>
                                <w:b/>
                                <w:sz w:val="20"/>
                              </w:rPr>
                            </w:pPr>
                            <w:r>
                              <w:rPr>
                                <w:rFonts w:ascii="標楷體" w:eastAsia="標楷體" w:hAnsi="標楷體" w:hint="eastAsia"/>
                                <w:b/>
                                <w:sz w:val="20"/>
                              </w:rPr>
                              <w:t>1,410.83</w:t>
                            </w:r>
                          </w:p>
                        </w:tc>
                      </w:tr>
                      <w:tr w:rsidR="00E64B48" w14:paraId="718634D4" w14:textId="77777777" w:rsidTr="00926E69">
                        <w:tc>
                          <w:tcPr>
                            <w:tcW w:w="846" w:type="dxa"/>
                            <w:tcBorders>
                              <w:top w:val="single" w:sz="4" w:space="0" w:color="auto"/>
                              <w:left w:val="single" w:sz="4" w:space="0" w:color="auto"/>
                              <w:bottom w:val="single" w:sz="4" w:space="0" w:color="auto"/>
                              <w:right w:val="single" w:sz="4" w:space="0" w:color="auto"/>
                            </w:tcBorders>
                            <w:hideMark/>
                          </w:tcPr>
                          <w:p w14:paraId="6D2A2CDD" w14:textId="77777777" w:rsidR="00E64B48" w:rsidRDefault="00E64B48">
                            <w:pPr>
                              <w:jc w:val="center"/>
                              <w:rPr>
                                <w:rFonts w:ascii="標楷體" w:eastAsia="標楷體" w:hAnsi="標楷體"/>
                                <w:sz w:val="20"/>
                              </w:rPr>
                            </w:pPr>
                            <w:r>
                              <w:rPr>
                                <w:rFonts w:ascii="標楷體" w:eastAsia="標楷體" w:hAnsi="標楷體" w:hint="eastAsia"/>
                                <w:sz w:val="20"/>
                              </w:rPr>
                              <w:t>公司</w:t>
                            </w:r>
                          </w:p>
                        </w:tc>
                        <w:tc>
                          <w:tcPr>
                            <w:tcW w:w="1346" w:type="dxa"/>
                            <w:tcBorders>
                              <w:top w:val="single" w:sz="4" w:space="0" w:color="auto"/>
                              <w:left w:val="single" w:sz="4" w:space="0" w:color="auto"/>
                              <w:bottom w:val="single" w:sz="4" w:space="0" w:color="auto"/>
                              <w:right w:val="single" w:sz="4" w:space="0" w:color="auto"/>
                            </w:tcBorders>
                            <w:hideMark/>
                          </w:tcPr>
                          <w:p w14:paraId="0607FBB2" w14:textId="77777777" w:rsidR="00E64B48" w:rsidRDefault="00E64B48">
                            <w:pPr>
                              <w:jc w:val="right"/>
                              <w:rPr>
                                <w:rFonts w:ascii="標楷體" w:eastAsia="標楷體" w:hAnsi="標楷體"/>
                                <w:sz w:val="20"/>
                              </w:rPr>
                            </w:pPr>
                            <w:r>
                              <w:rPr>
                                <w:rFonts w:ascii="標楷體" w:eastAsia="標楷體" w:hAnsi="標楷體" w:hint="eastAsia"/>
                                <w:sz w:val="20"/>
                              </w:rPr>
                              <w:t>3,450</w:t>
                            </w:r>
                          </w:p>
                        </w:tc>
                        <w:tc>
                          <w:tcPr>
                            <w:tcW w:w="1347" w:type="dxa"/>
                            <w:tcBorders>
                              <w:top w:val="single" w:sz="4" w:space="0" w:color="auto"/>
                              <w:left w:val="single" w:sz="4" w:space="0" w:color="auto"/>
                              <w:bottom w:val="single" w:sz="4" w:space="0" w:color="auto"/>
                              <w:right w:val="single" w:sz="4" w:space="0" w:color="auto"/>
                            </w:tcBorders>
                            <w:hideMark/>
                          </w:tcPr>
                          <w:p w14:paraId="7B4F943B" w14:textId="77777777" w:rsidR="00E64B48" w:rsidRDefault="00E64B48">
                            <w:pPr>
                              <w:jc w:val="right"/>
                              <w:rPr>
                                <w:rFonts w:ascii="標楷體" w:eastAsia="標楷體" w:hAnsi="標楷體"/>
                                <w:sz w:val="20"/>
                              </w:rPr>
                            </w:pPr>
                            <w:r>
                              <w:rPr>
                                <w:rFonts w:ascii="標楷體" w:eastAsia="標楷體" w:hAnsi="標楷體" w:hint="eastAsia"/>
                                <w:sz w:val="20"/>
                              </w:rPr>
                              <w:t>1,065.29</w:t>
                            </w:r>
                          </w:p>
                        </w:tc>
                        <w:tc>
                          <w:tcPr>
                            <w:tcW w:w="1346" w:type="dxa"/>
                            <w:tcBorders>
                              <w:top w:val="single" w:sz="4" w:space="0" w:color="auto"/>
                              <w:left w:val="single" w:sz="4" w:space="0" w:color="auto"/>
                              <w:bottom w:val="single" w:sz="4" w:space="0" w:color="auto"/>
                              <w:right w:val="single" w:sz="4" w:space="0" w:color="auto"/>
                            </w:tcBorders>
                            <w:hideMark/>
                          </w:tcPr>
                          <w:p w14:paraId="36F6A0F5" w14:textId="77777777" w:rsidR="00E64B48" w:rsidRDefault="00E64B48">
                            <w:pPr>
                              <w:jc w:val="right"/>
                              <w:rPr>
                                <w:rFonts w:ascii="標楷體" w:eastAsia="標楷體" w:hAnsi="標楷體"/>
                                <w:sz w:val="20"/>
                              </w:rPr>
                            </w:pPr>
                            <w:r>
                              <w:rPr>
                                <w:rFonts w:ascii="標楷體" w:eastAsia="標楷體" w:hAnsi="標楷體" w:hint="eastAsia"/>
                                <w:sz w:val="20"/>
                              </w:rPr>
                              <w:t>1,979</w:t>
                            </w:r>
                          </w:p>
                        </w:tc>
                        <w:tc>
                          <w:tcPr>
                            <w:tcW w:w="1347" w:type="dxa"/>
                            <w:tcBorders>
                              <w:top w:val="single" w:sz="4" w:space="0" w:color="auto"/>
                              <w:left w:val="single" w:sz="4" w:space="0" w:color="auto"/>
                              <w:bottom w:val="single" w:sz="4" w:space="0" w:color="auto"/>
                              <w:right w:val="single" w:sz="4" w:space="0" w:color="auto"/>
                            </w:tcBorders>
                            <w:hideMark/>
                          </w:tcPr>
                          <w:p w14:paraId="2E89A4DB" w14:textId="77777777" w:rsidR="00E64B48" w:rsidRDefault="00E64B48">
                            <w:pPr>
                              <w:jc w:val="right"/>
                              <w:rPr>
                                <w:rFonts w:ascii="標楷體" w:eastAsia="標楷體" w:hAnsi="標楷體"/>
                                <w:sz w:val="20"/>
                              </w:rPr>
                            </w:pPr>
                            <w:r>
                              <w:rPr>
                                <w:rFonts w:ascii="標楷體" w:eastAsia="標楷體" w:hAnsi="標楷體" w:hint="eastAsia"/>
                                <w:sz w:val="20"/>
                              </w:rPr>
                              <w:t>711.95</w:t>
                            </w:r>
                          </w:p>
                        </w:tc>
                      </w:tr>
                      <w:tr w:rsidR="00E64B48" w14:paraId="49A31ACC" w14:textId="77777777" w:rsidTr="00926E69">
                        <w:tc>
                          <w:tcPr>
                            <w:tcW w:w="846" w:type="dxa"/>
                            <w:tcBorders>
                              <w:top w:val="single" w:sz="4" w:space="0" w:color="auto"/>
                              <w:left w:val="single" w:sz="4" w:space="0" w:color="auto"/>
                              <w:bottom w:val="single" w:sz="4" w:space="0" w:color="auto"/>
                              <w:right w:val="single" w:sz="4" w:space="0" w:color="auto"/>
                            </w:tcBorders>
                            <w:hideMark/>
                          </w:tcPr>
                          <w:p w14:paraId="44A5AFF6" w14:textId="77777777" w:rsidR="00E64B48" w:rsidRDefault="00E64B48">
                            <w:pPr>
                              <w:jc w:val="center"/>
                              <w:rPr>
                                <w:rFonts w:ascii="標楷體" w:eastAsia="標楷體" w:hAnsi="標楷體"/>
                                <w:sz w:val="20"/>
                              </w:rPr>
                            </w:pPr>
                            <w:r>
                              <w:rPr>
                                <w:rFonts w:ascii="標楷體" w:eastAsia="標楷體" w:hAnsi="標楷體" w:hint="eastAsia"/>
                                <w:sz w:val="20"/>
                              </w:rPr>
                              <w:t>商業</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35C4F74" w14:textId="77777777" w:rsidR="00E64B48" w:rsidRDefault="00E64B48">
                            <w:pPr>
                              <w:jc w:val="right"/>
                              <w:rPr>
                                <w:rFonts w:ascii="標楷體" w:eastAsia="標楷體" w:hAnsi="標楷體"/>
                                <w:bCs/>
                                <w:sz w:val="20"/>
                              </w:rPr>
                            </w:pPr>
                            <w:r>
                              <w:rPr>
                                <w:rFonts w:ascii="標楷體" w:eastAsia="標楷體" w:hAnsi="標楷體" w:hint="eastAsia"/>
                                <w:bCs/>
                                <w:sz w:val="20"/>
                              </w:rPr>
                              <w:t>3,053</w:t>
                            </w:r>
                          </w:p>
                        </w:tc>
                        <w:tc>
                          <w:tcPr>
                            <w:tcW w:w="1347" w:type="dxa"/>
                            <w:tcBorders>
                              <w:top w:val="single" w:sz="4" w:space="0" w:color="auto"/>
                              <w:left w:val="single" w:sz="4" w:space="0" w:color="auto"/>
                              <w:bottom w:val="single" w:sz="4" w:space="0" w:color="auto"/>
                              <w:right w:val="single" w:sz="4" w:space="0" w:color="auto"/>
                            </w:tcBorders>
                            <w:vAlign w:val="center"/>
                            <w:hideMark/>
                          </w:tcPr>
                          <w:p w14:paraId="2760DBE0" w14:textId="77777777" w:rsidR="00E64B48" w:rsidRDefault="00E64B48">
                            <w:pPr>
                              <w:jc w:val="right"/>
                              <w:rPr>
                                <w:rFonts w:ascii="標楷體" w:eastAsia="標楷體" w:hAnsi="標楷體"/>
                                <w:bCs/>
                                <w:sz w:val="20"/>
                              </w:rPr>
                            </w:pPr>
                            <w:r>
                              <w:rPr>
                                <w:rFonts w:ascii="標楷體" w:eastAsia="標楷體" w:hAnsi="標楷體" w:hint="eastAsia"/>
                                <w:bCs/>
                                <w:sz w:val="20"/>
                              </w:rPr>
                              <w:t>1,748.90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DFE5D5" w14:textId="77777777" w:rsidR="00E64B48" w:rsidRDefault="00E64B48">
                            <w:pPr>
                              <w:jc w:val="right"/>
                              <w:rPr>
                                <w:rFonts w:ascii="標楷體" w:eastAsia="標楷體" w:hAnsi="標楷體"/>
                                <w:bCs/>
                                <w:sz w:val="20"/>
                              </w:rPr>
                            </w:pPr>
                            <w:r>
                              <w:rPr>
                                <w:rFonts w:ascii="標楷體" w:eastAsia="標楷體" w:hAnsi="標楷體" w:hint="eastAsia"/>
                                <w:bCs/>
                                <w:sz w:val="20"/>
                              </w:rPr>
                              <w:t>1,736</w:t>
                            </w:r>
                          </w:p>
                        </w:tc>
                        <w:tc>
                          <w:tcPr>
                            <w:tcW w:w="1347" w:type="dxa"/>
                            <w:tcBorders>
                              <w:top w:val="single" w:sz="4" w:space="0" w:color="auto"/>
                              <w:left w:val="single" w:sz="4" w:space="0" w:color="auto"/>
                              <w:bottom w:val="single" w:sz="4" w:space="0" w:color="auto"/>
                              <w:right w:val="single" w:sz="4" w:space="0" w:color="auto"/>
                            </w:tcBorders>
                            <w:vAlign w:val="center"/>
                            <w:hideMark/>
                          </w:tcPr>
                          <w:p w14:paraId="2D8104D5" w14:textId="77777777" w:rsidR="00E64B48" w:rsidRDefault="00E64B48">
                            <w:pPr>
                              <w:jc w:val="right"/>
                              <w:rPr>
                                <w:rFonts w:ascii="標楷體" w:eastAsia="標楷體" w:hAnsi="標楷體"/>
                                <w:bCs/>
                                <w:sz w:val="20"/>
                              </w:rPr>
                            </w:pPr>
                            <w:r>
                              <w:rPr>
                                <w:rFonts w:ascii="標楷體" w:eastAsia="標楷體" w:hAnsi="標楷體" w:hint="eastAsia"/>
                                <w:bCs/>
                                <w:sz w:val="20"/>
                              </w:rPr>
                              <w:t>698.88</w:t>
                            </w:r>
                          </w:p>
                        </w:tc>
                      </w:tr>
                    </w:tbl>
                    <w:p w14:paraId="1147DF86" w14:textId="77777777" w:rsidR="00E64B48" w:rsidRDefault="00E64B48" w:rsidP="00E64B48">
                      <w:pPr>
                        <w:spacing w:line="240" w:lineRule="exact"/>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：1.資料時點：114年3月19日。</w:t>
                      </w:r>
                    </w:p>
                    <w:p w14:paraId="0D56E23D" w14:textId="77777777" w:rsidR="00E64B48" w:rsidRDefault="00E64B48" w:rsidP="00E64B48">
                      <w:pPr>
                        <w:spacing w:line="240" w:lineRule="exact"/>
                        <w:ind w:leftChars="150" w:left="540" w:hangingChars="100" w:hanging="180"/>
                        <w:jc w:val="both"/>
                        <w:rPr>
                          <w:rFonts w:ascii="標楷體" w:eastAsia="標楷體" w:hAnsi="標楷體"/>
                          <w:sz w:val="18"/>
                        </w:rPr>
                      </w:pPr>
                      <w:r>
                        <w:rPr>
                          <w:rFonts w:ascii="標楷體" w:eastAsia="標楷體" w:hAnsi="標楷體" w:hint="eastAsia"/>
                          <w:sz w:val="18"/>
                        </w:rPr>
                        <w:t>2.係農業發展條例第3條第10款及其施行細則第2條規定之土地。</w:t>
                      </w:r>
                    </w:p>
                    <w:p w14:paraId="5931E75F" w14:textId="77777777" w:rsidR="00E64B48" w:rsidRDefault="00E64B48" w:rsidP="00E64B48">
                      <w:pPr>
                        <w:spacing w:line="240" w:lineRule="exact"/>
                        <w:ind w:leftChars="150" w:left="540" w:hangingChars="100" w:hanging="180"/>
                        <w:jc w:val="both"/>
                        <w:rPr>
                          <w:rFonts w:ascii="標楷體" w:eastAsia="標楷體" w:hAnsi="標楷體"/>
                          <w:sz w:val="18"/>
                        </w:rPr>
                      </w:pPr>
                      <w:r>
                        <w:rPr>
                          <w:rFonts w:ascii="標楷體" w:eastAsia="標楷體" w:hAnsi="標楷體" w:hint="eastAsia"/>
                          <w:sz w:val="18"/>
                        </w:rPr>
                        <w:t>3.係國土保育地區第一類及第二類之非都市土地農牧用地、養殖用地；農業發展地區</w:t>
                      </w:r>
                      <w:proofErr w:type="gramStart"/>
                      <w:r>
                        <w:rPr>
                          <w:rFonts w:ascii="標楷體" w:eastAsia="標楷體" w:hAnsi="標楷體" w:hint="eastAsia"/>
                          <w:sz w:val="18"/>
                        </w:rPr>
                        <w:t>第一類至第三</w:t>
                      </w:r>
                      <w:proofErr w:type="gramEnd"/>
                      <w:r>
                        <w:rPr>
                          <w:rFonts w:ascii="標楷體" w:eastAsia="標楷體" w:hAnsi="標楷體" w:hint="eastAsia"/>
                          <w:sz w:val="18"/>
                        </w:rPr>
                        <w:t>類之非都市土地農牧用地、養殖用地；農業發展地區第五類之都市計畫農業區。</w:t>
                      </w:r>
                    </w:p>
                    <w:p w14:paraId="6A85FD9A" w14:textId="77777777" w:rsidR="00E64B48" w:rsidRDefault="00E64B48" w:rsidP="00E64B48">
                      <w:pPr>
                        <w:spacing w:line="240" w:lineRule="exact"/>
                        <w:ind w:leftChars="150" w:left="540" w:hangingChars="100" w:hanging="180"/>
                        <w:jc w:val="both"/>
                        <w:rPr>
                          <w:rFonts w:ascii="標楷體" w:eastAsia="標楷體" w:hAnsi="標楷體"/>
                          <w:sz w:val="18"/>
                        </w:rPr>
                      </w:pPr>
                      <w:r>
                        <w:rPr>
                          <w:rFonts w:ascii="標楷體" w:eastAsia="標楷體" w:hAnsi="標楷體" w:hint="eastAsia"/>
                          <w:sz w:val="18"/>
                        </w:rPr>
                        <w:t>4.整理自經濟部商工行政資料平台網站及內政部提供資料。</w:t>
                      </w:r>
                    </w:p>
                  </w:txbxContent>
                </v:textbox>
                <w10:wrap type="square" anchorx="margin"/>
              </v:shape>
            </w:pict>
          </mc:Fallback>
        </mc:AlternateContent>
      </w:r>
      <w:proofErr w:type="gramStart"/>
      <w:r w:rsidR="00E474B9">
        <w:rPr>
          <w:rFonts w:hint="eastAsia"/>
        </w:rPr>
        <w:t>象</w:t>
      </w:r>
      <w:proofErr w:type="gramEnd"/>
      <w:r w:rsidR="00DE1BD5">
        <w:rPr>
          <w:rFonts w:hint="eastAsia"/>
        </w:rPr>
        <w:t>，</w:t>
      </w:r>
      <w:r w:rsidR="00E474B9">
        <w:rPr>
          <w:rFonts w:hint="eastAsia"/>
        </w:rPr>
        <w:t>經</w:t>
      </w:r>
      <w:r w:rsidR="00DE1BD5">
        <w:rPr>
          <w:rFonts w:hint="eastAsia"/>
        </w:rPr>
        <w:t>本部</w:t>
      </w:r>
      <w:r w:rsidR="00E474B9">
        <w:rPr>
          <w:rFonts w:hint="eastAsia"/>
        </w:rPr>
        <w:t>於114年3月19日自經濟部商工行政資料平台下載商業登記營業項目包括便利商店業之明細資料計28,093家，排除現況非屬核准設立後計9,133家（含四大超商登記為商業組織之門市），並自政府資料開放平台下載全國營業稅籍登記資料集，篩選連鎖便利商店計5,761家，連同內政部提供國土計畫、地籍圖及都市計畫圖，匯入QGIS地理資訊系統分析結果，發現商業組織之連鎖便利商店於111年2月底前設立者計4,650家，登記於農業用地者計有177家，約占3.81％，111年3月1日起設立者計1,111家，登記於農業用地者計有46家，約占4.14％，顯示因中央及地方政府對連鎖便利商店設立登記審查條件不一，肇致商業組織之連鎖便利商店設立於農業用地情形未減反增，存有影響連鎖便利商店登記組織類別之虞。經函請行政院督促經濟部妥為檢討公司及商業登記相關法令缺漏適時</w:t>
      </w:r>
      <w:proofErr w:type="gramStart"/>
      <w:r w:rsidR="00E474B9">
        <w:rPr>
          <w:rFonts w:hint="eastAsia"/>
        </w:rPr>
        <w:t>研</w:t>
      </w:r>
      <w:proofErr w:type="gramEnd"/>
      <w:r w:rsidR="00E474B9">
        <w:rPr>
          <w:rFonts w:hint="eastAsia"/>
        </w:rPr>
        <w:t>議修正，並評估全面導入公司及商業設立或遷址登記之用地審查機制，及邀集有關機關共同</w:t>
      </w:r>
      <w:proofErr w:type="gramStart"/>
      <w:r w:rsidR="00E474B9">
        <w:rPr>
          <w:rFonts w:hint="eastAsia"/>
        </w:rPr>
        <w:t>研</w:t>
      </w:r>
      <w:proofErr w:type="gramEnd"/>
      <w:r w:rsidR="00E474B9">
        <w:rPr>
          <w:rFonts w:hint="eastAsia"/>
        </w:rPr>
        <w:t>商輔導已登記於農地之公司及商業取得土地合法使用證明或遷址，以落實農業用地合法使用。據復：為建立更健全公司體制，促使我國商業環境能更有利於各種產業發展，吸引國內外創業者在我國設立公司，經濟部將依實務需要適時</w:t>
      </w:r>
      <w:proofErr w:type="gramStart"/>
      <w:r w:rsidR="00E474B9">
        <w:rPr>
          <w:rFonts w:hint="eastAsia"/>
        </w:rPr>
        <w:t>研</w:t>
      </w:r>
      <w:proofErr w:type="gramEnd"/>
      <w:r w:rsidR="00E474B9">
        <w:rPr>
          <w:rFonts w:hint="eastAsia"/>
        </w:rPr>
        <w:t>議修正商業法規；又有關公司及商業設立或遷址登記導入用地審查機制部分，因涉經商環境之重大制度變更，經濟部將參考目的事業主管機關內政部及農業部整合各市縣政府都計、農業單位意見後審慎評估。</w:t>
      </w:r>
    </w:p>
    <w:p w14:paraId="381DE728" w14:textId="0FE9544B" w:rsidR="001010E2" w:rsidRPr="00F66461" w:rsidRDefault="001010E2" w:rsidP="00C52C30">
      <w:pPr>
        <w:pStyle w:val="2"/>
        <w:overflowPunct w:val="0"/>
        <w:spacing w:beforeLines="20" w:before="72" w:afterLines="20" w:after="72" w:line="440" w:lineRule="exact"/>
        <w:ind w:left="0" w:firstLineChars="200" w:firstLine="561"/>
        <w:rPr>
          <w:b/>
        </w:rPr>
      </w:pPr>
      <w:r w:rsidRPr="00F66461">
        <w:rPr>
          <w:rFonts w:hint="eastAsia"/>
          <w:b/>
          <w:sz w:val="28"/>
          <w:szCs w:val="28"/>
        </w:rPr>
        <w:t>（二十</w:t>
      </w:r>
      <w:r w:rsidR="00781889" w:rsidRPr="00F66461">
        <w:rPr>
          <w:rFonts w:hint="eastAsia"/>
          <w:b/>
          <w:sz w:val="28"/>
          <w:szCs w:val="28"/>
        </w:rPr>
        <w:t>一</w:t>
      </w:r>
      <w:r w:rsidRPr="00F66461">
        <w:rPr>
          <w:rFonts w:hint="eastAsia"/>
          <w:b/>
          <w:sz w:val="28"/>
          <w:szCs w:val="28"/>
        </w:rPr>
        <w:t xml:space="preserve">）　</w:t>
      </w:r>
      <w:r w:rsidR="00092420" w:rsidRPr="00F66461">
        <w:rPr>
          <w:rFonts w:hint="eastAsia"/>
          <w:b/>
          <w:sz w:val="28"/>
          <w:szCs w:val="28"/>
        </w:rPr>
        <w:t>政府推動健全房地產市場方案，致力穩定房市秩序與照顧民眾居住需求，惟各政策措施之整體統籌規劃及相互銜接或配合仍未</w:t>
      </w:r>
      <w:proofErr w:type="gramStart"/>
      <w:r w:rsidR="00092420" w:rsidRPr="00F66461">
        <w:rPr>
          <w:rFonts w:hint="eastAsia"/>
          <w:b/>
          <w:sz w:val="28"/>
          <w:szCs w:val="28"/>
        </w:rPr>
        <w:t>臻</w:t>
      </w:r>
      <w:proofErr w:type="gramEnd"/>
      <w:r w:rsidR="00092420" w:rsidRPr="00F66461">
        <w:rPr>
          <w:rFonts w:hint="eastAsia"/>
          <w:b/>
          <w:sz w:val="28"/>
          <w:szCs w:val="28"/>
        </w:rPr>
        <w:t>完善，又房市交易雖見趨緩，惟房價持續走高，民眾購屋與租屋負擔仍顯沈重，允宜</w:t>
      </w:r>
      <w:proofErr w:type="gramStart"/>
      <w:r w:rsidR="00092420" w:rsidRPr="00F66461">
        <w:rPr>
          <w:rFonts w:hint="eastAsia"/>
          <w:b/>
          <w:sz w:val="28"/>
          <w:szCs w:val="28"/>
        </w:rPr>
        <w:t>研</w:t>
      </w:r>
      <w:proofErr w:type="gramEnd"/>
      <w:r w:rsidR="00092420" w:rsidRPr="00F66461">
        <w:rPr>
          <w:rFonts w:hint="eastAsia"/>
          <w:b/>
          <w:sz w:val="28"/>
          <w:szCs w:val="28"/>
        </w:rPr>
        <w:t>謀因應，以提升施政整體成效。</w:t>
      </w:r>
    </w:p>
    <w:p w14:paraId="789BBCD8" w14:textId="79D89F32" w:rsidR="003A556D" w:rsidRPr="00720855" w:rsidRDefault="00720855" w:rsidP="00C045DA">
      <w:pPr>
        <w:pStyle w:val="-"/>
        <w:spacing w:line="436" w:lineRule="exact"/>
        <w:ind w:firstLine="480"/>
        <w:jc w:val="both"/>
        <w:rPr>
          <w:color w:val="000000" w:themeColor="text1"/>
        </w:rPr>
      </w:pPr>
      <w:r w:rsidRPr="00215DE3">
        <w:rPr>
          <w:rFonts w:hint="eastAsia"/>
          <w:bCs/>
          <w:snapToGrid w:val="0"/>
          <w:color w:val="000000" w:themeColor="text1"/>
          <w:lang w:val="x-none"/>
        </w:rPr>
        <w:lastRenderedPageBreak/>
        <w:t>近年受海外</w:t>
      </w:r>
      <w:proofErr w:type="gramStart"/>
      <w:r w:rsidRPr="00215DE3">
        <w:rPr>
          <w:rFonts w:hint="eastAsia"/>
          <w:bCs/>
          <w:snapToGrid w:val="0"/>
          <w:color w:val="000000" w:themeColor="text1"/>
          <w:lang w:val="x-none"/>
        </w:rPr>
        <w:t>臺</w:t>
      </w:r>
      <w:proofErr w:type="gramEnd"/>
      <w:r w:rsidRPr="00215DE3">
        <w:rPr>
          <w:rFonts w:hint="eastAsia"/>
          <w:bCs/>
          <w:snapToGrid w:val="0"/>
          <w:color w:val="000000" w:themeColor="text1"/>
          <w:lang w:val="x-none"/>
        </w:rPr>
        <w:t>商資金回流、通膨壓力、營建成本上升及資產保值需求等因素影響，國內房屋交易</w:t>
      </w:r>
      <w:proofErr w:type="gramStart"/>
      <w:r w:rsidRPr="00215DE3">
        <w:rPr>
          <w:rFonts w:hint="eastAsia"/>
          <w:bCs/>
          <w:snapToGrid w:val="0"/>
          <w:color w:val="000000" w:themeColor="text1"/>
          <w:lang w:val="x-none"/>
        </w:rPr>
        <w:t>價量屢創新</w:t>
      </w:r>
      <w:proofErr w:type="gramEnd"/>
      <w:r w:rsidRPr="00215DE3">
        <w:rPr>
          <w:rFonts w:hint="eastAsia"/>
          <w:bCs/>
          <w:snapToGrid w:val="0"/>
          <w:color w:val="000000" w:themeColor="text1"/>
          <w:lang w:val="x-none"/>
        </w:rPr>
        <w:t>高。為促使房市健全發展，國家發展委員會於109年12月3日報經行政院第3729次院會通過「健全房地產市場方案」，由內政部、財政部、中央銀行及金融監督管理委員會（下稱金管會）等針對</w:t>
      </w:r>
      <w:proofErr w:type="gramStart"/>
      <w:r w:rsidRPr="00215DE3">
        <w:rPr>
          <w:rFonts w:hint="eastAsia"/>
          <w:bCs/>
          <w:snapToGrid w:val="0"/>
          <w:color w:val="000000" w:themeColor="text1"/>
          <w:lang w:val="x-none"/>
        </w:rPr>
        <w:t>預售屋紅單</w:t>
      </w:r>
      <w:proofErr w:type="gramEnd"/>
      <w:r w:rsidRPr="00215DE3">
        <w:rPr>
          <w:rFonts w:hint="eastAsia"/>
          <w:bCs/>
          <w:snapToGrid w:val="0"/>
          <w:color w:val="000000" w:themeColor="text1"/>
          <w:lang w:val="x-none"/>
        </w:rPr>
        <w:t>炒作、個人藉公司或分割房屋避稅等現象，加強交易行為管理，並強化多元居住支持措施，包括：加速社會住宅興建、推動300億元中央擴大租金補貼專案計畫及購屋貸款利息補貼等，積極照顧與協助租屋與購屋族群，以達成「防止房市炒作」、「防止逃漏稅」、「防止房市資金氾濫」及「落實居住正義打造優質居住環境」等四大目標。經查，</w:t>
      </w:r>
      <w:r w:rsidRPr="00215DE3">
        <w:rPr>
          <w:rFonts w:hint="eastAsia"/>
          <w:color w:val="000000" w:themeColor="text1"/>
        </w:rPr>
        <w:t>健全房地產市場方案自實施以來，相關部會已從行政、租稅及金融面推動各項措施，引導房市穩健發展，至112年6月底，房市交易逐漸降溫，不動產貸款成長趨緩。112年下半年起，政府為擴大協助無自有住宅家庭並提升健全房市政策效益，財政部於8月推出「青年安心成家購屋優惠貸款精進方案」（下稱新青安貸款，112年8月以前推出為「青年安心成家購屋優惠貸款」）、農業部於10月推出「農業金融機構辦理青年安居購屋優惠貸款」，透過提高貸款額度、延長貸款年限與還本寬限期，及內政部住宅基金額外提供利息補貼等措施，減輕民眾購屋貸款負擔。上開優惠貸款推動後，民眾申請踴躍，</w:t>
      </w:r>
      <w:proofErr w:type="gramStart"/>
      <w:r w:rsidRPr="00215DE3">
        <w:rPr>
          <w:rFonts w:hint="eastAsia"/>
          <w:color w:val="000000" w:themeColor="text1"/>
        </w:rPr>
        <w:t>以新青安</w:t>
      </w:r>
      <w:proofErr w:type="gramEnd"/>
      <w:r w:rsidRPr="00215DE3">
        <w:rPr>
          <w:rFonts w:hint="eastAsia"/>
          <w:color w:val="000000" w:themeColor="text1"/>
        </w:rPr>
        <w:t>貸款為例，實施前1年每月</w:t>
      </w:r>
      <w:proofErr w:type="gramStart"/>
      <w:r w:rsidRPr="00215DE3">
        <w:rPr>
          <w:rFonts w:hint="eastAsia"/>
          <w:color w:val="000000" w:themeColor="text1"/>
        </w:rPr>
        <w:t>核貸未達</w:t>
      </w:r>
      <w:proofErr w:type="gramEnd"/>
      <w:r w:rsidRPr="00215DE3">
        <w:rPr>
          <w:rFonts w:hint="eastAsia"/>
          <w:color w:val="000000" w:themeColor="text1"/>
        </w:rPr>
        <w:t>2,000件，112年9月即逾4,000件，113年5至7月</w:t>
      </w:r>
      <w:proofErr w:type="gramStart"/>
      <w:r w:rsidRPr="00215DE3">
        <w:rPr>
          <w:rFonts w:hint="eastAsia"/>
          <w:color w:val="000000" w:themeColor="text1"/>
        </w:rPr>
        <w:t>間單月核</w:t>
      </w:r>
      <w:proofErr w:type="gramEnd"/>
      <w:r w:rsidRPr="00215DE3">
        <w:rPr>
          <w:rFonts w:hint="eastAsia"/>
          <w:color w:val="000000" w:themeColor="text1"/>
        </w:rPr>
        <w:t>貸件數高達7,244至8,273件不等。同時在國內經濟成長、市場預期心理等多重因素驅動下，房市交易迅速擴增，113年1至7月全國建物買賣移轉21萬餘棟，為103年以來同期新高；購置住宅貸款成長加速，全體銀行購置住宅貸款年增率由112年5月底之4.50％，升至113年8月底之11.00％，全體銀行不動產貸款占總放款比率升為37.50％，接近98年10月底之37.90％歷史高點，部分銀行因不動產放款餘額接近法定或內部上限，採取延長審核期程、排隊撥款等控管措施，造成民眾房貸申請不易情形；而房市熱絡，房價同步走高，住宅價格季指數年增率由112年第3季之5.42％，升至113年第2季之11.99％，影響所及，甚有部分不動產開發及代銷業者以飢餓行銷或營造排隊熱銷等手法，擾亂房市交易秩序；</w:t>
      </w:r>
      <w:proofErr w:type="gramStart"/>
      <w:r w:rsidRPr="00215DE3">
        <w:rPr>
          <w:rFonts w:hint="eastAsia"/>
          <w:color w:val="000000" w:themeColor="text1"/>
        </w:rPr>
        <w:t>嗣</w:t>
      </w:r>
      <w:proofErr w:type="gramEnd"/>
      <w:r w:rsidRPr="00215DE3">
        <w:rPr>
          <w:rFonts w:hint="eastAsia"/>
          <w:color w:val="000000" w:themeColor="text1"/>
        </w:rPr>
        <w:t>政府為抑制房市過熱，自113年下半起加強房市管控措施。以上</w:t>
      </w:r>
      <w:r w:rsidR="008804B1">
        <w:rPr>
          <w:rFonts w:hint="eastAsia"/>
          <w:color w:val="000000" w:themeColor="text1"/>
        </w:rPr>
        <w:t>，</w:t>
      </w:r>
      <w:r w:rsidRPr="00215DE3">
        <w:rPr>
          <w:rFonts w:hint="eastAsia"/>
          <w:color w:val="000000" w:themeColor="text1"/>
        </w:rPr>
        <w:t>顯示健全房市政策涵蓋居住協助、交易管理及金融穩定等面向，各項政策措施分別具其施政目標與功能，惟整體統籌規劃及前、後政策措施間之銜接，或各業務主管機關間之配合仍未</w:t>
      </w:r>
      <w:proofErr w:type="gramStart"/>
      <w:r w:rsidRPr="00215DE3">
        <w:rPr>
          <w:rFonts w:hint="eastAsia"/>
          <w:color w:val="000000" w:themeColor="text1"/>
        </w:rPr>
        <w:t>臻</w:t>
      </w:r>
      <w:proofErr w:type="gramEnd"/>
      <w:r w:rsidRPr="00215DE3">
        <w:rPr>
          <w:rFonts w:hint="eastAsia"/>
          <w:color w:val="000000" w:themeColor="text1"/>
        </w:rPr>
        <w:t>完善。又政府加強房市管控措施後，全國建物買賣移轉棟數雖由113年第2季之9萬5,765棟降至第4季之7萬9,397棟，惟據內政部公布之113年第3季住宅統計資料，全國之住宅價格季指數（</w:t>
      </w:r>
      <w:r w:rsidRPr="00215DE3">
        <w:rPr>
          <w:color w:val="000000" w:themeColor="text1"/>
        </w:rPr>
        <w:t>149.69</w:t>
      </w:r>
      <w:r w:rsidRPr="00215DE3">
        <w:rPr>
          <w:rFonts w:hint="eastAsia"/>
          <w:color w:val="000000" w:themeColor="text1"/>
        </w:rPr>
        <w:t>）、房價所得比（10.82倍）及房貸負擔率（46.80％）均創新高，購屋族群財務負擔仍顯沈重，財務條件脆弱者恐於利率上升或景氣反轉時面臨償債壓力，對金融穩定構成潛在風險。</w:t>
      </w:r>
      <w:proofErr w:type="gramStart"/>
      <w:r w:rsidRPr="00215DE3">
        <w:rPr>
          <w:rFonts w:hint="eastAsia"/>
          <w:color w:val="000000" w:themeColor="text1"/>
        </w:rPr>
        <w:t>鑑</w:t>
      </w:r>
      <w:proofErr w:type="gramEnd"/>
      <w:r w:rsidRPr="00215DE3">
        <w:rPr>
          <w:rFonts w:hint="eastAsia"/>
          <w:color w:val="000000" w:themeColor="text1"/>
        </w:rPr>
        <w:t>於房市健全發展</w:t>
      </w:r>
      <w:proofErr w:type="gramStart"/>
      <w:r w:rsidRPr="00215DE3">
        <w:rPr>
          <w:rFonts w:hint="eastAsia"/>
          <w:color w:val="000000" w:themeColor="text1"/>
        </w:rPr>
        <w:t>攸</w:t>
      </w:r>
      <w:proofErr w:type="gramEnd"/>
      <w:r w:rsidRPr="00215DE3">
        <w:rPr>
          <w:rFonts w:hint="eastAsia"/>
          <w:color w:val="000000" w:themeColor="text1"/>
        </w:rPr>
        <w:t>關民眾居住權利，倘若出現炒作或不合理價量，恐導致資源錯置及貧富差距擴大，經函請行政院督促相關機關</w:t>
      </w:r>
      <w:proofErr w:type="gramStart"/>
      <w:r w:rsidRPr="00215DE3">
        <w:rPr>
          <w:rFonts w:hint="eastAsia"/>
          <w:color w:val="000000" w:themeColor="text1"/>
        </w:rPr>
        <w:t>研</w:t>
      </w:r>
      <w:proofErr w:type="gramEnd"/>
      <w:r w:rsidRPr="00215DE3">
        <w:rPr>
          <w:rFonts w:hint="eastAsia"/>
          <w:color w:val="000000" w:themeColor="text1"/>
        </w:rPr>
        <w:t>謀因應。據復：經國家發展委員會會商內政部、財政部、農業部、中央銀行及金管會等機關，綜整</w:t>
      </w:r>
      <w:proofErr w:type="gramStart"/>
      <w:r w:rsidRPr="00215DE3">
        <w:rPr>
          <w:rFonts w:hint="eastAsia"/>
          <w:color w:val="000000" w:themeColor="text1"/>
        </w:rPr>
        <w:t>研</w:t>
      </w:r>
      <w:proofErr w:type="gramEnd"/>
      <w:r w:rsidRPr="00215DE3">
        <w:rPr>
          <w:rFonts w:hint="eastAsia"/>
          <w:color w:val="000000" w:themeColor="text1"/>
        </w:rPr>
        <w:t>處意見包括：強化部會橫向合作，滾動調整</w:t>
      </w:r>
      <w:r w:rsidRPr="00215DE3">
        <w:rPr>
          <w:rFonts w:hint="eastAsia"/>
          <w:color w:val="000000" w:themeColor="text1"/>
        </w:rPr>
        <w:lastRenderedPageBreak/>
        <w:t>配套機制；推動優惠房貸時兼顧金融穩定，防範信用資源過度集中不動產市場；要求優惠房貸之承貸金融機構</w:t>
      </w:r>
      <w:proofErr w:type="gramStart"/>
      <w:r w:rsidRPr="00215DE3">
        <w:rPr>
          <w:rFonts w:hint="eastAsia"/>
          <w:color w:val="000000" w:themeColor="text1"/>
        </w:rPr>
        <w:t>落實貸前審核</w:t>
      </w:r>
      <w:proofErr w:type="gramEnd"/>
      <w:r w:rsidRPr="00215DE3">
        <w:rPr>
          <w:rFonts w:hint="eastAsia"/>
          <w:color w:val="000000" w:themeColor="text1"/>
        </w:rPr>
        <w:t>及強化貸後管理，維護政府資源使用公平性；持續辦理預售屋建案聯合稽查，密切關注房市變化，適時提出強化健全房市措施；積極推動三大租屋支持計畫，照顧弱勢居住需要等。</w:t>
      </w:r>
    </w:p>
    <w:p w14:paraId="139C327E" w14:textId="6E4A0032" w:rsidR="00E1647A" w:rsidRPr="004F596A" w:rsidRDefault="00E1647A" w:rsidP="005D7E00">
      <w:pPr>
        <w:pStyle w:val="2"/>
        <w:overflowPunct w:val="0"/>
        <w:spacing w:beforeLines="20" w:before="72" w:afterLines="20" w:after="72" w:line="440" w:lineRule="exact"/>
        <w:ind w:left="0" w:firstLineChars="200" w:firstLine="561"/>
        <w:rPr>
          <w:rFonts w:hAnsi="標楷體"/>
          <w:b/>
          <w:sz w:val="28"/>
          <w:szCs w:val="28"/>
        </w:rPr>
      </w:pPr>
      <w:r w:rsidRPr="004F596A">
        <w:rPr>
          <w:rFonts w:hAnsi="標楷體" w:hint="eastAsia"/>
          <w:b/>
          <w:sz w:val="28"/>
          <w:szCs w:val="28"/>
        </w:rPr>
        <w:t>（二十</w:t>
      </w:r>
      <w:r w:rsidR="00781889" w:rsidRPr="004F596A">
        <w:rPr>
          <w:rFonts w:hAnsi="標楷體" w:hint="eastAsia"/>
          <w:b/>
          <w:sz w:val="28"/>
          <w:szCs w:val="28"/>
        </w:rPr>
        <w:t>二</w:t>
      </w:r>
      <w:r w:rsidRPr="004F596A">
        <w:rPr>
          <w:rFonts w:hAnsi="標楷體" w:hint="eastAsia"/>
          <w:b/>
          <w:sz w:val="28"/>
          <w:szCs w:val="28"/>
        </w:rPr>
        <w:t xml:space="preserve">）　</w:t>
      </w:r>
      <w:r w:rsidR="007F37B4" w:rsidRPr="004F596A">
        <w:rPr>
          <w:rFonts w:hAnsi="標楷體" w:hint="eastAsia"/>
          <w:b/>
          <w:sz w:val="28"/>
          <w:szCs w:val="28"/>
        </w:rPr>
        <w:t>政府制定公布中央政府機關總員額法，訂定中央公務人力合理規模，並策定「總量管理、彈性調整」為政府人力管理政策主軸，</w:t>
      </w:r>
      <w:r w:rsidR="00E51699">
        <w:rPr>
          <w:rFonts w:hAnsi="標楷體" w:hint="eastAsia"/>
          <w:b/>
          <w:sz w:val="28"/>
          <w:szCs w:val="28"/>
        </w:rPr>
        <w:t>惟</w:t>
      </w:r>
      <w:r w:rsidR="007F37B4" w:rsidRPr="004F596A">
        <w:rPr>
          <w:rFonts w:hAnsi="標楷體" w:hint="eastAsia"/>
          <w:b/>
          <w:sz w:val="28"/>
          <w:szCs w:val="28"/>
        </w:rPr>
        <w:t>近年因應新興政策及法令</w:t>
      </w:r>
      <w:r w:rsidR="00E51699">
        <w:rPr>
          <w:rFonts w:hAnsi="標楷體" w:hint="eastAsia"/>
          <w:b/>
          <w:sz w:val="28"/>
          <w:szCs w:val="28"/>
        </w:rPr>
        <w:t>增修</w:t>
      </w:r>
      <w:r w:rsidR="007F37B4" w:rsidRPr="004F596A">
        <w:rPr>
          <w:rFonts w:hAnsi="標楷體" w:hint="eastAsia"/>
          <w:b/>
          <w:sz w:val="28"/>
          <w:szCs w:val="28"/>
        </w:rPr>
        <w:t>，業務屢有增長，中央政府部分類型人員員額已增長至</w:t>
      </w:r>
      <w:proofErr w:type="gramStart"/>
      <w:r w:rsidR="007F37B4" w:rsidRPr="004F596A">
        <w:rPr>
          <w:rFonts w:hAnsi="標楷體" w:hint="eastAsia"/>
          <w:b/>
          <w:sz w:val="28"/>
          <w:szCs w:val="28"/>
        </w:rPr>
        <w:t>貼近高限</w:t>
      </w:r>
      <w:proofErr w:type="gramEnd"/>
      <w:r w:rsidR="007F37B4" w:rsidRPr="004F596A">
        <w:rPr>
          <w:rFonts w:hAnsi="標楷體" w:hint="eastAsia"/>
          <w:b/>
          <w:sz w:val="28"/>
          <w:szCs w:val="28"/>
        </w:rPr>
        <w:t>，</w:t>
      </w:r>
      <w:r w:rsidR="00E51699">
        <w:rPr>
          <w:rFonts w:hAnsi="標楷體" w:hint="eastAsia"/>
          <w:b/>
          <w:sz w:val="28"/>
          <w:szCs w:val="28"/>
        </w:rPr>
        <w:t>且</w:t>
      </w:r>
      <w:r w:rsidR="007F37B4" w:rsidRPr="004F596A">
        <w:rPr>
          <w:rFonts w:hAnsi="標楷體" w:hint="eastAsia"/>
          <w:b/>
          <w:sz w:val="28"/>
          <w:szCs w:val="28"/>
        </w:rPr>
        <w:t>多元人力成為部分機關</w:t>
      </w:r>
      <w:r w:rsidR="00D81342">
        <w:rPr>
          <w:rFonts w:hAnsi="標楷體" w:hint="eastAsia"/>
          <w:b/>
          <w:sz w:val="28"/>
          <w:szCs w:val="28"/>
        </w:rPr>
        <w:t>（</w:t>
      </w:r>
      <w:r w:rsidR="007F37B4" w:rsidRPr="004F596A">
        <w:rPr>
          <w:rFonts w:hAnsi="標楷體" w:hint="eastAsia"/>
          <w:b/>
          <w:sz w:val="28"/>
          <w:szCs w:val="28"/>
        </w:rPr>
        <w:t>構</w:t>
      </w:r>
      <w:r w:rsidR="00D81342">
        <w:rPr>
          <w:rFonts w:hAnsi="標楷體" w:hint="eastAsia"/>
          <w:b/>
          <w:sz w:val="28"/>
          <w:szCs w:val="28"/>
        </w:rPr>
        <w:t>）</w:t>
      </w:r>
      <w:r w:rsidR="007F37B4" w:rsidRPr="004F596A">
        <w:rPr>
          <w:rFonts w:hAnsi="標楷體" w:hint="eastAsia"/>
          <w:b/>
          <w:sz w:val="28"/>
          <w:szCs w:val="28"/>
        </w:rPr>
        <w:t>主要人力來源，正式人力整體缺額率已近</w:t>
      </w:r>
      <w:proofErr w:type="gramStart"/>
      <w:r w:rsidR="007F37B4" w:rsidRPr="004F596A">
        <w:rPr>
          <w:rFonts w:hAnsi="標楷體" w:hint="eastAsia"/>
          <w:b/>
          <w:sz w:val="28"/>
          <w:szCs w:val="28"/>
        </w:rPr>
        <w:t>1成</w:t>
      </w:r>
      <w:proofErr w:type="gramEnd"/>
      <w:r w:rsidR="007F37B4" w:rsidRPr="004F596A">
        <w:rPr>
          <w:rFonts w:hAnsi="標楷體" w:hint="eastAsia"/>
          <w:b/>
          <w:sz w:val="28"/>
          <w:szCs w:val="28"/>
        </w:rPr>
        <w:t>，另現行彈性鬆綁員額管理相關配套機制之授權及實施範圍尚有宣導推廣空間等，允宜</w:t>
      </w:r>
      <w:proofErr w:type="gramStart"/>
      <w:r w:rsidR="007F37B4" w:rsidRPr="004F596A">
        <w:rPr>
          <w:rFonts w:hAnsi="標楷體" w:hint="eastAsia"/>
          <w:b/>
          <w:sz w:val="28"/>
          <w:szCs w:val="28"/>
        </w:rPr>
        <w:t>研謀妥處，俾利策</w:t>
      </w:r>
      <w:proofErr w:type="gramEnd"/>
      <w:r w:rsidR="007F37B4" w:rsidRPr="004F596A">
        <w:rPr>
          <w:rFonts w:hAnsi="標楷體" w:hint="eastAsia"/>
          <w:b/>
          <w:sz w:val="28"/>
          <w:szCs w:val="28"/>
        </w:rPr>
        <w:t>進政府用人及施政效能。</w:t>
      </w:r>
    </w:p>
    <w:p w14:paraId="6A777746" w14:textId="17C7E54A" w:rsidR="005D0F74" w:rsidRPr="005D0F74" w:rsidRDefault="005D7E00" w:rsidP="005D7E00">
      <w:pPr>
        <w:pStyle w:val="affb"/>
        <w:overflowPunct w:val="0"/>
        <w:spacing w:line="440" w:lineRule="exact"/>
        <w:ind w:left="0" w:firstLineChars="200" w:firstLine="560"/>
        <w:jc w:val="both"/>
        <w:rPr>
          <w:rFonts w:hAnsi="標楷體"/>
          <w:color w:val="000000" w:themeColor="text1"/>
          <w:sz w:val="24"/>
          <w:szCs w:val="28"/>
        </w:rPr>
      </w:pPr>
      <w:bookmarkStart w:id="23" w:name="_Hlk202175796"/>
      <w:bookmarkStart w:id="24" w:name="_Hlk201931073"/>
      <w:r w:rsidRPr="00E336A7">
        <w:rPr>
          <w:rFonts w:hAnsi="標楷體"/>
          <w:noProof/>
          <w:spacing w:val="-2"/>
          <w:sz w:val="28"/>
          <w:szCs w:val="28"/>
        </w:rPr>
        <mc:AlternateContent>
          <mc:Choice Requires="wps">
            <w:drawing>
              <wp:anchor distT="45720" distB="45720" distL="114300" distR="114300" simplePos="0" relativeHeight="251621376" behindDoc="0" locked="0" layoutInCell="1" allowOverlap="1" wp14:anchorId="4C5106C3" wp14:editId="3FFAEE5C">
                <wp:simplePos x="0" y="0"/>
                <wp:positionH relativeFrom="margin">
                  <wp:posOffset>-22225</wp:posOffset>
                </wp:positionH>
                <wp:positionV relativeFrom="margin">
                  <wp:posOffset>5256530</wp:posOffset>
                </wp:positionV>
                <wp:extent cx="6351270" cy="2739390"/>
                <wp:effectExtent l="0" t="0" r="0" b="381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1270" cy="2739390"/>
                        </a:xfrm>
                        <a:prstGeom prst="rect">
                          <a:avLst/>
                        </a:prstGeom>
                        <a:solidFill>
                          <a:srgbClr val="FFFFFF"/>
                        </a:solidFill>
                        <a:ln w="9525">
                          <a:noFill/>
                          <a:miter lim="800000"/>
                          <a:headEnd/>
                          <a:tailEnd/>
                        </a:ln>
                      </wps:spPr>
                      <wps:txbx>
                        <w:txbxContent>
                          <w:tbl>
                            <w:tblPr>
                              <w:tblW w:w="9863" w:type="dxa"/>
                              <w:jc w:val="center"/>
                              <w:tblCellMar>
                                <w:left w:w="28" w:type="dxa"/>
                                <w:right w:w="28" w:type="dxa"/>
                              </w:tblCellMar>
                              <w:tblLook w:val="04A0" w:firstRow="1" w:lastRow="0" w:firstColumn="1" w:lastColumn="0" w:noHBand="0" w:noVBand="1"/>
                            </w:tblPr>
                            <w:tblGrid>
                              <w:gridCol w:w="709"/>
                              <w:gridCol w:w="4274"/>
                              <w:gridCol w:w="911"/>
                              <w:gridCol w:w="1969"/>
                              <w:gridCol w:w="2000"/>
                            </w:tblGrid>
                            <w:tr w:rsidR="005D7E00" w:rsidRPr="00482DE0" w14:paraId="6B6E11A8" w14:textId="77777777" w:rsidTr="00101A8C">
                              <w:trPr>
                                <w:trHeight w:val="20"/>
                                <w:jc w:val="center"/>
                              </w:trPr>
                              <w:tc>
                                <w:tcPr>
                                  <w:tcW w:w="9863" w:type="dxa"/>
                                  <w:gridSpan w:val="5"/>
                                  <w:tcBorders>
                                    <w:top w:val="nil"/>
                                    <w:left w:val="nil"/>
                                    <w:bottom w:val="nil"/>
                                    <w:right w:val="nil"/>
                                  </w:tcBorders>
                                  <w:shd w:val="clear" w:color="auto" w:fill="auto"/>
                                  <w:vAlign w:val="center"/>
                                  <w:hideMark/>
                                </w:tcPr>
                                <w:p w14:paraId="0E2CE587" w14:textId="77777777" w:rsidR="005D7E00" w:rsidRPr="00482DE0" w:rsidRDefault="005D7E00" w:rsidP="00101A8C">
                                  <w:pPr>
                                    <w:spacing w:line="220" w:lineRule="exact"/>
                                    <w:jc w:val="center"/>
                                    <w:rPr>
                                      <w:rFonts w:ascii="標楷體" w:eastAsia="標楷體" w:hAnsi="標楷體"/>
                                      <w:b/>
                                      <w:bCs/>
                                      <w:color w:val="000000"/>
                                    </w:rPr>
                                  </w:pPr>
                                  <w:r w:rsidRPr="00482DE0">
                                    <w:rPr>
                                      <w:rFonts w:ascii="標楷體" w:eastAsia="標楷體" w:hAnsi="標楷體" w:hint="eastAsia"/>
                                      <w:b/>
                                      <w:bCs/>
                                      <w:color w:val="000000"/>
                                    </w:rPr>
                                    <w:t>表</w:t>
                                  </w:r>
                                  <w:r>
                                    <w:rPr>
                                      <w:rFonts w:ascii="標楷體" w:eastAsia="標楷體" w:hAnsi="標楷體"/>
                                      <w:b/>
                                      <w:bCs/>
                                      <w:color w:val="000000"/>
                                    </w:rPr>
                                    <w:t>33</w:t>
                                  </w:r>
                                  <w:r>
                                    <w:rPr>
                                      <w:rFonts w:ascii="標楷體" w:eastAsia="標楷體" w:hAnsi="標楷體" w:hint="eastAsia"/>
                                      <w:b/>
                                      <w:bCs/>
                                      <w:color w:val="000000"/>
                                    </w:rPr>
                                    <w:t xml:space="preserve">  </w:t>
                                  </w:r>
                                  <w:r w:rsidRPr="00482DE0">
                                    <w:rPr>
                                      <w:rFonts w:ascii="標楷體" w:eastAsia="標楷體" w:hAnsi="標楷體" w:hint="eastAsia"/>
                                      <w:b/>
                                      <w:bCs/>
                                      <w:color w:val="000000"/>
                                    </w:rPr>
                                    <w:t>中央政府機關總員額法五類員額及總</w:t>
                                  </w:r>
                                  <w:proofErr w:type="gramStart"/>
                                  <w:r w:rsidRPr="00482DE0">
                                    <w:rPr>
                                      <w:rFonts w:ascii="標楷體" w:eastAsia="標楷體" w:hAnsi="標楷體" w:hint="eastAsia"/>
                                      <w:b/>
                                      <w:bCs/>
                                      <w:color w:val="000000"/>
                                    </w:rPr>
                                    <w:t>員額高限修正</w:t>
                                  </w:r>
                                  <w:proofErr w:type="gramEnd"/>
                                  <w:r w:rsidRPr="00482DE0">
                                    <w:rPr>
                                      <w:rFonts w:ascii="標楷體" w:eastAsia="標楷體" w:hAnsi="標楷體" w:hint="eastAsia"/>
                                      <w:b/>
                                      <w:bCs/>
                                      <w:color w:val="000000"/>
                                    </w:rPr>
                                    <w:t>情形</w:t>
                                  </w:r>
                                </w:p>
                              </w:tc>
                            </w:tr>
                            <w:tr w:rsidR="005D7E00" w:rsidRPr="00482DE0" w14:paraId="68E8F79A" w14:textId="77777777" w:rsidTr="00101A8C">
                              <w:trPr>
                                <w:trHeight w:val="20"/>
                                <w:jc w:val="center"/>
                              </w:trPr>
                              <w:tc>
                                <w:tcPr>
                                  <w:tcW w:w="9863" w:type="dxa"/>
                                  <w:gridSpan w:val="5"/>
                                  <w:tcBorders>
                                    <w:top w:val="nil"/>
                                    <w:left w:val="nil"/>
                                    <w:bottom w:val="single" w:sz="4" w:space="0" w:color="auto"/>
                                    <w:right w:val="nil"/>
                                  </w:tcBorders>
                                  <w:shd w:val="clear" w:color="auto" w:fill="auto"/>
                                  <w:vAlign w:val="center"/>
                                  <w:hideMark/>
                                </w:tcPr>
                                <w:p w14:paraId="78A83AE9"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單位：人</w:t>
                                  </w:r>
                                </w:p>
                              </w:tc>
                            </w:tr>
                            <w:tr w:rsidR="005D7E00" w:rsidRPr="00482DE0" w14:paraId="0FC1426E" w14:textId="77777777" w:rsidTr="009C03FE">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FABA2" w14:textId="77777777" w:rsidR="005D7E0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員額</w:t>
                                  </w:r>
                                </w:p>
                                <w:p w14:paraId="731833C6"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類型</w:t>
                                  </w:r>
                                </w:p>
                              </w:tc>
                              <w:tc>
                                <w:tcPr>
                                  <w:tcW w:w="5185" w:type="dxa"/>
                                  <w:gridSpan w:val="2"/>
                                  <w:tcBorders>
                                    <w:top w:val="single" w:sz="4" w:space="0" w:color="auto"/>
                                    <w:left w:val="nil"/>
                                    <w:bottom w:val="single" w:sz="4" w:space="0" w:color="auto"/>
                                    <w:right w:val="single" w:sz="4" w:space="0" w:color="auto"/>
                                  </w:tcBorders>
                                  <w:shd w:val="clear" w:color="auto" w:fill="auto"/>
                                  <w:vAlign w:val="center"/>
                                  <w:hideMark/>
                                </w:tcPr>
                                <w:p w14:paraId="02872F8A"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108年12月31日修正公布</w:t>
                                  </w:r>
                                  <w:r w:rsidRPr="00482DE0">
                                    <w:rPr>
                                      <w:rFonts w:ascii="標楷體" w:eastAsia="標楷體" w:hAnsi="標楷體" w:hint="eastAsia"/>
                                      <w:color w:val="000000"/>
                                      <w:sz w:val="20"/>
                                    </w:rPr>
                                    <w:br/>
                                    <w:t>（修正公布日施行）</w:t>
                                  </w:r>
                                </w:p>
                              </w:tc>
                              <w:tc>
                                <w:tcPr>
                                  <w:tcW w:w="1969" w:type="dxa"/>
                                  <w:tcBorders>
                                    <w:top w:val="nil"/>
                                    <w:left w:val="nil"/>
                                    <w:bottom w:val="single" w:sz="4" w:space="0" w:color="auto"/>
                                    <w:right w:val="single" w:sz="4" w:space="0" w:color="auto"/>
                                  </w:tcBorders>
                                  <w:shd w:val="clear" w:color="auto" w:fill="auto"/>
                                  <w:vAlign w:val="center"/>
                                  <w:hideMark/>
                                </w:tcPr>
                                <w:p w14:paraId="1737774F" w14:textId="73E5D3C6" w:rsidR="005D7E00" w:rsidRPr="00AB67D3" w:rsidRDefault="005D7E00" w:rsidP="00101A8C">
                                  <w:pPr>
                                    <w:spacing w:line="220" w:lineRule="exact"/>
                                    <w:ind w:leftChars="-48" w:left="-115" w:rightChars="-20" w:right="-48" w:firstLineChars="29" w:firstLine="53"/>
                                    <w:jc w:val="center"/>
                                    <w:rPr>
                                      <w:rFonts w:ascii="標楷體" w:eastAsia="標楷體" w:hAnsi="標楷體"/>
                                      <w:color w:val="000000"/>
                                      <w:spacing w:val="-8"/>
                                      <w:sz w:val="20"/>
                                    </w:rPr>
                                  </w:pPr>
                                  <w:r w:rsidRPr="00AB67D3">
                                    <w:rPr>
                                      <w:rFonts w:ascii="標楷體" w:eastAsia="標楷體" w:hAnsi="標楷體" w:hint="eastAsia"/>
                                      <w:color w:val="000000"/>
                                      <w:spacing w:val="-8"/>
                                      <w:sz w:val="20"/>
                                    </w:rPr>
                                    <w:t>99年2月3日</w:t>
                                  </w:r>
                                  <w:r w:rsidR="009C03FE">
                                    <w:rPr>
                                      <w:rFonts w:ascii="標楷體" w:eastAsia="標楷體" w:hAnsi="標楷體" w:hint="eastAsia"/>
                                      <w:color w:val="000000"/>
                                      <w:spacing w:val="-8"/>
                                      <w:sz w:val="20"/>
                                    </w:rPr>
                                    <w:t>制定</w:t>
                                  </w:r>
                                  <w:r w:rsidRPr="00AB67D3">
                                    <w:rPr>
                                      <w:rFonts w:ascii="標楷體" w:eastAsia="標楷體" w:hAnsi="標楷體" w:hint="eastAsia"/>
                                      <w:color w:val="000000"/>
                                      <w:spacing w:val="-8"/>
                                      <w:sz w:val="20"/>
                                    </w:rPr>
                                    <w:t>公布</w:t>
                                  </w:r>
                                  <w:r w:rsidRPr="00482DE0">
                                    <w:rPr>
                                      <w:rFonts w:ascii="標楷體" w:eastAsia="標楷體" w:hAnsi="標楷體" w:hint="eastAsia"/>
                                      <w:color w:val="000000"/>
                                      <w:sz w:val="20"/>
                                    </w:rPr>
                                    <w:br/>
                                  </w:r>
                                  <w:r w:rsidRPr="005B6DDB">
                                    <w:rPr>
                                      <w:rFonts w:ascii="標楷體" w:eastAsia="標楷體" w:hAnsi="標楷體" w:hint="eastAsia"/>
                                      <w:color w:val="000000"/>
                                      <w:sz w:val="20"/>
                                    </w:rPr>
                                    <w:t>（99年4月1日施行）</w:t>
                                  </w:r>
                                </w:p>
                              </w:tc>
                              <w:tc>
                                <w:tcPr>
                                  <w:tcW w:w="2000" w:type="dxa"/>
                                  <w:tcBorders>
                                    <w:top w:val="nil"/>
                                    <w:left w:val="nil"/>
                                    <w:bottom w:val="single" w:sz="4" w:space="0" w:color="auto"/>
                                    <w:right w:val="single" w:sz="4" w:space="0" w:color="auto"/>
                                  </w:tcBorders>
                                  <w:shd w:val="clear" w:color="auto" w:fill="auto"/>
                                  <w:vAlign w:val="center"/>
                                  <w:hideMark/>
                                </w:tcPr>
                                <w:p w14:paraId="45E8D1B1"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修正說明</w:t>
                                  </w:r>
                                </w:p>
                              </w:tc>
                            </w:tr>
                            <w:tr w:rsidR="005D7E00" w:rsidRPr="00482DE0" w14:paraId="094F6FB7" w14:textId="77777777" w:rsidTr="009C03FE">
                              <w:trPr>
                                <w:trHeight w:val="20"/>
                                <w:jc w:val="center"/>
                              </w:trPr>
                              <w:tc>
                                <w:tcPr>
                                  <w:tcW w:w="49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1E223F" w14:textId="77777777" w:rsidR="005D7E00" w:rsidRPr="00482DE0" w:rsidRDefault="005D7E00" w:rsidP="00101A8C">
                                  <w:pPr>
                                    <w:spacing w:line="220" w:lineRule="exact"/>
                                    <w:jc w:val="center"/>
                                    <w:rPr>
                                      <w:rFonts w:ascii="標楷體" w:eastAsia="標楷體" w:hAnsi="標楷體"/>
                                      <w:b/>
                                      <w:bCs/>
                                      <w:color w:val="000000"/>
                                      <w:sz w:val="20"/>
                                    </w:rPr>
                                  </w:pPr>
                                  <w:r w:rsidRPr="00482DE0">
                                    <w:rPr>
                                      <w:rFonts w:ascii="標楷體" w:eastAsia="標楷體" w:hAnsi="標楷體" w:hint="eastAsia"/>
                                      <w:b/>
                                      <w:bCs/>
                                      <w:color w:val="000000"/>
                                      <w:sz w:val="20"/>
                                    </w:rPr>
                                    <w:t>合計</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13148BC7" w14:textId="77777777" w:rsidR="005D7E00" w:rsidRPr="00482DE0" w:rsidRDefault="005D7E00" w:rsidP="00101A8C">
                                  <w:pPr>
                                    <w:spacing w:line="220" w:lineRule="exact"/>
                                    <w:jc w:val="right"/>
                                    <w:rPr>
                                      <w:rFonts w:ascii="標楷體" w:eastAsia="標楷體" w:hAnsi="標楷體"/>
                                      <w:b/>
                                      <w:bCs/>
                                      <w:color w:val="000000"/>
                                      <w:sz w:val="20"/>
                                    </w:rPr>
                                  </w:pPr>
                                  <w:r>
                                    <w:rPr>
                                      <w:rFonts w:ascii="標楷體" w:eastAsia="標楷體" w:hAnsi="標楷體" w:hint="eastAsia"/>
                                      <w:b/>
                                      <w:bCs/>
                                      <w:color w:val="000000"/>
                                      <w:sz w:val="20"/>
                                    </w:rPr>
                                    <w:t>160,</w:t>
                                  </w:r>
                                  <w:r>
                                    <w:rPr>
                                      <w:rFonts w:ascii="標楷體" w:eastAsia="標楷體" w:hAnsi="標楷體"/>
                                      <w:b/>
                                      <w:bCs/>
                                      <w:color w:val="000000"/>
                                      <w:sz w:val="20"/>
                                    </w:rPr>
                                    <w:t>900</w:t>
                                  </w:r>
                                </w:p>
                              </w:tc>
                              <w:tc>
                                <w:tcPr>
                                  <w:tcW w:w="1969" w:type="dxa"/>
                                  <w:tcBorders>
                                    <w:top w:val="nil"/>
                                    <w:left w:val="nil"/>
                                    <w:bottom w:val="single" w:sz="4" w:space="0" w:color="auto"/>
                                    <w:right w:val="single" w:sz="4" w:space="0" w:color="auto"/>
                                  </w:tcBorders>
                                  <w:shd w:val="clear" w:color="auto" w:fill="auto"/>
                                  <w:vAlign w:val="center"/>
                                  <w:hideMark/>
                                </w:tcPr>
                                <w:p w14:paraId="1643104F" w14:textId="77777777" w:rsidR="005D7E00" w:rsidRPr="00482DE0" w:rsidRDefault="005D7E00" w:rsidP="00101A8C">
                                  <w:pPr>
                                    <w:spacing w:line="220" w:lineRule="exact"/>
                                    <w:jc w:val="right"/>
                                    <w:rPr>
                                      <w:rFonts w:ascii="標楷體" w:eastAsia="標楷體" w:hAnsi="標楷體"/>
                                      <w:b/>
                                      <w:bCs/>
                                      <w:color w:val="000000"/>
                                      <w:sz w:val="20"/>
                                    </w:rPr>
                                  </w:pPr>
                                  <w:r w:rsidRPr="00482DE0">
                                    <w:rPr>
                                      <w:rFonts w:ascii="標楷體" w:eastAsia="標楷體" w:hAnsi="標楷體" w:hint="eastAsia"/>
                                      <w:b/>
                                      <w:bCs/>
                                      <w:color w:val="000000"/>
                                      <w:sz w:val="20"/>
                                    </w:rPr>
                                    <w:t xml:space="preserve">173,000 </w:t>
                                  </w:r>
                                </w:p>
                              </w:tc>
                              <w:tc>
                                <w:tcPr>
                                  <w:tcW w:w="2000" w:type="dxa"/>
                                  <w:tcBorders>
                                    <w:top w:val="nil"/>
                                    <w:left w:val="nil"/>
                                    <w:bottom w:val="single" w:sz="4" w:space="0" w:color="auto"/>
                                    <w:right w:val="single" w:sz="4" w:space="0" w:color="auto"/>
                                    <w:tl2br w:val="single" w:sz="4" w:space="0" w:color="auto"/>
                                  </w:tcBorders>
                                  <w:shd w:val="clear" w:color="auto" w:fill="auto"/>
                                  <w:vAlign w:val="center"/>
                                  <w:hideMark/>
                                </w:tcPr>
                                <w:p w14:paraId="25D57753" w14:textId="77777777" w:rsidR="005D7E00" w:rsidRPr="00482DE0" w:rsidRDefault="005D7E00" w:rsidP="00101A8C">
                                  <w:pPr>
                                    <w:spacing w:line="220" w:lineRule="exact"/>
                                    <w:rPr>
                                      <w:rFonts w:ascii="標楷體" w:eastAsia="標楷體" w:hAnsi="標楷體"/>
                                      <w:color w:val="000000"/>
                                      <w:sz w:val="20"/>
                                    </w:rPr>
                                  </w:pPr>
                                  <w:r w:rsidRPr="00482DE0">
                                    <w:rPr>
                                      <w:rFonts w:ascii="標楷體" w:eastAsia="標楷體" w:hAnsi="標楷體" w:hint="eastAsia"/>
                                      <w:color w:val="000000"/>
                                      <w:sz w:val="20"/>
                                    </w:rPr>
                                    <w:t xml:space="preserve">　</w:t>
                                  </w:r>
                                </w:p>
                              </w:tc>
                            </w:tr>
                            <w:tr w:rsidR="005D7E00" w:rsidRPr="00482DE0" w14:paraId="259644A7" w14:textId="77777777" w:rsidTr="009C03FE">
                              <w:trPr>
                                <w:trHeight w:val="935"/>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7D7AAC"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第一類</w:t>
                                  </w:r>
                                </w:p>
                              </w:tc>
                              <w:tc>
                                <w:tcPr>
                                  <w:tcW w:w="4274" w:type="dxa"/>
                                  <w:tcBorders>
                                    <w:top w:val="nil"/>
                                    <w:left w:val="nil"/>
                                    <w:bottom w:val="single" w:sz="4" w:space="0" w:color="auto"/>
                                    <w:right w:val="single" w:sz="4" w:space="0" w:color="auto"/>
                                  </w:tcBorders>
                                  <w:shd w:val="clear" w:color="auto" w:fill="auto"/>
                                  <w:vAlign w:val="center"/>
                                  <w:hideMark/>
                                </w:tcPr>
                                <w:p w14:paraId="33D8055B"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機關為執行業務所置政務人員，定有職稱、官等職等之文職人員，</w:t>
                                  </w:r>
                                  <w:proofErr w:type="gramStart"/>
                                  <w:r w:rsidRPr="00482DE0">
                                    <w:rPr>
                                      <w:rFonts w:ascii="標楷體" w:eastAsia="標楷體" w:hAnsi="標楷體" w:hint="eastAsia"/>
                                      <w:color w:val="000000"/>
                                      <w:sz w:val="20"/>
                                    </w:rPr>
                                    <w:t>醫</w:t>
                                  </w:r>
                                  <w:proofErr w:type="gramEnd"/>
                                  <w:r w:rsidRPr="00482DE0">
                                    <w:rPr>
                                      <w:rFonts w:ascii="標楷體" w:eastAsia="標楷體" w:hAnsi="標楷體" w:hint="eastAsia"/>
                                      <w:color w:val="000000"/>
                                      <w:sz w:val="20"/>
                                    </w:rPr>
                                    <w:t>事人員及聘任人員。但不包括</w:t>
                                  </w:r>
                                  <w:proofErr w:type="gramStart"/>
                                  <w:r w:rsidRPr="00482DE0">
                                    <w:rPr>
                                      <w:rFonts w:ascii="標楷體" w:eastAsia="標楷體" w:hAnsi="標楷體" w:hint="eastAsia"/>
                                      <w:color w:val="000000"/>
                                      <w:sz w:val="20"/>
                                    </w:rPr>
                                    <w:t>第三類至第五</w:t>
                                  </w:r>
                                  <w:proofErr w:type="gramEnd"/>
                                  <w:r w:rsidRPr="00482DE0">
                                    <w:rPr>
                                      <w:rFonts w:ascii="標楷體" w:eastAsia="標楷體" w:hAnsi="標楷體" w:hint="eastAsia"/>
                                      <w:color w:val="000000"/>
                                      <w:sz w:val="20"/>
                                    </w:rPr>
                                    <w:t>類員額、公立學校教職員及</w:t>
                                  </w:r>
                                  <w:r w:rsidRPr="00C529D7">
                                    <w:rPr>
                                      <w:rFonts w:ascii="標楷體" w:eastAsia="標楷體" w:hAnsi="標楷體" w:hint="eastAsia"/>
                                      <w:color w:val="000000"/>
                                      <w:sz w:val="20"/>
                                    </w:rPr>
                                    <w:t>公立醫院職員</w:t>
                                  </w:r>
                                  <w:r w:rsidRPr="00482DE0">
                                    <w:rPr>
                                      <w:rFonts w:ascii="標楷體" w:eastAsia="標楷體" w:hAnsi="標楷體" w:hint="eastAsia"/>
                                      <w:color w:val="000000"/>
                                      <w:sz w:val="20"/>
                                    </w:rPr>
                                    <w:t>。</w:t>
                                  </w:r>
                                </w:p>
                              </w:tc>
                              <w:tc>
                                <w:tcPr>
                                  <w:tcW w:w="911" w:type="dxa"/>
                                  <w:tcBorders>
                                    <w:top w:val="nil"/>
                                    <w:left w:val="nil"/>
                                    <w:bottom w:val="single" w:sz="4" w:space="0" w:color="auto"/>
                                    <w:right w:val="single" w:sz="4" w:space="0" w:color="auto"/>
                                  </w:tcBorders>
                                  <w:shd w:val="clear" w:color="auto" w:fill="auto"/>
                                  <w:vAlign w:val="center"/>
                                  <w:hideMark/>
                                </w:tcPr>
                                <w:p w14:paraId="01524AFB"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74,600 </w:t>
                                  </w:r>
                                </w:p>
                              </w:tc>
                              <w:tc>
                                <w:tcPr>
                                  <w:tcW w:w="1969" w:type="dxa"/>
                                  <w:tcBorders>
                                    <w:top w:val="nil"/>
                                    <w:left w:val="nil"/>
                                    <w:bottom w:val="single" w:sz="4" w:space="0" w:color="auto"/>
                                    <w:right w:val="single" w:sz="4" w:space="0" w:color="auto"/>
                                  </w:tcBorders>
                                  <w:shd w:val="clear" w:color="auto" w:fill="auto"/>
                                  <w:vAlign w:val="center"/>
                                  <w:hideMark/>
                                </w:tcPr>
                                <w:p w14:paraId="4D132745"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86,700 </w:t>
                                  </w:r>
                                </w:p>
                              </w:tc>
                              <w:tc>
                                <w:tcPr>
                                  <w:tcW w:w="2000" w:type="dxa"/>
                                  <w:tcBorders>
                                    <w:top w:val="nil"/>
                                    <w:left w:val="nil"/>
                                    <w:bottom w:val="single" w:sz="4" w:space="0" w:color="auto"/>
                                    <w:right w:val="single" w:sz="4" w:space="0" w:color="auto"/>
                                  </w:tcBorders>
                                  <w:shd w:val="clear" w:color="auto" w:fill="auto"/>
                                  <w:vAlign w:val="center"/>
                                  <w:hideMark/>
                                </w:tcPr>
                                <w:p w14:paraId="72D662B9"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公立醫院職員排除計入第一類員額，配合調</w:t>
                                  </w:r>
                                  <w:r w:rsidRPr="006B6421">
                                    <w:rPr>
                                      <w:rFonts w:ascii="標楷體" w:eastAsia="標楷體" w:hAnsi="標楷體" w:hint="eastAsia"/>
                                      <w:color w:val="000000"/>
                                      <w:spacing w:val="-6"/>
                                      <w:sz w:val="20"/>
                                    </w:rPr>
                                    <w:t>降第一類員額數及總</w:t>
                                  </w:r>
                                  <w:proofErr w:type="gramStart"/>
                                  <w:r w:rsidRPr="006B6421">
                                    <w:rPr>
                                      <w:rFonts w:ascii="標楷體" w:eastAsia="標楷體" w:hAnsi="標楷體" w:hint="eastAsia"/>
                                      <w:color w:val="000000"/>
                                      <w:spacing w:val="-6"/>
                                      <w:sz w:val="20"/>
                                    </w:rPr>
                                    <w:t>員額高限數</w:t>
                                  </w:r>
                                  <w:proofErr w:type="gramEnd"/>
                                  <w:r w:rsidRPr="006B6421">
                                    <w:rPr>
                                      <w:rFonts w:ascii="標楷體" w:eastAsia="標楷體" w:hAnsi="標楷體" w:hint="eastAsia"/>
                                      <w:color w:val="000000"/>
                                      <w:spacing w:val="-6"/>
                                      <w:sz w:val="20"/>
                                    </w:rPr>
                                    <w:t>各12,100人。</w:t>
                                  </w:r>
                                </w:p>
                              </w:tc>
                            </w:tr>
                            <w:tr w:rsidR="005D7E00" w:rsidRPr="00482DE0" w14:paraId="56A83062"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0D46E72"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第二類</w:t>
                                  </w:r>
                                </w:p>
                              </w:tc>
                              <w:tc>
                                <w:tcPr>
                                  <w:tcW w:w="4274" w:type="dxa"/>
                                  <w:tcBorders>
                                    <w:top w:val="nil"/>
                                    <w:left w:val="nil"/>
                                    <w:bottom w:val="single" w:sz="4" w:space="0" w:color="auto"/>
                                    <w:right w:val="single" w:sz="4" w:space="0" w:color="auto"/>
                                  </w:tcBorders>
                                  <w:shd w:val="clear" w:color="auto" w:fill="auto"/>
                                  <w:vAlign w:val="center"/>
                                  <w:hideMark/>
                                </w:tcPr>
                                <w:p w14:paraId="409DD299"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機關</w:t>
                                  </w:r>
                                  <w:proofErr w:type="gramStart"/>
                                  <w:r w:rsidRPr="00482DE0">
                                    <w:rPr>
                                      <w:rFonts w:ascii="標楷體" w:eastAsia="標楷體" w:hAnsi="標楷體" w:hint="eastAsia"/>
                                      <w:color w:val="000000"/>
                                      <w:sz w:val="20"/>
                                    </w:rPr>
                                    <w:t>依法令進用</w:t>
                                  </w:r>
                                  <w:proofErr w:type="gramEnd"/>
                                  <w:r w:rsidRPr="00482DE0">
                                    <w:rPr>
                                      <w:rFonts w:ascii="標楷體" w:eastAsia="標楷體" w:hAnsi="標楷體" w:hint="eastAsia"/>
                                      <w:color w:val="000000"/>
                                      <w:sz w:val="20"/>
                                    </w:rPr>
                                    <w:t>之聘僱人員、駐衛警察及工友（含技工、駕駛）。但不包括第三類及第四類員額。</w:t>
                                  </w:r>
                                </w:p>
                              </w:tc>
                              <w:tc>
                                <w:tcPr>
                                  <w:tcW w:w="911" w:type="dxa"/>
                                  <w:tcBorders>
                                    <w:top w:val="nil"/>
                                    <w:left w:val="nil"/>
                                    <w:bottom w:val="single" w:sz="4" w:space="0" w:color="auto"/>
                                    <w:right w:val="single" w:sz="4" w:space="0" w:color="auto"/>
                                  </w:tcBorders>
                                  <w:shd w:val="clear" w:color="auto" w:fill="auto"/>
                                  <w:vAlign w:val="center"/>
                                  <w:hideMark/>
                                </w:tcPr>
                                <w:p w14:paraId="01A5007E"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40,100 </w:t>
                                  </w:r>
                                </w:p>
                              </w:tc>
                              <w:tc>
                                <w:tcPr>
                                  <w:tcW w:w="1969" w:type="dxa"/>
                                  <w:tcBorders>
                                    <w:top w:val="nil"/>
                                    <w:left w:val="nil"/>
                                    <w:bottom w:val="single" w:sz="4" w:space="0" w:color="auto"/>
                                    <w:right w:val="single" w:sz="4" w:space="0" w:color="auto"/>
                                  </w:tcBorders>
                                  <w:shd w:val="clear" w:color="auto" w:fill="auto"/>
                                  <w:vAlign w:val="center"/>
                                  <w:hideMark/>
                                </w:tcPr>
                                <w:p w14:paraId="32108B23"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41,200 </w:t>
                                  </w:r>
                                </w:p>
                              </w:tc>
                              <w:tc>
                                <w:tcPr>
                                  <w:tcW w:w="2000" w:type="dxa"/>
                                  <w:vMerge w:val="restart"/>
                                  <w:tcBorders>
                                    <w:top w:val="nil"/>
                                    <w:left w:val="single" w:sz="4" w:space="0" w:color="auto"/>
                                    <w:bottom w:val="single" w:sz="4" w:space="0" w:color="auto"/>
                                    <w:right w:val="single" w:sz="4" w:space="0" w:color="auto"/>
                                  </w:tcBorders>
                                  <w:shd w:val="clear" w:color="auto" w:fill="auto"/>
                                  <w:vAlign w:val="center"/>
                                  <w:hideMark/>
                                </w:tcPr>
                                <w:p w14:paraId="3FB67B62"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第三類司法人力員額數調增1,100人，第二類輔助性或事務性人力調降1,100人。</w:t>
                                  </w:r>
                                </w:p>
                              </w:tc>
                            </w:tr>
                            <w:tr w:rsidR="005D7E00" w:rsidRPr="00482DE0" w14:paraId="5B6A6918"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D551697"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第三類</w:t>
                                  </w:r>
                                </w:p>
                              </w:tc>
                              <w:tc>
                                <w:tcPr>
                                  <w:tcW w:w="4274" w:type="dxa"/>
                                  <w:tcBorders>
                                    <w:top w:val="nil"/>
                                    <w:left w:val="nil"/>
                                    <w:bottom w:val="single" w:sz="4" w:space="0" w:color="auto"/>
                                    <w:right w:val="single" w:sz="4" w:space="0" w:color="auto"/>
                                  </w:tcBorders>
                                  <w:shd w:val="clear" w:color="auto" w:fill="auto"/>
                                  <w:vAlign w:val="center"/>
                                  <w:hideMark/>
                                </w:tcPr>
                                <w:p w14:paraId="1450636B"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司法院及所屬機關職員（含法警）、聘僱人員、駐衛警察及工友（含技工、駕駛）。</w:t>
                                  </w:r>
                                </w:p>
                              </w:tc>
                              <w:tc>
                                <w:tcPr>
                                  <w:tcW w:w="911" w:type="dxa"/>
                                  <w:tcBorders>
                                    <w:top w:val="nil"/>
                                    <w:left w:val="nil"/>
                                    <w:bottom w:val="single" w:sz="4" w:space="0" w:color="auto"/>
                                    <w:right w:val="single" w:sz="4" w:space="0" w:color="auto"/>
                                  </w:tcBorders>
                                  <w:shd w:val="clear" w:color="auto" w:fill="auto"/>
                                  <w:vAlign w:val="center"/>
                                  <w:hideMark/>
                                </w:tcPr>
                                <w:p w14:paraId="6B02BB10"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15,000 </w:t>
                                  </w:r>
                                </w:p>
                              </w:tc>
                              <w:tc>
                                <w:tcPr>
                                  <w:tcW w:w="1969" w:type="dxa"/>
                                  <w:tcBorders>
                                    <w:top w:val="nil"/>
                                    <w:left w:val="nil"/>
                                    <w:bottom w:val="single" w:sz="4" w:space="0" w:color="auto"/>
                                    <w:right w:val="single" w:sz="4" w:space="0" w:color="auto"/>
                                  </w:tcBorders>
                                  <w:shd w:val="clear" w:color="auto" w:fill="auto"/>
                                  <w:vAlign w:val="center"/>
                                  <w:hideMark/>
                                </w:tcPr>
                                <w:p w14:paraId="62CF41AE"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13,900 </w:t>
                                  </w:r>
                                </w:p>
                              </w:tc>
                              <w:tc>
                                <w:tcPr>
                                  <w:tcW w:w="2000" w:type="dxa"/>
                                  <w:vMerge/>
                                  <w:tcBorders>
                                    <w:top w:val="nil"/>
                                    <w:left w:val="single" w:sz="4" w:space="0" w:color="auto"/>
                                    <w:bottom w:val="single" w:sz="4" w:space="0" w:color="auto"/>
                                    <w:right w:val="single" w:sz="4" w:space="0" w:color="auto"/>
                                  </w:tcBorders>
                                  <w:vAlign w:val="center"/>
                                  <w:hideMark/>
                                </w:tcPr>
                                <w:p w14:paraId="4417AD91" w14:textId="77777777" w:rsidR="005D7E00" w:rsidRPr="00482DE0" w:rsidRDefault="005D7E00" w:rsidP="00101A8C">
                                  <w:pPr>
                                    <w:spacing w:line="220" w:lineRule="exact"/>
                                    <w:jc w:val="both"/>
                                    <w:rPr>
                                      <w:rFonts w:ascii="標楷體" w:eastAsia="標楷體" w:hAnsi="標楷體"/>
                                      <w:color w:val="000000"/>
                                      <w:sz w:val="20"/>
                                    </w:rPr>
                                  </w:pPr>
                                </w:p>
                              </w:tc>
                            </w:tr>
                            <w:tr w:rsidR="005D7E00" w:rsidRPr="00482DE0" w14:paraId="49FEB106"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4E9A42"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第四類</w:t>
                                  </w:r>
                                </w:p>
                              </w:tc>
                              <w:tc>
                                <w:tcPr>
                                  <w:tcW w:w="4274" w:type="dxa"/>
                                  <w:tcBorders>
                                    <w:top w:val="nil"/>
                                    <w:left w:val="nil"/>
                                    <w:bottom w:val="single" w:sz="4" w:space="0" w:color="auto"/>
                                    <w:right w:val="single" w:sz="4" w:space="0" w:color="auto"/>
                                  </w:tcBorders>
                                  <w:shd w:val="clear" w:color="auto" w:fill="auto"/>
                                  <w:vAlign w:val="center"/>
                                  <w:hideMark/>
                                </w:tcPr>
                                <w:p w14:paraId="0E8095F8"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法務部所屬檢察機關職員（含法警）、聘僱人員、駐衛警察及工友（含技工、駕駛）。</w:t>
                                  </w:r>
                                </w:p>
                              </w:tc>
                              <w:tc>
                                <w:tcPr>
                                  <w:tcW w:w="911" w:type="dxa"/>
                                  <w:tcBorders>
                                    <w:top w:val="nil"/>
                                    <w:left w:val="nil"/>
                                    <w:bottom w:val="single" w:sz="4" w:space="0" w:color="auto"/>
                                    <w:right w:val="single" w:sz="4" w:space="0" w:color="auto"/>
                                  </w:tcBorders>
                                  <w:shd w:val="clear" w:color="auto" w:fill="auto"/>
                                  <w:vAlign w:val="center"/>
                                  <w:hideMark/>
                                </w:tcPr>
                                <w:p w14:paraId="76060336"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6,900 </w:t>
                                  </w:r>
                                </w:p>
                              </w:tc>
                              <w:tc>
                                <w:tcPr>
                                  <w:tcW w:w="1969" w:type="dxa"/>
                                  <w:tcBorders>
                                    <w:top w:val="nil"/>
                                    <w:left w:val="nil"/>
                                    <w:bottom w:val="single" w:sz="4" w:space="0" w:color="auto"/>
                                    <w:right w:val="single" w:sz="4" w:space="0" w:color="auto"/>
                                  </w:tcBorders>
                                  <w:shd w:val="clear" w:color="auto" w:fill="auto"/>
                                  <w:vAlign w:val="center"/>
                                  <w:hideMark/>
                                </w:tcPr>
                                <w:p w14:paraId="5FB630B1"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6,900 </w:t>
                                  </w:r>
                                </w:p>
                              </w:tc>
                              <w:tc>
                                <w:tcPr>
                                  <w:tcW w:w="2000" w:type="dxa"/>
                                  <w:tcBorders>
                                    <w:top w:val="nil"/>
                                    <w:left w:val="nil"/>
                                    <w:bottom w:val="single" w:sz="4" w:space="0" w:color="auto"/>
                                    <w:right w:val="single" w:sz="4" w:space="0" w:color="auto"/>
                                    <w:tl2br w:val="single" w:sz="4" w:space="0" w:color="auto"/>
                                  </w:tcBorders>
                                  <w:shd w:val="clear" w:color="auto" w:fill="auto"/>
                                  <w:vAlign w:val="center"/>
                                  <w:hideMark/>
                                </w:tcPr>
                                <w:p w14:paraId="6B76DCBA"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 xml:space="preserve">　</w:t>
                                  </w:r>
                                </w:p>
                              </w:tc>
                            </w:tr>
                            <w:tr w:rsidR="005D7E00" w:rsidRPr="00482DE0" w14:paraId="7E005D40"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DA0AEC"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第五類</w:t>
                                  </w:r>
                                </w:p>
                              </w:tc>
                              <w:tc>
                                <w:tcPr>
                                  <w:tcW w:w="4274" w:type="dxa"/>
                                  <w:tcBorders>
                                    <w:top w:val="nil"/>
                                    <w:left w:val="nil"/>
                                    <w:bottom w:val="single" w:sz="4" w:space="0" w:color="auto"/>
                                    <w:right w:val="single" w:sz="4" w:space="0" w:color="auto"/>
                                  </w:tcBorders>
                                  <w:shd w:val="clear" w:color="auto" w:fill="auto"/>
                                  <w:vAlign w:val="center"/>
                                  <w:hideMark/>
                                </w:tcPr>
                                <w:p w14:paraId="29E1CE1C"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警察、消防及海岸巡防機關職（警）員。</w:t>
                                  </w:r>
                                </w:p>
                              </w:tc>
                              <w:tc>
                                <w:tcPr>
                                  <w:tcW w:w="911" w:type="dxa"/>
                                  <w:tcBorders>
                                    <w:top w:val="nil"/>
                                    <w:left w:val="nil"/>
                                    <w:bottom w:val="single" w:sz="4" w:space="0" w:color="auto"/>
                                    <w:right w:val="single" w:sz="4" w:space="0" w:color="auto"/>
                                  </w:tcBorders>
                                  <w:shd w:val="clear" w:color="auto" w:fill="auto"/>
                                  <w:vAlign w:val="center"/>
                                  <w:hideMark/>
                                </w:tcPr>
                                <w:p w14:paraId="56ACE1DC"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24,300 </w:t>
                                  </w:r>
                                </w:p>
                              </w:tc>
                              <w:tc>
                                <w:tcPr>
                                  <w:tcW w:w="1969" w:type="dxa"/>
                                  <w:tcBorders>
                                    <w:top w:val="nil"/>
                                    <w:left w:val="nil"/>
                                    <w:bottom w:val="single" w:sz="4" w:space="0" w:color="auto"/>
                                    <w:right w:val="single" w:sz="4" w:space="0" w:color="auto"/>
                                  </w:tcBorders>
                                  <w:shd w:val="clear" w:color="auto" w:fill="auto"/>
                                  <w:vAlign w:val="center"/>
                                  <w:hideMark/>
                                </w:tcPr>
                                <w:p w14:paraId="41619F05"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24,300 </w:t>
                                  </w:r>
                                </w:p>
                              </w:tc>
                              <w:tc>
                                <w:tcPr>
                                  <w:tcW w:w="2000" w:type="dxa"/>
                                  <w:tcBorders>
                                    <w:top w:val="nil"/>
                                    <w:left w:val="nil"/>
                                    <w:bottom w:val="single" w:sz="4" w:space="0" w:color="auto"/>
                                    <w:right w:val="single" w:sz="4" w:space="0" w:color="auto"/>
                                    <w:tl2br w:val="single" w:sz="4" w:space="0" w:color="auto"/>
                                  </w:tcBorders>
                                  <w:shd w:val="clear" w:color="auto" w:fill="auto"/>
                                  <w:vAlign w:val="center"/>
                                  <w:hideMark/>
                                </w:tcPr>
                                <w:p w14:paraId="591E6472" w14:textId="77777777" w:rsidR="005D7E00" w:rsidRPr="00482DE0" w:rsidRDefault="005D7E00" w:rsidP="00101A8C">
                                  <w:pPr>
                                    <w:spacing w:line="220" w:lineRule="exact"/>
                                    <w:rPr>
                                      <w:rFonts w:ascii="標楷體" w:eastAsia="標楷體" w:hAnsi="標楷體"/>
                                      <w:color w:val="000000"/>
                                      <w:sz w:val="20"/>
                                    </w:rPr>
                                  </w:pPr>
                                  <w:r w:rsidRPr="00482DE0">
                                    <w:rPr>
                                      <w:rFonts w:ascii="標楷體" w:eastAsia="標楷體" w:hAnsi="標楷體" w:hint="eastAsia"/>
                                      <w:color w:val="000000"/>
                                      <w:sz w:val="20"/>
                                    </w:rPr>
                                    <w:t xml:space="preserve">　</w:t>
                                  </w:r>
                                </w:p>
                              </w:tc>
                            </w:tr>
                            <w:tr w:rsidR="005D7E00" w:rsidRPr="00482DE0" w14:paraId="73BFEA2C" w14:textId="77777777" w:rsidTr="00101A8C">
                              <w:trPr>
                                <w:trHeight w:val="397"/>
                                <w:jc w:val="center"/>
                              </w:trPr>
                              <w:tc>
                                <w:tcPr>
                                  <w:tcW w:w="9863" w:type="dxa"/>
                                  <w:gridSpan w:val="5"/>
                                  <w:tcBorders>
                                    <w:top w:val="nil"/>
                                    <w:left w:val="nil"/>
                                    <w:right w:val="nil"/>
                                  </w:tcBorders>
                                  <w:shd w:val="clear" w:color="auto" w:fill="auto"/>
                                  <w:vAlign w:val="center"/>
                                  <w:hideMark/>
                                </w:tcPr>
                                <w:p w14:paraId="6F065968" w14:textId="77777777" w:rsidR="005D7E00" w:rsidRPr="000C4FD5" w:rsidRDefault="005D7E00" w:rsidP="00101A8C">
                                  <w:pPr>
                                    <w:spacing w:line="200" w:lineRule="exact"/>
                                    <w:rPr>
                                      <w:rFonts w:ascii="標楷體" w:eastAsia="標楷體" w:hAnsi="標楷體"/>
                                      <w:color w:val="000000"/>
                                      <w:sz w:val="18"/>
                                      <w:szCs w:val="18"/>
                                    </w:rPr>
                                  </w:pPr>
                                  <w:proofErr w:type="gramStart"/>
                                  <w:r w:rsidRPr="000C4FD5">
                                    <w:rPr>
                                      <w:rFonts w:ascii="標楷體" w:eastAsia="標楷體" w:hAnsi="標楷體" w:hint="eastAsia"/>
                                      <w:color w:val="000000"/>
                                      <w:sz w:val="18"/>
                                      <w:szCs w:val="18"/>
                                    </w:rPr>
                                    <w:t>註</w:t>
                                  </w:r>
                                  <w:proofErr w:type="gramEnd"/>
                                  <w:r w:rsidRPr="000C4FD5">
                                    <w:rPr>
                                      <w:rFonts w:ascii="標楷體" w:eastAsia="標楷體" w:hAnsi="標楷體" w:hint="eastAsia"/>
                                      <w:color w:val="000000"/>
                                      <w:sz w:val="18"/>
                                      <w:szCs w:val="18"/>
                                    </w:rPr>
                                    <w:t>：1.依據中央政府機關總員額法第3條第2項規定，所稱員額不包括軍職人員。</w:t>
                                  </w:r>
                                </w:p>
                                <w:p w14:paraId="61A0E00B" w14:textId="77777777" w:rsidR="005D7E00" w:rsidRPr="00482DE0" w:rsidRDefault="005D7E00" w:rsidP="00101A8C">
                                  <w:pPr>
                                    <w:spacing w:line="200" w:lineRule="exact"/>
                                    <w:ind w:firstLineChars="199" w:firstLine="358"/>
                                    <w:rPr>
                                      <w:rFonts w:ascii="標楷體" w:eastAsia="標楷體" w:hAnsi="標楷體"/>
                                      <w:color w:val="000000"/>
                                      <w:sz w:val="20"/>
                                    </w:rPr>
                                  </w:pPr>
                                  <w:r w:rsidRPr="000C4FD5">
                                    <w:rPr>
                                      <w:rFonts w:ascii="標楷體" w:eastAsia="標楷體" w:hAnsi="標楷體" w:hint="eastAsia"/>
                                      <w:color w:val="000000"/>
                                      <w:sz w:val="18"/>
                                      <w:szCs w:val="18"/>
                                    </w:rPr>
                                    <w:t>2.</w:t>
                                  </w:r>
                                  <w:r>
                                    <w:rPr>
                                      <w:rFonts w:ascii="標楷體" w:eastAsia="標楷體" w:hAnsi="標楷體" w:hint="eastAsia"/>
                                      <w:color w:val="000000"/>
                                      <w:sz w:val="18"/>
                                      <w:szCs w:val="18"/>
                                    </w:rPr>
                                    <w:t>資料來源：</w:t>
                                  </w:r>
                                  <w:r w:rsidRPr="000C4FD5">
                                    <w:rPr>
                                      <w:rFonts w:ascii="標楷體" w:eastAsia="標楷體" w:hAnsi="標楷體" w:hint="eastAsia"/>
                                      <w:color w:val="000000"/>
                                      <w:sz w:val="18"/>
                                      <w:szCs w:val="18"/>
                                    </w:rPr>
                                    <w:t>整理自各版本中央政府機關總員額法及修正說明。</w:t>
                                  </w:r>
                                </w:p>
                              </w:tc>
                            </w:tr>
                          </w:tbl>
                          <w:p w14:paraId="24879492" w14:textId="77777777" w:rsidR="005D7E00" w:rsidRPr="00101A8C" w:rsidRDefault="005D7E00" w:rsidP="005D7E0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5106C3" id="_x0000_s1085" type="#_x0000_t202" style="position:absolute;left:0;text-align:left;margin-left:-1.75pt;margin-top:413.9pt;width:500.1pt;height:215.7pt;z-index:251621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" stroked="f">
                <v:textbox>
                  <w:txbxContent>
                    <w:tbl>
                      <w:tblPr>
                        <w:tblW w:w="9863" w:type="dxa"/>
                        <w:jc w:val="center"/>
                        <w:tblCellMar>
                          <w:left w:w="28" w:type="dxa"/>
                          <w:right w:w="28" w:type="dxa"/>
                        </w:tblCellMar>
                        <w:tblLook w:val="04A0" w:firstRow="1" w:lastRow="0" w:firstColumn="1" w:lastColumn="0" w:noHBand="0" w:noVBand="1"/>
                      </w:tblPr>
                      <w:tblGrid>
                        <w:gridCol w:w="709"/>
                        <w:gridCol w:w="4274"/>
                        <w:gridCol w:w="911"/>
                        <w:gridCol w:w="1969"/>
                        <w:gridCol w:w="2000"/>
                      </w:tblGrid>
                      <w:tr w:rsidR="005D7E00" w:rsidRPr="00482DE0" w14:paraId="6B6E11A8" w14:textId="77777777" w:rsidTr="00101A8C">
                        <w:trPr>
                          <w:trHeight w:val="20"/>
                          <w:jc w:val="center"/>
                        </w:trPr>
                        <w:tc>
                          <w:tcPr>
                            <w:tcW w:w="9863" w:type="dxa"/>
                            <w:gridSpan w:val="5"/>
                            <w:tcBorders>
                              <w:top w:val="nil"/>
                              <w:left w:val="nil"/>
                              <w:bottom w:val="nil"/>
                              <w:right w:val="nil"/>
                            </w:tcBorders>
                            <w:shd w:val="clear" w:color="auto" w:fill="auto"/>
                            <w:vAlign w:val="center"/>
                            <w:hideMark/>
                          </w:tcPr>
                          <w:p w14:paraId="0E2CE587" w14:textId="77777777" w:rsidR="005D7E00" w:rsidRPr="00482DE0" w:rsidRDefault="005D7E00" w:rsidP="00101A8C">
                            <w:pPr>
                              <w:spacing w:line="220" w:lineRule="exact"/>
                              <w:jc w:val="center"/>
                              <w:rPr>
                                <w:rFonts w:ascii="標楷體" w:eastAsia="標楷體" w:hAnsi="標楷體"/>
                                <w:b/>
                                <w:bCs/>
                                <w:color w:val="000000"/>
                              </w:rPr>
                            </w:pPr>
                            <w:r w:rsidRPr="00482DE0">
                              <w:rPr>
                                <w:rFonts w:ascii="標楷體" w:eastAsia="標楷體" w:hAnsi="標楷體" w:hint="eastAsia"/>
                                <w:b/>
                                <w:bCs/>
                                <w:color w:val="000000"/>
                              </w:rPr>
                              <w:t>表</w:t>
                            </w:r>
                            <w:r>
                              <w:rPr>
                                <w:rFonts w:ascii="標楷體" w:eastAsia="標楷體" w:hAnsi="標楷體"/>
                                <w:b/>
                                <w:bCs/>
                                <w:color w:val="000000"/>
                              </w:rPr>
                              <w:t>33</w:t>
                            </w:r>
                            <w:r>
                              <w:rPr>
                                <w:rFonts w:ascii="標楷體" w:eastAsia="標楷體" w:hAnsi="標楷體" w:hint="eastAsia"/>
                                <w:b/>
                                <w:bCs/>
                                <w:color w:val="000000"/>
                              </w:rPr>
                              <w:t xml:space="preserve">  </w:t>
                            </w:r>
                            <w:r w:rsidRPr="00482DE0">
                              <w:rPr>
                                <w:rFonts w:ascii="標楷體" w:eastAsia="標楷體" w:hAnsi="標楷體" w:hint="eastAsia"/>
                                <w:b/>
                                <w:bCs/>
                                <w:color w:val="000000"/>
                              </w:rPr>
                              <w:t>中央政府機關總員額法五類員額及總</w:t>
                            </w:r>
                            <w:proofErr w:type="gramStart"/>
                            <w:r w:rsidRPr="00482DE0">
                              <w:rPr>
                                <w:rFonts w:ascii="標楷體" w:eastAsia="標楷體" w:hAnsi="標楷體" w:hint="eastAsia"/>
                                <w:b/>
                                <w:bCs/>
                                <w:color w:val="000000"/>
                              </w:rPr>
                              <w:t>員額高限修正</w:t>
                            </w:r>
                            <w:proofErr w:type="gramEnd"/>
                            <w:r w:rsidRPr="00482DE0">
                              <w:rPr>
                                <w:rFonts w:ascii="標楷體" w:eastAsia="標楷體" w:hAnsi="標楷體" w:hint="eastAsia"/>
                                <w:b/>
                                <w:bCs/>
                                <w:color w:val="000000"/>
                              </w:rPr>
                              <w:t>情形</w:t>
                            </w:r>
                          </w:p>
                        </w:tc>
                      </w:tr>
                      <w:tr w:rsidR="005D7E00" w:rsidRPr="00482DE0" w14:paraId="68E8F79A" w14:textId="77777777" w:rsidTr="00101A8C">
                        <w:trPr>
                          <w:trHeight w:val="20"/>
                          <w:jc w:val="center"/>
                        </w:trPr>
                        <w:tc>
                          <w:tcPr>
                            <w:tcW w:w="9863" w:type="dxa"/>
                            <w:gridSpan w:val="5"/>
                            <w:tcBorders>
                              <w:top w:val="nil"/>
                              <w:left w:val="nil"/>
                              <w:bottom w:val="single" w:sz="4" w:space="0" w:color="auto"/>
                              <w:right w:val="nil"/>
                            </w:tcBorders>
                            <w:shd w:val="clear" w:color="auto" w:fill="auto"/>
                            <w:vAlign w:val="center"/>
                            <w:hideMark/>
                          </w:tcPr>
                          <w:p w14:paraId="78A83AE9"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單位：人</w:t>
                            </w:r>
                          </w:p>
                        </w:tc>
                      </w:tr>
                      <w:tr w:rsidR="005D7E00" w:rsidRPr="00482DE0" w14:paraId="0FC1426E" w14:textId="77777777" w:rsidTr="009C03FE">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FABA2" w14:textId="77777777" w:rsidR="005D7E0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員額</w:t>
                            </w:r>
                          </w:p>
                          <w:p w14:paraId="731833C6"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類型</w:t>
                            </w:r>
                          </w:p>
                        </w:tc>
                        <w:tc>
                          <w:tcPr>
                            <w:tcW w:w="5185" w:type="dxa"/>
                            <w:gridSpan w:val="2"/>
                            <w:tcBorders>
                              <w:top w:val="single" w:sz="4" w:space="0" w:color="auto"/>
                              <w:left w:val="nil"/>
                              <w:bottom w:val="single" w:sz="4" w:space="0" w:color="auto"/>
                              <w:right w:val="single" w:sz="4" w:space="0" w:color="auto"/>
                            </w:tcBorders>
                            <w:shd w:val="clear" w:color="auto" w:fill="auto"/>
                            <w:vAlign w:val="center"/>
                            <w:hideMark/>
                          </w:tcPr>
                          <w:p w14:paraId="02872F8A"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108年12月31日修正公布</w:t>
                            </w:r>
                            <w:r w:rsidRPr="00482DE0">
                              <w:rPr>
                                <w:rFonts w:ascii="標楷體" w:eastAsia="標楷體" w:hAnsi="標楷體" w:hint="eastAsia"/>
                                <w:color w:val="000000"/>
                                <w:sz w:val="20"/>
                              </w:rPr>
                              <w:br/>
                              <w:t>（修正公布日施行）</w:t>
                            </w:r>
                          </w:p>
                        </w:tc>
                        <w:tc>
                          <w:tcPr>
                            <w:tcW w:w="1969" w:type="dxa"/>
                            <w:tcBorders>
                              <w:top w:val="nil"/>
                              <w:left w:val="nil"/>
                              <w:bottom w:val="single" w:sz="4" w:space="0" w:color="auto"/>
                              <w:right w:val="single" w:sz="4" w:space="0" w:color="auto"/>
                            </w:tcBorders>
                            <w:shd w:val="clear" w:color="auto" w:fill="auto"/>
                            <w:vAlign w:val="center"/>
                            <w:hideMark/>
                          </w:tcPr>
                          <w:p w14:paraId="1737774F" w14:textId="73E5D3C6" w:rsidR="005D7E00" w:rsidRPr="00AB67D3" w:rsidRDefault="005D7E00" w:rsidP="00101A8C">
                            <w:pPr>
                              <w:spacing w:line="220" w:lineRule="exact"/>
                              <w:ind w:leftChars="-48" w:left="-115" w:rightChars="-20" w:right="-48" w:firstLineChars="29" w:firstLine="53"/>
                              <w:jc w:val="center"/>
                              <w:rPr>
                                <w:rFonts w:ascii="標楷體" w:eastAsia="標楷體" w:hAnsi="標楷體"/>
                                <w:color w:val="000000"/>
                                <w:spacing w:val="-8"/>
                                <w:sz w:val="20"/>
                              </w:rPr>
                            </w:pPr>
                            <w:r w:rsidRPr="00AB67D3">
                              <w:rPr>
                                <w:rFonts w:ascii="標楷體" w:eastAsia="標楷體" w:hAnsi="標楷體" w:hint="eastAsia"/>
                                <w:color w:val="000000"/>
                                <w:spacing w:val="-8"/>
                                <w:sz w:val="20"/>
                              </w:rPr>
                              <w:t>99年2月3日</w:t>
                            </w:r>
                            <w:r w:rsidR="009C03FE">
                              <w:rPr>
                                <w:rFonts w:ascii="標楷體" w:eastAsia="標楷體" w:hAnsi="標楷體" w:hint="eastAsia"/>
                                <w:color w:val="000000"/>
                                <w:spacing w:val="-8"/>
                                <w:sz w:val="20"/>
                              </w:rPr>
                              <w:t>制定</w:t>
                            </w:r>
                            <w:r w:rsidRPr="00AB67D3">
                              <w:rPr>
                                <w:rFonts w:ascii="標楷體" w:eastAsia="標楷體" w:hAnsi="標楷體" w:hint="eastAsia"/>
                                <w:color w:val="000000"/>
                                <w:spacing w:val="-8"/>
                                <w:sz w:val="20"/>
                              </w:rPr>
                              <w:t>公布</w:t>
                            </w:r>
                            <w:r w:rsidRPr="00482DE0">
                              <w:rPr>
                                <w:rFonts w:ascii="標楷體" w:eastAsia="標楷體" w:hAnsi="標楷體" w:hint="eastAsia"/>
                                <w:color w:val="000000"/>
                                <w:sz w:val="20"/>
                              </w:rPr>
                              <w:br/>
                            </w:r>
                            <w:r w:rsidRPr="005B6DDB">
                              <w:rPr>
                                <w:rFonts w:ascii="標楷體" w:eastAsia="標楷體" w:hAnsi="標楷體" w:hint="eastAsia"/>
                                <w:color w:val="000000"/>
                                <w:sz w:val="20"/>
                              </w:rPr>
                              <w:t>（99年4月1日施行）</w:t>
                            </w:r>
                          </w:p>
                        </w:tc>
                        <w:tc>
                          <w:tcPr>
                            <w:tcW w:w="2000" w:type="dxa"/>
                            <w:tcBorders>
                              <w:top w:val="nil"/>
                              <w:left w:val="nil"/>
                              <w:bottom w:val="single" w:sz="4" w:space="0" w:color="auto"/>
                              <w:right w:val="single" w:sz="4" w:space="0" w:color="auto"/>
                            </w:tcBorders>
                            <w:shd w:val="clear" w:color="auto" w:fill="auto"/>
                            <w:vAlign w:val="center"/>
                            <w:hideMark/>
                          </w:tcPr>
                          <w:p w14:paraId="45E8D1B1"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修正說明</w:t>
                            </w:r>
                          </w:p>
                        </w:tc>
                      </w:tr>
                      <w:tr w:rsidR="005D7E00" w:rsidRPr="00482DE0" w14:paraId="094F6FB7" w14:textId="77777777" w:rsidTr="009C03FE">
                        <w:trPr>
                          <w:trHeight w:val="20"/>
                          <w:jc w:val="center"/>
                        </w:trPr>
                        <w:tc>
                          <w:tcPr>
                            <w:tcW w:w="49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1E223F" w14:textId="77777777" w:rsidR="005D7E00" w:rsidRPr="00482DE0" w:rsidRDefault="005D7E00" w:rsidP="00101A8C">
                            <w:pPr>
                              <w:spacing w:line="220" w:lineRule="exact"/>
                              <w:jc w:val="center"/>
                              <w:rPr>
                                <w:rFonts w:ascii="標楷體" w:eastAsia="標楷體" w:hAnsi="標楷體"/>
                                <w:b/>
                                <w:bCs/>
                                <w:color w:val="000000"/>
                                <w:sz w:val="20"/>
                              </w:rPr>
                            </w:pPr>
                            <w:r w:rsidRPr="00482DE0">
                              <w:rPr>
                                <w:rFonts w:ascii="標楷體" w:eastAsia="標楷體" w:hAnsi="標楷體" w:hint="eastAsia"/>
                                <w:b/>
                                <w:bCs/>
                                <w:color w:val="000000"/>
                                <w:sz w:val="20"/>
                              </w:rPr>
                              <w:t>合計</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13148BC7" w14:textId="77777777" w:rsidR="005D7E00" w:rsidRPr="00482DE0" w:rsidRDefault="005D7E00" w:rsidP="00101A8C">
                            <w:pPr>
                              <w:spacing w:line="220" w:lineRule="exact"/>
                              <w:jc w:val="right"/>
                              <w:rPr>
                                <w:rFonts w:ascii="標楷體" w:eastAsia="標楷體" w:hAnsi="標楷體"/>
                                <w:b/>
                                <w:bCs/>
                                <w:color w:val="000000"/>
                                <w:sz w:val="20"/>
                              </w:rPr>
                            </w:pPr>
                            <w:r>
                              <w:rPr>
                                <w:rFonts w:ascii="標楷體" w:eastAsia="標楷體" w:hAnsi="標楷體" w:hint="eastAsia"/>
                                <w:b/>
                                <w:bCs/>
                                <w:color w:val="000000"/>
                                <w:sz w:val="20"/>
                              </w:rPr>
                              <w:t>160,</w:t>
                            </w:r>
                            <w:r>
                              <w:rPr>
                                <w:rFonts w:ascii="標楷體" w:eastAsia="標楷體" w:hAnsi="標楷體"/>
                                <w:b/>
                                <w:bCs/>
                                <w:color w:val="000000"/>
                                <w:sz w:val="20"/>
                              </w:rPr>
                              <w:t>900</w:t>
                            </w:r>
                          </w:p>
                        </w:tc>
                        <w:tc>
                          <w:tcPr>
                            <w:tcW w:w="1969" w:type="dxa"/>
                            <w:tcBorders>
                              <w:top w:val="nil"/>
                              <w:left w:val="nil"/>
                              <w:bottom w:val="single" w:sz="4" w:space="0" w:color="auto"/>
                              <w:right w:val="single" w:sz="4" w:space="0" w:color="auto"/>
                            </w:tcBorders>
                            <w:shd w:val="clear" w:color="auto" w:fill="auto"/>
                            <w:vAlign w:val="center"/>
                            <w:hideMark/>
                          </w:tcPr>
                          <w:p w14:paraId="1643104F" w14:textId="77777777" w:rsidR="005D7E00" w:rsidRPr="00482DE0" w:rsidRDefault="005D7E00" w:rsidP="00101A8C">
                            <w:pPr>
                              <w:spacing w:line="220" w:lineRule="exact"/>
                              <w:jc w:val="right"/>
                              <w:rPr>
                                <w:rFonts w:ascii="標楷體" w:eastAsia="標楷體" w:hAnsi="標楷體"/>
                                <w:b/>
                                <w:bCs/>
                                <w:color w:val="000000"/>
                                <w:sz w:val="20"/>
                              </w:rPr>
                            </w:pPr>
                            <w:r w:rsidRPr="00482DE0">
                              <w:rPr>
                                <w:rFonts w:ascii="標楷體" w:eastAsia="標楷體" w:hAnsi="標楷體" w:hint="eastAsia"/>
                                <w:b/>
                                <w:bCs/>
                                <w:color w:val="000000"/>
                                <w:sz w:val="20"/>
                              </w:rPr>
                              <w:t xml:space="preserve">173,000 </w:t>
                            </w:r>
                          </w:p>
                        </w:tc>
                        <w:tc>
                          <w:tcPr>
                            <w:tcW w:w="2000" w:type="dxa"/>
                            <w:tcBorders>
                              <w:top w:val="nil"/>
                              <w:left w:val="nil"/>
                              <w:bottom w:val="single" w:sz="4" w:space="0" w:color="auto"/>
                              <w:right w:val="single" w:sz="4" w:space="0" w:color="auto"/>
                              <w:tl2br w:val="single" w:sz="4" w:space="0" w:color="auto"/>
                            </w:tcBorders>
                            <w:shd w:val="clear" w:color="auto" w:fill="auto"/>
                            <w:vAlign w:val="center"/>
                            <w:hideMark/>
                          </w:tcPr>
                          <w:p w14:paraId="25D57753" w14:textId="77777777" w:rsidR="005D7E00" w:rsidRPr="00482DE0" w:rsidRDefault="005D7E00" w:rsidP="00101A8C">
                            <w:pPr>
                              <w:spacing w:line="220" w:lineRule="exact"/>
                              <w:rPr>
                                <w:rFonts w:ascii="標楷體" w:eastAsia="標楷體" w:hAnsi="標楷體"/>
                                <w:color w:val="000000"/>
                                <w:sz w:val="20"/>
                              </w:rPr>
                            </w:pPr>
                            <w:r w:rsidRPr="00482DE0">
                              <w:rPr>
                                <w:rFonts w:ascii="標楷體" w:eastAsia="標楷體" w:hAnsi="標楷體" w:hint="eastAsia"/>
                                <w:color w:val="000000"/>
                                <w:sz w:val="20"/>
                              </w:rPr>
                              <w:t xml:space="preserve">　</w:t>
                            </w:r>
                          </w:p>
                        </w:tc>
                      </w:tr>
                      <w:tr w:rsidR="005D7E00" w:rsidRPr="00482DE0" w14:paraId="259644A7" w14:textId="77777777" w:rsidTr="009C03FE">
                        <w:trPr>
                          <w:trHeight w:val="935"/>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7D7AAC"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第一類</w:t>
                            </w:r>
                          </w:p>
                        </w:tc>
                        <w:tc>
                          <w:tcPr>
                            <w:tcW w:w="4274" w:type="dxa"/>
                            <w:tcBorders>
                              <w:top w:val="nil"/>
                              <w:left w:val="nil"/>
                              <w:bottom w:val="single" w:sz="4" w:space="0" w:color="auto"/>
                              <w:right w:val="single" w:sz="4" w:space="0" w:color="auto"/>
                            </w:tcBorders>
                            <w:shd w:val="clear" w:color="auto" w:fill="auto"/>
                            <w:vAlign w:val="center"/>
                            <w:hideMark/>
                          </w:tcPr>
                          <w:p w14:paraId="33D8055B"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機關為執行業務所置政務人員，定有職稱、官等職等之文職人員，</w:t>
                            </w:r>
                            <w:proofErr w:type="gramStart"/>
                            <w:r w:rsidRPr="00482DE0">
                              <w:rPr>
                                <w:rFonts w:ascii="標楷體" w:eastAsia="標楷體" w:hAnsi="標楷體" w:hint="eastAsia"/>
                                <w:color w:val="000000"/>
                                <w:sz w:val="20"/>
                              </w:rPr>
                              <w:t>醫</w:t>
                            </w:r>
                            <w:proofErr w:type="gramEnd"/>
                            <w:r w:rsidRPr="00482DE0">
                              <w:rPr>
                                <w:rFonts w:ascii="標楷體" w:eastAsia="標楷體" w:hAnsi="標楷體" w:hint="eastAsia"/>
                                <w:color w:val="000000"/>
                                <w:sz w:val="20"/>
                              </w:rPr>
                              <w:t>事人員及聘任人員。但不包括</w:t>
                            </w:r>
                            <w:proofErr w:type="gramStart"/>
                            <w:r w:rsidRPr="00482DE0">
                              <w:rPr>
                                <w:rFonts w:ascii="標楷體" w:eastAsia="標楷體" w:hAnsi="標楷體" w:hint="eastAsia"/>
                                <w:color w:val="000000"/>
                                <w:sz w:val="20"/>
                              </w:rPr>
                              <w:t>第三類至第五</w:t>
                            </w:r>
                            <w:proofErr w:type="gramEnd"/>
                            <w:r w:rsidRPr="00482DE0">
                              <w:rPr>
                                <w:rFonts w:ascii="標楷體" w:eastAsia="標楷體" w:hAnsi="標楷體" w:hint="eastAsia"/>
                                <w:color w:val="000000"/>
                                <w:sz w:val="20"/>
                              </w:rPr>
                              <w:t>類員額、公立學校教職員及</w:t>
                            </w:r>
                            <w:r w:rsidRPr="00C529D7">
                              <w:rPr>
                                <w:rFonts w:ascii="標楷體" w:eastAsia="標楷體" w:hAnsi="標楷體" w:hint="eastAsia"/>
                                <w:color w:val="000000"/>
                                <w:sz w:val="20"/>
                              </w:rPr>
                              <w:t>公立醫院職員</w:t>
                            </w:r>
                            <w:r w:rsidRPr="00482DE0">
                              <w:rPr>
                                <w:rFonts w:ascii="標楷體" w:eastAsia="標楷體" w:hAnsi="標楷體" w:hint="eastAsia"/>
                                <w:color w:val="000000"/>
                                <w:sz w:val="20"/>
                              </w:rPr>
                              <w:t>。</w:t>
                            </w:r>
                          </w:p>
                        </w:tc>
                        <w:tc>
                          <w:tcPr>
                            <w:tcW w:w="911" w:type="dxa"/>
                            <w:tcBorders>
                              <w:top w:val="nil"/>
                              <w:left w:val="nil"/>
                              <w:bottom w:val="single" w:sz="4" w:space="0" w:color="auto"/>
                              <w:right w:val="single" w:sz="4" w:space="0" w:color="auto"/>
                            </w:tcBorders>
                            <w:shd w:val="clear" w:color="auto" w:fill="auto"/>
                            <w:vAlign w:val="center"/>
                            <w:hideMark/>
                          </w:tcPr>
                          <w:p w14:paraId="01524AFB"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74,600 </w:t>
                            </w:r>
                          </w:p>
                        </w:tc>
                        <w:tc>
                          <w:tcPr>
                            <w:tcW w:w="1969" w:type="dxa"/>
                            <w:tcBorders>
                              <w:top w:val="nil"/>
                              <w:left w:val="nil"/>
                              <w:bottom w:val="single" w:sz="4" w:space="0" w:color="auto"/>
                              <w:right w:val="single" w:sz="4" w:space="0" w:color="auto"/>
                            </w:tcBorders>
                            <w:shd w:val="clear" w:color="auto" w:fill="auto"/>
                            <w:vAlign w:val="center"/>
                            <w:hideMark/>
                          </w:tcPr>
                          <w:p w14:paraId="4D132745"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86,700 </w:t>
                            </w:r>
                          </w:p>
                        </w:tc>
                        <w:tc>
                          <w:tcPr>
                            <w:tcW w:w="2000" w:type="dxa"/>
                            <w:tcBorders>
                              <w:top w:val="nil"/>
                              <w:left w:val="nil"/>
                              <w:bottom w:val="single" w:sz="4" w:space="0" w:color="auto"/>
                              <w:right w:val="single" w:sz="4" w:space="0" w:color="auto"/>
                            </w:tcBorders>
                            <w:shd w:val="clear" w:color="auto" w:fill="auto"/>
                            <w:vAlign w:val="center"/>
                            <w:hideMark/>
                          </w:tcPr>
                          <w:p w14:paraId="72D662B9"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公立醫院職員排除計入第一類員額，配合調</w:t>
                            </w:r>
                            <w:r w:rsidRPr="006B6421">
                              <w:rPr>
                                <w:rFonts w:ascii="標楷體" w:eastAsia="標楷體" w:hAnsi="標楷體" w:hint="eastAsia"/>
                                <w:color w:val="000000"/>
                                <w:spacing w:val="-6"/>
                                <w:sz w:val="20"/>
                              </w:rPr>
                              <w:t>降第一類員額數及總</w:t>
                            </w:r>
                            <w:proofErr w:type="gramStart"/>
                            <w:r w:rsidRPr="006B6421">
                              <w:rPr>
                                <w:rFonts w:ascii="標楷體" w:eastAsia="標楷體" w:hAnsi="標楷體" w:hint="eastAsia"/>
                                <w:color w:val="000000"/>
                                <w:spacing w:val="-6"/>
                                <w:sz w:val="20"/>
                              </w:rPr>
                              <w:t>員額高限數</w:t>
                            </w:r>
                            <w:proofErr w:type="gramEnd"/>
                            <w:r w:rsidRPr="006B6421">
                              <w:rPr>
                                <w:rFonts w:ascii="標楷體" w:eastAsia="標楷體" w:hAnsi="標楷體" w:hint="eastAsia"/>
                                <w:color w:val="000000"/>
                                <w:spacing w:val="-6"/>
                                <w:sz w:val="20"/>
                              </w:rPr>
                              <w:t>各12,100人。</w:t>
                            </w:r>
                          </w:p>
                        </w:tc>
                      </w:tr>
                      <w:tr w:rsidR="005D7E00" w:rsidRPr="00482DE0" w14:paraId="56A83062"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0D46E72"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第二類</w:t>
                            </w:r>
                          </w:p>
                        </w:tc>
                        <w:tc>
                          <w:tcPr>
                            <w:tcW w:w="4274" w:type="dxa"/>
                            <w:tcBorders>
                              <w:top w:val="nil"/>
                              <w:left w:val="nil"/>
                              <w:bottom w:val="single" w:sz="4" w:space="0" w:color="auto"/>
                              <w:right w:val="single" w:sz="4" w:space="0" w:color="auto"/>
                            </w:tcBorders>
                            <w:shd w:val="clear" w:color="auto" w:fill="auto"/>
                            <w:vAlign w:val="center"/>
                            <w:hideMark/>
                          </w:tcPr>
                          <w:p w14:paraId="409DD299"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機關</w:t>
                            </w:r>
                            <w:proofErr w:type="gramStart"/>
                            <w:r w:rsidRPr="00482DE0">
                              <w:rPr>
                                <w:rFonts w:ascii="標楷體" w:eastAsia="標楷體" w:hAnsi="標楷體" w:hint="eastAsia"/>
                                <w:color w:val="000000"/>
                                <w:sz w:val="20"/>
                              </w:rPr>
                              <w:t>依法令進用</w:t>
                            </w:r>
                            <w:proofErr w:type="gramEnd"/>
                            <w:r w:rsidRPr="00482DE0">
                              <w:rPr>
                                <w:rFonts w:ascii="標楷體" w:eastAsia="標楷體" w:hAnsi="標楷體" w:hint="eastAsia"/>
                                <w:color w:val="000000"/>
                                <w:sz w:val="20"/>
                              </w:rPr>
                              <w:t>之聘僱人員、駐衛警察及工友（含技工、駕駛）。但不包括第三類及第四類員額。</w:t>
                            </w:r>
                          </w:p>
                        </w:tc>
                        <w:tc>
                          <w:tcPr>
                            <w:tcW w:w="911" w:type="dxa"/>
                            <w:tcBorders>
                              <w:top w:val="nil"/>
                              <w:left w:val="nil"/>
                              <w:bottom w:val="single" w:sz="4" w:space="0" w:color="auto"/>
                              <w:right w:val="single" w:sz="4" w:space="0" w:color="auto"/>
                            </w:tcBorders>
                            <w:shd w:val="clear" w:color="auto" w:fill="auto"/>
                            <w:vAlign w:val="center"/>
                            <w:hideMark/>
                          </w:tcPr>
                          <w:p w14:paraId="01A5007E"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40,100 </w:t>
                            </w:r>
                          </w:p>
                        </w:tc>
                        <w:tc>
                          <w:tcPr>
                            <w:tcW w:w="1969" w:type="dxa"/>
                            <w:tcBorders>
                              <w:top w:val="nil"/>
                              <w:left w:val="nil"/>
                              <w:bottom w:val="single" w:sz="4" w:space="0" w:color="auto"/>
                              <w:right w:val="single" w:sz="4" w:space="0" w:color="auto"/>
                            </w:tcBorders>
                            <w:shd w:val="clear" w:color="auto" w:fill="auto"/>
                            <w:vAlign w:val="center"/>
                            <w:hideMark/>
                          </w:tcPr>
                          <w:p w14:paraId="32108B23"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41,200 </w:t>
                            </w:r>
                          </w:p>
                        </w:tc>
                        <w:tc>
                          <w:tcPr>
                            <w:tcW w:w="2000" w:type="dxa"/>
                            <w:vMerge w:val="restart"/>
                            <w:tcBorders>
                              <w:top w:val="nil"/>
                              <w:left w:val="single" w:sz="4" w:space="0" w:color="auto"/>
                              <w:bottom w:val="single" w:sz="4" w:space="0" w:color="auto"/>
                              <w:right w:val="single" w:sz="4" w:space="0" w:color="auto"/>
                            </w:tcBorders>
                            <w:shd w:val="clear" w:color="auto" w:fill="auto"/>
                            <w:vAlign w:val="center"/>
                            <w:hideMark/>
                          </w:tcPr>
                          <w:p w14:paraId="3FB67B62"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第三類司法人力員額數調增1,100人，第二類輔助性或事務性人力調降1,100人。</w:t>
                            </w:r>
                          </w:p>
                        </w:tc>
                      </w:tr>
                      <w:tr w:rsidR="005D7E00" w:rsidRPr="00482DE0" w14:paraId="5B6A6918"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D551697"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第三類</w:t>
                            </w:r>
                          </w:p>
                        </w:tc>
                        <w:tc>
                          <w:tcPr>
                            <w:tcW w:w="4274" w:type="dxa"/>
                            <w:tcBorders>
                              <w:top w:val="nil"/>
                              <w:left w:val="nil"/>
                              <w:bottom w:val="single" w:sz="4" w:space="0" w:color="auto"/>
                              <w:right w:val="single" w:sz="4" w:space="0" w:color="auto"/>
                            </w:tcBorders>
                            <w:shd w:val="clear" w:color="auto" w:fill="auto"/>
                            <w:vAlign w:val="center"/>
                            <w:hideMark/>
                          </w:tcPr>
                          <w:p w14:paraId="1450636B"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司法院及所屬機關職員（含法警）、聘僱人員、駐衛警察及工友（含技工、駕駛）。</w:t>
                            </w:r>
                          </w:p>
                        </w:tc>
                        <w:tc>
                          <w:tcPr>
                            <w:tcW w:w="911" w:type="dxa"/>
                            <w:tcBorders>
                              <w:top w:val="nil"/>
                              <w:left w:val="nil"/>
                              <w:bottom w:val="single" w:sz="4" w:space="0" w:color="auto"/>
                              <w:right w:val="single" w:sz="4" w:space="0" w:color="auto"/>
                            </w:tcBorders>
                            <w:shd w:val="clear" w:color="auto" w:fill="auto"/>
                            <w:vAlign w:val="center"/>
                            <w:hideMark/>
                          </w:tcPr>
                          <w:p w14:paraId="6B02BB10"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15,000 </w:t>
                            </w:r>
                          </w:p>
                        </w:tc>
                        <w:tc>
                          <w:tcPr>
                            <w:tcW w:w="1969" w:type="dxa"/>
                            <w:tcBorders>
                              <w:top w:val="nil"/>
                              <w:left w:val="nil"/>
                              <w:bottom w:val="single" w:sz="4" w:space="0" w:color="auto"/>
                              <w:right w:val="single" w:sz="4" w:space="0" w:color="auto"/>
                            </w:tcBorders>
                            <w:shd w:val="clear" w:color="auto" w:fill="auto"/>
                            <w:vAlign w:val="center"/>
                            <w:hideMark/>
                          </w:tcPr>
                          <w:p w14:paraId="62CF41AE"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13,900 </w:t>
                            </w:r>
                          </w:p>
                        </w:tc>
                        <w:tc>
                          <w:tcPr>
                            <w:tcW w:w="2000" w:type="dxa"/>
                            <w:vMerge/>
                            <w:tcBorders>
                              <w:top w:val="nil"/>
                              <w:left w:val="single" w:sz="4" w:space="0" w:color="auto"/>
                              <w:bottom w:val="single" w:sz="4" w:space="0" w:color="auto"/>
                              <w:right w:val="single" w:sz="4" w:space="0" w:color="auto"/>
                            </w:tcBorders>
                            <w:vAlign w:val="center"/>
                            <w:hideMark/>
                          </w:tcPr>
                          <w:p w14:paraId="4417AD91" w14:textId="77777777" w:rsidR="005D7E00" w:rsidRPr="00482DE0" w:rsidRDefault="005D7E00" w:rsidP="00101A8C">
                            <w:pPr>
                              <w:spacing w:line="220" w:lineRule="exact"/>
                              <w:jc w:val="both"/>
                              <w:rPr>
                                <w:rFonts w:ascii="標楷體" w:eastAsia="標楷體" w:hAnsi="標楷體"/>
                                <w:color w:val="000000"/>
                                <w:sz w:val="20"/>
                              </w:rPr>
                            </w:pPr>
                          </w:p>
                        </w:tc>
                      </w:tr>
                      <w:tr w:rsidR="005D7E00" w:rsidRPr="00482DE0" w14:paraId="49FEB106"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4E9A42"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第四類</w:t>
                            </w:r>
                          </w:p>
                        </w:tc>
                        <w:tc>
                          <w:tcPr>
                            <w:tcW w:w="4274" w:type="dxa"/>
                            <w:tcBorders>
                              <w:top w:val="nil"/>
                              <w:left w:val="nil"/>
                              <w:bottom w:val="single" w:sz="4" w:space="0" w:color="auto"/>
                              <w:right w:val="single" w:sz="4" w:space="0" w:color="auto"/>
                            </w:tcBorders>
                            <w:shd w:val="clear" w:color="auto" w:fill="auto"/>
                            <w:vAlign w:val="center"/>
                            <w:hideMark/>
                          </w:tcPr>
                          <w:p w14:paraId="0E8095F8"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法務部所屬檢察機關職員（含法警）、聘僱人員、駐衛警察及工友（含技工、駕駛）。</w:t>
                            </w:r>
                          </w:p>
                        </w:tc>
                        <w:tc>
                          <w:tcPr>
                            <w:tcW w:w="911" w:type="dxa"/>
                            <w:tcBorders>
                              <w:top w:val="nil"/>
                              <w:left w:val="nil"/>
                              <w:bottom w:val="single" w:sz="4" w:space="0" w:color="auto"/>
                              <w:right w:val="single" w:sz="4" w:space="0" w:color="auto"/>
                            </w:tcBorders>
                            <w:shd w:val="clear" w:color="auto" w:fill="auto"/>
                            <w:vAlign w:val="center"/>
                            <w:hideMark/>
                          </w:tcPr>
                          <w:p w14:paraId="76060336"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6,900 </w:t>
                            </w:r>
                          </w:p>
                        </w:tc>
                        <w:tc>
                          <w:tcPr>
                            <w:tcW w:w="1969" w:type="dxa"/>
                            <w:tcBorders>
                              <w:top w:val="nil"/>
                              <w:left w:val="nil"/>
                              <w:bottom w:val="single" w:sz="4" w:space="0" w:color="auto"/>
                              <w:right w:val="single" w:sz="4" w:space="0" w:color="auto"/>
                            </w:tcBorders>
                            <w:shd w:val="clear" w:color="auto" w:fill="auto"/>
                            <w:vAlign w:val="center"/>
                            <w:hideMark/>
                          </w:tcPr>
                          <w:p w14:paraId="5FB630B1"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6,900 </w:t>
                            </w:r>
                          </w:p>
                        </w:tc>
                        <w:tc>
                          <w:tcPr>
                            <w:tcW w:w="2000" w:type="dxa"/>
                            <w:tcBorders>
                              <w:top w:val="nil"/>
                              <w:left w:val="nil"/>
                              <w:bottom w:val="single" w:sz="4" w:space="0" w:color="auto"/>
                              <w:right w:val="single" w:sz="4" w:space="0" w:color="auto"/>
                              <w:tl2br w:val="single" w:sz="4" w:space="0" w:color="auto"/>
                            </w:tcBorders>
                            <w:shd w:val="clear" w:color="auto" w:fill="auto"/>
                            <w:vAlign w:val="center"/>
                            <w:hideMark/>
                          </w:tcPr>
                          <w:p w14:paraId="6B76DCBA"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 xml:space="preserve">　</w:t>
                            </w:r>
                          </w:p>
                        </w:tc>
                      </w:tr>
                      <w:tr w:rsidR="005D7E00" w:rsidRPr="00482DE0" w14:paraId="7E005D40" w14:textId="77777777" w:rsidTr="009C03FE">
                        <w:trPr>
                          <w:trHeight w:val="20"/>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DA0AEC" w14:textId="77777777" w:rsidR="005D7E00" w:rsidRPr="00482DE0" w:rsidRDefault="005D7E00" w:rsidP="00101A8C">
                            <w:pPr>
                              <w:spacing w:line="220" w:lineRule="exact"/>
                              <w:jc w:val="center"/>
                              <w:rPr>
                                <w:rFonts w:ascii="標楷體" w:eastAsia="標楷體" w:hAnsi="標楷體"/>
                                <w:color w:val="000000"/>
                                <w:sz w:val="20"/>
                              </w:rPr>
                            </w:pPr>
                            <w:r w:rsidRPr="00482DE0">
                              <w:rPr>
                                <w:rFonts w:ascii="標楷體" w:eastAsia="標楷體" w:hAnsi="標楷體" w:hint="eastAsia"/>
                                <w:color w:val="000000"/>
                                <w:sz w:val="20"/>
                              </w:rPr>
                              <w:t>第五類</w:t>
                            </w:r>
                          </w:p>
                        </w:tc>
                        <w:tc>
                          <w:tcPr>
                            <w:tcW w:w="4274" w:type="dxa"/>
                            <w:tcBorders>
                              <w:top w:val="nil"/>
                              <w:left w:val="nil"/>
                              <w:bottom w:val="single" w:sz="4" w:space="0" w:color="auto"/>
                              <w:right w:val="single" w:sz="4" w:space="0" w:color="auto"/>
                            </w:tcBorders>
                            <w:shd w:val="clear" w:color="auto" w:fill="auto"/>
                            <w:vAlign w:val="center"/>
                            <w:hideMark/>
                          </w:tcPr>
                          <w:p w14:paraId="29E1CE1C" w14:textId="77777777" w:rsidR="005D7E00" w:rsidRPr="00482DE0" w:rsidRDefault="005D7E00" w:rsidP="00101A8C">
                            <w:pPr>
                              <w:spacing w:line="220" w:lineRule="exact"/>
                              <w:jc w:val="both"/>
                              <w:rPr>
                                <w:rFonts w:ascii="標楷體" w:eastAsia="標楷體" w:hAnsi="標楷體"/>
                                <w:color w:val="000000"/>
                                <w:sz w:val="20"/>
                              </w:rPr>
                            </w:pPr>
                            <w:r w:rsidRPr="00482DE0">
                              <w:rPr>
                                <w:rFonts w:ascii="標楷體" w:eastAsia="標楷體" w:hAnsi="標楷體" w:hint="eastAsia"/>
                                <w:color w:val="000000"/>
                                <w:sz w:val="20"/>
                              </w:rPr>
                              <w:t>警察、消防及海岸巡防機關職（警）員。</w:t>
                            </w:r>
                          </w:p>
                        </w:tc>
                        <w:tc>
                          <w:tcPr>
                            <w:tcW w:w="911" w:type="dxa"/>
                            <w:tcBorders>
                              <w:top w:val="nil"/>
                              <w:left w:val="nil"/>
                              <w:bottom w:val="single" w:sz="4" w:space="0" w:color="auto"/>
                              <w:right w:val="single" w:sz="4" w:space="0" w:color="auto"/>
                            </w:tcBorders>
                            <w:shd w:val="clear" w:color="auto" w:fill="auto"/>
                            <w:vAlign w:val="center"/>
                            <w:hideMark/>
                          </w:tcPr>
                          <w:p w14:paraId="56ACE1DC"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24,300 </w:t>
                            </w:r>
                          </w:p>
                        </w:tc>
                        <w:tc>
                          <w:tcPr>
                            <w:tcW w:w="1969" w:type="dxa"/>
                            <w:tcBorders>
                              <w:top w:val="nil"/>
                              <w:left w:val="nil"/>
                              <w:bottom w:val="single" w:sz="4" w:space="0" w:color="auto"/>
                              <w:right w:val="single" w:sz="4" w:space="0" w:color="auto"/>
                            </w:tcBorders>
                            <w:shd w:val="clear" w:color="auto" w:fill="auto"/>
                            <w:vAlign w:val="center"/>
                            <w:hideMark/>
                          </w:tcPr>
                          <w:p w14:paraId="41619F05" w14:textId="77777777" w:rsidR="005D7E00" w:rsidRPr="00482DE0" w:rsidRDefault="005D7E00" w:rsidP="00101A8C">
                            <w:pPr>
                              <w:spacing w:line="220" w:lineRule="exact"/>
                              <w:jc w:val="right"/>
                              <w:rPr>
                                <w:rFonts w:ascii="標楷體" w:eastAsia="標楷體" w:hAnsi="標楷體"/>
                                <w:color w:val="000000"/>
                                <w:sz w:val="20"/>
                              </w:rPr>
                            </w:pPr>
                            <w:r w:rsidRPr="00482DE0">
                              <w:rPr>
                                <w:rFonts w:ascii="標楷體" w:eastAsia="標楷體" w:hAnsi="標楷體" w:hint="eastAsia"/>
                                <w:color w:val="000000"/>
                                <w:sz w:val="20"/>
                              </w:rPr>
                              <w:t xml:space="preserve">24,300 </w:t>
                            </w:r>
                          </w:p>
                        </w:tc>
                        <w:tc>
                          <w:tcPr>
                            <w:tcW w:w="2000" w:type="dxa"/>
                            <w:tcBorders>
                              <w:top w:val="nil"/>
                              <w:left w:val="nil"/>
                              <w:bottom w:val="single" w:sz="4" w:space="0" w:color="auto"/>
                              <w:right w:val="single" w:sz="4" w:space="0" w:color="auto"/>
                              <w:tl2br w:val="single" w:sz="4" w:space="0" w:color="auto"/>
                            </w:tcBorders>
                            <w:shd w:val="clear" w:color="auto" w:fill="auto"/>
                            <w:vAlign w:val="center"/>
                            <w:hideMark/>
                          </w:tcPr>
                          <w:p w14:paraId="591E6472" w14:textId="77777777" w:rsidR="005D7E00" w:rsidRPr="00482DE0" w:rsidRDefault="005D7E00" w:rsidP="00101A8C">
                            <w:pPr>
                              <w:spacing w:line="220" w:lineRule="exact"/>
                              <w:rPr>
                                <w:rFonts w:ascii="標楷體" w:eastAsia="標楷體" w:hAnsi="標楷體"/>
                                <w:color w:val="000000"/>
                                <w:sz w:val="20"/>
                              </w:rPr>
                            </w:pPr>
                            <w:r w:rsidRPr="00482DE0">
                              <w:rPr>
                                <w:rFonts w:ascii="標楷體" w:eastAsia="標楷體" w:hAnsi="標楷體" w:hint="eastAsia"/>
                                <w:color w:val="000000"/>
                                <w:sz w:val="20"/>
                              </w:rPr>
                              <w:t xml:space="preserve">　</w:t>
                            </w:r>
                          </w:p>
                        </w:tc>
                      </w:tr>
                      <w:tr w:rsidR="005D7E00" w:rsidRPr="00482DE0" w14:paraId="73BFEA2C" w14:textId="77777777" w:rsidTr="00101A8C">
                        <w:trPr>
                          <w:trHeight w:val="397"/>
                          <w:jc w:val="center"/>
                        </w:trPr>
                        <w:tc>
                          <w:tcPr>
                            <w:tcW w:w="9863" w:type="dxa"/>
                            <w:gridSpan w:val="5"/>
                            <w:tcBorders>
                              <w:top w:val="nil"/>
                              <w:left w:val="nil"/>
                              <w:right w:val="nil"/>
                            </w:tcBorders>
                            <w:shd w:val="clear" w:color="auto" w:fill="auto"/>
                            <w:vAlign w:val="center"/>
                            <w:hideMark/>
                          </w:tcPr>
                          <w:p w14:paraId="6F065968" w14:textId="77777777" w:rsidR="005D7E00" w:rsidRPr="000C4FD5" w:rsidRDefault="005D7E00" w:rsidP="00101A8C">
                            <w:pPr>
                              <w:spacing w:line="200" w:lineRule="exact"/>
                              <w:rPr>
                                <w:rFonts w:ascii="標楷體" w:eastAsia="標楷體" w:hAnsi="標楷體"/>
                                <w:color w:val="000000"/>
                                <w:sz w:val="18"/>
                                <w:szCs w:val="18"/>
                              </w:rPr>
                            </w:pPr>
                            <w:proofErr w:type="gramStart"/>
                            <w:r w:rsidRPr="000C4FD5">
                              <w:rPr>
                                <w:rFonts w:ascii="標楷體" w:eastAsia="標楷體" w:hAnsi="標楷體" w:hint="eastAsia"/>
                                <w:color w:val="000000"/>
                                <w:sz w:val="18"/>
                                <w:szCs w:val="18"/>
                              </w:rPr>
                              <w:t>註</w:t>
                            </w:r>
                            <w:proofErr w:type="gramEnd"/>
                            <w:r w:rsidRPr="000C4FD5">
                              <w:rPr>
                                <w:rFonts w:ascii="標楷體" w:eastAsia="標楷體" w:hAnsi="標楷體" w:hint="eastAsia"/>
                                <w:color w:val="000000"/>
                                <w:sz w:val="18"/>
                                <w:szCs w:val="18"/>
                              </w:rPr>
                              <w:t>：1.依據中央政府機關總員額法第3條第2項規定，所稱員額不包括軍職人員。</w:t>
                            </w:r>
                          </w:p>
                          <w:p w14:paraId="61A0E00B" w14:textId="77777777" w:rsidR="005D7E00" w:rsidRPr="00482DE0" w:rsidRDefault="005D7E00" w:rsidP="00101A8C">
                            <w:pPr>
                              <w:spacing w:line="200" w:lineRule="exact"/>
                              <w:ind w:firstLineChars="199" w:firstLine="358"/>
                              <w:rPr>
                                <w:rFonts w:ascii="標楷體" w:eastAsia="標楷體" w:hAnsi="標楷體"/>
                                <w:color w:val="000000"/>
                                <w:sz w:val="20"/>
                              </w:rPr>
                            </w:pPr>
                            <w:r w:rsidRPr="000C4FD5">
                              <w:rPr>
                                <w:rFonts w:ascii="標楷體" w:eastAsia="標楷體" w:hAnsi="標楷體" w:hint="eastAsia"/>
                                <w:color w:val="000000"/>
                                <w:sz w:val="18"/>
                                <w:szCs w:val="18"/>
                              </w:rPr>
                              <w:t>2.</w:t>
                            </w:r>
                            <w:r>
                              <w:rPr>
                                <w:rFonts w:ascii="標楷體" w:eastAsia="標楷體" w:hAnsi="標楷體" w:hint="eastAsia"/>
                                <w:color w:val="000000"/>
                                <w:sz w:val="18"/>
                                <w:szCs w:val="18"/>
                              </w:rPr>
                              <w:t>資料來源：</w:t>
                            </w:r>
                            <w:r w:rsidRPr="000C4FD5">
                              <w:rPr>
                                <w:rFonts w:ascii="標楷體" w:eastAsia="標楷體" w:hAnsi="標楷體" w:hint="eastAsia"/>
                                <w:color w:val="000000"/>
                                <w:sz w:val="18"/>
                                <w:szCs w:val="18"/>
                              </w:rPr>
                              <w:t>整理自各版本中央政府機關總員額法及修正說明。</w:t>
                            </w:r>
                          </w:p>
                        </w:tc>
                      </w:tr>
                    </w:tbl>
                    <w:p w14:paraId="24879492" w14:textId="77777777" w:rsidR="005D7E00" w:rsidRPr="00101A8C" w:rsidRDefault="005D7E00" w:rsidP="005D7E00"/>
                  </w:txbxContent>
                </v:textbox>
                <w10:wrap type="square" anchorx="margin" anchory="margin"/>
              </v:shape>
            </w:pict>
          </mc:Fallback>
        </mc:AlternateContent>
      </w:r>
      <w:r w:rsidR="005D0F74" w:rsidRPr="005D0F74">
        <w:rPr>
          <w:rFonts w:hAnsi="標楷體" w:hint="eastAsia"/>
          <w:color w:val="000000" w:themeColor="text1"/>
          <w:sz w:val="24"/>
          <w:szCs w:val="28"/>
        </w:rPr>
        <w:t>中央政府機關總員額法（下稱總員額法）</w:t>
      </w:r>
      <w:bookmarkEnd w:id="23"/>
      <w:r w:rsidR="005D0F74" w:rsidRPr="005D0F74">
        <w:rPr>
          <w:rFonts w:hAnsi="標楷體" w:hint="eastAsia"/>
          <w:color w:val="000000" w:themeColor="text1"/>
          <w:sz w:val="24"/>
          <w:szCs w:val="28"/>
        </w:rPr>
        <w:t>自99年間制定公布後，截至113年底</w:t>
      </w:r>
      <w:proofErr w:type="gramStart"/>
      <w:r w:rsidR="005D0F74" w:rsidRPr="005D0F74">
        <w:rPr>
          <w:rFonts w:hAnsi="標楷體" w:hint="eastAsia"/>
          <w:color w:val="000000" w:themeColor="text1"/>
          <w:sz w:val="24"/>
          <w:szCs w:val="28"/>
        </w:rPr>
        <w:t>止</w:t>
      </w:r>
      <w:proofErr w:type="gramEnd"/>
      <w:r w:rsidR="005D0F74" w:rsidRPr="005D0F74">
        <w:rPr>
          <w:rFonts w:hAnsi="標楷體" w:hint="eastAsia"/>
          <w:color w:val="000000" w:themeColor="text1"/>
          <w:sz w:val="24"/>
          <w:szCs w:val="28"/>
        </w:rPr>
        <w:t>施行近15年，其間該法於108年12月31日歷經1次修正，主要係政府為回應社會對於醫療照護服務之需求，加以衡酌司法院推行各項司法新政、改革業務所需人力等，酌予修正員額控管範圍，調整相關類型員額數，並重行設定中央政府機關總員額</w:t>
      </w:r>
      <w:proofErr w:type="gramStart"/>
      <w:r w:rsidR="005D0F74" w:rsidRPr="005D0F74">
        <w:rPr>
          <w:rFonts w:hAnsi="標楷體" w:hint="eastAsia"/>
          <w:color w:val="000000" w:themeColor="text1"/>
          <w:sz w:val="24"/>
          <w:szCs w:val="28"/>
        </w:rPr>
        <w:t>數高限</w:t>
      </w:r>
      <w:proofErr w:type="gramEnd"/>
      <w:r w:rsidR="005D0F74" w:rsidRPr="00F45BA3">
        <w:rPr>
          <w:rFonts w:hAnsi="標楷體" w:hint="eastAsia"/>
          <w:color w:val="000000" w:themeColor="text1"/>
          <w:sz w:val="24"/>
          <w:szCs w:val="28"/>
        </w:rPr>
        <w:t>（表</w:t>
      </w:r>
      <w:r w:rsidR="002929F9" w:rsidRPr="00F45BA3">
        <w:rPr>
          <w:rFonts w:hAnsi="標楷體" w:hint="eastAsia"/>
          <w:color w:val="000000" w:themeColor="text1"/>
          <w:sz w:val="24"/>
          <w:szCs w:val="28"/>
        </w:rPr>
        <w:t>3</w:t>
      </w:r>
      <w:r w:rsidR="00496A4D">
        <w:rPr>
          <w:rFonts w:hAnsi="標楷體" w:hint="eastAsia"/>
          <w:color w:val="000000" w:themeColor="text1"/>
          <w:sz w:val="24"/>
          <w:szCs w:val="28"/>
        </w:rPr>
        <w:t>3</w:t>
      </w:r>
      <w:r w:rsidR="005D0F74" w:rsidRPr="00F45BA3">
        <w:rPr>
          <w:rFonts w:hAnsi="標楷體" w:hint="eastAsia"/>
          <w:color w:val="000000" w:themeColor="text1"/>
          <w:sz w:val="24"/>
          <w:szCs w:val="28"/>
        </w:rPr>
        <w:t>）</w:t>
      </w:r>
      <w:r w:rsidR="005D0F74" w:rsidRPr="005D0F74">
        <w:rPr>
          <w:rFonts w:hAnsi="標楷體" w:hint="eastAsia"/>
          <w:color w:val="000000" w:themeColor="text1"/>
          <w:sz w:val="24"/>
          <w:szCs w:val="28"/>
        </w:rPr>
        <w:t>，除前述修正外，該法</w:t>
      </w:r>
      <w:bookmarkEnd w:id="24"/>
      <w:r w:rsidR="005D0F74" w:rsidRPr="005D0F74">
        <w:rPr>
          <w:rFonts w:hAnsi="標楷體" w:hint="eastAsia"/>
          <w:color w:val="000000" w:themeColor="text1"/>
          <w:sz w:val="24"/>
          <w:szCs w:val="28"/>
        </w:rPr>
        <w:t>基本精神與</w:t>
      </w:r>
      <w:proofErr w:type="gramStart"/>
      <w:r w:rsidR="005D0F74" w:rsidRPr="005D0F74">
        <w:rPr>
          <w:rFonts w:hAnsi="標楷體" w:hint="eastAsia"/>
          <w:color w:val="000000" w:themeColor="text1"/>
          <w:sz w:val="24"/>
          <w:szCs w:val="28"/>
        </w:rPr>
        <w:t>架構均予維持</w:t>
      </w:r>
      <w:proofErr w:type="gramEnd"/>
      <w:r w:rsidR="005D0F74" w:rsidRPr="005D0F74">
        <w:rPr>
          <w:rFonts w:hAnsi="標楷體" w:hint="eastAsia"/>
          <w:color w:val="000000" w:themeColor="text1"/>
          <w:sz w:val="24"/>
          <w:szCs w:val="28"/>
        </w:rPr>
        <w:t>，期於既有管控機制之基礎上，依據機關</w:t>
      </w:r>
      <w:proofErr w:type="gramStart"/>
      <w:r w:rsidR="005D0F74" w:rsidRPr="005D0F74">
        <w:rPr>
          <w:rFonts w:hAnsi="標楷體" w:hint="eastAsia"/>
          <w:color w:val="000000" w:themeColor="text1"/>
          <w:sz w:val="24"/>
          <w:szCs w:val="28"/>
        </w:rPr>
        <w:t>釐</w:t>
      </w:r>
      <w:proofErr w:type="gramEnd"/>
      <w:r w:rsidR="005D0F74" w:rsidRPr="005D0F74">
        <w:rPr>
          <w:rFonts w:hAnsi="標楷體" w:hint="eastAsia"/>
          <w:color w:val="000000" w:themeColor="text1"/>
          <w:sz w:val="24"/>
          <w:szCs w:val="28"/>
        </w:rPr>
        <w:t>清法定職掌、施政優先順序及業務消長情形，核實配置所需員額。經查中央政府各級機關（含公立學校、公立醫療機構，下稱各機關）人力結構及員額管理法制運作情形</w:t>
      </w:r>
      <w:r w:rsidR="005D0F74" w:rsidRPr="005D0F74">
        <w:rPr>
          <w:rFonts w:hAnsi="標楷體"/>
          <w:color w:val="000000" w:themeColor="text1"/>
          <w:sz w:val="24"/>
          <w:szCs w:val="28"/>
        </w:rPr>
        <w:t>，核有下列事項，經函請行政院</w:t>
      </w:r>
      <w:proofErr w:type="gramStart"/>
      <w:r w:rsidR="005D0F74" w:rsidRPr="005D0F74">
        <w:rPr>
          <w:rFonts w:hAnsi="標楷體"/>
          <w:color w:val="000000" w:themeColor="text1"/>
          <w:sz w:val="24"/>
          <w:szCs w:val="28"/>
        </w:rPr>
        <w:t>研謀</w:t>
      </w:r>
      <w:r w:rsidR="005D0F74" w:rsidRPr="005D0F74">
        <w:rPr>
          <w:rFonts w:hAnsi="標楷體" w:hint="eastAsia"/>
          <w:color w:val="000000" w:themeColor="text1"/>
          <w:sz w:val="24"/>
          <w:szCs w:val="28"/>
        </w:rPr>
        <w:t>妥處</w:t>
      </w:r>
      <w:proofErr w:type="gramEnd"/>
      <w:r w:rsidR="005D0F74" w:rsidRPr="005D0F74">
        <w:rPr>
          <w:rFonts w:hAnsi="標楷體"/>
          <w:color w:val="000000" w:themeColor="text1"/>
          <w:sz w:val="24"/>
          <w:szCs w:val="28"/>
        </w:rPr>
        <w:t>。據復：已於11</w:t>
      </w:r>
      <w:r w:rsidR="005D0F74" w:rsidRPr="005D0F74">
        <w:rPr>
          <w:rFonts w:hAnsi="標楷體" w:hint="eastAsia"/>
          <w:color w:val="000000" w:themeColor="text1"/>
          <w:sz w:val="24"/>
          <w:szCs w:val="28"/>
        </w:rPr>
        <w:t>4</w:t>
      </w:r>
      <w:r w:rsidR="005D0F74" w:rsidRPr="005D0F74">
        <w:rPr>
          <w:rFonts w:hAnsi="標楷體"/>
          <w:color w:val="000000" w:themeColor="text1"/>
          <w:sz w:val="24"/>
          <w:szCs w:val="28"/>
        </w:rPr>
        <w:t>年6月2</w:t>
      </w:r>
      <w:r w:rsidR="005D0F74" w:rsidRPr="005D0F74">
        <w:rPr>
          <w:rFonts w:hAnsi="標楷體" w:hint="eastAsia"/>
          <w:color w:val="000000" w:themeColor="text1"/>
          <w:sz w:val="24"/>
          <w:szCs w:val="28"/>
        </w:rPr>
        <w:t>0</w:t>
      </w:r>
      <w:r w:rsidR="005D0F74" w:rsidRPr="005D0F74">
        <w:rPr>
          <w:rFonts w:hAnsi="標楷體"/>
          <w:color w:val="000000" w:themeColor="text1"/>
          <w:sz w:val="24"/>
          <w:szCs w:val="28"/>
        </w:rPr>
        <w:t>日交由</w:t>
      </w:r>
      <w:r w:rsidR="005D0F74" w:rsidRPr="005D0F74">
        <w:rPr>
          <w:rFonts w:hAnsi="標楷體" w:hint="eastAsia"/>
          <w:color w:val="000000" w:themeColor="text1"/>
          <w:sz w:val="24"/>
          <w:szCs w:val="28"/>
        </w:rPr>
        <w:t>行政院人事行政總處</w:t>
      </w:r>
      <w:r w:rsidR="005D0F74" w:rsidRPr="005D0F74">
        <w:rPr>
          <w:rFonts w:hAnsi="標楷體"/>
          <w:color w:val="000000" w:themeColor="text1"/>
          <w:sz w:val="24"/>
          <w:szCs w:val="28"/>
        </w:rPr>
        <w:t>會商有關機關</w:t>
      </w:r>
      <w:proofErr w:type="gramStart"/>
      <w:r w:rsidR="005D0F74" w:rsidRPr="005D0F74">
        <w:rPr>
          <w:rFonts w:hAnsi="標楷體"/>
          <w:color w:val="000000" w:themeColor="text1"/>
          <w:sz w:val="24"/>
          <w:szCs w:val="28"/>
        </w:rPr>
        <w:t>研</w:t>
      </w:r>
      <w:proofErr w:type="gramEnd"/>
      <w:r w:rsidR="005D0F74" w:rsidRPr="005D0F74">
        <w:rPr>
          <w:rFonts w:hAnsi="標楷體"/>
          <w:color w:val="000000" w:themeColor="text1"/>
          <w:sz w:val="24"/>
          <w:szCs w:val="28"/>
        </w:rPr>
        <w:t>處。</w:t>
      </w:r>
    </w:p>
    <w:p w14:paraId="0427B843" w14:textId="05980FF1" w:rsidR="005D0F74" w:rsidRPr="005D0F74" w:rsidRDefault="005D0F74" w:rsidP="00F444C7">
      <w:pPr>
        <w:pStyle w:val="affb"/>
        <w:spacing w:line="440" w:lineRule="exact"/>
        <w:ind w:left="0" w:firstLineChars="450" w:firstLine="1063"/>
        <w:jc w:val="both"/>
        <w:rPr>
          <w:rFonts w:hAnsi="標楷體"/>
          <w:color w:val="000000" w:themeColor="text1"/>
          <w:sz w:val="24"/>
          <w:szCs w:val="28"/>
        </w:rPr>
      </w:pPr>
      <w:r w:rsidRPr="00E336A7">
        <w:rPr>
          <w:rFonts w:hAnsi="標楷體" w:hint="eastAsia"/>
          <w:b/>
          <w:color w:val="000000" w:themeColor="text1"/>
          <w:spacing w:val="-2"/>
          <w:sz w:val="24"/>
          <w:szCs w:val="28"/>
        </w:rPr>
        <w:t xml:space="preserve">1.　</w:t>
      </w:r>
      <w:r w:rsidRPr="00E336A7">
        <w:rPr>
          <w:rFonts w:hAnsi="標楷體" w:hint="eastAsia"/>
          <w:b/>
          <w:bCs/>
          <w:snapToGrid w:val="0"/>
          <w:spacing w:val="-2"/>
          <w:sz w:val="24"/>
          <w:szCs w:val="24"/>
        </w:rPr>
        <w:t>總員額法釐定五類人員</w:t>
      </w:r>
      <w:proofErr w:type="gramStart"/>
      <w:r w:rsidRPr="00E336A7">
        <w:rPr>
          <w:rFonts w:hAnsi="標楷體" w:hint="eastAsia"/>
          <w:b/>
          <w:bCs/>
          <w:snapToGrid w:val="0"/>
          <w:spacing w:val="-2"/>
          <w:sz w:val="24"/>
          <w:szCs w:val="24"/>
        </w:rPr>
        <w:t>員額高限</w:t>
      </w:r>
      <w:proofErr w:type="gramEnd"/>
      <w:r w:rsidRPr="00E336A7">
        <w:rPr>
          <w:rFonts w:hAnsi="標楷體" w:hint="eastAsia"/>
          <w:b/>
          <w:bCs/>
          <w:snapToGrid w:val="0"/>
          <w:spacing w:val="-2"/>
          <w:sz w:val="24"/>
          <w:szCs w:val="24"/>
        </w:rPr>
        <w:t>，有助維持合理人力規模及提升用人效能，惟</w:t>
      </w:r>
      <w:bookmarkStart w:id="25" w:name="_Hlk201916793"/>
      <w:r w:rsidRPr="00E336A7">
        <w:rPr>
          <w:rFonts w:hAnsi="標楷體" w:hint="eastAsia"/>
          <w:b/>
          <w:bCs/>
          <w:snapToGrid w:val="0"/>
          <w:spacing w:val="-2"/>
          <w:sz w:val="24"/>
          <w:szCs w:val="24"/>
        </w:rPr>
        <w:t>中央政府部分類型人員已於</w:t>
      </w:r>
      <w:proofErr w:type="gramStart"/>
      <w:r w:rsidRPr="00E336A7">
        <w:rPr>
          <w:rFonts w:hAnsi="標楷體" w:hint="eastAsia"/>
          <w:b/>
          <w:bCs/>
          <w:snapToGrid w:val="0"/>
          <w:spacing w:val="-2"/>
          <w:sz w:val="24"/>
          <w:szCs w:val="24"/>
        </w:rPr>
        <w:t>114</w:t>
      </w:r>
      <w:proofErr w:type="gramEnd"/>
      <w:r w:rsidRPr="00E336A7">
        <w:rPr>
          <w:rFonts w:hAnsi="標楷體" w:hint="eastAsia"/>
          <w:b/>
          <w:bCs/>
          <w:snapToGrid w:val="0"/>
          <w:spacing w:val="-2"/>
          <w:sz w:val="24"/>
          <w:szCs w:val="24"/>
        </w:rPr>
        <w:t>年度增長至</w:t>
      </w:r>
      <w:proofErr w:type="gramStart"/>
      <w:r w:rsidRPr="00E336A7">
        <w:rPr>
          <w:rFonts w:hAnsi="標楷體" w:hint="eastAsia"/>
          <w:b/>
          <w:bCs/>
          <w:snapToGrid w:val="0"/>
          <w:spacing w:val="-2"/>
          <w:sz w:val="24"/>
          <w:szCs w:val="24"/>
        </w:rPr>
        <w:t>貼近高限</w:t>
      </w:r>
      <w:bookmarkEnd w:id="25"/>
      <w:proofErr w:type="gramEnd"/>
      <w:r w:rsidRPr="00E336A7">
        <w:rPr>
          <w:rFonts w:hAnsi="標楷體" w:hint="eastAsia"/>
          <w:b/>
          <w:bCs/>
          <w:snapToGrid w:val="0"/>
          <w:spacing w:val="-2"/>
          <w:sz w:val="24"/>
          <w:szCs w:val="24"/>
        </w:rPr>
        <w:t>，</w:t>
      </w:r>
      <w:proofErr w:type="gramStart"/>
      <w:r w:rsidRPr="00E336A7">
        <w:rPr>
          <w:rFonts w:hAnsi="標楷體" w:hint="eastAsia"/>
          <w:b/>
          <w:bCs/>
          <w:snapToGrid w:val="0"/>
          <w:spacing w:val="-2"/>
          <w:sz w:val="24"/>
          <w:szCs w:val="24"/>
        </w:rPr>
        <w:t>允宜審酌</w:t>
      </w:r>
      <w:proofErr w:type="gramEnd"/>
      <w:r w:rsidRPr="00E336A7">
        <w:rPr>
          <w:rFonts w:hAnsi="標楷體" w:hint="eastAsia"/>
          <w:b/>
          <w:bCs/>
          <w:snapToGrid w:val="0"/>
          <w:spacing w:val="-2"/>
          <w:sz w:val="24"/>
          <w:szCs w:val="24"/>
        </w:rPr>
        <w:t>各類人員預算員額距</w:t>
      </w:r>
      <w:proofErr w:type="gramStart"/>
      <w:r w:rsidRPr="00E336A7">
        <w:rPr>
          <w:rFonts w:hAnsi="標楷體" w:hint="eastAsia"/>
          <w:b/>
          <w:bCs/>
          <w:snapToGrid w:val="0"/>
          <w:spacing w:val="-2"/>
          <w:sz w:val="24"/>
          <w:szCs w:val="24"/>
        </w:rPr>
        <w:t>法定高限之</w:t>
      </w:r>
      <w:proofErr w:type="gramEnd"/>
      <w:r w:rsidRPr="00E336A7">
        <w:rPr>
          <w:rFonts w:hAnsi="標楷體" w:hint="eastAsia"/>
          <w:b/>
          <w:bCs/>
          <w:snapToGrid w:val="0"/>
          <w:spacing w:val="-2"/>
          <w:sz w:val="24"/>
          <w:szCs w:val="24"/>
        </w:rPr>
        <w:t>空間、未來可能治理情境變化及公務人力需求，適時滾動檢討調整各類人員</w:t>
      </w:r>
      <w:proofErr w:type="gramStart"/>
      <w:r w:rsidRPr="00E336A7">
        <w:rPr>
          <w:rFonts w:hAnsi="標楷體" w:hint="eastAsia"/>
          <w:b/>
          <w:bCs/>
          <w:snapToGrid w:val="0"/>
          <w:spacing w:val="-2"/>
          <w:sz w:val="24"/>
          <w:szCs w:val="24"/>
        </w:rPr>
        <w:t>員額高限</w:t>
      </w:r>
      <w:proofErr w:type="gramEnd"/>
      <w:r w:rsidRPr="00E336A7">
        <w:rPr>
          <w:rFonts w:hAnsi="標楷體" w:hint="eastAsia"/>
          <w:b/>
          <w:bCs/>
          <w:snapToGrid w:val="0"/>
          <w:spacing w:val="-2"/>
          <w:sz w:val="24"/>
          <w:szCs w:val="24"/>
        </w:rPr>
        <w:t>：</w:t>
      </w:r>
      <w:r w:rsidRPr="00E336A7">
        <w:rPr>
          <w:rFonts w:hAnsi="標楷體" w:hint="eastAsia"/>
          <w:snapToGrid w:val="0"/>
          <w:spacing w:val="-2"/>
          <w:sz w:val="24"/>
          <w:szCs w:val="24"/>
        </w:rPr>
        <w:t>行政院（人</w:t>
      </w:r>
      <w:r w:rsidRPr="00E336A7">
        <w:rPr>
          <w:rFonts w:hAnsi="標楷體" w:hint="eastAsia"/>
          <w:snapToGrid w:val="0"/>
          <w:spacing w:val="-2"/>
          <w:sz w:val="24"/>
          <w:szCs w:val="24"/>
        </w:rPr>
        <w:lastRenderedPageBreak/>
        <w:t>事行政總處）為在總員額法</w:t>
      </w:r>
      <w:proofErr w:type="gramStart"/>
      <w:r w:rsidRPr="00E336A7">
        <w:rPr>
          <w:rFonts w:hAnsi="標楷體" w:hint="eastAsia"/>
          <w:snapToGrid w:val="0"/>
          <w:spacing w:val="-2"/>
          <w:sz w:val="24"/>
          <w:szCs w:val="24"/>
        </w:rPr>
        <w:t>高限下</w:t>
      </w:r>
      <w:proofErr w:type="gramEnd"/>
      <w:r w:rsidRPr="00E336A7">
        <w:rPr>
          <w:rFonts w:hAnsi="標楷體" w:hint="eastAsia"/>
          <w:snapToGrid w:val="0"/>
          <w:spacing w:val="-2"/>
          <w:sz w:val="24"/>
          <w:szCs w:val="24"/>
        </w:rPr>
        <w:t>合理控管員額成長，持續宣導及督促各主管機關因應業務增長，應先依總員額法相關規定檢討調配所屬機關節餘人力後，如確有增員需求，始得提出，課予主管機關共同擔負員額管理責任，以落實總員額法員額移緩濟急及總量控管之立法意旨；另依據總員額法第4條第5項規定，因應國家政治經濟環境變遷，或處理突發、特殊或新興之重大事務，行政院於徵詢一級機關後，得在第一項員額總數最高限之下彈性調整各類人員員額最高限。經查，近</w:t>
      </w:r>
      <w:proofErr w:type="gramStart"/>
      <w:r w:rsidRPr="00E336A7">
        <w:rPr>
          <w:rFonts w:hAnsi="標楷體" w:hint="eastAsia"/>
          <w:snapToGrid w:val="0"/>
          <w:spacing w:val="-2"/>
          <w:sz w:val="24"/>
          <w:szCs w:val="24"/>
        </w:rPr>
        <w:t>5</w:t>
      </w:r>
      <w:proofErr w:type="gramEnd"/>
      <w:r w:rsidRPr="00E336A7">
        <w:rPr>
          <w:rFonts w:hAnsi="標楷體" w:hint="eastAsia"/>
          <w:snapToGrid w:val="0"/>
          <w:spacing w:val="-2"/>
          <w:sz w:val="24"/>
          <w:szCs w:val="24"/>
        </w:rPr>
        <w:t>年度（110至114年度）中央政府各機關</w:t>
      </w:r>
      <w:proofErr w:type="gramStart"/>
      <w:r w:rsidRPr="00E336A7">
        <w:rPr>
          <w:rFonts w:hAnsi="標楷體" w:hint="eastAsia"/>
          <w:snapToGrid w:val="0"/>
          <w:spacing w:val="-2"/>
          <w:sz w:val="24"/>
          <w:szCs w:val="24"/>
        </w:rPr>
        <w:t>受總員額法控</w:t>
      </w:r>
      <w:proofErr w:type="gramEnd"/>
      <w:r w:rsidRPr="00E336A7">
        <w:rPr>
          <w:rFonts w:hAnsi="標楷體" w:hint="eastAsia"/>
          <w:snapToGrid w:val="0"/>
          <w:spacing w:val="-2"/>
          <w:sz w:val="24"/>
          <w:szCs w:val="24"/>
        </w:rPr>
        <w:t>管員額消長情形，其間除第二類人員之技工、工友、駕駛、駐衛警察等，因辦理業務未涉及公權力，</w:t>
      </w:r>
      <w:proofErr w:type="gramStart"/>
      <w:r w:rsidRPr="00E336A7">
        <w:rPr>
          <w:rFonts w:hAnsi="標楷體" w:hint="eastAsia"/>
          <w:snapToGrid w:val="0"/>
          <w:spacing w:val="-2"/>
          <w:sz w:val="24"/>
          <w:szCs w:val="24"/>
        </w:rPr>
        <w:t>持續朝委外</w:t>
      </w:r>
      <w:proofErr w:type="gramEnd"/>
      <w:r w:rsidRPr="00E336A7">
        <w:rPr>
          <w:rFonts w:hAnsi="標楷體" w:hint="eastAsia"/>
          <w:snapToGrid w:val="0"/>
          <w:spacing w:val="-2"/>
          <w:sz w:val="24"/>
          <w:szCs w:val="24"/>
        </w:rPr>
        <w:t>等公私協力方式檢討，為員額控管重點精簡對象外，其餘四類人員分別因應重大政策需要，及新設機關、單位或組織改制等，均</w:t>
      </w:r>
      <w:proofErr w:type="gramStart"/>
      <w:r w:rsidRPr="00E336A7">
        <w:rPr>
          <w:rFonts w:hAnsi="標楷體" w:hint="eastAsia"/>
          <w:snapToGrid w:val="0"/>
          <w:spacing w:val="-2"/>
          <w:sz w:val="24"/>
          <w:szCs w:val="24"/>
        </w:rPr>
        <w:t>陸續核增必要</w:t>
      </w:r>
      <w:proofErr w:type="gramEnd"/>
      <w:r w:rsidRPr="00E336A7">
        <w:rPr>
          <w:rFonts w:hAnsi="標楷體" w:hint="eastAsia"/>
          <w:snapToGrid w:val="0"/>
          <w:spacing w:val="-2"/>
          <w:sz w:val="24"/>
          <w:szCs w:val="24"/>
        </w:rPr>
        <w:t>人力，第一類（主要係文職人員）、第三類（司法人員）、第四類（檢察機關人員）人員</w:t>
      </w:r>
      <w:proofErr w:type="gramStart"/>
      <w:r w:rsidRPr="00E336A7">
        <w:rPr>
          <w:rFonts w:hAnsi="標楷體" w:hint="eastAsia"/>
          <w:snapToGrid w:val="0"/>
          <w:spacing w:val="-2"/>
          <w:sz w:val="24"/>
          <w:szCs w:val="24"/>
        </w:rPr>
        <w:t>114</w:t>
      </w:r>
      <w:proofErr w:type="gramEnd"/>
      <w:r w:rsidRPr="00E336A7">
        <w:rPr>
          <w:rFonts w:hAnsi="標楷體" w:hint="eastAsia"/>
          <w:snapToGrid w:val="0"/>
          <w:spacing w:val="-2"/>
          <w:sz w:val="24"/>
          <w:szCs w:val="24"/>
        </w:rPr>
        <w:t>年度預算員額數占</w:t>
      </w:r>
      <w:proofErr w:type="gramStart"/>
      <w:r w:rsidRPr="00E336A7">
        <w:rPr>
          <w:rFonts w:hAnsi="標楷體" w:hint="eastAsia"/>
          <w:snapToGrid w:val="0"/>
          <w:spacing w:val="-2"/>
          <w:sz w:val="24"/>
          <w:szCs w:val="24"/>
        </w:rPr>
        <w:t>員額高限比率</w:t>
      </w:r>
      <w:proofErr w:type="gramEnd"/>
      <w:r w:rsidRPr="00E336A7">
        <w:rPr>
          <w:rFonts w:hAnsi="標楷體" w:hint="eastAsia"/>
          <w:snapToGrid w:val="0"/>
          <w:spacing w:val="-2"/>
          <w:sz w:val="24"/>
          <w:szCs w:val="24"/>
        </w:rPr>
        <w:t>突破</w:t>
      </w:r>
      <w:proofErr w:type="gramStart"/>
      <w:r w:rsidRPr="00E336A7">
        <w:rPr>
          <w:rFonts w:hAnsi="標楷體" w:hint="eastAsia"/>
          <w:snapToGrid w:val="0"/>
          <w:spacing w:val="-2"/>
          <w:sz w:val="24"/>
          <w:szCs w:val="24"/>
        </w:rPr>
        <w:t>9成</w:t>
      </w:r>
      <w:proofErr w:type="gramEnd"/>
      <w:r w:rsidRPr="00E336A7">
        <w:rPr>
          <w:rFonts w:hAnsi="標楷體" w:hint="eastAsia"/>
          <w:snapToGrid w:val="0"/>
          <w:spacing w:val="-2"/>
          <w:sz w:val="24"/>
          <w:szCs w:val="24"/>
        </w:rPr>
        <w:t>5（表</w:t>
      </w:r>
      <w:r w:rsidR="0009090C" w:rsidRPr="00E336A7">
        <w:rPr>
          <w:rFonts w:hAnsi="標楷體" w:hint="eastAsia"/>
          <w:snapToGrid w:val="0"/>
          <w:spacing w:val="-2"/>
          <w:sz w:val="24"/>
          <w:szCs w:val="24"/>
        </w:rPr>
        <w:t>3</w:t>
      </w:r>
      <w:r w:rsidR="00496A4D" w:rsidRPr="00E336A7">
        <w:rPr>
          <w:rFonts w:hAnsi="標楷體" w:hint="eastAsia"/>
          <w:snapToGrid w:val="0"/>
          <w:spacing w:val="-2"/>
          <w:sz w:val="24"/>
          <w:szCs w:val="24"/>
        </w:rPr>
        <w:t>4</w:t>
      </w:r>
      <w:r w:rsidRPr="00E336A7">
        <w:rPr>
          <w:rFonts w:hAnsi="標楷體" w:hint="eastAsia"/>
          <w:snapToGrid w:val="0"/>
          <w:spacing w:val="-2"/>
          <w:sz w:val="24"/>
          <w:szCs w:val="24"/>
        </w:rPr>
        <w:t>），後續成長空間有限，第三類（司法人員）、第四類（檢察機關人員）人員</w:t>
      </w:r>
      <w:proofErr w:type="gramStart"/>
      <w:r w:rsidRPr="00E336A7">
        <w:rPr>
          <w:rFonts w:hAnsi="標楷體" w:hint="eastAsia"/>
          <w:snapToGrid w:val="0"/>
          <w:spacing w:val="-2"/>
          <w:sz w:val="24"/>
          <w:szCs w:val="24"/>
        </w:rPr>
        <w:t>距離高限之</w:t>
      </w:r>
      <w:proofErr w:type="gramEnd"/>
      <w:r w:rsidRPr="00E336A7">
        <w:rPr>
          <w:rFonts w:hAnsi="標楷體" w:hint="eastAsia"/>
          <w:snapToGrid w:val="0"/>
          <w:spacing w:val="-2"/>
          <w:sz w:val="24"/>
          <w:szCs w:val="24"/>
        </w:rPr>
        <w:t>空間則僅剩2百餘人。</w:t>
      </w:r>
      <w:proofErr w:type="gramStart"/>
      <w:r w:rsidRPr="00E336A7">
        <w:rPr>
          <w:rFonts w:hAnsi="標楷體" w:hint="eastAsia"/>
          <w:snapToGrid w:val="0"/>
          <w:spacing w:val="-2"/>
          <w:sz w:val="24"/>
          <w:szCs w:val="24"/>
        </w:rPr>
        <w:t>鑑</w:t>
      </w:r>
      <w:proofErr w:type="gramEnd"/>
      <w:r w:rsidRPr="00E336A7">
        <w:rPr>
          <w:rFonts w:hAnsi="標楷體" w:hint="eastAsia"/>
          <w:snapToGrid w:val="0"/>
          <w:spacing w:val="-2"/>
          <w:sz w:val="24"/>
          <w:szCs w:val="24"/>
        </w:rPr>
        <w:t>於政府</w:t>
      </w:r>
      <w:r w:rsidRPr="005D0F74">
        <w:rPr>
          <w:rFonts w:hAnsi="標楷體" w:hint="eastAsia"/>
          <w:snapToGrid w:val="0"/>
          <w:sz w:val="24"/>
          <w:szCs w:val="24"/>
        </w:rPr>
        <w:t>治理面臨數位轉型、</w:t>
      </w:r>
      <w:proofErr w:type="gramStart"/>
      <w:r w:rsidRPr="005D0F74">
        <w:rPr>
          <w:rFonts w:hAnsi="標楷體" w:hint="eastAsia"/>
          <w:snapToGrid w:val="0"/>
          <w:sz w:val="24"/>
          <w:szCs w:val="24"/>
        </w:rPr>
        <w:t>少子高齡</w:t>
      </w:r>
      <w:proofErr w:type="gramEnd"/>
      <w:r w:rsidRPr="005D0F74">
        <w:rPr>
          <w:rFonts w:hAnsi="標楷體" w:hint="eastAsia"/>
          <w:snapToGrid w:val="0"/>
          <w:sz w:val="24"/>
          <w:szCs w:val="24"/>
        </w:rPr>
        <w:t>化等機會與挑戰，又</w:t>
      </w:r>
      <w:proofErr w:type="gramStart"/>
      <w:r w:rsidRPr="005D0F74">
        <w:rPr>
          <w:rFonts w:hAnsi="標楷體" w:hint="eastAsia"/>
          <w:snapToGrid w:val="0"/>
          <w:sz w:val="24"/>
          <w:szCs w:val="24"/>
        </w:rPr>
        <w:t>114</w:t>
      </w:r>
      <w:proofErr w:type="gramEnd"/>
      <w:r w:rsidRPr="005D0F74">
        <w:rPr>
          <w:rFonts w:hAnsi="標楷體" w:hint="eastAsia"/>
          <w:snapToGrid w:val="0"/>
          <w:sz w:val="24"/>
          <w:szCs w:val="24"/>
        </w:rPr>
        <w:t>年度中央政府總預算所列部分類型預算</w:t>
      </w:r>
      <w:proofErr w:type="gramStart"/>
      <w:r w:rsidRPr="005D0F74">
        <w:rPr>
          <w:rFonts w:hAnsi="標楷體" w:hint="eastAsia"/>
          <w:snapToGrid w:val="0"/>
          <w:sz w:val="24"/>
          <w:szCs w:val="24"/>
        </w:rPr>
        <w:t>員額貼限情形</w:t>
      </w:r>
      <w:proofErr w:type="gramEnd"/>
      <w:r w:rsidRPr="005D0F74">
        <w:rPr>
          <w:rFonts w:hAnsi="標楷體" w:hint="eastAsia"/>
          <w:snapToGrid w:val="0"/>
          <w:sz w:val="24"/>
          <w:szCs w:val="24"/>
        </w:rPr>
        <w:t>，已近似108年總員額法修法提高第三類（司法人員）人員</w:t>
      </w:r>
      <w:proofErr w:type="gramStart"/>
      <w:r w:rsidRPr="005D0F74">
        <w:rPr>
          <w:rFonts w:hAnsi="標楷體" w:hint="eastAsia"/>
          <w:snapToGrid w:val="0"/>
          <w:sz w:val="24"/>
          <w:szCs w:val="24"/>
        </w:rPr>
        <w:t>員額高限情境</w:t>
      </w:r>
      <w:proofErr w:type="gramEnd"/>
      <w:r w:rsidRPr="005D0F74">
        <w:rPr>
          <w:rFonts w:hAnsi="標楷體" w:hint="eastAsia"/>
          <w:snapToGrid w:val="0"/>
          <w:sz w:val="24"/>
          <w:szCs w:val="24"/>
        </w:rPr>
        <w:t>，</w:t>
      </w:r>
      <w:proofErr w:type="gramStart"/>
      <w:r w:rsidR="006905E9">
        <w:rPr>
          <w:rFonts w:hAnsi="標楷體" w:hint="eastAsia"/>
          <w:snapToGrid w:val="0"/>
          <w:sz w:val="24"/>
          <w:szCs w:val="24"/>
        </w:rPr>
        <w:t>允宜</w:t>
      </w:r>
      <w:r w:rsidRPr="005D0F74">
        <w:rPr>
          <w:rFonts w:hAnsi="標楷體" w:hint="eastAsia"/>
          <w:snapToGrid w:val="0"/>
          <w:sz w:val="24"/>
          <w:szCs w:val="24"/>
        </w:rPr>
        <w:t>審酌</w:t>
      </w:r>
      <w:proofErr w:type="gramEnd"/>
      <w:r w:rsidRPr="005D0F74">
        <w:rPr>
          <w:rFonts w:hAnsi="標楷體" w:hint="eastAsia"/>
          <w:snapToGrid w:val="0"/>
          <w:sz w:val="24"/>
          <w:szCs w:val="24"/>
        </w:rPr>
        <w:t>未來可能治理情境變化，適時檢討調整</w:t>
      </w:r>
      <w:proofErr w:type="gramStart"/>
      <w:r w:rsidRPr="005D0F74">
        <w:rPr>
          <w:rFonts w:hAnsi="標楷體" w:hint="eastAsia"/>
          <w:snapToGrid w:val="0"/>
          <w:sz w:val="24"/>
          <w:szCs w:val="24"/>
        </w:rPr>
        <w:t>總額高限及</w:t>
      </w:r>
      <w:proofErr w:type="gramEnd"/>
      <w:r w:rsidRPr="005D0F74">
        <w:rPr>
          <w:rFonts w:hAnsi="標楷體" w:hint="eastAsia"/>
          <w:snapToGrid w:val="0"/>
          <w:sz w:val="24"/>
          <w:szCs w:val="24"/>
        </w:rPr>
        <w:t>各類型人員員額之分配，以貫</w:t>
      </w:r>
      <w:r w:rsidR="00AB77DC" w:rsidRPr="00E336A7">
        <w:rPr>
          <w:rFonts w:hAnsi="標楷體"/>
          <w:b/>
          <w:noProof/>
          <w:spacing w:val="-2"/>
          <w:sz w:val="28"/>
          <w:szCs w:val="28"/>
        </w:rPr>
        <mc:AlternateContent>
          <mc:Choice Requires="wps">
            <w:drawing>
              <wp:anchor distT="45720" distB="45720" distL="114300" distR="114300" simplePos="0" relativeHeight="251622400" behindDoc="0" locked="0" layoutInCell="1" allowOverlap="1" wp14:anchorId="0A752000" wp14:editId="189706FB">
                <wp:simplePos x="0" y="0"/>
                <wp:positionH relativeFrom="column">
                  <wp:posOffset>10795</wp:posOffset>
                </wp:positionH>
                <wp:positionV relativeFrom="paragraph">
                  <wp:posOffset>4326890</wp:posOffset>
                </wp:positionV>
                <wp:extent cx="6286500" cy="2560320"/>
                <wp:effectExtent l="0" t="0" r="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2560320"/>
                        </a:xfrm>
                        <a:prstGeom prst="rect">
                          <a:avLst/>
                        </a:prstGeom>
                        <a:solidFill>
                          <a:srgbClr val="FFFFFF"/>
                        </a:solidFill>
                        <a:ln w="9525">
                          <a:noFill/>
                          <a:miter lim="800000"/>
                          <a:headEnd/>
                          <a:tailEnd/>
                        </a:ln>
                      </wps:spPr>
                      <wps:txbx>
                        <w:txbxContent>
                          <w:tbl>
                            <w:tblPr>
                              <w:tblW w:w="9600" w:type="dxa"/>
                              <w:jc w:val="center"/>
                              <w:tblCellMar>
                                <w:left w:w="28" w:type="dxa"/>
                                <w:right w:w="28"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B77DC" w:rsidRPr="000D45F9" w14:paraId="135F62F4" w14:textId="77777777" w:rsidTr="00035BEF">
                              <w:trPr>
                                <w:trHeight w:val="20"/>
                                <w:jc w:val="center"/>
                              </w:trPr>
                              <w:tc>
                                <w:tcPr>
                                  <w:tcW w:w="9600" w:type="dxa"/>
                                  <w:gridSpan w:val="10"/>
                                  <w:tcBorders>
                                    <w:top w:val="nil"/>
                                    <w:left w:val="nil"/>
                                    <w:bottom w:val="nil"/>
                                    <w:right w:val="nil"/>
                                  </w:tcBorders>
                                  <w:shd w:val="clear" w:color="auto" w:fill="auto"/>
                                  <w:vAlign w:val="center"/>
                                  <w:hideMark/>
                                </w:tcPr>
                                <w:p w14:paraId="514D0902" w14:textId="77777777" w:rsidR="00AB77DC" w:rsidRPr="000D45F9" w:rsidRDefault="00AB77DC" w:rsidP="00035BEF">
                                  <w:pPr>
                                    <w:widowControl/>
                                    <w:jc w:val="center"/>
                                    <w:rPr>
                                      <w:rFonts w:ascii="標楷體" w:eastAsia="標楷體" w:hAnsi="標楷體" w:cs="新細明體"/>
                                      <w:b/>
                                      <w:bCs/>
                                      <w:color w:val="000000"/>
                                      <w:kern w:val="0"/>
                                    </w:rPr>
                                  </w:pPr>
                                  <w:r w:rsidRPr="00CA4478">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Pr>
                                      <w:rFonts w:ascii="標楷體" w:eastAsia="標楷體" w:hAnsi="標楷體" w:cs="新細明體"/>
                                      <w:b/>
                                      <w:bCs/>
                                      <w:color w:val="000000"/>
                                      <w:kern w:val="0"/>
                                    </w:rPr>
                                    <w:t>4</w:t>
                                  </w:r>
                                  <w:r>
                                    <w:rPr>
                                      <w:rFonts w:ascii="標楷體" w:eastAsia="標楷體" w:hAnsi="標楷體" w:cs="新細明體" w:hint="eastAsia"/>
                                      <w:b/>
                                      <w:bCs/>
                                      <w:color w:val="000000"/>
                                      <w:kern w:val="0"/>
                                    </w:rPr>
                                    <w:t xml:space="preserve">　</w:t>
                                  </w:r>
                                  <w:r w:rsidRPr="000D45F9">
                                    <w:rPr>
                                      <w:rFonts w:ascii="標楷體" w:eastAsia="標楷體" w:hAnsi="標楷體" w:cs="新細明體" w:hint="eastAsia"/>
                                      <w:b/>
                                      <w:bCs/>
                                      <w:color w:val="000000"/>
                                      <w:kern w:val="0"/>
                                    </w:rPr>
                                    <w:t>受中央政府機關總</w:t>
                                  </w:r>
                                  <w:proofErr w:type="gramStart"/>
                                  <w:r w:rsidRPr="000D45F9">
                                    <w:rPr>
                                      <w:rFonts w:ascii="標楷體" w:eastAsia="標楷體" w:hAnsi="標楷體" w:cs="新細明體" w:hint="eastAsia"/>
                                      <w:b/>
                                      <w:bCs/>
                                      <w:color w:val="000000"/>
                                      <w:kern w:val="0"/>
                                    </w:rPr>
                                    <w:t>員額法控管</w:t>
                                  </w:r>
                                  <w:proofErr w:type="gramEnd"/>
                                  <w:r w:rsidRPr="000D45F9">
                                    <w:rPr>
                                      <w:rFonts w:ascii="標楷體" w:eastAsia="標楷體" w:hAnsi="標楷體" w:cs="新細明體" w:hint="eastAsia"/>
                                      <w:b/>
                                      <w:bCs/>
                                      <w:color w:val="000000"/>
                                      <w:kern w:val="0"/>
                                    </w:rPr>
                                    <w:t>之預算員額情形</w:t>
                                  </w:r>
                                </w:p>
                              </w:tc>
                            </w:tr>
                            <w:tr w:rsidR="00AB77DC" w:rsidRPr="000D45F9" w14:paraId="0AB77D4C" w14:textId="77777777" w:rsidTr="00035BEF">
                              <w:trPr>
                                <w:trHeight w:val="20"/>
                                <w:jc w:val="center"/>
                              </w:trPr>
                              <w:tc>
                                <w:tcPr>
                                  <w:tcW w:w="9600" w:type="dxa"/>
                                  <w:gridSpan w:val="10"/>
                                  <w:tcBorders>
                                    <w:top w:val="nil"/>
                                    <w:left w:val="nil"/>
                                    <w:bottom w:val="nil"/>
                                    <w:right w:val="nil"/>
                                  </w:tcBorders>
                                  <w:shd w:val="clear" w:color="auto" w:fill="auto"/>
                                  <w:vAlign w:val="center"/>
                                  <w:hideMark/>
                                </w:tcPr>
                                <w:p w14:paraId="4D63DA38" w14:textId="77777777" w:rsidR="00AB77DC" w:rsidRPr="000D45F9" w:rsidRDefault="00AB77DC" w:rsidP="00035BEF">
                                  <w:pPr>
                                    <w:widowControl/>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單位：人、％</w:t>
                                  </w:r>
                                </w:p>
                              </w:tc>
                            </w:tr>
                            <w:tr w:rsidR="00AB77DC" w:rsidRPr="000D45F9" w14:paraId="4AE8109A" w14:textId="77777777" w:rsidTr="00541C31">
                              <w:trPr>
                                <w:trHeight w:val="2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4E961D"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員額類型</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1B7A5"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員額高限</w:t>
                                  </w:r>
                                  <w:proofErr w:type="gramEnd"/>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4EF801"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110</w:t>
                                  </w:r>
                                  <w:proofErr w:type="gramEnd"/>
                                  <w:r w:rsidRPr="000D45F9">
                                    <w:rPr>
                                      <w:rFonts w:ascii="標楷體" w:eastAsia="標楷體" w:hAnsi="標楷體" w:cs="新細明體" w:hint="eastAsia"/>
                                      <w:color w:val="000000"/>
                                      <w:kern w:val="0"/>
                                      <w:sz w:val="20"/>
                                    </w:rPr>
                                    <w:t>年度</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8D07A5"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111</w:t>
                                  </w:r>
                                  <w:proofErr w:type="gramEnd"/>
                                  <w:r w:rsidRPr="000D45F9">
                                    <w:rPr>
                                      <w:rFonts w:ascii="標楷體" w:eastAsia="標楷體" w:hAnsi="標楷體" w:cs="新細明體" w:hint="eastAsia"/>
                                      <w:color w:val="000000"/>
                                      <w:kern w:val="0"/>
                                      <w:sz w:val="20"/>
                                    </w:rPr>
                                    <w:t>年度</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B1125"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112</w:t>
                                  </w:r>
                                  <w:proofErr w:type="gramEnd"/>
                                  <w:r w:rsidRPr="000D45F9">
                                    <w:rPr>
                                      <w:rFonts w:ascii="標楷體" w:eastAsia="標楷體" w:hAnsi="標楷體" w:cs="新細明體" w:hint="eastAsia"/>
                                      <w:color w:val="000000"/>
                                      <w:kern w:val="0"/>
                                      <w:sz w:val="20"/>
                                    </w:rPr>
                                    <w:t>年度</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7D87DE"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113</w:t>
                                  </w:r>
                                  <w:proofErr w:type="gramEnd"/>
                                  <w:r w:rsidRPr="000D45F9">
                                    <w:rPr>
                                      <w:rFonts w:ascii="標楷體" w:eastAsia="標楷體" w:hAnsi="標楷體" w:cs="新細明體" w:hint="eastAsia"/>
                                      <w:color w:val="000000"/>
                                      <w:kern w:val="0"/>
                                      <w:sz w:val="20"/>
                                    </w:rPr>
                                    <w:t>年度</w:t>
                                  </w:r>
                                </w:p>
                              </w:tc>
                              <w:tc>
                                <w:tcPr>
                                  <w:tcW w:w="3840" w:type="dxa"/>
                                  <w:gridSpan w:val="4"/>
                                  <w:tcBorders>
                                    <w:top w:val="single" w:sz="4" w:space="0" w:color="auto"/>
                                    <w:left w:val="nil"/>
                                    <w:bottom w:val="single" w:sz="4" w:space="0" w:color="auto"/>
                                    <w:right w:val="single" w:sz="4" w:space="0" w:color="auto"/>
                                  </w:tcBorders>
                                  <w:shd w:val="clear" w:color="auto" w:fill="auto"/>
                                  <w:vAlign w:val="center"/>
                                  <w:hideMark/>
                                </w:tcPr>
                                <w:p w14:paraId="44D217CE"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114</w:t>
                                  </w:r>
                                  <w:proofErr w:type="gramEnd"/>
                                  <w:r w:rsidRPr="000D45F9">
                                    <w:rPr>
                                      <w:rFonts w:ascii="標楷體" w:eastAsia="標楷體" w:hAnsi="標楷體" w:cs="新細明體" w:hint="eastAsia"/>
                                      <w:color w:val="000000"/>
                                      <w:kern w:val="0"/>
                                      <w:sz w:val="20"/>
                                    </w:rPr>
                                    <w:t>年度</w:t>
                                  </w:r>
                                </w:p>
                              </w:tc>
                            </w:tr>
                            <w:tr w:rsidR="00AB77DC" w:rsidRPr="000D45F9" w14:paraId="58DD04B0" w14:textId="77777777" w:rsidTr="00541C31">
                              <w:trPr>
                                <w:trHeight w:val="20"/>
                                <w:jc w:val="center"/>
                              </w:trPr>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D1CAD2"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5EC330"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72EDAA"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147BCF"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DE8100"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07BDCE"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tcBorders>
                                    <w:top w:val="nil"/>
                                    <w:left w:val="nil"/>
                                    <w:bottom w:val="single" w:sz="4" w:space="0" w:color="auto"/>
                                    <w:right w:val="single" w:sz="4" w:space="0" w:color="auto"/>
                                  </w:tcBorders>
                                  <w:shd w:val="clear" w:color="auto" w:fill="auto"/>
                                  <w:vAlign w:val="center"/>
                                  <w:hideMark/>
                                </w:tcPr>
                                <w:p w14:paraId="23097BC1" w14:textId="77777777" w:rsidR="00AB77DC" w:rsidRPr="000D45F9" w:rsidRDefault="00AB77DC" w:rsidP="000406E7">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人數</w:t>
                                  </w:r>
                                </w:p>
                              </w:tc>
                              <w:tc>
                                <w:tcPr>
                                  <w:tcW w:w="960" w:type="dxa"/>
                                  <w:tcBorders>
                                    <w:top w:val="nil"/>
                                    <w:left w:val="nil"/>
                                    <w:bottom w:val="single" w:sz="4" w:space="0" w:color="auto"/>
                                    <w:right w:val="single" w:sz="4" w:space="0" w:color="auto"/>
                                  </w:tcBorders>
                                  <w:shd w:val="clear" w:color="auto" w:fill="auto"/>
                                  <w:vAlign w:val="center"/>
                                  <w:hideMark/>
                                </w:tcPr>
                                <w:p w14:paraId="3DDD4E97" w14:textId="77777777" w:rsidR="00AB77DC" w:rsidRPr="000406E7" w:rsidRDefault="00AB77DC" w:rsidP="000406E7">
                                  <w:pPr>
                                    <w:widowControl/>
                                    <w:snapToGrid w:val="0"/>
                                    <w:jc w:val="center"/>
                                    <w:rPr>
                                      <w:rFonts w:ascii="標楷體" w:eastAsia="標楷體" w:hAnsi="標楷體" w:cs="新細明體"/>
                                      <w:kern w:val="0"/>
                                      <w:sz w:val="20"/>
                                    </w:rPr>
                                  </w:pPr>
                                  <w:r w:rsidRPr="000406E7">
                                    <w:rPr>
                                      <w:rFonts w:ascii="標楷體" w:eastAsia="標楷體" w:hAnsi="標楷體" w:cs="新細明體" w:hint="eastAsia"/>
                                      <w:kern w:val="0"/>
                                      <w:sz w:val="20"/>
                                    </w:rPr>
                                    <w:t>較</w:t>
                                  </w:r>
                                  <w:proofErr w:type="gramStart"/>
                                  <w:r w:rsidRPr="000406E7">
                                    <w:rPr>
                                      <w:rFonts w:ascii="標楷體" w:eastAsia="標楷體" w:hAnsi="標楷體" w:cs="新細明體" w:hint="eastAsia"/>
                                      <w:kern w:val="0"/>
                                      <w:sz w:val="20"/>
                                    </w:rPr>
                                    <w:t>110</w:t>
                                  </w:r>
                                  <w:proofErr w:type="gramEnd"/>
                                  <w:r w:rsidRPr="000406E7">
                                    <w:rPr>
                                      <w:rFonts w:ascii="標楷體" w:eastAsia="標楷體" w:hAnsi="標楷體" w:cs="新細明體" w:hint="eastAsia"/>
                                      <w:kern w:val="0"/>
                                      <w:sz w:val="20"/>
                                    </w:rPr>
                                    <w:t>年度增減數</w:t>
                                  </w:r>
                                </w:p>
                              </w:tc>
                              <w:tc>
                                <w:tcPr>
                                  <w:tcW w:w="960" w:type="dxa"/>
                                  <w:tcBorders>
                                    <w:top w:val="nil"/>
                                    <w:left w:val="nil"/>
                                    <w:bottom w:val="single" w:sz="4" w:space="0" w:color="auto"/>
                                    <w:right w:val="single" w:sz="4" w:space="0" w:color="auto"/>
                                  </w:tcBorders>
                                  <w:shd w:val="clear" w:color="auto" w:fill="auto"/>
                                  <w:vAlign w:val="center"/>
                                  <w:hideMark/>
                                </w:tcPr>
                                <w:p w14:paraId="6E1CC886" w14:textId="77777777" w:rsidR="00AB77DC" w:rsidRPr="000406E7" w:rsidRDefault="00AB77DC" w:rsidP="000406E7">
                                  <w:pPr>
                                    <w:widowControl/>
                                    <w:snapToGrid w:val="0"/>
                                    <w:jc w:val="center"/>
                                    <w:rPr>
                                      <w:rFonts w:ascii="標楷體" w:eastAsia="標楷體" w:hAnsi="標楷體" w:cs="新細明體"/>
                                      <w:kern w:val="0"/>
                                      <w:sz w:val="20"/>
                                    </w:rPr>
                                  </w:pPr>
                                  <w:r w:rsidRPr="000406E7">
                                    <w:rPr>
                                      <w:rFonts w:ascii="標楷體" w:eastAsia="標楷體" w:hAnsi="標楷體" w:cs="新細明體" w:hint="eastAsia"/>
                                      <w:kern w:val="0"/>
                                      <w:sz w:val="20"/>
                                    </w:rPr>
                                    <w:t>距員額</w:t>
                                  </w:r>
                                </w:p>
                                <w:p w14:paraId="6145BC6E" w14:textId="77777777" w:rsidR="00AB77DC" w:rsidRPr="000406E7" w:rsidRDefault="00AB77DC" w:rsidP="000406E7">
                                  <w:pPr>
                                    <w:widowControl/>
                                    <w:snapToGrid w:val="0"/>
                                    <w:jc w:val="center"/>
                                    <w:rPr>
                                      <w:rFonts w:ascii="標楷體" w:eastAsia="標楷體" w:hAnsi="標楷體" w:cs="新細明體"/>
                                      <w:kern w:val="0"/>
                                      <w:sz w:val="20"/>
                                    </w:rPr>
                                  </w:pPr>
                                  <w:proofErr w:type="gramStart"/>
                                  <w:r w:rsidRPr="000406E7">
                                    <w:rPr>
                                      <w:rFonts w:ascii="標楷體" w:eastAsia="標楷體" w:hAnsi="標楷體" w:cs="新細明體" w:hint="eastAsia"/>
                                      <w:kern w:val="0"/>
                                      <w:sz w:val="20"/>
                                    </w:rPr>
                                    <w:t>高限人數</w:t>
                                  </w:r>
                                  <w:proofErr w:type="gramEnd"/>
                                </w:p>
                              </w:tc>
                              <w:tc>
                                <w:tcPr>
                                  <w:tcW w:w="960" w:type="dxa"/>
                                  <w:tcBorders>
                                    <w:top w:val="nil"/>
                                    <w:left w:val="nil"/>
                                    <w:bottom w:val="single" w:sz="4" w:space="0" w:color="auto"/>
                                    <w:right w:val="single" w:sz="4" w:space="0" w:color="auto"/>
                                  </w:tcBorders>
                                  <w:shd w:val="clear" w:color="auto" w:fill="auto"/>
                                  <w:vAlign w:val="center"/>
                                  <w:hideMark/>
                                </w:tcPr>
                                <w:p w14:paraId="4B5ABCA0" w14:textId="77777777" w:rsidR="00AB77DC" w:rsidRPr="000406E7" w:rsidRDefault="00AB77DC" w:rsidP="000406E7">
                                  <w:pPr>
                                    <w:widowControl/>
                                    <w:snapToGrid w:val="0"/>
                                    <w:jc w:val="center"/>
                                    <w:rPr>
                                      <w:rFonts w:ascii="標楷體" w:eastAsia="標楷體" w:hAnsi="標楷體" w:cs="新細明體"/>
                                      <w:kern w:val="0"/>
                                      <w:sz w:val="20"/>
                                    </w:rPr>
                                  </w:pPr>
                                  <w:proofErr w:type="gramStart"/>
                                  <w:r w:rsidRPr="000406E7">
                                    <w:rPr>
                                      <w:rFonts w:ascii="標楷體" w:eastAsia="標楷體" w:hAnsi="標楷體" w:cs="新細明體" w:hint="eastAsia"/>
                                      <w:kern w:val="0"/>
                                      <w:sz w:val="20"/>
                                    </w:rPr>
                                    <w:t>占高限</w:t>
                                  </w:r>
                                  <w:proofErr w:type="gramEnd"/>
                                </w:p>
                                <w:p w14:paraId="730318D8" w14:textId="77777777" w:rsidR="00AB77DC" w:rsidRPr="000406E7" w:rsidRDefault="00AB77DC" w:rsidP="000406E7">
                                  <w:pPr>
                                    <w:widowControl/>
                                    <w:snapToGrid w:val="0"/>
                                    <w:jc w:val="center"/>
                                    <w:rPr>
                                      <w:rFonts w:ascii="標楷體" w:eastAsia="標楷體" w:hAnsi="標楷體" w:cs="新細明體"/>
                                      <w:kern w:val="0"/>
                                      <w:sz w:val="20"/>
                                    </w:rPr>
                                  </w:pPr>
                                  <w:r w:rsidRPr="000406E7">
                                    <w:rPr>
                                      <w:rFonts w:ascii="標楷體" w:eastAsia="標楷體" w:hAnsi="標楷體" w:cs="新細明體" w:hint="eastAsia"/>
                                      <w:kern w:val="0"/>
                                      <w:sz w:val="20"/>
                                    </w:rPr>
                                    <w:t>比率</w:t>
                                  </w:r>
                                </w:p>
                              </w:tc>
                            </w:tr>
                            <w:tr w:rsidR="00AB77DC" w:rsidRPr="000D45F9" w14:paraId="51C63B12"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209B545" w14:textId="77777777" w:rsidR="00AB77DC" w:rsidRPr="000D45F9" w:rsidRDefault="00AB77DC" w:rsidP="00035BEF">
                                  <w:pPr>
                                    <w:widowControl/>
                                    <w:snapToGrid w:val="0"/>
                                    <w:jc w:val="center"/>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合計</w:t>
                                  </w:r>
                                </w:p>
                              </w:tc>
                              <w:tc>
                                <w:tcPr>
                                  <w:tcW w:w="960" w:type="dxa"/>
                                  <w:tcBorders>
                                    <w:top w:val="nil"/>
                                    <w:left w:val="nil"/>
                                    <w:bottom w:val="single" w:sz="4" w:space="0" w:color="auto"/>
                                    <w:right w:val="single" w:sz="4" w:space="0" w:color="auto"/>
                                  </w:tcBorders>
                                  <w:shd w:val="clear" w:color="auto" w:fill="auto"/>
                                  <w:vAlign w:val="center"/>
                                  <w:hideMark/>
                                </w:tcPr>
                                <w:p w14:paraId="397BF008"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160,900</w:t>
                                  </w:r>
                                </w:p>
                              </w:tc>
                              <w:tc>
                                <w:tcPr>
                                  <w:tcW w:w="960" w:type="dxa"/>
                                  <w:tcBorders>
                                    <w:top w:val="nil"/>
                                    <w:left w:val="nil"/>
                                    <w:bottom w:val="single" w:sz="4" w:space="0" w:color="auto"/>
                                    <w:right w:val="single" w:sz="4" w:space="0" w:color="auto"/>
                                  </w:tcBorders>
                                  <w:shd w:val="clear" w:color="auto" w:fill="auto"/>
                                  <w:vAlign w:val="center"/>
                                  <w:hideMark/>
                                </w:tcPr>
                                <w:p w14:paraId="62B4462F"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138,668</w:t>
                                  </w:r>
                                </w:p>
                              </w:tc>
                              <w:tc>
                                <w:tcPr>
                                  <w:tcW w:w="960" w:type="dxa"/>
                                  <w:tcBorders>
                                    <w:top w:val="nil"/>
                                    <w:left w:val="nil"/>
                                    <w:bottom w:val="single" w:sz="4" w:space="0" w:color="auto"/>
                                    <w:right w:val="single" w:sz="4" w:space="0" w:color="auto"/>
                                  </w:tcBorders>
                                  <w:shd w:val="clear" w:color="auto" w:fill="auto"/>
                                  <w:vAlign w:val="center"/>
                                  <w:hideMark/>
                                </w:tcPr>
                                <w:p w14:paraId="38F56CC4"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139,350</w:t>
                                  </w:r>
                                </w:p>
                              </w:tc>
                              <w:tc>
                                <w:tcPr>
                                  <w:tcW w:w="960" w:type="dxa"/>
                                  <w:tcBorders>
                                    <w:top w:val="nil"/>
                                    <w:left w:val="nil"/>
                                    <w:bottom w:val="single" w:sz="4" w:space="0" w:color="auto"/>
                                    <w:right w:val="single" w:sz="4" w:space="0" w:color="auto"/>
                                  </w:tcBorders>
                                  <w:shd w:val="clear" w:color="auto" w:fill="auto"/>
                                  <w:vAlign w:val="center"/>
                                  <w:hideMark/>
                                </w:tcPr>
                                <w:p w14:paraId="3A5A6010"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140,034</w:t>
                                  </w:r>
                                </w:p>
                              </w:tc>
                              <w:tc>
                                <w:tcPr>
                                  <w:tcW w:w="960" w:type="dxa"/>
                                  <w:tcBorders>
                                    <w:top w:val="nil"/>
                                    <w:left w:val="nil"/>
                                    <w:bottom w:val="single" w:sz="4" w:space="0" w:color="auto"/>
                                    <w:right w:val="single" w:sz="4" w:space="0" w:color="auto"/>
                                  </w:tcBorders>
                                  <w:shd w:val="clear" w:color="auto" w:fill="auto"/>
                                  <w:vAlign w:val="center"/>
                                  <w:hideMark/>
                                </w:tcPr>
                                <w:p w14:paraId="38241CE1"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138,792</w:t>
                                  </w:r>
                                </w:p>
                              </w:tc>
                              <w:tc>
                                <w:tcPr>
                                  <w:tcW w:w="960" w:type="dxa"/>
                                  <w:tcBorders>
                                    <w:top w:val="nil"/>
                                    <w:left w:val="nil"/>
                                    <w:bottom w:val="single" w:sz="4" w:space="0" w:color="auto"/>
                                    <w:right w:val="single" w:sz="4" w:space="0" w:color="auto"/>
                                  </w:tcBorders>
                                  <w:shd w:val="clear" w:color="auto" w:fill="auto"/>
                                  <w:vAlign w:val="center"/>
                                  <w:hideMark/>
                                </w:tcPr>
                                <w:p w14:paraId="5C74C020"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137,894</w:t>
                                  </w:r>
                                </w:p>
                              </w:tc>
                              <w:tc>
                                <w:tcPr>
                                  <w:tcW w:w="960" w:type="dxa"/>
                                  <w:tcBorders>
                                    <w:top w:val="nil"/>
                                    <w:left w:val="nil"/>
                                    <w:bottom w:val="single" w:sz="4" w:space="0" w:color="auto"/>
                                    <w:right w:val="single" w:sz="4" w:space="0" w:color="auto"/>
                                  </w:tcBorders>
                                  <w:shd w:val="clear" w:color="auto" w:fill="auto"/>
                                  <w:vAlign w:val="center"/>
                                  <w:hideMark/>
                                </w:tcPr>
                                <w:p w14:paraId="05FB640B" w14:textId="60347D4F"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w:t>
                                  </w:r>
                                  <w:r w:rsidR="00F202FD">
                                    <w:rPr>
                                      <w:rFonts w:ascii="標楷體" w:eastAsia="標楷體" w:hAnsi="標楷體" w:cs="新細明體"/>
                                      <w:b/>
                                      <w:bCs/>
                                      <w:color w:val="000000"/>
                                      <w:kern w:val="0"/>
                                      <w:sz w:val="20"/>
                                    </w:rPr>
                                    <w:t xml:space="preserve"> </w:t>
                                  </w:r>
                                  <w:r w:rsidRPr="000D45F9">
                                    <w:rPr>
                                      <w:rFonts w:ascii="標楷體" w:eastAsia="標楷體" w:hAnsi="標楷體" w:cs="新細明體" w:hint="eastAsia"/>
                                      <w:b/>
                                      <w:bCs/>
                                      <w:color w:val="000000"/>
                                      <w:kern w:val="0"/>
                                      <w:sz w:val="20"/>
                                    </w:rPr>
                                    <w:t>774</w:t>
                                  </w:r>
                                </w:p>
                              </w:tc>
                              <w:tc>
                                <w:tcPr>
                                  <w:tcW w:w="960" w:type="dxa"/>
                                  <w:tcBorders>
                                    <w:top w:val="nil"/>
                                    <w:left w:val="nil"/>
                                    <w:bottom w:val="single" w:sz="4" w:space="0" w:color="auto"/>
                                    <w:right w:val="single" w:sz="4" w:space="0" w:color="auto"/>
                                  </w:tcBorders>
                                  <w:shd w:val="clear" w:color="auto" w:fill="auto"/>
                                  <w:vAlign w:val="center"/>
                                  <w:hideMark/>
                                </w:tcPr>
                                <w:p w14:paraId="1839BA5D"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23,006</w:t>
                                  </w:r>
                                </w:p>
                              </w:tc>
                              <w:tc>
                                <w:tcPr>
                                  <w:tcW w:w="960" w:type="dxa"/>
                                  <w:tcBorders>
                                    <w:top w:val="nil"/>
                                    <w:left w:val="nil"/>
                                    <w:bottom w:val="single" w:sz="4" w:space="0" w:color="auto"/>
                                    <w:right w:val="single" w:sz="4" w:space="0" w:color="auto"/>
                                  </w:tcBorders>
                                  <w:shd w:val="clear" w:color="auto" w:fill="auto"/>
                                  <w:vAlign w:val="center"/>
                                  <w:hideMark/>
                                </w:tcPr>
                                <w:p w14:paraId="79AF3662"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 xml:space="preserve">85.70 </w:t>
                                  </w:r>
                                </w:p>
                              </w:tc>
                            </w:tr>
                            <w:tr w:rsidR="00AB77DC" w:rsidRPr="000D45F9" w14:paraId="4B693C17"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D509EA"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第一類</w:t>
                                  </w:r>
                                </w:p>
                              </w:tc>
                              <w:tc>
                                <w:tcPr>
                                  <w:tcW w:w="960" w:type="dxa"/>
                                  <w:tcBorders>
                                    <w:top w:val="nil"/>
                                    <w:left w:val="nil"/>
                                    <w:bottom w:val="single" w:sz="4" w:space="0" w:color="auto"/>
                                    <w:right w:val="single" w:sz="4" w:space="0" w:color="auto"/>
                                  </w:tcBorders>
                                  <w:shd w:val="clear" w:color="auto" w:fill="auto"/>
                                  <w:vAlign w:val="center"/>
                                  <w:hideMark/>
                                </w:tcPr>
                                <w:p w14:paraId="53EA30D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74,600</w:t>
                                  </w:r>
                                </w:p>
                              </w:tc>
                              <w:tc>
                                <w:tcPr>
                                  <w:tcW w:w="960" w:type="dxa"/>
                                  <w:tcBorders>
                                    <w:top w:val="nil"/>
                                    <w:left w:val="nil"/>
                                    <w:bottom w:val="single" w:sz="4" w:space="0" w:color="auto"/>
                                    <w:right w:val="single" w:sz="4" w:space="0" w:color="auto"/>
                                  </w:tcBorders>
                                  <w:shd w:val="clear" w:color="auto" w:fill="auto"/>
                                  <w:vAlign w:val="center"/>
                                  <w:hideMark/>
                                </w:tcPr>
                                <w:p w14:paraId="5A5FC7D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70,044</w:t>
                                  </w:r>
                                </w:p>
                              </w:tc>
                              <w:tc>
                                <w:tcPr>
                                  <w:tcW w:w="960" w:type="dxa"/>
                                  <w:tcBorders>
                                    <w:top w:val="nil"/>
                                    <w:left w:val="nil"/>
                                    <w:bottom w:val="single" w:sz="4" w:space="0" w:color="auto"/>
                                    <w:right w:val="single" w:sz="4" w:space="0" w:color="auto"/>
                                  </w:tcBorders>
                                  <w:shd w:val="clear" w:color="auto" w:fill="auto"/>
                                  <w:vAlign w:val="center"/>
                                  <w:hideMark/>
                                </w:tcPr>
                                <w:p w14:paraId="2781B3D5"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70,477</w:t>
                                  </w:r>
                                </w:p>
                              </w:tc>
                              <w:tc>
                                <w:tcPr>
                                  <w:tcW w:w="960" w:type="dxa"/>
                                  <w:tcBorders>
                                    <w:top w:val="nil"/>
                                    <w:left w:val="nil"/>
                                    <w:bottom w:val="single" w:sz="4" w:space="0" w:color="auto"/>
                                    <w:right w:val="single" w:sz="4" w:space="0" w:color="auto"/>
                                  </w:tcBorders>
                                  <w:shd w:val="clear" w:color="auto" w:fill="auto"/>
                                  <w:vAlign w:val="center"/>
                                  <w:hideMark/>
                                </w:tcPr>
                                <w:p w14:paraId="35DCC57A"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71,539</w:t>
                                  </w:r>
                                </w:p>
                              </w:tc>
                              <w:tc>
                                <w:tcPr>
                                  <w:tcW w:w="960" w:type="dxa"/>
                                  <w:tcBorders>
                                    <w:top w:val="nil"/>
                                    <w:left w:val="nil"/>
                                    <w:bottom w:val="single" w:sz="4" w:space="0" w:color="auto"/>
                                    <w:right w:val="single" w:sz="4" w:space="0" w:color="auto"/>
                                  </w:tcBorders>
                                  <w:shd w:val="clear" w:color="auto" w:fill="auto"/>
                                  <w:vAlign w:val="center"/>
                                  <w:hideMark/>
                                </w:tcPr>
                                <w:p w14:paraId="71909DA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71,354</w:t>
                                  </w:r>
                                </w:p>
                              </w:tc>
                              <w:tc>
                                <w:tcPr>
                                  <w:tcW w:w="960" w:type="dxa"/>
                                  <w:tcBorders>
                                    <w:top w:val="nil"/>
                                    <w:left w:val="nil"/>
                                    <w:bottom w:val="single" w:sz="4" w:space="0" w:color="auto"/>
                                    <w:right w:val="single" w:sz="4" w:space="0" w:color="auto"/>
                                  </w:tcBorders>
                                  <w:shd w:val="clear" w:color="auto" w:fill="auto"/>
                                  <w:vAlign w:val="center"/>
                                  <w:hideMark/>
                                </w:tcPr>
                                <w:p w14:paraId="53FD02AF"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71,426</w:t>
                                  </w:r>
                                </w:p>
                              </w:tc>
                              <w:tc>
                                <w:tcPr>
                                  <w:tcW w:w="960" w:type="dxa"/>
                                  <w:tcBorders>
                                    <w:top w:val="nil"/>
                                    <w:left w:val="nil"/>
                                    <w:bottom w:val="single" w:sz="4" w:space="0" w:color="auto"/>
                                    <w:right w:val="single" w:sz="4" w:space="0" w:color="auto"/>
                                  </w:tcBorders>
                                  <w:shd w:val="clear" w:color="auto" w:fill="auto"/>
                                  <w:vAlign w:val="center"/>
                                  <w:hideMark/>
                                </w:tcPr>
                                <w:p w14:paraId="2C5CC685"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1,382</w:t>
                                  </w:r>
                                </w:p>
                              </w:tc>
                              <w:tc>
                                <w:tcPr>
                                  <w:tcW w:w="960" w:type="dxa"/>
                                  <w:tcBorders>
                                    <w:top w:val="nil"/>
                                    <w:left w:val="nil"/>
                                    <w:bottom w:val="single" w:sz="4" w:space="0" w:color="auto"/>
                                    <w:right w:val="single" w:sz="4" w:space="0" w:color="auto"/>
                                  </w:tcBorders>
                                  <w:shd w:val="clear" w:color="auto" w:fill="auto"/>
                                  <w:vAlign w:val="center"/>
                                  <w:hideMark/>
                                </w:tcPr>
                                <w:p w14:paraId="7E38B91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3,174</w:t>
                                  </w:r>
                                </w:p>
                              </w:tc>
                              <w:tc>
                                <w:tcPr>
                                  <w:tcW w:w="960" w:type="dxa"/>
                                  <w:tcBorders>
                                    <w:top w:val="nil"/>
                                    <w:left w:val="nil"/>
                                    <w:bottom w:val="single" w:sz="4" w:space="0" w:color="auto"/>
                                    <w:right w:val="single" w:sz="4" w:space="0" w:color="auto"/>
                                  </w:tcBorders>
                                  <w:shd w:val="clear" w:color="auto" w:fill="auto"/>
                                  <w:vAlign w:val="center"/>
                                  <w:hideMark/>
                                </w:tcPr>
                                <w:p w14:paraId="61210928"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95.75 </w:t>
                                  </w:r>
                                </w:p>
                              </w:tc>
                            </w:tr>
                            <w:tr w:rsidR="00AB77DC" w:rsidRPr="000D45F9" w14:paraId="21ECEB2A"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F33222A"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第二類</w:t>
                                  </w:r>
                                </w:p>
                              </w:tc>
                              <w:tc>
                                <w:tcPr>
                                  <w:tcW w:w="960" w:type="dxa"/>
                                  <w:tcBorders>
                                    <w:top w:val="nil"/>
                                    <w:left w:val="nil"/>
                                    <w:bottom w:val="single" w:sz="4" w:space="0" w:color="auto"/>
                                    <w:right w:val="single" w:sz="4" w:space="0" w:color="auto"/>
                                  </w:tcBorders>
                                  <w:shd w:val="clear" w:color="auto" w:fill="auto"/>
                                  <w:vAlign w:val="center"/>
                                  <w:hideMark/>
                                </w:tcPr>
                                <w:p w14:paraId="07B256A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40,100</w:t>
                                  </w:r>
                                </w:p>
                              </w:tc>
                              <w:tc>
                                <w:tcPr>
                                  <w:tcW w:w="960" w:type="dxa"/>
                                  <w:tcBorders>
                                    <w:top w:val="nil"/>
                                    <w:left w:val="nil"/>
                                    <w:bottom w:val="single" w:sz="4" w:space="0" w:color="auto"/>
                                    <w:right w:val="single" w:sz="4" w:space="0" w:color="auto"/>
                                  </w:tcBorders>
                                  <w:shd w:val="clear" w:color="auto" w:fill="auto"/>
                                  <w:vAlign w:val="center"/>
                                  <w:hideMark/>
                                </w:tcPr>
                                <w:p w14:paraId="5FB2799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28,484</w:t>
                                  </w:r>
                                </w:p>
                              </w:tc>
                              <w:tc>
                                <w:tcPr>
                                  <w:tcW w:w="960" w:type="dxa"/>
                                  <w:tcBorders>
                                    <w:top w:val="nil"/>
                                    <w:left w:val="nil"/>
                                    <w:bottom w:val="single" w:sz="4" w:space="0" w:color="auto"/>
                                    <w:right w:val="single" w:sz="4" w:space="0" w:color="auto"/>
                                  </w:tcBorders>
                                  <w:shd w:val="clear" w:color="auto" w:fill="auto"/>
                                  <w:vAlign w:val="center"/>
                                  <w:hideMark/>
                                </w:tcPr>
                                <w:p w14:paraId="5CEF6F8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27,364</w:t>
                                  </w:r>
                                </w:p>
                              </w:tc>
                              <w:tc>
                                <w:tcPr>
                                  <w:tcW w:w="960" w:type="dxa"/>
                                  <w:tcBorders>
                                    <w:top w:val="nil"/>
                                    <w:left w:val="nil"/>
                                    <w:bottom w:val="single" w:sz="4" w:space="0" w:color="auto"/>
                                    <w:right w:val="single" w:sz="4" w:space="0" w:color="auto"/>
                                  </w:tcBorders>
                                  <w:shd w:val="clear" w:color="auto" w:fill="auto"/>
                                  <w:vAlign w:val="center"/>
                                  <w:hideMark/>
                                </w:tcPr>
                                <w:p w14:paraId="68971198"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26,709</w:t>
                                  </w:r>
                                </w:p>
                              </w:tc>
                              <w:tc>
                                <w:tcPr>
                                  <w:tcW w:w="960" w:type="dxa"/>
                                  <w:tcBorders>
                                    <w:top w:val="nil"/>
                                    <w:left w:val="nil"/>
                                    <w:bottom w:val="single" w:sz="4" w:space="0" w:color="auto"/>
                                    <w:right w:val="single" w:sz="4" w:space="0" w:color="auto"/>
                                  </w:tcBorders>
                                  <w:shd w:val="clear" w:color="auto" w:fill="auto"/>
                                  <w:vAlign w:val="center"/>
                                  <w:hideMark/>
                                </w:tcPr>
                                <w:p w14:paraId="068AD5D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25,675</w:t>
                                  </w:r>
                                </w:p>
                              </w:tc>
                              <w:tc>
                                <w:tcPr>
                                  <w:tcW w:w="960" w:type="dxa"/>
                                  <w:tcBorders>
                                    <w:top w:val="nil"/>
                                    <w:left w:val="nil"/>
                                    <w:bottom w:val="single" w:sz="4" w:space="0" w:color="auto"/>
                                    <w:right w:val="single" w:sz="4" w:space="0" w:color="auto"/>
                                  </w:tcBorders>
                                  <w:shd w:val="clear" w:color="auto" w:fill="auto"/>
                                  <w:vAlign w:val="center"/>
                                  <w:hideMark/>
                                </w:tcPr>
                                <w:p w14:paraId="173AD9AD"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24,809</w:t>
                                  </w:r>
                                </w:p>
                              </w:tc>
                              <w:tc>
                                <w:tcPr>
                                  <w:tcW w:w="960" w:type="dxa"/>
                                  <w:tcBorders>
                                    <w:top w:val="nil"/>
                                    <w:left w:val="nil"/>
                                    <w:bottom w:val="single" w:sz="4" w:space="0" w:color="auto"/>
                                    <w:right w:val="single" w:sz="4" w:space="0" w:color="auto"/>
                                  </w:tcBorders>
                                  <w:shd w:val="clear" w:color="auto" w:fill="auto"/>
                                  <w:vAlign w:val="center"/>
                                  <w:hideMark/>
                                </w:tcPr>
                                <w:p w14:paraId="47BD6E48" w14:textId="67299156"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w:t>
                                  </w:r>
                                  <w:r w:rsidR="00F202FD">
                                    <w:rPr>
                                      <w:rFonts w:ascii="標楷體" w:eastAsia="標楷體" w:hAnsi="標楷體" w:cs="新細明體"/>
                                      <w:color w:val="000000"/>
                                      <w:kern w:val="0"/>
                                      <w:sz w:val="20"/>
                                    </w:rPr>
                                    <w:t xml:space="preserve"> </w:t>
                                  </w:r>
                                  <w:r w:rsidRPr="00AD43B3">
                                    <w:rPr>
                                      <w:rFonts w:ascii="標楷體" w:eastAsia="標楷體" w:hAnsi="標楷體" w:cs="新細明體" w:hint="eastAsia"/>
                                      <w:color w:val="000000"/>
                                      <w:kern w:val="0"/>
                                      <w:sz w:val="20"/>
                                    </w:rPr>
                                    <w:t>3,675</w:t>
                                  </w:r>
                                </w:p>
                              </w:tc>
                              <w:tc>
                                <w:tcPr>
                                  <w:tcW w:w="960" w:type="dxa"/>
                                  <w:tcBorders>
                                    <w:top w:val="nil"/>
                                    <w:left w:val="nil"/>
                                    <w:bottom w:val="single" w:sz="4" w:space="0" w:color="auto"/>
                                    <w:right w:val="single" w:sz="4" w:space="0" w:color="auto"/>
                                  </w:tcBorders>
                                  <w:shd w:val="clear" w:color="auto" w:fill="auto"/>
                                  <w:vAlign w:val="center"/>
                                  <w:hideMark/>
                                </w:tcPr>
                                <w:p w14:paraId="493C8EF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15,291</w:t>
                                  </w:r>
                                </w:p>
                              </w:tc>
                              <w:tc>
                                <w:tcPr>
                                  <w:tcW w:w="960" w:type="dxa"/>
                                  <w:tcBorders>
                                    <w:top w:val="nil"/>
                                    <w:left w:val="nil"/>
                                    <w:bottom w:val="single" w:sz="4" w:space="0" w:color="auto"/>
                                    <w:right w:val="single" w:sz="4" w:space="0" w:color="auto"/>
                                  </w:tcBorders>
                                  <w:shd w:val="clear" w:color="auto" w:fill="auto"/>
                                  <w:vAlign w:val="center"/>
                                  <w:hideMark/>
                                </w:tcPr>
                                <w:p w14:paraId="3346105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61.87 </w:t>
                                  </w:r>
                                </w:p>
                              </w:tc>
                            </w:tr>
                            <w:tr w:rsidR="00AB77DC" w:rsidRPr="000D45F9" w14:paraId="0E5C040D"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90667C7"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第三類</w:t>
                                  </w:r>
                                </w:p>
                              </w:tc>
                              <w:tc>
                                <w:tcPr>
                                  <w:tcW w:w="960" w:type="dxa"/>
                                  <w:tcBorders>
                                    <w:top w:val="nil"/>
                                    <w:left w:val="nil"/>
                                    <w:bottom w:val="single" w:sz="4" w:space="0" w:color="auto"/>
                                    <w:right w:val="single" w:sz="4" w:space="0" w:color="auto"/>
                                  </w:tcBorders>
                                  <w:shd w:val="clear" w:color="auto" w:fill="auto"/>
                                  <w:vAlign w:val="center"/>
                                  <w:hideMark/>
                                </w:tcPr>
                                <w:p w14:paraId="25C7F5A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15,000</w:t>
                                  </w:r>
                                </w:p>
                              </w:tc>
                              <w:tc>
                                <w:tcPr>
                                  <w:tcW w:w="960" w:type="dxa"/>
                                  <w:tcBorders>
                                    <w:top w:val="nil"/>
                                    <w:left w:val="nil"/>
                                    <w:bottom w:val="single" w:sz="4" w:space="0" w:color="auto"/>
                                    <w:right w:val="single" w:sz="4" w:space="0" w:color="auto"/>
                                  </w:tcBorders>
                                  <w:shd w:val="clear" w:color="auto" w:fill="auto"/>
                                  <w:vAlign w:val="center"/>
                                  <w:hideMark/>
                                </w:tcPr>
                                <w:p w14:paraId="03275ED6"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14,087</w:t>
                                  </w:r>
                                </w:p>
                              </w:tc>
                              <w:tc>
                                <w:tcPr>
                                  <w:tcW w:w="960" w:type="dxa"/>
                                  <w:tcBorders>
                                    <w:top w:val="nil"/>
                                    <w:left w:val="nil"/>
                                    <w:bottom w:val="single" w:sz="4" w:space="0" w:color="auto"/>
                                    <w:right w:val="single" w:sz="4" w:space="0" w:color="auto"/>
                                  </w:tcBorders>
                                  <w:shd w:val="clear" w:color="auto" w:fill="auto"/>
                                  <w:vAlign w:val="center"/>
                                  <w:hideMark/>
                                </w:tcPr>
                                <w:p w14:paraId="186DEB7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14,302</w:t>
                                  </w:r>
                                </w:p>
                              </w:tc>
                              <w:tc>
                                <w:tcPr>
                                  <w:tcW w:w="960" w:type="dxa"/>
                                  <w:tcBorders>
                                    <w:top w:val="nil"/>
                                    <w:left w:val="nil"/>
                                    <w:bottom w:val="single" w:sz="4" w:space="0" w:color="auto"/>
                                    <w:right w:val="single" w:sz="4" w:space="0" w:color="auto"/>
                                  </w:tcBorders>
                                  <w:shd w:val="clear" w:color="auto" w:fill="auto"/>
                                  <w:vAlign w:val="center"/>
                                  <w:hideMark/>
                                </w:tcPr>
                                <w:p w14:paraId="4BEE34A1"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14,437</w:t>
                                  </w:r>
                                </w:p>
                              </w:tc>
                              <w:tc>
                                <w:tcPr>
                                  <w:tcW w:w="960" w:type="dxa"/>
                                  <w:tcBorders>
                                    <w:top w:val="nil"/>
                                    <w:left w:val="nil"/>
                                    <w:bottom w:val="single" w:sz="4" w:space="0" w:color="auto"/>
                                    <w:right w:val="single" w:sz="4" w:space="0" w:color="auto"/>
                                  </w:tcBorders>
                                  <w:shd w:val="clear" w:color="auto" w:fill="auto"/>
                                  <w:vAlign w:val="center"/>
                                  <w:hideMark/>
                                </w:tcPr>
                                <w:p w14:paraId="0C65E885"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14,508</w:t>
                                  </w:r>
                                </w:p>
                              </w:tc>
                              <w:tc>
                                <w:tcPr>
                                  <w:tcW w:w="960" w:type="dxa"/>
                                  <w:tcBorders>
                                    <w:top w:val="nil"/>
                                    <w:left w:val="nil"/>
                                    <w:bottom w:val="single" w:sz="4" w:space="0" w:color="auto"/>
                                    <w:right w:val="single" w:sz="4" w:space="0" w:color="auto"/>
                                  </w:tcBorders>
                                  <w:shd w:val="clear" w:color="auto" w:fill="auto"/>
                                  <w:vAlign w:val="center"/>
                                  <w:hideMark/>
                                </w:tcPr>
                                <w:p w14:paraId="3C95FC9A"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14,736</w:t>
                                  </w:r>
                                </w:p>
                              </w:tc>
                              <w:tc>
                                <w:tcPr>
                                  <w:tcW w:w="960" w:type="dxa"/>
                                  <w:tcBorders>
                                    <w:top w:val="nil"/>
                                    <w:left w:val="nil"/>
                                    <w:bottom w:val="single" w:sz="4" w:space="0" w:color="auto"/>
                                    <w:right w:val="single" w:sz="4" w:space="0" w:color="auto"/>
                                  </w:tcBorders>
                                  <w:shd w:val="clear" w:color="auto" w:fill="auto"/>
                                  <w:vAlign w:val="center"/>
                                  <w:hideMark/>
                                </w:tcPr>
                                <w:p w14:paraId="610861F5"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649</w:t>
                                  </w:r>
                                </w:p>
                              </w:tc>
                              <w:tc>
                                <w:tcPr>
                                  <w:tcW w:w="960" w:type="dxa"/>
                                  <w:tcBorders>
                                    <w:top w:val="nil"/>
                                    <w:left w:val="nil"/>
                                    <w:bottom w:val="single" w:sz="4" w:space="0" w:color="auto"/>
                                    <w:right w:val="single" w:sz="4" w:space="0" w:color="auto"/>
                                  </w:tcBorders>
                                  <w:shd w:val="clear" w:color="auto" w:fill="auto"/>
                                  <w:vAlign w:val="center"/>
                                  <w:hideMark/>
                                </w:tcPr>
                                <w:p w14:paraId="19A2CED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264</w:t>
                                  </w:r>
                                </w:p>
                              </w:tc>
                              <w:tc>
                                <w:tcPr>
                                  <w:tcW w:w="960" w:type="dxa"/>
                                  <w:tcBorders>
                                    <w:top w:val="nil"/>
                                    <w:left w:val="nil"/>
                                    <w:bottom w:val="single" w:sz="4" w:space="0" w:color="auto"/>
                                    <w:right w:val="single" w:sz="4" w:space="0" w:color="auto"/>
                                  </w:tcBorders>
                                  <w:shd w:val="clear" w:color="auto" w:fill="auto"/>
                                  <w:vAlign w:val="center"/>
                                  <w:hideMark/>
                                </w:tcPr>
                                <w:p w14:paraId="15E50776"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98.24 </w:t>
                                  </w:r>
                                </w:p>
                              </w:tc>
                            </w:tr>
                            <w:tr w:rsidR="00AB77DC" w:rsidRPr="000D45F9" w14:paraId="29B4645A"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41374"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第四類</w:t>
                                  </w:r>
                                </w:p>
                              </w:tc>
                              <w:tc>
                                <w:tcPr>
                                  <w:tcW w:w="960" w:type="dxa"/>
                                  <w:tcBorders>
                                    <w:top w:val="nil"/>
                                    <w:left w:val="nil"/>
                                    <w:bottom w:val="single" w:sz="4" w:space="0" w:color="auto"/>
                                    <w:right w:val="single" w:sz="4" w:space="0" w:color="auto"/>
                                  </w:tcBorders>
                                  <w:shd w:val="clear" w:color="auto" w:fill="auto"/>
                                  <w:vAlign w:val="center"/>
                                  <w:hideMark/>
                                </w:tcPr>
                                <w:p w14:paraId="4C3B33D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6,900</w:t>
                                  </w:r>
                                </w:p>
                              </w:tc>
                              <w:tc>
                                <w:tcPr>
                                  <w:tcW w:w="960" w:type="dxa"/>
                                  <w:tcBorders>
                                    <w:top w:val="nil"/>
                                    <w:left w:val="nil"/>
                                    <w:bottom w:val="single" w:sz="4" w:space="0" w:color="auto"/>
                                    <w:right w:val="single" w:sz="4" w:space="0" w:color="auto"/>
                                  </w:tcBorders>
                                  <w:shd w:val="clear" w:color="auto" w:fill="auto"/>
                                  <w:vAlign w:val="center"/>
                                  <w:hideMark/>
                                </w:tcPr>
                                <w:p w14:paraId="16408BC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6,036</w:t>
                                  </w:r>
                                </w:p>
                              </w:tc>
                              <w:tc>
                                <w:tcPr>
                                  <w:tcW w:w="960" w:type="dxa"/>
                                  <w:tcBorders>
                                    <w:top w:val="nil"/>
                                    <w:left w:val="nil"/>
                                    <w:bottom w:val="single" w:sz="4" w:space="0" w:color="auto"/>
                                    <w:right w:val="single" w:sz="4" w:space="0" w:color="auto"/>
                                  </w:tcBorders>
                                  <w:shd w:val="clear" w:color="auto" w:fill="auto"/>
                                  <w:vAlign w:val="center"/>
                                  <w:hideMark/>
                                </w:tcPr>
                                <w:p w14:paraId="453E6459"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6,251</w:t>
                                  </w:r>
                                </w:p>
                              </w:tc>
                              <w:tc>
                                <w:tcPr>
                                  <w:tcW w:w="960" w:type="dxa"/>
                                  <w:tcBorders>
                                    <w:top w:val="nil"/>
                                    <w:left w:val="nil"/>
                                    <w:bottom w:val="single" w:sz="4" w:space="0" w:color="auto"/>
                                    <w:right w:val="single" w:sz="4" w:space="0" w:color="auto"/>
                                  </w:tcBorders>
                                  <w:shd w:val="clear" w:color="auto" w:fill="auto"/>
                                  <w:vAlign w:val="center"/>
                                  <w:hideMark/>
                                </w:tcPr>
                                <w:p w14:paraId="059C8021"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6,389</w:t>
                                  </w:r>
                                </w:p>
                              </w:tc>
                              <w:tc>
                                <w:tcPr>
                                  <w:tcW w:w="960" w:type="dxa"/>
                                  <w:tcBorders>
                                    <w:top w:val="nil"/>
                                    <w:left w:val="nil"/>
                                    <w:bottom w:val="single" w:sz="4" w:space="0" w:color="auto"/>
                                    <w:right w:val="single" w:sz="4" w:space="0" w:color="auto"/>
                                  </w:tcBorders>
                                  <w:shd w:val="clear" w:color="auto" w:fill="auto"/>
                                  <w:vAlign w:val="center"/>
                                  <w:hideMark/>
                                </w:tcPr>
                                <w:p w14:paraId="5FEC24A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6,495</w:t>
                                  </w:r>
                                </w:p>
                              </w:tc>
                              <w:tc>
                                <w:tcPr>
                                  <w:tcW w:w="960" w:type="dxa"/>
                                  <w:tcBorders>
                                    <w:top w:val="nil"/>
                                    <w:left w:val="nil"/>
                                    <w:bottom w:val="single" w:sz="4" w:space="0" w:color="auto"/>
                                    <w:right w:val="single" w:sz="4" w:space="0" w:color="auto"/>
                                  </w:tcBorders>
                                  <w:shd w:val="clear" w:color="auto" w:fill="auto"/>
                                  <w:vAlign w:val="center"/>
                                  <w:hideMark/>
                                </w:tcPr>
                                <w:p w14:paraId="0146795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6,610</w:t>
                                  </w:r>
                                </w:p>
                              </w:tc>
                              <w:tc>
                                <w:tcPr>
                                  <w:tcW w:w="960" w:type="dxa"/>
                                  <w:tcBorders>
                                    <w:top w:val="nil"/>
                                    <w:left w:val="nil"/>
                                    <w:bottom w:val="single" w:sz="4" w:space="0" w:color="auto"/>
                                    <w:right w:val="single" w:sz="4" w:space="0" w:color="auto"/>
                                  </w:tcBorders>
                                  <w:shd w:val="clear" w:color="auto" w:fill="auto"/>
                                  <w:vAlign w:val="center"/>
                                  <w:hideMark/>
                                </w:tcPr>
                                <w:p w14:paraId="07A94584"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574</w:t>
                                  </w:r>
                                </w:p>
                              </w:tc>
                              <w:tc>
                                <w:tcPr>
                                  <w:tcW w:w="960" w:type="dxa"/>
                                  <w:tcBorders>
                                    <w:top w:val="nil"/>
                                    <w:left w:val="nil"/>
                                    <w:bottom w:val="single" w:sz="4" w:space="0" w:color="auto"/>
                                    <w:right w:val="single" w:sz="4" w:space="0" w:color="auto"/>
                                  </w:tcBorders>
                                  <w:shd w:val="clear" w:color="auto" w:fill="auto"/>
                                  <w:vAlign w:val="center"/>
                                  <w:hideMark/>
                                </w:tcPr>
                                <w:p w14:paraId="03DC7CB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290</w:t>
                                  </w:r>
                                </w:p>
                              </w:tc>
                              <w:tc>
                                <w:tcPr>
                                  <w:tcW w:w="960" w:type="dxa"/>
                                  <w:tcBorders>
                                    <w:top w:val="nil"/>
                                    <w:left w:val="nil"/>
                                    <w:bottom w:val="single" w:sz="4" w:space="0" w:color="auto"/>
                                    <w:right w:val="single" w:sz="4" w:space="0" w:color="auto"/>
                                  </w:tcBorders>
                                  <w:shd w:val="clear" w:color="auto" w:fill="auto"/>
                                  <w:vAlign w:val="center"/>
                                  <w:hideMark/>
                                </w:tcPr>
                                <w:p w14:paraId="3CA8904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95.80 </w:t>
                                  </w:r>
                                </w:p>
                              </w:tc>
                            </w:tr>
                            <w:tr w:rsidR="00AB77DC" w:rsidRPr="000D45F9" w14:paraId="5FE0DB09"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87A9D6D"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第五類</w:t>
                                  </w:r>
                                </w:p>
                              </w:tc>
                              <w:tc>
                                <w:tcPr>
                                  <w:tcW w:w="960" w:type="dxa"/>
                                  <w:tcBorders>
                                    <w:top w:val="nil"/>
                                    <w:left w:val="nil"/>
                                    <w:bottom w:val="single" w:sz="4" w:space="0" w:color="auto"/>
                                    <w:right w:val="single" w:sz="4" w:space="0" w:color="auto"/>
                                  </w:tcBorders>
                                  <w:shd w:val="clear" w:color="auto" w:fill="auto"/>
                                  <w:vAlign w:val="center"/>
                                  <w:hideMark/>
                                </w:tcPr>
                                <w:p w14:paraId="62F6121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24,300</w:t>
                                  </w:r>
                                </w:p>
                              </w:tc>
                              <w:tc>
                                <w:tcPr>
                                  <w:tcW w:w="960" w:type="dxa"/>
                                  <w:tcBorders>
                                    <w:top w:val="nil"/>
                                    <w:left w:val="nil"/>
                                    <w:bottom w:val="single" w:sz="4" w:space="0" w:color="auto"/>
                                    <w:right w:val="single" w:sz="4" w:space="0" w:color="auto"/>
                                  </w:tcBorders>
                                  <w:shd w:val="clear" w:color="auto" w:fill="auto"/>
                                  <w:vAlign w:val="center"/>
                                  <w:hideMark/>
                                </w:tcPr>
                                <w:p w14:paraId="1520349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20,017</w:t>
                                  </w:r>
                                </w:p>
                              </w:tc>
                              <w:tc>
                                <w:tcPr>
                                  <w:tcW w:w="960" w:type="dxa"/>
                                  <w:tcBorders>
                                    <w:top w:val="nil"/>
                                    <w:left w:val="nil"/>
                                    <w:bottom w:val="single" w:sz="4" w:space="0" w:color="auto"/>
                                    <w:right w:val="single" w:sz="4" w:space="0" w:color="auto"/>
                                  </w:tcBorders>
                                  <w:shd w:val="clear" w:color="auto" w:fill="auto"/>
                                  <w:vAlign w:val="center"/>
                                  <w:hideMark/>
                                </w:tcPr>
                                <w:p w14:paraId="0F8DC4CC"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20,956</w:t>
                                  </w:r>
                                </w:p>
                              </w:tc>
                              <w:tc>
                                <w:tcPr>
                                  <w:tcW w:w="960" w:type="dxa"/>
                                  <w:tcBorders>
                                    <w:top w:val="nil"/>
                                    <w:left w:val="nil"/>
                                    <w:bottom w:val="single" w:sz="4" w:space="0" w:color="auto"/>
                                    <w:right w:val="single" w:sz="4" w:space="0" w:color="auto"/>
                                  </w:tcBorders>
                                  <w:shd w:val="clear" w:color="auto" w:fill="auto"/>
                                  <w:vAlign w:val="center"/>
                                  <w:hideMark/>
                                </w:tcPr>
                                <w:p w14:paraId="4CC36DF9"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20,960</w:t>
                                  </w:r>
                                </w:p>
                              </w:tc>
                              <w:tc>
                                <w:tcPr>
                                  <w:tcW w:w="960" w:type="dxa"/>
                                  <w:tcBorders>
                                    <w:top w:val="nil"/>
                                    <w:left w:val="nil"/>
                                    <w:bottom w:val="single" w:sz="4" w:space="0" w:color="auto"/>
                                    <w:right w:val="single" w:sz="4" w:space="0" w:color="auto"/>
                                  </w:tcBorders>
                                  <w:shd w:val="clear" w:color="auto" w:fill="auto"/>
                                  <w:vAlign w:val="center"/>
                                  <w:hideMark/>
                                </w:tcPr>
                                <w:p w14:paraId="005EB53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20,760</w:t>
                                  </w:r>
                                </w:p>
                              </w:tc>
                              <w:tc>
                                <w:tcPr>
                                  <w:tcW w:w="960" w:type="dxa"/>
                                  <w:tcBorders>
                                    <w:top w:val="nil"/>
                                    <w:left w:val="nil"/>
                                    <w:bottom w:val="single" w:sz="4" w:space="0" w:color="auto"/>
                                    <w:right w:val="single" w:sz="4" w:space="0" w:color="auto"/>
                                  </w:tcBorders>
                                  <w:shd w:val="clear" w:color="auto" w:fill="auto"/>
                                  <w:vAlign w:val="center"/>
                                  <w:hideMark/>
                                </w:tcPr>
                                <w:p w14:paraId="4C5AA498"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20,313</w:t>
                                  </w:r>
                                </w:p>
                              </w:tc>
                              <w:tc>
                                <w:tcPr>
                                  <w:tcW w:w="960" w:type="dxa"/>
                                  <w:tcBorders>
                                    <w:top w:val="nil"/>
                                    <w:left w:val="nil"/>
                                    <w:bottom w:val="single" w:sz="4" w:space="0" w:color="auto"/>
                                    <w:right w:val="single" w:sz="4" w:space="0" w:color="auto"/>
                                  </w:tcBorders>
                                  <w:shd w:val="clear" w:color="auto" w:fill="auto"/>
                                  <w:vAlign w:val="center"/>
                                  <w:hideMark/>
                                </w:tcPr>
                                <w:p w14:paraId="4C693C1A"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296</w:t>
                                  </w:r>
                                </w:p>
                              </w:tc>
                              <w:tc>
                                <w:tcPr>
                                  <w:tcW w:w="960" w:type="dxa"/>
                                  <w:tcBorders>
                                    <w:top w:val="nil"/>
                                    <w:left w:val="nil"/>
                                    <w:bottom w:val="single" w:sz="4" w:space="0" w:color="auto"/>
                                    <w:right w:val="single" w:sz="4" w:space="0" w:color="auto"/>
                                  </w:tcBorders>
                                  <w:shd w:val="clear" w:color="auto" w:fill="auto"/>
                                  <w:vAlign w:val="center"/>
                                  <w:hideMark/>
                                </w:tcPr>
                                <w:p w14:paraId="7C339459"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3,987</w:t>
                                  </w:r>
                                </w:p>
                              </w:tc>
                              <w:tc>
                                <w:tcPr>
                                  <w:tcW w:w="960" w:type="dxa"/>
                                  <w:tcBorders>
                                    <w:top w:val="nil"/>
                                    <w:left w:val="nil"/>
                                    <w:bottom w:val="single" w:sz="4" w:space="0" w:color="auto"/>
                                    <w:right w:val="single" w:sz="4" w:space="0" w:color="auto"/>
                                  </w:tcBorders>
                                  <w:shd w:val="clear" w:color="auto" w:fill="auto"/>
                                  <w:vAlign w:val="center"/>
                                  <w:hideMark/>
                                </w:tcPr>
                                <w:p w14:paraId="61CF118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83.59 </w:t>
                                  </w:r>
                                </w:p>
                              </w:tc>
                            </w:tr>
                            <w:tr w:rsidR="00AB77DC" w:rsidRPr="000D45F9" w14:paraId="395F99D6" w14:textId="77777777" w:rsidTr="00035BEF">
                              <w:trPr>
                                <w:trHeight w:val="53"/>
                                <w:jc w:val="center"/>
                              </w:trPr>
                              <w:tc>
                                <w:tcPr>
                                  <w:tcW w:w="9600" w:type="dxa"/>
                                  <w:gridSpan w:val="10"/>
                                  <w:tcBorders>
                                    <w:top w:val="nil"/>
                                    <w:left w:val="nil"/>
                                    <w:bottom w:val="nil"/>
                                    <w:right w:val="nil"/>
                                  </w:tcBorders>
                                  <w:shd w:val="clear" w:color="auto" w:fill="auto"/>
                                  <w:vAlign w:val="center"/>
                                  <w:hideMark/>
                                </w:tcPr>
                                <w:p w14:paraId="503FC46E" w14:textId="77777777" w:rsidR="00AB77DC" w:rsidRPr="000D45F9" w:rsidRDefault="00AB77DC" w:rsidP="00035BEF">
                                  <w:pPr>
                                    <w:widowControl/>
                                    <w:spacing w:beforeLines="10" w:before="36"/>
                                    <w:rPr>
                                      <w:rFonts w:ascii="標楷體" w:eastAsia="標楷體" w:hAnsi="標楷體" w:cs="新細明體"/>
                                      <w:color w:val="000000"/>
                                      <w:kern w:val="0"/>
                                      <w:sz w:val="18"/>
                                      <w:szCs w:val="18"/>
                                    </w:rPr>
                                  </w:pPr>
                                  <w:r w:rsidRPr="000D45F9">
                                    <w:rPr>
                                      <w:rFonts w:ascii="標楷體" w:eastAsia="標楷體" w:hAnsi="標楷體" w:cs="新細明體" w:hint="eastAsia"/>
                                      <w:color w:val="000000"/>
                                      <w:kern w:val="0"/>
                                      <w:sz w:val="18"/>
                                      <w:szCs w:val="18"/>
                                    </w:rPr>
                                    <w:t>資料來源：整理自110至11</w:t>
                                  </w:r>
                                  <w:r>
                                    <w:rPr>
                                      <w:rFonts w:ascii="標楷體" w:eastAsia="標楷體" w:hAnsi="標楷體" w:cs="新細明體"/>
                                      <w:color w:val="000000"/>
                                      <w:kern w:val="0"/>
                                      <w:sz w:val="18"/>
                                      <w:szCs w:val="18"/>
                                    </w:rPr>
                                    <w:t>4</w:t>
                                  </w:r>
                                  <w:r w:rsidRPr="000D45F9">
                                    <w:rPr>
                                      <w:rFonts w:ascii="標楷體" w:eastAsia="標楷體" w:hAnsi="標楷體" w:cs="新細明體" w:hint="eastAsia"/>
                                      <w:color w:val="000000"/>
                                      <w:kern w:val="0"/>
                                      <w:sz w:val="18"/>
                                      <w:szCs w:val="18"/>
                                    </w:rPr>
                                    <w:t>年度中央政府總預算「中央政府機關總員額法員額彙計表」。</w:t>
                                  </w:r>
                                </w:p>
                              </w:tc>
                            </w:tr>
                          </w:tbl>
                          <w:p w14:paraId="239D7379" w14:textId="77777777" w:rsidR="00AB77DC" w:rsidRPr="00035BEF" w:rsidRDefault="00AB77DC" w:rsidP="00AB77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752000" id="_x0000_s1086" type="#_x0000_t202" style="position:absolute;left:0;text-align:left;margin-left:.85pt;margin-top:340.7pt;width:495pt;height:201.6pt;z-index:25162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" stroked="f">
                <v:textbox>
                  <w:txbxContent>
                    <w:tbl>
                      <w:tblPr>
                        <w:tblW w:w="9600" w:type="dxa"/>
                        <w:jc w:val="center"/>
                        <w:tblCellMar>
                          <w:left w:w="28" w:type="dxa"/>
                          <w:right w:w="28"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B77DC" w:rsidRPr="000D45F9" w14:paraId="135F62F4" w14:textId="77777777" w:rsidTr="00035BEF">
                        <w:trPr>
                          <w:trHeight w:val="20"/>
                          <w:jc w:val="center"/>
                        </w:trPr>
                        <w:tc>
                          <w:tcPr>
                            <w:tcW w:w="9600" w:type="dxa"/>
                            <w:gridSpan w:val="10"/>
                            <w:tcBorders>
                              <w:top w:val="nil"/>
                              <w:left w:val="nil"/>
                              <w:bottom w:val="nil"/>
                              <w:right w:val="nil"/>
                            </w:tcBorders>
                            <w:shd w:val="clear" w:color="auto" w:fill="auto"/>
                            <w:vAlign w:val="center"/>
                            <w:hideMark/>
                          </w:tcPr>
                          <w:p w14:paraId="514D0902" w14:textId="77777777" w:rsidR="00AB77DC" w:rsidRPr="000D45F9" w:rsidRDefault="00AB77DC" w:rsidP="00035BEF">
                            <w:pPr>
                              <w:widowControl/>
                              <w:jc w:val="center"/>
                              <w:rPr>
                                <w:rFonts w:ascii="標楷體" w:eastAsia="標楷體" w:hAnsi="標楷體" w:cs="新細明體"/>
                                <w:b/>
                                <w:bCs/>
                                <w:color w:val="000000"/>
                                <w:kern w:val="0"/>
                              </w:rPr>
                            </w:pPr>
                            <w:r w:rsidRPr="00CA4478">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Pr>
                                <w:rFonts w:ascii="標楷體" w:eastAsia="標楷體" w:hAnsi="標楷體" w:cs="新細明體"/>
                                <w:b/>
                                <w:bCs/>
                                <w:color w:val="000000"/>
                                <w:kern w:val="0"/>
                              </w:rPr>
                              <w:t>4</w:t>
                            </w:r>
                            <w:r>
                              <w:rPr>
                                <w:rFonts w:ascii="標楷體" w:eastAsia="標楷體" w:hAnsi="標楷體" w:cs="新細明體" w:hint="eastAsia"/>
                                <w:b/>
                                <w:bCs/>
                                <w:color w:val="000000"/>
                                <w:kern w:val="0"/>
                              </w:rPr>
                              <w:t xml:space="preserve">　</w:t>
                            </w:r>
                            <w:r w:rsidRPr="000D45F9">
                              <w:rPr>
                                <w:rFonts w:ascii="標楷體" w:eastAsia="標楷體" w:hAnsi="標楷體" w:cs="新細明體" w:hint="eastAsia"/>
                                <w:b/>
                                <w:bCs/>
                                <w:color w:val="000000"/>
                                <w:kern w:val="0"/>
                              </w:rPr>
                              <w:t>受中央政府機關總</w:t>
                            </w:r>
                            <w:proofErr w:type="gramStart"/>
                            <w:r w:rsidRPr="000D45F9">
                              <w:rPr>
                                <w:rFonts w:ascii="標楷體" w:eastAsia="標楷體" w:hAnsi="標楷體" w:cs="新細明體" w:hint="eastAsia"/>
                                <w:b/>
                                <w:bCs/>
                                <w:color w:val="000000"/>
                                <w:kern w:val="0"/>
                              </w:rPr>
                              <w:t>員額法控管</w:t>
                            </w:r>
                            <w:proofErr w:type="gramEnd"/>
                            <w:r w:rsidRPr="000D45F9">
                              <w:rPr>
                                <w:rFonts w:ascii="標楷體" w:eastAsia="標楷體" w:hAnsi="標楷體" w:cs="新細明體" w:hint="eastAsia"/>
                                <w:b/>
                                <w:bCs/>
                                <w:color w:val="000000"/>
                                <w:kern w:val="0"/>
                              </w:rPr>
                              <w:t>之預算員額情形</w:t>
                            </w:r>
                          </w:p>
                        </w:tc>
                      </w:tr>
                      <w:tr w:rsidR="00AB77DC" w:rsidRPr="000D45F9" w14:paraId="0AB77D4C" w14:textId="77777777" w:rsidTr="00035BEF">
                        <w:trPr>
                          <w:trHeight w:val="20"/>
                          <w:jc w:val="center"/>
                        </w:trPr>
                        <w:tc>
                          <w:tcPr>
                            <w:tcW w:w="9600" w:type="dxa"/>
                            <w:gridSpan w:val="10"/>
                            <w:tcBorders>
                              <w:top w:val="nil"/>
                              <w:left w:val="nil"/>
                              <w:bottom w:val="nil"/>
                              <w:right w:val="nil"/>
                            </w:tcBorders>
                            <w:shd w:val="clear" w:color="auto" w:fill="auto"/>
                            <w:vAlign w:val="center"/>
                            <w:hideMark/>
                          </w:tcPr>
                          <w:p w14:paraId="4D63DA38" w14:textId="77777777" w:rsidR="00AB77DC" w:rsidRPr="000D45F9" w:rsidRDefault="00AB77DC" w:rsidP="00035BEF">
                            <w:pPr>
                              <w:widowControl/>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單位：人、％</w:t>
                            </w:r>
                          </w:p>
                        </w:tc>
                      </w:tr>
                      <w:tr w:rsidR="00AB77DC" w:rsidRPr="000D45F9" w14:paraId="4AE8109A" w14:textId="77777777" w:rsidTr="00541C31">
                        <w:trPr>
                          <w:trHeight w:val="2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4E961D"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員額類型</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1B7A5"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員額高限</w:t>
                            </w:r>
                            <w:proofErr w:type="gramEnd"/>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4EF801"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110</w:t>
                            </w:r>
                            <w:proofErr w:type="gramEnd"/>
                            <w:r w:rsidRPr="000D45F9">
                              <w:rPr>
                                <w:rFonts w:ascii="標楷體" w:eastAsia="標楷體" w:hAnsi="標楷體" w:cs="新細明體" w:hint="eastAsia"/>
                                <w:color w:val="000000"/>
                                <w:kern w:val="0"/>
                                <w:sz w:val="20"/>
                              </w:rPr>
                              <w:t>年度</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8D07A5"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111</w:t>
                            </w:r>
                            <w:proofErr w:type="gramEnd"/>
                            <w:r w:rsidRPr="000D45F9">
                              <w:rPr>
                                <w:rFonts w:ascii="標楷體" w:eastAsia="標楷體" w:hAnsi="標楷體" w:cs="新細明體" w:hint="eastAsia"/>
                                <w:color w:val="000000"/>
                                <w:kern w:val="0"/>
                                <w:sz w:val="20"/>
                              </w:rPr>
                              <w:t>年度</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B1125"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112</w:t>
                            </w:r>
                            <w:proofErr w:type="gramEnd"/>
                            <w:r w:rsidRPr="000D45F9">
                              <w:rPr>
                                <w:rFonts w:ascii="標楷體" w:eastAsia="標楷體" w:hAnsi="標楷體" w:cs="新細明體" w:hint="eastAsia"/>
                                <w:color w:val="000000"/>
                                <w:kern w:val="0"/>
                                <w:sz w:val="20"/>
                              </w:rPr>
                              <w:t>年度</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7D87DE"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113</w:t>
                            </w:r>
                            <w:proofErr w:type="gramEnd"/>
                            <w:r w:rsidRPr="000D45F9">
                              <w:rPr>
                                <w:rFonts w:ascii="標楷體" w:eastAsia="標楷體" w:hAnsi="標楷體" w:cs="新細明體" w:hint="eastAsia"/>
                                <w:color w:val="000000"/>
                                <w:kern w:val="0"/>
                                <w:sz w:val="20"/>
                              </w:rPr>
                              <w:t>年度</w:t>
                            </w:r>
                          </w:p>
                        </w:tc>
                        <w:tc>
                          <w:tcPr>
                            <w:tcW w:w="3840" w:type="dxa"/>
                            <w:gridSpan w:val="4"/>
                            <w:tcBorders>
                              <w:top w:val="single" w:sz="4" w:space="0" w:color="auto"/>
                              <w:left w:val="nil"/>
                              <w:bottom w:val="single" w:sz="4" w:space="0" w:color="auto"/>
                              <w:right w:val="single" w:sz="4" w:space="0" w:color="auto"/>
                            </w:tcBorders>
                            <w:shd w:val="clear" w:color="auto" w:fill="auto"/>
                            <w:vAlign w:val="center"/>
                            <w:hideMark/>
                          </w:tcPr>
                          <w:p w14:paraId="44D217CE" w14:textId="77777777" w:rsidR="00AB77DC" w:rsidRPr="000D45F9" w:rsidRDefault="00AB77DC" w:rsidP="00035BEF">
                            <w:pPr>
                              <w:widowControl/>
                              <w:snapToGrid w:val="0"/>
                              <w:jc w:val="center"/>
                              <w:rPr>
                                <w:rFonts w:ascii="標楷體" w:eastAsia="標楷體" w:hAnsi="標楷體" w:cs="新細明體"/>
                                <w:color w:val="000000"/>
                                <w:kern w:val="0"/>
                                <w:sz w:val="20"/>
                              </w:rPr>
                            </w:pPr>
                            <w:proofErr w:type="gramStart"/>
                            <w:r w:rsidRPr="000D45F9">
                              <w:rPr>
                                <w:rFonts w:ascii="標楷體" w:eastAsia="標楷體" w:hAnsi="標楷體" w:cs="新細明體" w:hint="eastAsia"/>
                                <w:color w:val="000000"/>
                                <w:kern w:val="0"/>
                                <w:sz w:val="20"/>
                              </w:rPr>
                              <w:t>114</w:t>
                            </w:r>
                            <w:proofErr w:type="gramEnd"/>
                            <w:r w:rsidRPr="000D45F9">
                              <w:rPr>
                                <w:rFonts w:ascii="標楷體" w:eastAsia="標楷體" w:hAnsi="標楷體" w:cs="新細明體" w:hint="eastAsia"/>
                                <w:color w:val="000000"/>
                                <w:kern w:val="0"/>
                                <w:sz w:val="20"/>
                              </w:rPr>
                              <w:t>年度</w:t>
                            </w:r>
                          </w:p>
                        </w:tc>
                      </w:tr>
                      <w:tr w:rsidR="00AB77DC" w:rsidRPr="000D45F9" w14:paraId="58DD04B0" w14:textId="77777777" w:rsidTr="00541C31">
                        <w:trPr>
                          <w:trHeight w:val="20"/>
                          <w:jc w:val="center"/>
                        </w:trPr>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D1CAD2"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5EC330"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72EDAA"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147BCF"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DE8100"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07BDCE" w14:textId="77777777" w:rsidR="00AB77DC" w:rsidRPr="000D45F9" w:rsidRDefault="00AB77DC" w:rsidP="000406E7">
                            <w:pPr>
                              <w:widowControl/>
                              <w:snapToGrid w:val="0"/>
                              <w:rPr>
                                <w:rFonts w:ascii="標楷體" w:eastAsia="標楷體" w:hAnsi="標楷體" w:cs="新細明體"/>
                                <w:color w:val="000000"/>
                                <w:kern w:val="0"/>
                                <w:sz w:val="20"/>
                              </w:rPr>
                            </w:pPr>
                          </w:p>
                        </w:tc>
                        <w:tc>
                          <w:tcPr>
                            <w:tcW w:w="960" w:type="dxa"/>
                            <w:tcBorders>
                              <w:top w:val="nil"/>
                              <w:left w:val="nil"/>
                              <w:bottom w:val="single" w:sz="4" w:space="0" w:color="auto"/>
                              <w:right w:val="single" w:sz="4" w:space="0" w:color="auto"/>
                            </w:tcBorders>
                            <w:shd w:val="clear" w:color="auto" w:fill="auto"/>
                            <w:vAlign w:val="center"/>
                            <w:hideMark/>
                          </w:tcPr>
                          <w:p w14:paraId="23097BC1" w14:textId="77777777" w:rsidR="00AB77DC" w:rsidRPr="000D45F9" w:rsidRDefault="00AB77DC" w:rsidP="000406E7">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人數</w:t>
                            </w:r>
                          </w:p>
                        </w:tc>
                        <w:tc>
                          <w:tcPr>
                            <w:tcW w:w="960" w:type="dxa"/>
                            <w:tcBorders>
                              <w:top w:val="nil"/>
                              <w:left w:val="nil"/>
                              <w:bottom w:val="single" w:sz="4" w:space="0" w:color="auto"/>
                              <w:right w:val="single" w:sz="4" w:space="0" w:color="auto"/>
                            </w:tcBorders>
                            <w:shd w:val="clear" w:color="auto" w:fill="auto"/>
                            <w:vAlign w:val="center"/>
                            <w:hideMark/>
                          </w:tcPr>
                          <w:p w14:paraId="3DDD4E97" w14:textId="77777777" w:rsidR="00AB77DC" w:rsidRPr="000406E7" w:rsidRDefault="00AB77DC" w:rsidP="000406E7">
                            <w:pPr>
                              <w:widowControl/>
                              <w:snapToGrid w:val="0"/>
                              <w:jc w:val="center"/>
                              <w:rPr>
                                <w:rFonts w:ascii="標楷體" w:eastAsia="標楷體" w:hAnsi="標楷體" w:cs="新細明體"/>
                                <w:kern w:val="0"/>
                                <w:sz w:val="20"/>
                              </w:rPr>
                            </w:pPr>
                            <w:r w:rsidRPr="000406E7">
                              <w:rPr>
                                <w:rFonts w:ascii="標楷體" w:eastAsia="標楷體" w:hAnsi="標楷體" w:cs="新細明體" w:hint="eastAsia"/>
                                <w:kern w:val="0"/>
                                <w:sz w:val="20"/>
                              </w:rPr>
                              <w:t>較</w:t>
                            </w:r>
                            <w:proofErr w:type="gramStart"/>
                            <w:r w:rsidRPr="000406E7">
                              <w:rPr>
                                <w:rFonts w:ascii="標楷體" w:eastAsia="標楷體" w:hAnsi="標楷體" w:cs="新細明體" w:hint="eastAsia"/>
                                <w:kern w:val="0"/>
                                <w:sz w:val="20"/>
                              </w:rPr>
                              <w:t>110</w:t>
                            </w:r>
                            <w:proofErr w:type="gramEnd"/>
                            <w:r w:rsidRPr="000406E7">
                              <w:rPr>
                                <w:rFonts w:ascii="標楷體" w:eastAsia="標楷體" w:hAnsi="標楷體" w:cs="新細明體" w:hint="eastAsia"/>
                                <w:kern w:val="0"/>
                                <w:sz w:val="20"/>
                              </w:rPr>
                              <w:t>年度增減數</w:t>
                            </w:r>
                          </w:p>
                        </w:tc>
                        <w:tc>
                          <w:tcPr>
                            <w:tcW w:w="960" w:type="dxa"/>
                            <w:tcBorders>
                              <w:top w:val="nil"/>
                              <w:left w:val="nil"/>
                              <w:bottom w:val="single" w:sz="4" w:space="0" w:color="auto"/>
                              <w:right w:val="single" w:sz="4" w:space="0" w:color="auto"/>
                            </w:tcBorders>
                            <w:shd w:val="clear" w:color="auto" w:fill="auto"/>
                            <w:vAlign w:val="center"/>
                            <w:hideMark/>
                          </w:tcPr>
                          <w:p w14:paraId="6E1CC886" w14:textId="77777777" w:rsidR="00AB77DC" w:rsidRPr="000406E7" w:rsidRDefault="00AB77DC" w:rsidP="000406E7">
                            <w:pPr>
                              <w:widowControl/>
                              <w:snapToGrid w:val="0"/>
                              <w:jc w:val="center"/>
                              <w:rPr>
                                <w:rFonts w:ascii="標楷體" w:eastAsia="標楷體" w:hAnsi="標楷體" w:cs="新細明體"/>
                                <w:kern w:val="0"/>
                                <w:sz w:val="20"/>
                              </w:rPr>
                            </w:pPr>
                            <w:r w:rsidRPr="000406E7">
                              <w:rPr>
                                <w:rFonts w:ascii="標楷體" w:eastAsia="標楷體" w:hAnsi="標楷體" w:cs="新細明體" w:hint="eastAsia"/>
                                <w:kern w:val="0"/>
                                <w:sz w:val="20"/>
                              </w:rPr>
                              <w:t>距員額</w:t>
                            </w:r>
                          </w:p>
                          <w:p w14:paraId="6145BC6E" w14:textId="77777777" w:rsidR="00AB77DC" w:rsidRPr="000406E7" w:rsidRDefault="00AB77DC" w:rsidP="000406E7">
                            <w:pPr>
                              <w:widowControl/>
                              <w:snapToGrid w:val="0"/>
                              <w:jc w:val="center"/>
                              <w:rPr>
                                <w:rFonts w:ascii="標楷體" w:eastAsia="標楷體" w:hAnsi="標楷體" w:cs="新細明體"/>
                                <w:kern w:val="0"/>
                                <w:sz w:val="20"/>
                              </w:rPr>
                            </w:pPr>
                            <w:proofErr w:type="gramStart"/>
                            <w:r w:rsidRPr="000406E7">
                              <w:rPr>
                                <w:rFonts w:ascii="標楷體" w:eastAsia="標楷體" w:hAnsi="標楷體" w:cs="新細明體" w:hint="eastAsia"/>
                                <w:kern w:val="0"/>
                                <w:sz w:val="20"/>
                              </w:rPr>
                              <w:t>高限人數</w:t>
                            </w:r>
                            <w:proofErr w:type="gramEnd"/>
                          </w:p>
                        </w:tc>
                        <w:tc>
                          <w:tcPr>
                            <w:tcW w:w="960" w:type="dxa"/>
                            <w:tcBorders>
                              <w:top w:val="nil"/>
                              <w:left w:val="nil"/>
                              <w:bottom w:val="single" w:sz="4" w:space="0" w:color="auto"/>
                              <w:right w:val="single" w:sz="4" w:space="0" w:color="auto"/>
                            </w:tcBorders>
                            <w:shd w:val="clear" w:color="auto" w:fill="auto"/>
                            <w:vAlign w:val="center"/>
                            <w:hideMark/>
                          </w:tcPr>
                          <w:p w14:paraId="4B5ABCA0" w14:textId="77777777" w:rsidR="00AB77DC" w:rsidRPr="000406E7" w:rsidRDefault="00AB77DC" w:rsidP="000406E7">
                            <w:pPr>
                              <w:widowControl/>
                              <w:snapToGrid w:val="0"/>
                              <w:jc w:val="center"/>
                              <w:rPr>
                                <w:rFonts w:ascii="標楷體" w:eastAsia="標楷體" w:hAnsi="標楷體" w:cs="新細明體"/>
                                <w:kern w:val="0"/>
                                <w:sz w:val="20"/>
                              </w:rPr>
                            </w:pPr>
                            <w:proofErr w:type="gramStart"/>
                            <w:r w:rsidRPr="000406E7">
                              <w:rPr>
                                <w:rFonts w:ascii="標楷體" w:eastAsia="標楷體" w:hAnsi="標楷體" w:cs="新細明體" w:hint="eastAsia"/>
                                <w:kern w:val="0"/>
                                <w:sz w:val="20"/>
                              </w:rPr>
                              <w:t>占高限</w:t>
                            </w:r>
                            <w:proofErr w:type="gramEnd"/>
                          </w:p>
                          <w:p w14:paraId="730318D8" w14:textId="77777777" w:rsidR="00AB77DC" w:rsidRPr="000406E7" w:rsidRDefault="00AB77DC" w:rsidP="000406E7">
                            <w:pPr>
                              <w:widowControl/>
                              <w:snapToGrid w:val="0"/>
                              <w:jc w:val="center"/>
                              <w:rPr>
                                <w:rFonts w:ascii="標楷體" w:eastAsia="標楷體" w:hAnsi="標楷體" w:cs="新細明體"/>
                                <w:kern w:val="0"/>
                                <w:sz w:val="20"/>
                              </w:rPr>
                            </w:pPr>
                            <w:r w:rsidRPr="000406E7">
                              <w:rPr>
                                <w:rFonts w:ascii="標楷體" w:eastAsia="標楷體" w:hAnsi="標楷體" w:cs="新細明體" w:hint="eastAsia"/>
                                <w:kern w:val="0"/>
                                <w:sz w:val="20"/>
                              </w:rPr>
                              <w:t>比率</w:t>
                            </w:r>
                          </w:p>
                        </w:tc>
                      </w:tr>
                      <w:tr w:rsidR="00AB77DC" w:rsidRPr="000D45F9" w14:paraId="51C63B12"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209B545" w14:textId="77777777" w:rsidR="00AB77DC" w:rsidRPr="000D45F9" w:rsidRDefault="00AB77DC" w:rsidP="00035BEF">
                            <w:pPr>
                              <w:widowControl/>
                              <w:snapToGrid w:val="0"/>
                              <w:jc w:val="center"/>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合計</w:t>
                            </w:r>
                          </w:p>
                        </w:tc>
                        <w:tc>
                          <w:tcPr>
                            <w:tcW w:w="960" w:type="dxa"/>
                            <w:tcBorders>
                              <w:top w:val="nil"/>
                              <w:left w:val="nil"/>
                              <w:bottom w:val="single" w:sz="4" w:space="0" w:color="auto"/>
                              <w:right w:val="single" w:sz="4" w:space="0" w:color="auto"/>
                            </w:tcBorders>
                            <w:shd w:val="clear" w:color="auto" w:fill="auto"/>
                            <w:vAlign w:val="center"/>
                            <w:hideMark/>
                          </w:tcPr>
                          <w:p w14:paraId="397BF008"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160,900</w:t>
                            </w:r>
                          </w:p>
                        </w:tc>
                        <w:tc>
                          <w:tcPr>
                            <w:tcW w:w="960" w:type="dxa"/>
                            <w:tcBorders>
                              <w:top w:val="nil"/>
                              <w:left w:val="nil"/>
                              <w:bottom w:val="single" w:sz="4" w:space="0" w:color="auto"/>
                              <w:right w:val="single" w:sz="4" w:space="0" w:color="auto"/>
                            </w:tcBorders>
                            <w:shd w:val="clear" w:color="auto" w:fill="auto"/>
                            <w:vAlign w:val="center"/>
                            <w:hideMark/>
                          </w:tcPr>
                          <w:p w14:paraId="62B4462F"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138,668</w:t>
                            </w:r>
                          </w:p>
                        </w:tc>
                        <w:tc>
                          <w:tcPr>
                            <w:tcW w:w="960" w:type="dxa"/>
                            <w:tcBorders>
                              <w:top w:val="nil"/>
                              <w:left w:val="nil"/>
                              <w:bottom w:val="single" w:sz="4" w:space="0" w:color="auto"/>
                              <w:right w:val="single" w:sz="4" w:space="0" w:color="auto"/>
                            </w:tcBorders>
                            <w:shd w:val="clear" w:color="auto" w:fill="auto"/>
                            <w:vAlign w:val="center"/>
                            <w:hideMark/>
                          </w:tcPr>
                          <w:p w14:paraId="38F56CC4"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139,350</w:t>
                            </w:r>
                          </w:p>
                        </w:tc>
                        <w:tc>
                          <w:tcPr>
                            <w:tcW w:w="960" w:type="dxa"/>
                            <w:tcBorders>
                              <w:top w:val="nil"/>
                              <w:left w:val="nil"/>
                              <w:bottom w:val="single" w:sz="4" w:space="0" w:color="auto"/>
                              <w:right w:val="single" w:sz="4" w:space="0" w:color="auto"/>
                            </w:tcBorders>
                            <w:shd w:val="clear" w:color="auto" w:fill="auto"/>
                            <w:vAlign w:val="center"/>
                            <w:hideMark/>
                          </w:tcPr>
                          <w:p w14:paraId="3A5A6010"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140,034</w:t>
                            </w:r>
                          </w:p>
                        </w:tc>
                        <w:tc>
                          <w:tcPr>
                            <w:tcW w:w="960" w:type="dxa"/>
                            <w:tcBorders>
                              <w:top w:val="nil"/>
                              <w:left w:val="nil"/>
                              <w:bottom w:val="single" w:sz="4" w:space="0" w:color="auto"/>
                              <w:right w:val="single" w:sz="4" w:space="0" w:color="auto"/>
                            </w:tcBorders>
                            <w:shd w:val="clear" w:color="auto" w:fill="auto"/>
                            <w:vAlign w:val="center"/>
                            <w:hideMark/>
                          </w:tcPr>
                          <w:p w14:paraId="38241CE1"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138,792</w:t>
                            </w:r>
                          </w:p>
                        </w:tc>
                        <w:tc>
                          <w:tcPr>
                            <w:tcW w:w="960" w:type="dxa"/>
                            <w:tcBorders>
                              <w:top w:val="nil"/>
                              <w:left w:val="nil"/>
                              <w:bottom w:val="single" w:sz="4" w:space="0" w:color="auto"/>
                              <w:right w:val="single" w:sz="4" w:space="0" w:color="auto"/>
                            </w:tcBorders>
                            <w:shd w:val="clear" w:color="auto" w:fill="auto"/>
                            <w:vAlign w:val="center"/>
                            <w:hideMark/>
                          </w:tcPr>
                          <w:p w14:paraId="5C74C020"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137,894</w:t>
                            </w:r>
                          </w:p>
                        </w:tc>
                        <w:tc>
                          <w:tcPr>
                            <w:tcW w:w="960" w:type="dxa"/>
                            <w:tcBorders>
                              <w:top w:val="nil"/>
                              <w:left w:val="nil"/>
                              <w:bottom w:val="single" w:sz="4" w:space="0" w:color="auto"/>
                              <w:right w:val="single" w:sz="4" w:space="0" w:color="auto"/>
                            </w:tcBorders>
                            <w:shd w:val="clear" w:color="auto" w:fill="auto"/>
                            <w:vAlign w:val="center"/>
                            <w:hideMark/>
                          </w:tcPr>
                          <w:p w14:paraId="05FB640B" w14:textId="60347D4F"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w:t>
                            </w:r>
                            <w:r w:rsidR="00F202FD">
                              <w:rPr>
                                <w:rFonts w:ascii="標楷體" w:eastAsia="標楷體" w:hAnsi="標楷體" w:cs="新細明體"/>
                                <w:b/>
                                <w:bCs/>
                                <w:color w:val="000000"/>
                                <w:kern w:val="0"/>
                                <w:sz w:val="20"/>
                              </w:rPr>
                              <w:t xml:space="preserve"> </w:t>
                            </w:r>
                            <w:r w:rsidRPr="000D45F9">
                              <w:rPr>
                                <w:rFonts w:ascii="標楷體" w:eastAsia="標楷體" w:hAnsi="標楷體" w:cs="新細明體" w:hint="eastAsia"/>
                                <w:b/>
                                <w:bCs/>
                                <w:color w:val="000000"/>
                                <w:kern w:val="0"/>
                                <w:sz w:val="20"/>
                              </w:rPr>
                              <w:t>774</w:t>
                            </w:r>
                          </w:p>
                        </w:tc>
                        <w:tc>
                          <w:tcPr>
                            <w:tcW w:w="960" w:type="dxa"/>
                            <w:tcBorders>
                              <w:top w:val="nil"/>
                              <w:left w:val="nil"/>
                              <w:bottom w:val="single" w:sz="4" w:space="0" w:color="auto"/>
                              <w:right w:val="single" w:sz="4" w:space="0" w:color="auto"/>
                            </w:tcBorders>
                            <w:shd w:val="clear" w:color="auto" w:fill="auto"/>
                            <w:vAlign w:val="center"/>
                            <w:hideMark/>
                          </w:tcPr>
                          <w:p w14:paraId="1839BA5D"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23,006</w:t>
                            </w:r>
                          </w:p>
                        </w:tc>
                        <w:tc>
                          <w:tcPr>
                            <w:tcW w:w="960" w:type="dxa"/>
                            <w:tcBorders>
                              <w:top w:val="nil"/>
                              <w:left w:val="nil"/>
                              <w:bottom w:val="single" w:sz="4" w:space="0" w:color="auto"/>
                              <w:right w:val="single" w:sz="4" w:space="0" w:color="auto"/>
                            </w:tcBorders>
                            <w:shd w:val="clear" w:color="auto" w:fill="auto"/>
                            <w:vAlign w:val="center"/>
                            <w:hideMark/>
                          </w:tcPr>
                          <w:p w14:paraId="79AF3662" w14:textId="77777777" w:rsidR="00AB77DC" w:rsidRPr="000D45F9" w:rsidRDefault="00AB77DC" w:rsidP="00035BEF">
                            <w:pPr>
                              <w:widowControl/>
                              <w:snapToGrid w:val="0"/>
                              <w:jc w:val="right"/>
                              <w:rPr>
                                <w:rFonts w:ascii="標楷體" w:eastAsia="標楷體" w:hAnsi="標楷體" w:cs="新細明體"/>
                                <w:b/>
                                <w:bCs/>
                                <w:color w:val="000000"/>
                                <w:kern w:val="0"/>
                                <w:sz w:val="20"/>
                              </w:rPr>
                            </w:pPr>
                            <w:r w:rsidRPr="000D45F9">
                              <w:rPr>
                                <w:rFonts w:ascii="標楷體" w:eastAsia="標楷體" w:hAnsi="標楷體" w:cs="新細明體" w:hint="eastAsia"/>
                                <w:b/>
                                <w:bCs/>
                                <w:color w:val="000000"/>
                                <w:kern w:val="0"/>
                                <w:sz w:val="20"/>
                              </w:rPr>
                              <w:t xml:space="preserve">85.70 </w:t>
                            </w:r>
                          </w:p>
                        </w:tc>
                      </w:tr>
                      <w:tr w:rsidR="00AB77DC" w:rsidRPr="000D45F9" w14:paraId="4B693C17"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D509EA"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第一類</w:t>
                            </w:r>
                          </w:p>
                        </w:tc>
                        <w:tc>
                          <w:tcPr>
                            <w:tcW w:w="960" w:type="dxa"/>
                            <w:tcBorders>
                              <w:top w:val="nil"/>
                              <w:left w:val="nil"/>
                              <w:bottom w:val="single" w:sz="4" w:space="0" w:color="auto"/>
                              <w:right w:val="single" w:sz="4" w:space="0" w:color="auto"/>
                            </w:tcBorders>
                            <w:shd w:val="clear" w:color="auto" w:fill="auto"/>
                            <w:vAlign w:val="center"/>
                            <w:hideMark/>
                          </w:tcPr>
                          <w:p w14:paraId="53EA30D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74,600</w:t>
                            </w:r>
                          </w:p>
                        </w:tc>
                        <w:tc>
                          <w:tcPr>
                            <w:tcW w:w="960" w:type="dxa"/>
                            <w:tcBorders>
                              <w:top w:val="nil"/>
                              <w:left w:val="nil"/>
                              <w:bottom w:val="single" w:sz="4" w:space="0" w:color="auto"/>
                              <w:right w:val="single" w:sz="4" w:space="0" w:color="auto"/>
                            </w:tcBorders>
                            <w:shd w:val="clear" w:color="auto" w:fill="auto"/>
                            <w:vAlign w:val="center"/>
                            <w:hideMark/>
                          </w:tcPr>
                          <w:p w14:paraId="5A5FC7D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70,044</w:t>
                            </w:r>
                          </w:p>
                        </w:tc>
                        <w:tc>
                          <w:tcPr>
                            <w:tcW w:w="960" w:type="dxa"/>
                            <w:tcBorders>
                              <w:top w:val="nil"/>
                              <w:left w:val="nil"/>
                              <w:bottom w:val="single" w:sz="4" w:space="0" w:color="auto"/>
                              <w:right w:val="single" w:sz="4" w:space="0" w:color="auto"/>
                            </w:tcBorders>
                            <w:shd w:val="clear" w:color="auto" w:fill="auto"/>
                            <w:vAlign w:val="center"/>
                            <w:hideMark/>
                          </w:tcPr>
                          <w:p w14:paraId="2781B3D5"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70,477</w:t>
                            </w:r>
                          </w:p>
                        </w:tc>
                        <w:tc>
                          <w:tcPr>
                            <w:tcW w:w="960" w:type="dxa"/>
                            <w:tcBorders>
                              <w:top w:val="nil"/>
                              <w:left w:val="nil"/>
                              <w:bottom w:val="single" w:sz="4" w:space="0" w:color="auto"/>
                              <w:right w:val="single" w:sz="4" w:space="0" w:color="auto"/>
                            </w:tcBorders>
                            <w:shd w:val="clear" w:color="auto" w:fill="auto"/>
                            <w:vAlign w:val="center"/>
                            <w:hideMark/>
                          </w:tcPr>
                          <w:p w14:paraId="35DCC57A"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71,539</w:t>
                            </w:r>
                          </w:p>
                        </w:tc>
                        <w:tc>
                          <w:tcPr>
                            <w:tcW w:w="960" w:type="dxa"/>
                            <w:tcBorders>
                              <w:top w:val="nil"/>
                              <w:left w:val="nil"/>
                              <w:bottom w:val="single" w:sz="4" w:space="0" w:color="auto"/>
                              <w:right w:val="single" w:sz="4" w:space="0" w:color="auto"/>
                            </w:tcBorders>
                            <w:shd w:val="clear" w:color="auto" w:fill="auto"/>
                            <w:vAlign w:val="center"/>
                            <w:hideMark/>
                          </w:tcPr>
                          <w:p w14:paraId="71909DA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71,354</w:t>
                            </w:r>
                          </w:p>
                        </w:tc>
                        <w:tc>
                          <w:tcPr>
                            <w:tcW w:w="960" w:type="dxa"/>
                            <w:tcBorders>
                              <w:top w:val="nil"/>
                              <w:left w:val="nil"/>
                              <w:bottom w:val="single" w:sz="4" w:space="0" w:color="auto"/>
                              <w:right w:val="single" w:sz="4" w:space="0" w:color="auto"/>
                            </w:tcBorders>
                            <w:shd w:val="clear" w:color="auto" w:fill="auto"/>
                            <w:vAlign w:val="center"/>
                            <w:hideMark/>
                          </w:tcPr>
                          <w:p w14:paraId="53FD02AF"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71,426</w:t>
                            </w:r>
                          </w:p>
                        </w:tc>
                        <w:tc>
                          <w:tcPr>
                            <w:tcW w:w="960" w:type="dxa"/>
                            <w:tcBorders>
                              <w:top w:val="nil"/>
                              <w:left w:val="nil"/>
                              <w:bottom w:val="single" w:sz="4" w:space="0" w:color="auto"/>
                              <w:right w:val="single" w:sz="4" w:space="0" w:color="auto"/>
                            </w:tcBorders>
                            <w:shd w:val="clear" w:color="auto" w:fill="auto"/>
                            <w:vAlign w:val="center"/>
                            <w:hideMark/>
                          </w:tcPr>
                          <w:p w14:paraId="2C5CC685"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1,382</w:t>
                            </w:r>
                          </w:p>
                        </w:tc>
                        <w:tc>
                          <w:tcPr>
                            <w:tcW w:w="960" w:type="dxa"/>
                            <w:tcBorders>
                              <w:top w:val="nil"/>
                              <w:left w:val="nil"/>
                              <w:bottom w:val="single" w:sz="4" w:space="0" w:color="auto"/>
                              <w:right w:val="single" w:sz="4" w:space="0" w:color="auto"/>
                            </w:tcBorders>
                            <w:shd w:val="clear" w:color="auto" w:fill="auto"/>
                            <w:vAlign w:val="center"/>
                            <w:hideMark/>
                          </w:tcPr>
                          <w:p w14:paraId="7E38B91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3,174</w:t>
                            </w:r>
                          </w:p>
                        </w:tc>
                        <w:tc>
                          <w:tcPr>
                            <w:tcW w:w="960" w:type="dxa"/>
                            <w:tcBorders>
                              <w:top w:val="nil"/>
                              <w:left w:val="nil"/>
                              <w:bottom w:val="single" w:sz="4" w:space="0" w:color="auto"/>
                              <w:right w:val="single" w:sz="4" w:space="0" w:color="auto"/>
                            </w:tcBorders>
                            <w:shd w:val="clear" w:color="auto" w:fill="auto"/>
                            <w:vAlign w:val="center"/>
                            <w:hideMark/>
                          </w:tcPr>
                          <w:p w14:paraId="61210928"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95.75 </w:t>
                            </w:r>
                          </w:p>
                        </w:tc>
                      </w:tr>
                      <w:tr w:rsidR="00AB77DC" w:rsidRPr="000D45F9" w14:paraId="21ECEB2A"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F33222A"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第二類</w:t>
                            </w:r>
                          </w:p>
                        </w:tc>
                        <w:tc>
                          <w:tcPr>
                            <w:tcW w:w="960" w:type="dxa"/>
                            <w:tcBorders>
                              <w:top w:val="nil"/>
                              <w:left w:val="nil"/>
                              <w:bottom w:val="single" w:sz="4" w:space="0" w:color="auto"/>
                              <w:right w:val="single" w:sz="4" w:space="0" w:color="auto"/>
                            </w:tcBorders>
                            <w:shd w:val="clear" w:color="auto" w:fill="auto"/>
                            <w:vAlign w:val="center"/>
                            <w:hideMark/>
                          </w:tcPr>
                          <w:p w14:paraId="07B256A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40,100</w:t>
                            </w:r>
                          </w:p>
                        </w:tc>
                        <w:tc>
                          <w:tcPr>
                            <w:tcW w:w="960" w:type="dxa"/>
                            <w:tcBorders>
                              <w:top w:val="nil"/>
                              <w:left w:val="nil"/>
                              <w:bottom w:val="single" w:sz="4" w:space="0" w:color="auto"/>
                              <w:right w:val="single" w:sz="4" w:space="0" w:color="auto"/>
                            </w:tcBorders>
                            <w:shd w:val="clear" w:color="auto" w:fill="auto"/>
                            <w:vAlign w:val="center"/>
                            <w:hideMark/>
                          </w:tcPr>
                          <w:p w14:paraId="5FB2799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28,484</w:t>
                            </w:r>
                          </w:p>
                        </w:tc>
                        <w:tc>
                          <w:tcPr>
                            <w:tcW w:w="960" w:type="dxa"/>
                            <w:tcBorders>
                              <w:top w:val="nil"/>
                              <w:left w:val="nil"/>
                              <w:bottom w:val="single" w:sz="4" w:space="0" w:color="auto"/>
                              <w:right w:val="single" w:sz="4" w:space="0" w:color="auto"/>
                            </w:tcBorders>
                            <w:shd w:val="clear" w:color="auto" w:fill="auto"/>
                            <w:vAlign w:val="center"/>
                            <w:hideMark/>
                          </w:tcPr>
                          <w:p w14:paraId="5CEF6F8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27,364</w:t>
                            </w:r>
                          </w:p>
                        </w:tc>
                        <w:tc>
                          <w:tcPr>
                            <w:tcW w:w="960" w:type="dxa"/>
                            <w:tcBorders>
                              <w:top w:val="nil"/>
                              <w:left w:val="nil"/>
                              <w:bottom w:val="single" w:sz="4" w:space="0" w:color="auto"/>
                              <w:right w:val="single" w:sz="4" w:space="0" w:color="auto"/>
                            </w:tcBorders>
                            <w:shd w:val="clear" w:color="auto" w:fill="auto"/>
                            <w:vAlign w:val="center"/>
                            <w:hideMark/>
                          </w:tcPr>
                          <w:p w14:paraId="68971198"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26,709</w:t>
                            </w:r>
                          </w:p>
                        </w:tc>
                        <w:tc>
                          <w:tcPr>
                            <w:tcW w:w="960" w:type="dxa"/>
                            <w:tcBorders>
                              <w:top w:val="nil"/>
                              <w:left w:val="nil"/>
                              <w:bottom w:val="single" w:sz="4" w:space="0" w:color="auto"/>
                              <w:right w:val="single" w:sz="4" w:space="0" w:color="auto"/>
                            </w:tcBorders>
                            <w:shd w:val="clear" w:color="auto" w:fill="auto"/>
                            <w:vAlign w:val="center"/>
                            <w:hideMark/>
                          </w:tcPr>
                          <w:p w14:paraId="068AD5D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25,675</w:t>
                            </w:r>
                          </w:p>
                        </w:tc>
                        <w:tc>
                          <w:tcPr>
                            <w:tcW w:w="960" w:type="dxa"/>
                            <w:tcBorders>
                              <w:top w:val="nil"/>
                              <w:left w:val="nil"/>
                              <w:bottom w:val="single" w:sz="4" w:space="0" w:color="auto"/>
                              <w:right w:val="single" w:sz="4" w:space="0" w:color="auto"/>
                            </w:tcBorders>
                            <w:shd w:val="clear" w:color="auto" w:fill="auto"/>
                            <w:vAlign w:val="center"/>
                            <w:hideMark/>
                          </w:tcPr>
                          <w:p w14:paraId="173AD9AD"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24,809</w:t>
                            </w:r>
                          </w:p>
                        </w:tc>
                        <w:tc>
                          <w:tcPr>
                            <w:tcW w:w="960" w:type="dxa"/>
                            <w:tcBorders>
                              <w:top w:val="nil"/>
                              <w:left w:val="nil"/>
                              <w:bottom w:val="single" w:sz="4" w:space="0" w:color="auto"/>
                              <w:right w:val="single" w:sz="4" w:space="0" w:color="auto"/>
                            </w:tcBorders>
                            <w:shd w:val="clear" w:color="auto" w:fill="auto"/>
                            <w:vAlign w:val="center"/>
                            <w:hideMark/>
                          </w:tcPr>
                          <w:p w14:paraId="47BD6E48" w14:textId="67299156"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w:t>
                            </w:r>
                            <w:r w:rsidR="00F202FD">
                              <w:rPr>
                                <w:rFonts w:ascii="標楷體" w:eastAsia="標楷體" w:hAnsi="標楷體" w:cs="新細明體"/>
                                <w:color w:val="000000"/>
                                <w:kern w:val="0"/>
                                <w:sz w:val="20"/>
                              </w:rPr>
                              <w:t xml:space="preserve"> </w:t>
                            </w:r>
                            <w:r w:rsidRPr="00AD43B3">
                              <w:rPr>
                                <w:rFonts w:ascii="標楷體" w:eastAsia="標楷體" w:hAnsi="標楷體" w:cs="新細明體" w:hint="eastAsia"/>
                                <w:color w:val="000000"/>
                                <w:kern w:val="0"/>
                                <w:sz w:val="20"/>
                              </w:rPr>
                              <w:t>3,675</w:t>
                            </w:r>
                          </w:p>
                        </w:tc>
                        <w:tc>
                          <w:tcPr>
                            <w:tcW w:w="960" w:type="dxa"/>
                            <w:tcBorders>
                              <w:top w:val="nil"/>
                              <w:left w:val="nil"/>
                              <w:bottom w:val="single" w:sz="4" w:space="0" w:color="auto"/>
                              <w:right w:val="single" w:sz="4" w:space="0" w:color="auto"/>
                            </w:tcBorders>
                            <w:shd w:val="clear" w:color="auto" w:fill="auto"/>
                            <w:vAlign w:val="center"/>
                            <w:hideMark/>
                          </w:tcPr>
                          <w:p w14:paraId="493C8EF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15,291</w:t>
                            </w:r>
                          </w:p>
                        </w:tc>
                        <w:tc>
                          <w:tcPr>
                            <w:tcW w:w="960" w:type="dxa"/>
                            <w:tcBorders>
                              <w:top w:val="nil"/>
                              <w:left w:val="nil"/>
                              <w:bottom w:val="single" w:sz="4" w:space="0" w:color="auto"/>
                              <w:right w:val="single" w:sz="4" w:space="0" w:color="auto"/>
                            </w:tcBorders>
                            <w:shd w:val="clear" w:color="auto" w:fill="auto"/>
                            <w:vAlign w:val="center"/>
                            <w:hideMark/>
                          </w:tcPr>
                          <w:p w14:paraId="3346105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61.87 </w:t>
                            </w:r>
                          </w:p>
                        </w:tc>
                      </w:tr>
                      <w:tr w:rsidR="00AB77DC" w:rsidRPr="000D45F9" w14:paraId="0E5C040D"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90667C7"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第三類</w:t>
                            </w:r>
                          </w:p>
                        </w:tc>
                        <w:tc>
                          <w:tcPr>
                            <w:tcW w:w="960" w:type="dxa"/>
                            <w:tcBorders>
                              <w:top w:val="nil"/>
                              <w:left w:val="nil"/>
                              <w:bottom w:val="single" w:sz="4" w:space="0" w:color="auto"/>
                              <w:right w:val="single" w:sz="4" w:space="0" w:color="auto"/>
                            </w:tcBorders>
                            <w:shd w:val="clear" w:color="auto" w:fill="auto"/>
                            <w:vAlign w:val="center"/>
                            <w:hideMark/>
                          </w:tcPr>
                          <w:p w14:paraId="25C7F5A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15,000</w:t>
                            </w:r>
                          </w:p>
                        </w:tc>
                        <w:tc>
                          <w:tcPr>
                            <w:tcW w:w="960" w:type="dxa"/>
                            <w:tcBorders>
                              <w:top w:val="nil"/>
                              <w:left w:val="nil"/>
                              <w:bottom w:val="single" w:sz="4" w:space="0" w:color="auto"/>
                              <w:right w:val="single" w:sz="4" w:space="0" w:color="auto"/>
                            </w:tcBorders>
                            <w:shd w:val="clear" w:color="auto" w:fill="auto"/>
                            <w:vAlign w:val="center"/>
                            <w:hideMark/>
                          </w:tcPr>
                          <w:p w14:paraId="03275ED6"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14,087</w:t>
                            </w:r>
                          </w:p>
                        </w:tc>
                        <w:tc>
                          <w:tcPr>
                            <w:tcW w:w="960" w:type="dxa"/>
                            <w:tcBorders>
                              <w:top w:val="nil"/>
                              <w:left w:val="nil"/>
                              <w:bottom w:val="single" w:sz="4" w:space="0" w:color="auto"/>
                              <w:right w:val="single" w:sz="4" w:space="0" w:color="auto"/>
                            </w:tcBorders>
                            <w:shd w:val="clear" w:color="auto" w:fill="auto"/>
                            <w:vAlign w:val="center"/>
                            <w:hideMark/>
                          </w:tcPr>
                          <w:p w14:paraId="186DEB7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14,302</w:t>
                            </w:r>
                          </w:p>
                        </w:tc>
                        <w:tc>
                          <w:tcPr>
                            <w:tcW w:w="960" w:type="dxa"/>
                            <w:tcBorders>
                              <w:top w:val="nil"/>
                              <w:left w:val="nil"/>
                              <w:bottom w:val="single" w:sz="4" w:space="0" w:color="auto"/>
                              <w:right w:val="single" w:sz="4" w:space="0" w:color="auto"/>
                            </w:tcBorders>
                            <w:shd w:val="clear" w:color="auto" w:fill="auto"/>
                            <w:vAlign w:val="center"/>
                            <w:hideMark/>
                          </w:tcPr>
                          <w:p w14:paraId="4BEE34A1"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14,437</w:t>
                            </w:r>
                          </w:p>
                        </w:tc>
                        <w:tc>
                          <w:tcPr>
                            <w:tcW w:w="960" w:type="dxa"/>
                            <w:tcBorders>
                              <w:top w:val="nil"/>
                              <w:left w:val="nil"/>
                              <w:bottom w:val="single" w:sz="4" w:space="0" w:color="auto"/>
                              <w:right w:val="single" w:sz="4" w:space="0" w:color="auto"/>
                            </w:tcBorders>
                            <w:shd w:val="clear" w:color="auto" w:fill="auto"/>
                            <w:vAlign w:val="center"/>
                            <w:hideMark/>
                          </w:tcPr>
                          <w:p w14:paraId="0C65E885"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14,508</w:t>
                            </w:r>
                          </w:p>
                        </w:tc>
                        <w:tc>
                          <w:tcPr>
                            <w:tcW w:w="960" w:type="dxa"/>
                            <w:tcBorders>
                              <w:top w:val="nil"/>
                              <w:left w:val="nil"/>
                              <w:bottom w:val="single" w:sz="4" w:space="0" w:color="auto"/>
                              <w:right w:val="single" w:sz="4" w:space="0" w:color="auto"/>
                            </w:tcBorders>
                            <w:shd w:val="clear" w:color="auto" w:fill="auto"/>
                            <w:vAlign w:val="center"/>
                            <w:hideMark/>
                          </w:tcPr>
                          <w:p w14:paraId="3C95FC9A"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14,736</w:t>
                            </w:r>
                          </w:p>
                        </w:tc>
                        <w:tc>
                          <w:tcPr>
                            <w:tcW w:w="960" w:type="dxa"/>
                            <w:tcBorders>
                              <w:top w:val="nil"/>
                              <w:left w:val="nil"/>
                              <w:bottom w:val="single" w:sz="4" w:space="0" w:color="auto"/>
                              <w:right w:val="single" w:sz="4" w:space="0" w:color="auto"/>
                            </w:tcBorders>
                            <w:shd w:val="clear" w:color="auto" w:fill="auto"/>
                            <w:vAlign w:val="center"/>
                            <w:hideMark/>
                          </w:tcPr>
                          <w:p w14:paraId="610861F5"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649</w:t>
                            </w:r>
                          </w:p>
                        </w:tc>
                        <w:tc>
                          <w:tcPr>
                            <w:tcW w:w="960" w:type="dxa"/>
                            <w:tcBorders>
                              <w:top w:val="nil"/>
                              <w:left w:val="nil"/>
                              <w:bottom w:val="single" w:sz="4" w:space="0" w:color="auto"/>
                              <w:right w:val="single" w:sz="4" w:space="0" w:color="auto"/>
                            </w:tcBorders>
                            <w:shd w:val="clear" w:color="auto" w:fill="auto"/>
                            <w:vAlign w:val="center"/>
                            <w:hideMark/>
                          </w:tcPr>
                          <w:p w14:paraId="19A2CED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264</w:t>
                            </w:r>
                          </w:p>
                        </w:tc>
                        <w:tc>
                          <w:tcPr>
                            <w:tcW w:w="960" w:type="dxa"/>
                            <w:tcBorders>
                              <w:top w:val="nil"/>
                              <w:left w:val="nil"/>
                              <w:bottom w:val="single" w:sz="4" w:space="0" w:color="auto"/>
                              <w:right w:val="single" w:sz="4" w:space="0" w:color="auto"/>
                            </w:tcBorders>
                            <w:shd w:val="clear" w:color="auto" w:fill="auto"/>
                            <w:vAlign w:val="center"/>
                            <w:hideMark/>
                          </w:tcPr>
                          <w:p w14:paraId="15E50776"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98.24 </w:t>
                            </w:r>
                          </w:p>
                        </w:tc>
                      </w:tr>
                      <w:tr w:rsidR="00AB77DC" w:rsidRPr="000D45F9" w14:paraId="29B4645A"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41374"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第四類</w:t>
                            </w:r>
                          </w:p>
                        </w:tc>
                        <w:tc>
                          <w:tcPr>
                            <w:tcW w:w="960" w:type="dxa"/>
                            <w:tcBorders>
                              <w:top w:val="nil"/>
                              <w:left w:val="nil"/>
                              <w:bottom w:val="single" w:sz="4" w:space="0" w:color="auto"/>
                              <w:right w:val="single" w:sz="4" w:space="0" w:color="auto"/>
                            </w:tcBorders>
                            <w:shd w:val="clear" w:color="auto" w:fill="auto"/>
                            <w:vAlign w:val="center"/>
                            <w:hideMark/>
                          </w:tcPr>
                          <w:p w14:paraId="4C3B33D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6,900</w:t>
                            </w:r>
                          </w:p>
                        </w:tc>
                        <w:tc>
                          <w:tcPr>
                            <w:tcW w:w="960" w:type="dxa"/>
                            <w:tcBorders>
                              <w:top w:val="nil"/>
                              <w:left w:val="nil"/>
                              <w:bottom w:val="single" w:sz="4" w:space="0" w:color="auto"/>
                              <w:right w:val="single" w:sz="4" w:space="0" w:color="auto"/>
                            </w:tcBorders>
                            <w:shd w:val="clear" w:color="auto" w:fill="auto"/>
                            <w:vAlign w:val="center"/>
                            <w:hideMark/>
                          </w:tcPr>
                          <w:p w14:paraId="16408BC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6,036</w:t>
                            </w:r>
                          </w:p>
                        </w:tc>
                        <w:tc>
                          <w:tcPr>
                            <w:tcW w:w="960" w:type="dxa"/>
                            <w:tcBorders>
                              <w:top w:val="nil"/>
                              <w:left w:val="nil"/>
                              <w:bottom w:val="single" w:sz="4" w:space="0" w:color="auto"/>
                              <w:right w:val="single" w:sz="4" w:space="0" w:color="auto"/>
                            </w:tcBorders>
                            <w:shd w:val="clear" w:color="auto" w:fill="auto"/>
                            <w:vAlign w:val="center"/>
                            <w:hideMark/>
                          </w:tcPr>
                          <w:p w14:paraId="453E6459"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6,251</w:t>
                            </w:r>
                          </w:p>
                        </w:tc>
                        <w:tc>
                          <w:tcPr>
                            <w:tcW w:w="960" w:type="dxa"/>
                            <w:tcBorders>
                              <w:top w:val="nil"/>
                              <w:left w:val="nil"/>
                              <w:bottom w:val="single" w:sz="4" w:space="0" w:color="auto"/>
                              <w:right w:val="single" w:sz="4" w:space="0" w:color="auto"/>
                            </w:tcBorders>
                            <w:shd w:val="clear" w:color="auto" w:fill="auto"/>
                            <w:vAlign w:val="center"/>
                            <w:hideMark/>
                          </w:tcPr>
                          <w:p w14:paraId="059C8021"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6,389</w:t>
                            </w:r>
                          </w:p>
                        </w:tc>
                        <w:tc>
                          <w:tcPr>
                            <w:tcW w:w="960" w:type="dxa"/>
                            <w:tcBorders>
                              <w:top w:val="nil"/>
                              <w:left w:val="nil"/>
                              <w:bottom w:val="single" w:sz="4" w:space="0" w:color="auto"/>
                              <w:right w:val="single" w:sz="4" w:space="0" w:color="auto"/>
                            </w:tcBorders>
                            <w:shd w:val="clear" w:color="auto" w:fill="auto"/>
                            <w:vAlign w:val="center"/>
                            <w:hideMark/>
                          </w:tcPr>
                          <w:p w14:paraId="5FEC24A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6,495</w:t>
                            </w:r>
                          </w:p>
                        </w:tc>
                        <w:tc>
                          <w:tcPr>
                            <w:tcW w:w="960" w:type="dxa"/>
                            <w:tcBorders>
                              <w:top w:val="nil"/>
                              <w:left w:val="nil"/>
                              <w:bottom w:val="single" w:sz="4" w:space="0" w:color="auto"/>
                              <w:right w:val="single" w:sz="4" w:space="0" w:color="auto"/>
                            </w:tcBorders>
                            <w:shd w:val="clear" w:color="auto" w:fill="auto"/>
                            <w:vAlign w:val="center"/>
                            <w:hideMark/>
                          </w:tcPr>
                          <w:p w14:paraId="0146795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6,610</w:t>
                            </w:r>
                          </w:p>
                        </w:tc>
                        <w:tc>
                          <w:tcPr>
                            <w:tcW w:w="960" w:type="dxa"/>
                            <w:tcBorders>
                              <w:top w:val="nil"/>
                              <w:left w:val="nil"/>
                              <w:bottom w:val="single" w:sz="4" w:space="0" w:color="auto"/>
                              <w:right w:val="single" w:sz="4" w:space="0" w:color="auto"/>
                            </w:tcBorders>
                            <w:shd w:val="clear" w:color="auto" w:fill="auto"/>
                            <w:vAlign w:val="center"/>
                            <w:hideMark/>
                          </w:tcPr>
                          <w:p w14:paraId="07A94584"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574</w:t>
                            </w:r>
                          </w:p>
                        </w:tc>
                        <w:tc>
                          <w:tcPr>
                            <w:tcW w:w="960" w:type="dxa"/>
                            <w:tcBorders>
                              <w:top w:val="nil"/>
                              <w:left w:val="nil"/>
                              <w:bottom w:val="single" w:sz="4" w:space="0" w:color="auto"/>
                              <w:right w:val="single" w:sz="4" w:space="0" w:color="auto"/>
                            </w:tcBorders>
                            <w:shd w:val="clear" w:color="auto" w:fill="auto"/>
                            <w:vAlign w:val="center"/>
                            <w:hideMark/>
                          </w:tcPr>
                          <w:p w14:paraId="03DC7CB3"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290</w:t>
                            </w:r>
                          </w:p>
                        </w:tc>
                        <w:tc>
                          <w:tcPr>
                            <w:tcW w:w="960" w:type="dxa"/>
                            <w:tcBorders>
                              <w:top w:val="nil"/>
                              <w:left w:val="nil"/>
                              <w:bottom w:val="single" w:sz="4" w:space="0" w:color="auto"/>
                              <w:right w:val="single" w:sz="4" w:space="0" w:color="auto"/>
                            </w:tcBorders>
                            <w:shd w:val="clear" w:color="auto" w:fill="auto"/>
                            <w:vAlign w:val="center"/>
                            <w:hideMark/>
                          </w:tcPr>
                          <w:p w14:paraId="3CA8904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95.80 </w:t>
                            </w:r>
                          </w:p>
                        </w:tc>
                      </w:tr>
                      <w:tr w:rsidR="00AB77DC" w:rsidRPr="000D45F9" w14:paraId="5FE0DB09" w14:textId="77777777" w:rsidTr="00035BEF">
                        <w:trPr>
                          <w:trHeight w:val="34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87A9D6D" w14:textId="77777777" w:rsidR="00AB77DC" w:rsidRPr="000D45F9" w:rsidRDefault="00AB77DC" w:rsidP="00035BEF">
                            <w:pPr>
                              <w:widowControl/>
                              <w:snapToGrid w:val="0"/>
                              <w:jc w:val="center"/>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第五類</w:t>
                            </w:r>
                          </w:p>
                        </w:tc>
                        <w:tc>
                          <w:tcPr>
                            <w:tcW w:w="960" w:type="dxa"/>
                            <w:tcBorders>
                              <w:top w:val="nil"/>
                              <w:left w:val="nil"/>
                              <w:bottom w:val="single" w:sz="4" w:space="0" w:color="auto"/>
                              <w:right w:val="single" w:sz="4" w:space="0" w:color="auto"/>
                            </w:tcBorders>
                            <w:shd w:val="clear" w:color="auto" w:fill="auto"/>
                            <w:vAlign w:val="center"/>
                            <w:hideMark/>
                          </w:tcPr>
                          <w:p w14:paraId="62F61212"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24,300</w:t>
                            </w:r>
                          </w:p>
                        </w:tc>
                        <w:tc>
                          <w:tcPr>
                            <w:tcW w:w="960" w:type="dxa"/>
                            <w:tcBorders>
                              <w:top w:val="nil"/>
                              <w:left w:val="nil"/>
                              <w:bottom w:val="single" w:sz="4" w:space="0" w:color="auto"/>
                              <w:right w:val="single" w:sz="4" w:space="0" w:color="auto"/>
                            </w:tcBorders>
                            <w:shd w:val="clear" w:color="auto" w:fill="auto"/>
                            <w:vAlign w:val="center"/>
                            <w:hideMark/>
                          </w:tcPr>
                          <w:p w14:paraId="15203494"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20,017</w:t>
                            </w:r>
                          </w:p>
                        </w:tc>
                        <w:tc>
                          <w:tcPr>
                            <w:tcW w:w="960" w:type="dxa"/>
                            <w:tcBorders>
                              <w:top w:val="nil"/>
                              <w:left w:val="nil"/>
                              <w:bottom w:val="single" w:sz="4" w:space="0" w:color="auto"/>
                              <w:right w:val="single" w:sz="4" w:space="0" w:color="auto"/>
                            </w:tcBorders>
                            <w:shd w:val="clear" w:color="auto" w:fill="auto"/>
                            <w:vAlign w:val="center"/>
                            <w:hideMark/>
                          </w:tcPr>
                          <w:p w14:paraId="0F8DC4CC"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20,956</w:t>
                            </w:r>
                          </w:p>
                        </w:tc>
                        <w:tc>
                          <w:tcPr>
                            <w:tcW w:w="960" w:type="dxa"/>
                            <w:tcBorders>
                              <w:top w:val="nil"/>
                              <w:left w:val="nil"/>
                              <w:bottom w:val="single" w:sz="4" w:space="0" w:color="auto"/>
                              <w:right w:val="single" w:sz="4" w:space="0" w:color="auto"/>
                            </w:tcBorders>
                            <w:shd w:val="clear" w:color="auto" w:fill="auto"/>
                            <w:vAlign w:val="center"/>
                            <w:hideMark/>
                          </w:tcPr>
                          <w:p w14:paraId="4CC36DF9"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20,960</w:t>
                            </w:r>
                          </w:p>
                        </w:tc>
                        <w:tc>
                          <w:tcPr>
                            <w:tcW w:w="960" w:type="dxa"/>
                            <w:tcBorders>
                              <w:top w:val="nil"/>
                              <w:left w:val="nil"/>
                              <w:bottom w:val="single" w:sz="4" w:space="0" w:color="auto"/>
                              <w:right w:val="single" w:sz="4" w:space="0" w:color="auto"/>
                            </w:tcBorders>
                            <w:shd w:val="clear" w:color="auto" w:fill="auto"/>
                            <w:vAlign w:val="center"/>
                            <w:hideMark/>
                          </w:tcPr>
                          <w:p w14:paraId="005EB537"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20,760</w:t>
                            </w:r>
                          </w:p>
                        </w:tc>
                        <w:tc>
                          <w:tcPr>
                            <w:tcW w:w="960" w:type="dxa"/>
                            <w:tcBorders>
                              <w:top w:val="nil"/>
                              <w:left w:val="nil"/>
                              <w:bottom w:val="single" w:sz="4" w:space="0" w:color="auto"/>
                              <w:right w:val="single" w:sz="4" w:space="0" w:color="auto"/>
                            </w:tcBorders>
                            <w:shd w:val="clear" w:color="auto" w:fill="auto"/>
                            <w:vAlign w:val="center"/>
                            <w:hideMark/>
                          </w:tcPr>
                          <w:p w14:paraId="4C5AA498"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20,313</w:t>
                            </w:r>
                          </w:p>
                        </w:tc>
                        <w:tc>
                          <w:tcPr>
                            <w:tcW w:w="960" w:type="dxa"/>
                            <w:tcBorders>
                              <w:top w:val="nil"/>
                              <w:left w:val="nil"/>
                              <w:bottom w:val="single" w:sz="4" w:space="0" w:color="auto"/>
                              <w:right w:val="single" w:sz="4" w:space="0" w:color="auto"/>
                            </w:tcBorders>
                            <w:shd w:val="clear" w:color="auto" w:fill="auto"/>
                            <w:vAlign w:val="center"/>
                            <w:hideMark/>
                          </w:tcPr>
                          <w:p w14:paraId="4C693C1A" w14:textId="77777777" w:rsidR="00AB77DC" w:rsidRPr="00AD43B3" w:rsidRDefault="00AB77DC" w:rsidP="00035BEF">
                            <w:pPr>
                              <w:widowControl/>
                              <w:snapToGrid w:val="0"/>
                              <w:jc w:val="right"/>
                              <w:rPr>
                                <w:rFonts w:ascii="標楷體" w:eastAsia="標楷體" w:hAnsi="標楷體" w:cs="新細明體"/>
                                <w:color w:val="000000"/>
                                <w:kern w:val="0"/>
                                <w:sz w:val="20"/>
                              </w:rPr>
                            </w:pPr>
                            <w:r w:rsidRPr="00AD43B3">
                              <w:rPr>
                                <w:rFonts w:ascii="標楷體" w:eastAsia="標楷體" w:hAnsi="標楷體" w:cs="新細明體" w:hint="eastAsia"/>
                                <w:color w:val="000000"/>
                                <w:kern w:val="0"/>
                                <w:sz w:val="20"/>
                              </w:rPr>
                              <w:t>296</w:t>
                            </w:r>
                          </w:p>
                        </w:tc>
                        <w:tc>
                          <w:tcPr>
                            <w:tcW w:w="960" w:type="dxa"/>
                            <w:tcBorders>
                              <w:top w:val="nil"/>
                              <w:left w:val="nil"/>
                              <w:bottom w:val="single" w:sz="4" w:space="0" w:color="auto"/>
                              <w:right w:val="single" w:sz="4" w:space="0" w:color="auto"/>
                            </w:tcBorders>
                            <w:shd w:val="clear" w:color="auto" w:fill="auto"/>
                            <w:vAlign w:val="center"/>
                            <w:hideMark/>
                          </w:tcPr>
                          <w:p w14:paraId="7C339459"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3,987</w:t>
                            </w:r>
                          </w:p>
                        </w:tc>
                        <w:tc>
                          <w:tcPr>
                            <w:tcW w:w="960" w:type="dxa"/>
                            <w:tcBorders>
                              <w:top w:val="nil"/>
                              <w:left w:val="nil"/>
                              <w:bottom w:val="single" w:sz="4" w:space="0" w:color="auto"/>
                              <w:right w:val="single" w:sz="4" w:space="0" w:color="auto"/>
                            </w:tcBorders>
                            <w:shd w:val="clear" w:color="auto" w:fill="auto"/>
                            <w:vAlign w:val="center"/>
                            <w:hideMark/>
                          </w:tcPr>
                          <w:p w14:paraId="61CF118B" w14:textId="77777777" w:rsidR="00AB77DC" w:rsidRPr="000D45F9" w:rsidRDefault="00AB77DC" w:rsidP="00035BEF">
                            <w:pPr>
                              <w:widowControl/>
                              <w:snapToGrid w:val="0"/>
                              <w:jc w:val="right"/>
                              <w:rPr>
                                <w:rFonts w:ascii="標楷體" w:eastAsia="標楷體" w:hAnsi="標楷體" w:cs="新細明體"/>
                                <w:color w:val="000000"/>
                                <w:kern w:val="0"/>
                                <w:sz w:val="20"/>
                              </w:rPr>
                            </w:pPr>
                            <w:r w:rsidRPr="000D45F9">
                              <w:rPr>
                                <w:rFonts w:ascii="標楷體" w:eastAsia="標楷體" w:hAnsi="標楷體" w:cs="新細明體" w:hint="eastAsia"/>
                                <w:color w:val="000000"/>
                                <w:kern w:val="0"/>
                                <w:sz w:val="20"/>
                              </w:rPr>
                              <w:t xml:space="preserve">83.59 </w:t>
                            </w:r>
                          </w:p>
                        </w:tc>
                      </w:tr>
                      <w:tr w:rsidR="00AB77DC" w:rsidRPr="000D45F9" w14:paraId="395F99D6" w14:textId="77777777" w:rsidTr="00035BEF">
                        <w:trPr>
                          <w:trHeight w:val="53"/>
                          <w:jc w:val="center"/>
                        </w:trPr>
                        <w:tc>
                          <w:tcPr>
                            <w:tcW w:w="9600" w:type="dxa"/>
                            <w:gridSpan w:val="10"/>
                            <w:tcBorders>
                              <w:top w:val="nil"/>
                              <w:left w:val="nil"/>
                              <w:bottom w:val="nil"/>
                              <w:right w:val="nil"/>
                            </w:tcBorders>
                            <w:shd w:val="clear" w:color="auto" w:fill="auto"/>
                            <w:vAlign w:val="center"/>
                            <w:hideMark/>
                          </w:tcPr>
                          <w:p w14:paraId="503FC46E" w14:textId="77777777" w:rsidR="00AB77DC" w:rsidRPr="000D45F9" w:rsidRDefault="00AB77DC" w:rsidP="00035BEF">
                            <w:pPr>
                              <w:widowControl/>
                              <w:spacing w:beforeLines="10" w:before="36"/>
                              <w:rPr>
                                <w:rFonts w:ascii="標楷體" w:eastAsia="標楷體" w:hAnsi="標楷體" w:cs="新細明體"/>
                                <w:color w:val="000000"/>
                                <w:kern w:val="0"/>
                                <w:sz w:val="18"/>
                                <w:szCs w:val="18"/>
                              </w:rPr>
                            </w:pPr>
                            <w:r w:rsidRPr="000D45F9">
                              <w:rPr>
                                <w:rFonts w:ascii="標楷體" w:eastAsia="標楷體" w:hAnsi="標楷體" w:cs="新細明體" w:hint="eastAsia"/>
                                <w:color w:val="000000"/>
                                <w:kern w:val="0"/>
                                <w:sz w:val="18"/>
                                <w:szCs w:val="18"/>
                              </w:rPr>
                              <w:t>資料來源：整理自110至11</w:t>
                            </w:r>
                            <w:r>
                              <w:rPr>
                                <w:rFonts w:ascii="標楷體" w:eastAsia="標楷體" w:hAnsi="標楷體" w:cs="新細明體"/>
                                <w:color w:val="000000"/>
                                <w:kern w:val="0"/>
                                <w:sz w:val="18"/>
                                <w:szCs w:val="18"/>
                              </w:rPr>
                              <w:t>4</w:t>
                            </w:r>
                            <w:r w:rsidRPr="000D45F9">
                              <w:rPr>
                                <w:rFonts w:ascii="標楷體" w:eastAsia="標楷體" w:hAnsi="標楷體" w:cs="新細明體" w:hint="eastAsia"/>
                                <w:color w:val="000000"/>
                                <w:kern w:val="0"/>
                                <w:sz w:val="18"/>
                                <w:szCs w:val="18"/>
                              </w:rPr>
                              <w:t>年度中央政府總預算「中央政府機關總員額法員額彙計表」。</w:t>
                            </w:r>
                          </w:p>
                        </w:tc>
                      </w:tr>
                    </w:tbl>
                    <w:p w14:paraId="239D7379" w14:textId="77777777" w:rsidR="00AB77DC" w:rsidRPr="00035BEF" w:rsidRDefault="00AB77DC" w:rsidP="00AB77DC"/>
                  </w:txbxContent>
                </v:textbox>
                <w10:wrap type="square"/>
              </v:shape>
            </w:pict>
          </mc:Fallback>
        </mc:AlternateContent>
      </w:r>
      <w:r w:rsidRPr="005D0F74">
        <w:rPr>
          <w:rFonts w:hAnsi="標楷體" w:hint="eastAsia"/>
          <w:snapToGrid w:val="0"/>
          <w:sz w:val="24"/>
          <w:szCs w:val="24"/>
        </w:rPr>
        <w:t>徹「當增則增、應減則減」原則，提升國家競爭力及策進政府施政效能。</w:t>
      </w:r>
    </w:p>
    <w:p w14:paraId="02D4912D" w14:textId="620AE621" w:rsidR="005D0F74" w:rsidRPr="005D0F74" w:rsidRDefault="005D0F74" w:rsidP="00AB77DC">
      <w:pPr>
        <w:pStyle w:val="affb"/>
        <w:spacing w:line="440" w:lineRule="exact"/>
        <w:ind w:left="0" w:firstLineChars="450" w:firstLine="1063"/>
        <w:jc w:val="both"/>
        <w:rPr>
          <w:rFonts w:hAnsi="標楷體"/>
          <w:color w:val="000000" w:themeColor="text1"/>
          <w:sz w:val="24"/>
          <w:szCs w:val="28"/>
        </w:rPr>
      </w:pPr>
      <w:r w:rsidRPr="00E336A7">
        <w:rPr>
          <w:rFonts w:hAnsi="標楷體" w:hint="eastAsia"/>
          <w:b/>
          <w:color w:val="000000" w:themeColor="text1"/>
          <w:spacing w:val="-2"/>
          <w:sz w:val="24"/>
          <w:szCs w:val="28"/>
        </w:rPr>
        <w:t xml:space="preserve">2.　</w:t>
      </w:r>
      <w:r w:rsidRPr="00E336A7">
        <w:rPr>
          <w:rFonts w:hAnsi="標楷體" w:hint="eastAsia"/>
          <w:b/>
          <w:bCs/>
          <w:snapToGrid w:val="0"/>
          <w:spacing w:val="-2"/>
          <w:sz w:val="24"/>
          <w:szCs w:val="24"/>
        </w:rPr>
        <w:t>中央政府透過多元人力運用措施，補足機關所需人力缺口，惟近5年多元人力規模漸增，已近預算員額總數之半，甚</w:t>
      </w:r>
      <w:r w:rsidR="002645B8" w:rsidRPr="00E336A7">
        <w:rPr>
          <w:rFonts w:hAnsi="標楷體" w:hint="eastAsia"/>
          <w:b/>
          <w:bCs/>
          <w:snapToGrid w:val="0"/>
          <w:spacing w:val="-2"/>
          <w:sz w:val="24"/>
          <w:szCs w:val="24"/>
        </w:rPr>
        <w:t>至</w:t>
      </w:r>
      <w:r w:rsidRPr="00E336A7">
        <w:rPr>
          <w:rFonts w:hAnsi="標楷體" w:hint="eastAsia"/>
          <w:b/>
          <w:bCs/>
          <w:snapToGrid w:val="0"/>
          <w:spacing w:val="-2"/>
          <w:sz w:val="24"/>
          <w:szCs w:val="24"/>
        </w:rPr>
        <w:t>成為部分機關（構）主要人力來源，恐潛藏人力結構失衡、加重管理負擔、勞動保障不足或影響行政效率等風險，允宜通盤檢討多元人力運用政策及優化管理機制，以提升公部門整體人力運用效能：</w:t>
      </w:r>
      <w:r w:rsidRPr="00E336A7">
        <w:rPr>
          <w:rFonts w:hAnsi="標楷體" w:hint="eastAsia"/>
          <w:bCs/>
          <w:snapToGrid w:val="0"/>
          <w:spacing w:val="-2"/>
          <w:sz w:val="24"/>
          <w:szCs w:val="24"/>
        </w:rPr>
        <w:t>政府透過實施總員額法，輔以運用多元人力之配套機制，期提升用人效能，降低財政負擔。經查，</w:t>
      </w:r>
      <w:proofErr w:type="gramStart"/>
      <w:r w:rsidRPr="00E336A7">
        <w:rPr>
          <w:rFonts w:hAnsi="標楷體" w:hint="eastAsia"/>
          <w:bCs/>
          <w:snapToGrid w:val="0"/>
          <w:spacing w:val="-2"/>
          <w:sz w:val="24"/>
          <w:szCs w:val="24"/>
        </w:rPr>
        <w:t>11</w:t>
      </w:r>
      <w:r w:rsidRPr="00E336A7">
        <w:rPr>
          <w:rFonts w:hAnsi="標楷體"/>
          <w:bCs/>
          <w:snapToGrid w:val="0"/>
          <w:spacing w:val="-2"/>
          <w:sz w:val="24"/>
          <w:szCs w:val="24"/>
        </w:rPr>
        <w:t>3</w:t>
      </w:r>
      <w:proofErr w:type="gramEnd"/>
      <w:r w:rsidRPr="00E336A7">
        <w:rPr>
          <w:rFonts w:hAnsi="標楷體" w:hint="eastAsia"/>
          <w:bCs/>
          <w:snapToGrid w:val="0"/>
          <w:spacing w:val="-2"/>
          <w:sz w:val="24"/>
          <w:szCs w:val="24"/>
        </w:rPr>
        <w:t>年度中央政府各機關預算員額為22萬</w:t>
      </w:r>
      <w:r w:rsidRPr="00E336A7">
        <w:rPr>
          <w:rFonts w:hAnsi="標楷體"/>
          <w:bCs/>
          <w:snapToGrid w:val="0"/>
          <w:spacing w:val="-2"/>
          <w:sz w:val="24"/>
          <w:szCs w:val="24"/>
        </w:rPr>
        <w:t>1,323</w:t>
      </w:r>
      <w:r w:rsidRPr="00E336A7">
        <w:rPr>
          <w:rFonts w:hAnsi="標楷體" w:hint="eastAsia"/>
          <w:bCs/>
          <w:snapToGrid w:val="0"/>
          <w:spacing w:val="-2"/>
          <w:sz w:val="24"/>
          <w:szCs w:val="24"/>
        </w:rPr>
        <w:t>人，相較</w:t>
      </w:r>
      <w:proofErr w:type="gramStart"/>
      <w:r w:rsidRPr="00E336A7">
        <w:rPr>
          <w:rFonts w:hAnsi="標楷體" w:hint="eastAsia"/>
          <w:bCs/>
          <w:snapToGrid w:val="0"/>
          <w:spacing w:val="-2"/>
          <w:sz w:val="24"/>
          <w:szCs w:val="24"/>
        </w:rPr>
        <w:t>109</w:t>
      </w:r>
      <w:proofErr w:type="gramEnd"/>
      <w:r w:rsidRPr="00E336A7">
        <w:rPr>
          <w:rFonts w:hAnsi="標楷體" w:hint="eastAsia"/>
          <w:bCs/>
          <w:snapToGrid w:val="0"/>
          <w:spacing w:val="-2"/>
          <w:sz w:val="24"/>
          <w:szCs w:val="24"/>
        </w:rPr>
        <w:t>年度僅微幅成長</w:t>
      </w:r>
      <w:r w:rsidRPr="00E336A7">
        <w:rPr>
          <w:rFonts w:hAnsi="標楷體"/>
          <w:bCs/>
          <w:snapToGrid w:val="0"/>
          <w:spacing w:val="-2"/>
          <w:sz w:val="24"/>
          <w:szCs w:val="24"/>
        </w:rPr>
        <w:t>446</w:t>
      </w:r>
      <w:r w:rsidRPr="00E336A7">
        <w:rPr>
          <w:rFonts w:hAnsi="標楷體" w:hint="eastAsia"/>
          <w:bCs/>
          <w:snapToGrid w:val="0"/>
          <w:spacing w:val="-2"/>
          <w:sz w:val="24"/>
          <w:szCs w:val="24"/>
        </w:rPr>
        <w:t>人，惟各機關運用多元人力</w:t>
      </w:r>
      <w:r w:rsidRPr="00E336A7">
        <w:rPr>
          <w:rFonts w:hAnsi="標楷體"/>
          <w:bCs/>
          <w:snapToGrid w:val="0"/>
          <w:spacing w:val="-2"/>
          <w:sz w:val="24"/>
          <w:szCs w:val="24"/>
        </w:rPr>
        <w:t>（</w:t>
      </w:r>
      <w:r w:rsidRPr="00E336A7">
        <w:rPr>
          <w:rFonts w:hAnsi="標楷體" w:hint="eastAsia"/>
          <w:bCs/>
          <w:snapToGrid w:val="0"/>
          <w:spacing w:val="-2"/>
          <w:sz w:val="24"/>
          <w:szCs w:val="24"/>
        </w:rPr>
        <w:t>含約用人員及勞務承攬派駐勞工</w:t>
      </w:r>
      <w:r w:rsidRPr="00E336A7">
        <w:rPr>
          <w:rFonts w:hAnsi="標楷體"/>
          <w:bCs/>
          <w:snapToGrid w:val="0"/>
          <w:spacing w:val="-2"/>
          <w:sz w:val="24"/>
          <w:szCs w:val="24"/>
        </w:rPr>
        <w:t>）</w:t>
      </w:r>
      <w:r w:rsidRPr="00E336A7">
        <w:rPr>
          <w:rFonts w:hAnsi="標楷體" w:hint="eastAsia"/>
          <w:bCs/>
          <w:snapToGrid w:val="0"/>
          <w:spacing w:val="-2"/>
          <w:sz w:val="24"/>
          <w:szCs w:val="24"/>
        </w:rPr>
        <w:t>總人數，由</w:t>
      </w:r>
      <w:proofErr w:type="gramStart"/>
      <w:r w:rsidRPr="00E336A7">
        <w:rPr>
          <w:rFonts w:hAnsi="標楷體" w:hint="eastAsia"/>
          <w:bCs/>
          <w:snapToGrid w:val="0"/>
          <w:spacing w:val="-2"/>
          <w:sz w:val="24"/>
          <w:szCs w:val="24"/>
        </w:rPr>
        <w:t>109</w:t>
      </w:r>
      <w:proofErr w:type="gramEnd"/>
      <w:r w:rsidRPr="00E336A7">
        <w:rPr>
          <w:rFonts w:hAnsi="標楷體" w:hint="eastAsia"/>
          <w:bCs/>
          <w:snapToGrid w:val="0"/>
          <w:spacing w:val="-2"/>
          <w:sz w:val="24"/>
          <w:szCs w:val="24"/>
        </w:rPr>
        <w:t>年度之9萬</w:t>
      </w:r>
      <w:r w:rsidRPr="00E336A7">
        <w:rPr>
          <w:rFonts w:hAnsi="標楷體"/>
          <w:bCs/>
          <w:snapToGrid w:val="0"/>
          <w:spacing w:val="-2"/>
          <w:sz w:val="24"/>
          <w:szCs w:val="24"/>
        </w:rPr>
        <w:t>448</w:t>
      </w:r>
      <w:r w:rsidRPr="00E336A7">
        <w:rPr>
          <w:rFonts w:hAnsi="標楷體" w:hint="eastAsia"/>
          <w:bCs/>
          <w:snapToGrid w:val="0"/>
          <w:spacing w:val="-2"/>
          <w:sz w:val="24"/>
          <w:szCs w:val="24"/>
        </w:rPr>
        <w:t>人，增加至</w:t>
      </w:r>
      <w:proofErr w:type="gramStart"/>
      <w:r w:rsidRPr="00E336A7">
        <w:rPr>
          <w:rFonts w:hAnsi="標楷體" w:hint="eastAsia"/>
          <w:bCs/>
          <w:snapToGrid w:val="0"/>
          <w:spacing w:val="-2"/>
          <w:sz w:val="24"/>
          <w:szCs w:val="24"/>
        </w:rPr>
        <w:t>1</w:t>
      </w:r>
      <w:r w:rsidRPr="00E336A7">
        <w:rPr>
          <w:rFonts w:hAnsi="標楷體"/>
          <w:bCs/>
          <w:snapToGrid w:val="0"/>
          <w:spacing w:val="-2"/>
          <w:sz w:val="24"/>
          <w:szCs w:val="24"/>
        </w:rPr>
        <w:t>13</w:t>
      </w:r>
      <w:proofErr w:type="gramEnd"/>
      <w:r w:rsidRPr="00E336A7">
        <w:rPr>
          <w:rFonts w:hAnsi="標楷體" w:hint="eastAsia"/>
          <w:bCs/>
          <w:snapToGrid w:val="0"/>
          <w:spacing w:val="-2"/>
          <w:sz w:val="24"/>
          <w:szCs w:val="24"/>
        </w:rPr>
        <w:t>年度之1</w:t>
      </w:r>
      <w:r w:rsidRPr="00E336A7">
        <w:rPr>
          <w:rFonts w:hAnsi="標楷體"/>
          <w:bCs/>
          <w:snapToGrid w:val="0"/>
          <w:spacing w:val="-2"/>
          <w:sz w:val="24"/>
          <w:szCs w:val="24"/>
        </w:rPr>
        <w:t>0</w:t>
      </w:r>
      <w:r w:rsidRPr="00E336A7">
        <w:rPr>
          <w:rFonts w:hAnsi="標楷體" w:hint="eastAsia"/>
          <w:bCs/>
          <w:snapToGrid w:val="0"/>
          <w:spacing w:val="-2"/>
          <w:sz w:val="24"/>
          <w:szCs w:val="24"/>
        </w:rPr>
        <w:t>萬2</w:t>
      </w:r>
      <w:r w:rsidRPr="00E336A7">
        <w:rPr>
          <w:rFonts w:hAnsi="標楷體"/>
          <w:bCs/>
          <w:snapToGrid w:val="0"/>
          <w:spacing w:val="-2"/>
          <w:sz w:val="24"/>
          <w:szCs w:val="24"/>
        </w:rPr>
        <w:t>,070</w:t>
      </w:r>
      <w:r w:rsidRPr="00E336A7">
        <w:rPr>
          <w:rFonts w:hAnsi="標楷體" w:hint="eastAsia"/>
          <w:bCs/>
          <w:snapToGrid w:val="0"/>
          <w:spacing w:val="-2"/>
          <w:sz w:val="24"/>
          <w:szCs w:val="24"/>
        </w:rPr>
        <w:t>人</w:t>
      </w:r>
      <w:r w:rsidRPr="00E336A7">
        <w:rPr>
          <w:rFonts w:hAnsi="標楷體"/>
          <w:bCs/>
          <w:snapToGrid w:val="0"/>
          <w:spacing w:val="-2"/>
          <w:sz w:val="24"/>
          <w:szCs w:val="24"/>
        </w:rPr>
        <w:t>（</w:t>
      </w:r>
      <w:r w:rsidRPr="00E336A7">
        <w:rPr>
          <w:rFonts w:hAnsi="標楷體" w:hint="eastAsia"/>
          <w:bCs/>
          <w:snapToGrid w:val="0"/>
          <w:spacing w:val="-2"/>
          <w:sz w:val="24"/>
          <w:szCs w:val="24"/>
        </w:rPr>
        <w:t>表</w:t>
      </w:r>
      <w:r w:rsidR="005973DB" w:rsidRPr="00E336A7">
        <w:rPr>
          <w:rFonts w:hAnsi="標楷體" w:hint="eastAsia"/>
          <w:bCs/>
          <w:snapToGrid w:val="0"/>
          <w:spacing w:val="-2"/>
          <w:sz w:val="24"/>
          <w:szCs w:val="24"/>
        </w:rPr>
        <w:t>3</w:t>
      </w:r>
      <w:r w:rsidR="00496A4D" w:rsidRPr="00E336A7">
        <w:rPr>
          <w:rFonts w:hAnsi="標楷體" w:hint="eastAsia"/>
          <w:bCs/>
          <w:snapToGrid w:val="0"/>
          <w:spacing w:val="-2"/>
          <w:sz w:val="24"/>
          <w:szCs w:val="24"/>
        </w:rPr>
        <w:t>5</w:t>
      </w:r>
      <w:r w:rsidRPr="00E336A7">
        <w:rPr>
          <w:rFonts w:hAnsi="標楷體"/>
          <w:bCs/>
          <w:snapToGrid w:val="0"/>
          <w:spacing w:val="-2"/>
          <w:sz w:val="24"/>
          <w:szCs w:val="24"/>
        </w:rPr>
        <w:t>）</w:t>
      </w:r>
      <w:r w:rsidRPr="00E336A7">
        <w:rPr>
          <w:rFonts w:hAnsi="標楷體" w:hint="eastAsia"/>
          <w:bCs/>
          <w:snapToGrid w:val="0"/>
          <w:spacing w:val="-2"/>
          <w:sz w:val="24"/>
          <w:szCs w:val="24"/>
        </w:rPr>
        <w:t>，已近預算員額</w:t>
      </w:r>
      <w:r w:rsidR="00E94BB2" w:rsidRPr="00E336A7">
        <w:rPr>
          <w:rFonts w:hAnsi="標楷體" w:cs="細明體" w:hint="eastAsia"/>
          <w:noProof/>
          <w:color w:val="000000"/>
          <w:spacing w:val="-2"/>
          <w:kern w:val="2"/>
          <w:sz w:val="24"/>
          <w:szCs w:val="24"/>
        </w:rPr>
        <w:lastRenderedPageBreak/>
        <mc:AlternateContent>
          <mc:Choice Requires="wps">
            <w:drawing>
              <wp:anchor distT="0" distB="0" distL="114300" distR="114300" simplePos="0" relativeHeight="251623424" behindDoc="0" locked="0" layoutInCell="1" allowOverlap="1" wp14:anchorId="21EAE509" wp14:editId="74F39090">
                <wp:simplePos x="0" y="0"/>
                <wp:positionH relativeFrom="margin">
                  <wp:posOffset>20320</wp:posOffset>
                </wp:positionH>
                <wp:positionV relativeFrom="margin">
                  <wp:posOffset>-3175</wp:posOffset>
                </wp:positionV>
                <wp:extent cx="6428105" cy="3497580"/>
                <wp:effectExtent l="0" t="0" r="0" b="762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8105" cy="3497580"/>
                        </a:xfrm>
                        <a:prstGeom prst="rect">
                          <a:avLst/>
                        </a:prstGeom>
                        <a:solidFill>
                          <a:srgbClr val="FFFFFF"/>
                        </a:solidFill>
                        <a:ln w="9525">
                          <a:noFill/>
                          <a:miter lim="800000"/>
                          <a:headEnd/>
                          <a:tailEnd/>
                        </a:ln>
                      </wps:spPr>
                      <wps:txbx>
                        <w:txbxContent>
                          <w:tbl>
                            <w:tblPr>
                              <w:tblW w:w="9930" w:type="dxa"/>
                              <w:jc w:val="center"/>
                              <w:tblCellMar>
                                <w:left w:w="28" w:type="dxa"/>
                                <w:right w:w="28" w:type="dxa"/>
                              </w:tblCellMar>
                              <w:tblLook w:val="04A0" w:firstRow="1" w:lastRow="0" w:firstColumn="1" w:lastColumn="0" w:noHBand="0" w:noVBand="1"/>
                            </w:tblPr>
                            <w:tblGrid>
                              <w:gridCol w:w="1131"/>
                              <w:gridCol w:w="1540"/>
                              <w:gridCol w:w="907"/>
                              <w:gridCol w:w="907"/>
                              <w:gridCol w:w="907"/>
                              <w:gridCol w:w="907"/>
                              <w:gridCol w:w="907"/>
                              <w:gridCol w:w="907"/>
                              <w:gridCol w:w="907"/>
                              <w:gridCol w:w="853"/>
                              <w:gridCol w:w="57"/>
                            </w:tblGrid>
                            <w:tr w:rsidR="00E94BB2" w:rsidRPr="00AA7602" w14:paraId="11B97C71" w14:textId="77777777" w:rsidTr="00772217">
                              <w:trPr>
                                <w:gridAfter w:val="1"/>
                                <w:wAfter w:w="57" w:type="dxa"/>
                                <w:trHeight w:val="20"/>
                                <w:jc w:val="center"/>
                              </w:trPr>
                              <w:tc>
                                <w:tcPr>
                                  <w:tcW w:w="9873" w:type="dxa"/>
                                  <w:gridSpan w:val="10"/>
                                  <w:tcBorders>
                                    <w:top w:val="nil"/>
                                    <w:left w:val="nil"/>
                                    <w:bottom w:val="nil"/>
                                    <w:right w:val="nil"/>
                                  </w:tcBorders>
                                  <w:shd w:val="clear" w:color="auto" w:fill="auto"/>
                                  <w:vAlign w:val="center"/>
                                  <w:hideMark/>
                                </w:tcPr>
                                <w:p w14:paraId="74C0563E" w14:textId="77777777" w:rsidR="00E94BB2" w:rsidRPr="00AA7602" w:rsidRDefault="00E94BB2" w:rsidP="00A7017E">
                                  <w:pPr>
                                    <w:widowControl/>
                                    <w:spacing w:line="240" w:lineRule="exact"/>
                                    <w:jc w:val="center"/>
                                    <w:rPr>
                                      <w:rFonts w:ascii="標楷體" w:eastAsia="標楷體" w:hAnsi="標楷體" w:cs="新細明體"/>
                                      <w:b/>
                                      <w:bCs/>
                                      <w:color w:val="000000"/>
                                      <w:kern w:val="0"/>
                                    </w:rPr>
                                  </w:pPr>
                                  <w:r w:rsidRPr="00086D2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Pr>
                                      <w:rFonts w:ascii="標楷體" w:eastAsia="標楷體" w:hAnsi="標楷體" w:cs="新細明體"/>
                                      <w:b/>
                                      <w:bCs/>
                                      <w:color w:val="000000"/>
                                      <w:kern w:val="0"/>
                                    </w:rPr>
                                    <w:t>5</w:t>
                                  </w:r>
                                  <w:r w:rsidRPr="009912E3">
                                    <w:rPr>
                                      <w:rFonts w:ascii="標楷體" w:eastAsia="標楷體" w:hAnsi="標楷體" w:cs="新細明體"/>
                                      <w:b/>
                                      <w:bCs/>
                                      <w:color w:val="000000"/>
                                      <w:kern w:val="0"/>
                                    </w:rPr>
                                    <w:t xml:space="preserve">  </w:t>
                                  </w:r>
                                  <w:r w:rsidRPr="00AA7602">
                                    <w:rPr>
                                      <w:rFonts w:ascii="標楷體" w:eastAsia="標楷體" w:hAnsi="標楷體" w:cs="新細明體" w:hint="eastAsia"/>
                                      <w:b/>
                                      <w:bCs/>
                                      <w:color w:val="000000"/>
                                      <w:kern w:val="0"/>
                                    </w:rPr>
                                    <w:t>中央</w:t>
                                  </w:r>
                                  <w:r>
                                    <w:rPr>
                                      <w:rFonts w:ascii="標楷體" w:eastAsia="標楷體" w:hAnsi="標楷體" w:cs="新細明體" w:hint="eastAsia"/>
                                      <w:b/>
                                      <w:bCs/>
                                      <w:color w:val="000000"/>
                                      <w:kern w:val="0"/>
                                    </w:rPr>
                                    <w:t>政府運</w:t>
                                  </w:r>
                                  <w:r w:rsidRPr="00AA7602">
                                    <w:rPr>
                                      <w:rFonts w:ascii="標楷體" w:eastAsia="標楷體" w:hAnsi="標楷體" w:cs="新細明體" w:hint="eastAsia"/>
                                      <w:b/>
                                      <w:bCs/>
                                      <w:color w:val="000000"/>
                                      <w:kern w:val="0"/>
                                    </w:rPr>
                                    <w:t>用</w:t>
                                  </w:r>
                                  <w:r>
                                    <w:rPr>
                                      <w:rFonts w:ascii="標楷體" w:eastAsia="標楷體" w:hAnsi="標楷體" w:cs="新細明體" w:hint="eastAsia"/>
                                      <w:b/>
                                      <w:bCs/>
                                      <w:color w:val="000000"/>
                                      <w:kern w:val="0"/>
                                    </w:rPr>
                                    <w:t>多元人力</w:t>
                                  </w:r>
                                  <w:r w:rsidRPr="00AA7602">
                                    <w:rPr>
                                      <w:rFonts w:ascii="標楷體" w:eastAsia="標楷體" w:hAnsi="標楷體" w:cs="新細明體" w:hint="eastAsia"/>
                                      <w:b/>
                                      <w:bCs/>
                                      <w:color w:val="000000"/>
                                      <w:kern w:val="0"/>
                                    </w:rPr>
                                    <w:t>情形</w:t>
                                  </w:r>
                                </w:p>
                              </w:tc>
                            </w:tr>
                            <w:tr w:rsidR="00E94BB2" w:rsidRPr="00AA7602" w14:paraId="3A1F42B7" w14:textId="77777777" w:rsidTr="00772217">
                              <w:trPr>
                                <w:gridAfter w:val="1"/>
                                <w:wAfter w:w="57" w:type="dxa"/>
                                <w:trHeight w:val="20"/>
                                <w:jc w:val="center"/>
                              </w:trPr>
                              <w:tc>
                                <w:tcPr>
                                  <w:tcW w:w="9873" w:type="dxa"/>
                                  <w:gridSpan w:val="10"/>
                                  <w:tcBorders>
                                    <w:top w:val="nil"/>
                                    <w:left w:val="nil"/>
                                    <w:bottom w:val="nil"/>
                                    <w:right w:val="nil"/>
                                  </w:tcBorders>
                                  <w:shd w:val="clear" w:color="auto" w:fill="auto"/>
                                  <w:vAlign w:val="center"/>
                                  <w:hideMark/>
                                </w:tcPr>
                                <w:p w14:paraId="13E7AE8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單位：人、％</w:t>
                                  </w:r>
                                </w:p>
                              </w:tc>
                            </w:tr>
                            <w:tr w:rsidR="00E94BB2" w:rsidRPr="00AA7602" w14:paraId="69EBB497" w14:textId="77777777" w:rsidTr="00772217">
                              <w:trPr>
                                <w:trHeight w:val="20"/>
                                <w:jc w:val="center"/>
                              </w:trPr>
                              <w:tc>
                                <w:tcPr>
                                  <w:tcW w:w="1131" w:type="dxa"/>
                                  <w:vMerge w:val="restart"/>
                                  <w:tcBorders>
                                    <w:top w:val="single" w:sz="4" w:space="0" w:color="auto"/>
                                    <w:left w:val="single" w:sz="4" w:space="0" w:color="auto"/>
                                    <w:right w:val="single" w:sz="4" w:space="0" w:color="auto"/>
                                  </w:tcBorders>
                                  <w:shd w:val="clear" w:color="auto" w:fill="auto"/>
                                  <w:vAlign w:val="center"/>
                                  <w:hideMark/>
                                </w:tcPr>
                                <w:p w14:paraId="5C4F3FDE"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機關屬性</w:t>
                                  </w:r>
                                </w:p>
                              </w:tc>
                              <w:tc>
                                <w:tcPr>
                                  <w:tcW w:w="1540" w:type="dxa"/>
                                  <w:vMerge w:val="restart"/>
                                  <w:tcBorders>
                                    <w:top w:val="single" w:sz="4" w:space="0" w:color="auto"/>
                                    <w:left w:val="single" w:sz="4" w:space="0" w:color="auto"/>
                                    <w:right w:val="single" w:sz="4" w:space="0" w:color="auto"/>
                                  </w:tcBorders>
                                  <w:shd w:val="clear" w:color="auto" w:fill="auto"/>
                                  <w:vAlign w:val="center"/>
                                  <w:hideMark/>
                                </w:tcPr>
                                <w:p w14:paraId="67521C3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多元人力類型</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121BE9"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109</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5C5ABF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110</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B63C36F"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111</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D4D277B"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112</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3631" w:type="dxa"/>
                                  <w:gridSpan w:val="5"/>
                                  <w:tcBorders>
                                    <w:top w:val="single" w:sz="4" w:space="0" w:color="auto"/>
                                    <w:left w:val="nil"/>
                                    <w:bottom w:val="single" w:sz="4" w:space="0" w:color="auto"/>
                                    <w:right w:val="single" w:sz="4" w:space="0" w:color="000000"/>
                                  </w:tcBorders>
                                  <w:shd w:val="clear" w:color="auto" w:fill="auto"/>
                                  <w:vAlign w:val="center"/>
                                  <w:hideMark/>
                                </w:tcPr>
                                <w:p w14:paraId="73F06F53"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113</w:t>
                                  </w:r>
                                  <w:proofErr w:type="gramEnd"/>
                                  <w:r w:rsidRPr="00AA7602">
                                    <w:rPr>
                                      <w:rFonts w:ascii="標楷體" w:eastAsia="標楷體" w:hAnsi="標楷體" w:cs="新細明體" w:hint="eastAsia"/>
                                      <w:color w:val="000000"/>
                                      <w:kern w:val="0"/>
                                      <w:sz w:val="20"/>
                                    </w:rPr>
                                    <w:t>年度</w:t>
                                  </w:r>
                                </w:p>
                              </w:tc>
                            </w:tr>
                            <w:tr w:rsidR="00E94BB2" w:rsidRPr="00AA7602" w14:paraId="35861527" w14:textId="77777777" w:rsidTr="00772217">
                              <w:trPr>
                                <w:trHeight w:val="20"/>
                                <w:jc w:val="center"/>
                              </w:trPr>
                              <w:tc>
                                <w:tcPr>
                                  <w:tcW w:w="1131" w:type="dxa"/>
                                  <w:vMerge/>
                                  <w:tcBorders>
                                    <w:left w:val="single" w:sz="4" w:space="0" w:color="auto"/>
                                    <w:right w:val="single" w:sz="4" w:space="0" w:color="auto"/>
                                  </w:tcBorders>
                                  <w:vAlign w:val="center"/>
                                  <w:hideMark/>
                                </w:tcPr>
                                <w:p w14:paraId="127C055C"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vMerge/>
                                  <w:tcBorders>
                                    <w:left w:val="single" w:sz="4" w:space="0" w:color="auto"/>
                                    <w:right w:val="single" w:sz="4" w:space="0" w:color="auto"/>
                                  </w:tcBorders>
                                  <w:vAlign w:val="center"/>
                                  <w:hideMark/>
                                </w:tcPr>
                                <w:p w14:paraId="3AE6619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333B4037"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031B4DB5"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4980D66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6EAEB384"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val="restart"/>
                                  <w:tcBorders>
                                    <w:top w:val="nil"/>
                                    <w:left w:val="nil"/>
                                    <w:right w:val="single" w:sz="4" w:space="0" w:color="auto"/>
                                  </w:tcBorders>
                                  <w:shd w:val="clear" w:color="auto" w:fill="auto"/>
                                  <w:vAlign w:val="center"/>
                                  <w:hideMark/>
                                </w:tcPr>
                                <w:p w14:paraId="3F29CE55"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人數</w:t>
                                  </w:r>
                                </w:p>
                              </w:tc>
                              <w:tc>
                                <w:tcPr>
                                  <w:tcW w:w="907" w:type="dxa"/>
                                  <w:vMerge w:val="restart"/>
                                  <w:tcBorders>
                                    <w:top w:val="nil"/>
                                    <w:left w:val="nil"/>
                                    <w:right w:val="single" w:sz="4" w:space="0" w:color="auto"/>
                                  </w:tcBorders>
                                  <w:shd w:val="clear" w:color="auto" w:fill="auto"/>
                                  <w:vAlign w:val="center"/>
                                  <w:hideMark/>
                                </w:tcPr>
                                <w:p w14:paraId="41DD64A0"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占比</w:t>
                                  </w:r>
                                </w:p>
                              </w:tc>
                              <w:tc>
                                <w:tcPr>
                                  <w:tcW w:w="1814" w:type="dxa"/>
                                  <w:gridSpan w:val="3"/>
                                  <w:tcBorders>
                                    <w:top w:val="nil"/>
                                    <w:left w:val="nil"/>
                                    <w:bottom w:val="single" w:sz="4" w:space="0" w:color="auto"/>
                                    <w:right w:val="single" w:sz="4" w:space="0" w:color="auto"/>
                                  </w:tcBorders>
                                  <w:shd w:val="clear" w:color="auto" w:fill="auto"/>
                                  <w:vAlign w:val="center"/>
                                  <w:hideMark/>
                                </w:tcPr>
                                <w:p w14:paraId="656A2E7B" w14:textId="77777777" w:rsidR="00E94BB2" w:rsidRPr="00772217" w:rsidRDefault="00E94BB2" w:rsidP="00A7017E">
                                  <w:pPr>
                                    <w:spacing w:line="240" w:lineRule="exact"/>
                                    <w:jc w:val="center"/>
                                    <w:rPr>
                                      <w:rFonts w:ascii="標楷體" w:eastAsia="標楷體" w:hAnsi="標楷體" w:cs="新細明體"/>
                                      <w:color w:val="000000"/>
                                      <w:spacing w:val="-4"/>
                                      <w:kern w:val="0"/>
                                      <w:sz w:val="20"/>
                                    </w:rPr>
                                  </w:pPr>
                                  <w:r w:rsidRPr="00772217">
                                    <w:rPr>
                                      <w:rFonts w:ascii="標楷體" w:eastAsia="標楷體" w:hAnsi="標楷體" w:cs="新細明體" w:hint="eastAsia"/>
                                      <w:color w:val="000000"/>
                                      <w:spacing w:val="-4"/>
                                      <w:kern w:val="0"/>
                                      <w:sz w:val="20"/>
                                    </w:rPr>
                                    <w:t>較</w:t>
                                  </w:r>
                                  <w:proofErr w:type="gramStart"/>
                                  <w:r w:rsidRPr="00772217">
                                    <w:rPr>
                                      <w:rFonts w:ascii="標楷體" w:eastAsia="標楷體" w:hAnsi="標楷體" w:cs="新細明體" w:hint="eastAsia"/>
                                      <w:color w:val="000000"/>
                                      <w:spacing w:val="-4"/>
                                      <w:kern w:val="0"/>
                                      <w:sz w:val="20"/>
                                    </w:rPr>
                                    <w:t>109</w:t>
                                  </w:r>
                                  <w:proofErr w:type="gramEnd"/>
                                  <w:r w:rsidRPr="00772217">
                                    <w:rPr>
                                      <w:rFonts w:ascii="標楷體" w:eastAsia="標楷體" w:hAnsi="標楷體" w:cs="新細明體" w:hint="eastAsia"/>
                                      <w:color w:val="000000"/>
                                      <w:spacing w:val="-4"/>
                                      <w:kern w:val="0"/>
                                      <w:sz w:val="20"/>
                                    </w:rPr>
                                    <w:t>年度增減情形</w:t>
                                  </w:r>
                                </w:p>
                              </w:tc>
                            </w:tr>
                            <w:tr w:rsidR="00E94BB2" w:rsidRPr="00AA7602" w14:paraId="540AD288" w14:textId="77777777" w:rsidTr="00772217">
                              <w:trPr>
                                <w:trHeight w:val="20"/>
                                <w:jc w:val="center"/>
                              </w:trPr>
                              <w:tc>
                                <w:tcPr>
                                  <w:tcW w:w="1131" w:type="dxa"/>
                                  <w:vMerge/>
                                  <w:tcBorders>
                                    <w:left w:val="single" w:sz="4" w:space="0" w:color="auto"/>
                                    <w:bottom w:val="single" w:sz="4" w:space="0" w:color="auto"/>
                                    <w:right w:val="single" w:sz="4" w:space="0" w:color="auto"/>
                                  </w:tcBorders>
                                  <w:vAlign w:val="center"/>
                                </w:tcPr>
                                <w:p w14:paraId="73E6454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vMerge/>
                                  <w:tcBorders>
                                    <w:left w:val="single" w:sz="4" w:space="0" w:color="auto"/>
                                    <w:bottom w:val="single" w:sz="4" w:space="0" w:color="auto"/>
                                    <w:right w:val="single" w:sz="4" w:space="0" w:color="auto"/>
                                  </w:tcBorders>
                                  <w:vAlign w:val="center"/>
                                </w:tcPr>
                                <w:p w14:paraId="63FD3D10"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051C8188"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31A1F568"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2D5056B2"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7E1AC22D"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nil"/>
                                    <w:bottom w:val="nil"/>
                                    <w:right w:val="single" w:sz="4" w:space="0" w:color="auto"/>
                                  </w:tcBorders>
                                  <w:shd w:val="clear" w:color="auto" w:fill="auto"/>
                                  <w:vAlign w:val="center"/>
                                </w:tcPr>
                                <w:p w14:paraId="63983E8B"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
                              </w:tc>
                              <w:tc>
                                <w:tcPr>
                                  <w:tcW w:w="907" w:type="dxa"/>
                                  <w:vMerge/>
                                  <w:tcBorders>
                                    <w:left w:val="nil"/>
                                    <w:bottom w:val="nil"/>
                                    <w:right w:val="single" w:sz="4" w:space="0" w:color="auto"/>
                                  </w:tcBorders>
                                  <w:shd w:val="clear" w:color="auto" w:fill="auto"/>
                                  <w:vAlign w:val="center"/>
                                </w:tcPr>
                                <w:p w14:paraId="62A4409F"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
                              </w:tc>
                              <w:tc>
                                <w:tcPr>
                                  <w:tcW w:w="907" w:type="dxa"/>
                                  <w:tcBorders>
                                    <w:top w:val="single" w:sz="4" w:space="0" w:color="auto"/>
                                    <w:left w:val="nil"/>
                                    <w:bottom w:val="nil"/>
                                    <w:right w:val="single" w:sz="4" w:space="0" w:color="auto"/>
                                  </w:tcBorders>
                                  <w:shd w:val="clear" w:color="auto" w:fill="auto"/>
                                  <w:vAlign w:val="center"/>
                                </w:tcPr>
                                <w:p w14:paraId="525003B4" w14:textId="77777777" w:rsidR="00E94BB2" w:rsidRPr="00AA7602" w:rsidRDefault="00E94BB2" w:rsidP="00A7017E">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910" w:type="dxa"/>
                                  <w:gridSpan w:val="2"/>
                                  <w:tcBorders>
                                    <w:top w:val="single" w:sz="4" w:space="0" w:color="auto"/>
                                    <w:left w:val="nil"/>
                                    <w:bottom w:val="nil"/>
                                    <w:right w:val="single" w:sz="4" w:space="0" w:color="auto"/>
                                  </w:tcBorders>
                                  <w:shd w:val="clear" w:color="auto" w:fill="auto"/>
                                  <w:vAlign w:val="center"/>
                                </w:tcPr>
                                <w:p w14:paraId="62AAF877" w14:textId="77777777" w:rsidR="00E94BB2" w:rsidRPr="00AA7602" w:rsidRDefault="00E94BB2" w:rsidP="00A7017E">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p>
                              </w:tc>
                            </w:tr>
                            <w:tr w:rsidR="00E94BB2" w:rsidRPr="00AA7602" w14:paraId="5F9AF8B2"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3E3B9B6D"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合 計</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0FC66D48" w14:textId="77777777" w:rsidR="00E94BB2" w:rsidRPr="00AA7602" w:rsidRDefault="00E94BB2" w:rsidP="00A7017E">
                                  <w:pPr>
                                    <w:widowControl/>
                                    <w:spacing w:line="240" w:lineRule="exact"/>
                                    <w:jc w:val="center"/>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總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4A5B1DFA"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90,448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2499C9DA"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94,003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AE1755B"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96,797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765FF0A2"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99,033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99F691E"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102,070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3907DE3"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100.00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693A4D12"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11,622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7CABA30C" w14:textId="77777777" w:rsidR="00E94BB2" w:rsidRDefault="00E94BB2" w:rsidP="00A7017E">
                                  <w:pPr>
                                    <w:widowControl/>
                                    <w:spacing w:line="240" w:lineRule="exact"/>
                                    <w:jc w:val="right"/>
                                    <w:rPr>
                                      <w:rFonts w:ascii="標楷體" w:eastAsia="標楷體" w:hAnsi="標楷體"/>
                                      <w:b/>
                                      <w:bCs/>
                                      <w:color w:val="000000"/>
                                      <w:sz w:val="20"/>
                                    </w:rPr>
                                  </w:pPr>
                                  <w:r>
                                    <w:rPr>
                                      <w:rFonts w:ascii="標楷體" w:eastAsia="標楷體" w:hAnsi="標楷體" w:hint="eastAsia"/>
                                      <w:b/>
                                      <w:bCs/>
                                      <w:color w:val="000000"/>
                                      <w:sz w:val="20"/>
                                    </w:rPr>
                                    <w:t>12.85</w:t>
                                  </w:r>
                                </w:p>
                              </w:tc>
                            </w:tr>
                            <w:tr w:rsidR="00E94BB2" w:rsidRPr="00AA7602" w14:paraId="30F46A2C"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5743AFE3"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5ABF6E88"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nil"/>
                                    <w:left w:val="nil"/>
                                    <w:bottom w:val="single" w:sz="4" w:space="0" w:color="auto"/>
                                    <w:right w:val="single" w:sz="4" w:space="0" w:color="auto"/>
                                  </w:tcBorders>
                                  <w:shd w:val="clear" w:color="auto" w:fill="auto"/>
                                  <w:vAlign w:val="center"/>
                                  <w:hideMark/>
                                </w:tcPr>
                                <w:p w14:paraId="7D0033C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53,830 </w:t>
                                  </w:r>
                                </w:p>
                              </w:tc>
                              <w:tc>
                                <w:tcPr>
                                  <w:tcW w:w="907" w:type="dxa"/>
                                  <w:tcBorders>
                                    <w:top w:val="nil"/>
                                    <w:left w:val="nil"/>
                                    <w:bottom w:val="single" w:sz="4" w:space="0" w:color="auto"/>
                                    <w:right w:val="single" w:sz="4" w:space="0" w:color="auto"/>
                                  </w:tcBorders>
                                  <w:shd w:val="clear" w:color="auto" w:fill="auto"/>
                                  <w:vAlign w:val="center"/>
                                  <w:hideMark/>
                                </w:tcPr>
                                <w:p w14:paraId="0BCFCB2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55,932 </w:t>
                                  </w:r>
                                </w:p>
                              </w:tc>
                              <w:tc>
                                <w:tcPr>
                                  <w:tcW w:w="907" w:type="dxa"/>
                                  <w:tcBorders>
                                    <w:top w:val="nil"/>
                                    <w:left w:val="nil"/>
                                    <w:bottom w:val="single" w:sz="4" w:space="0" w:color="auto"/>
                                    <w:right w:val="single" w:sz="4" w:space="0" w:color="auto"/>
                                  </w:tcBorders>
                                  <w:shd w:val="clear" w:color="auto" w:fill="auto"/>
                                  <w:vAlign w:val="center"/>
                                  <w:hideMark/>
                                </w:tcPr>
                                <w:p w14:paraId="3DB1CA9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58,393 </w:t>
                                  </w:r>
                                </w:p>
                              </w:tc>
                              <w:tc>
                                <w:tcPr>
                                  <w:tcW w:w="907" w:type="dxa"/>
                                  <w:tcBorders>
                                    <w:top w:val="nil"/>
                                    <w:left w:val="nil"/>
                                    <w:bottom w:val="single" w:sz="4" w:space="0" w:color="auto"/>
                                    <w:right w:val="single" w:sz="4" w:space="0" w:color="auto"/>
                                  </w:tcBorders>
                                  <w:shd w:val="clear" w:color="auto" w:fill="auto"/>
                                  <w:vAlign w:val="center"/>
                                  <w:hideMark/>
                                </w:tcPr>
                                <w:p w14:paraId="68B710B9"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59,172 </w:t>
                                  </w:r>
                                </w:p>
                              </w:tc>
                              <w:tc>
                                <w:tcPr>
                                  <w:tcW w:w="907" w:type="dxa"/>
                                  <w:tcBorders>
                                    <w:top w:val="nil"/>
                                    <w:left w:val="nil"/>
                                    <w:bottom w:val="single" w:sz="4" w:space="0" w:color="auto"/>
                                    <w:right w:val="single" w:sz="4" w:space="0" w:color="auto"/>
                                  </w:tcBorders>
                                  <w:shd w:val="clear" w:color="auto" w:fill="auto"/>
                                  <w:vAlign w:val="center"/>
                                  <w:hideMark/>
                                </w:tcPr>
                                <w:p w14:paraId="520976A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61,104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501AB32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2B578CA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7,274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hideMark/>
                                </w:tcPr>
                                <w:p w14:paraId="58BB9FF5" w14:textId="77777777" w:rsidR="00E94BB2" w:rsidRDefault="00E94BB2" w:rsidP="00A7017E">
                                  <w:pPr>
                                    <w:spacing w:line="240" w:lineRule="exact"/>
                                    <w:rPr>
                                      <w:rFonts w:ascii="Calibri" w:hAnsi="Calibri" w:cs="Calibri"/>
                                      <w:color w:val="000000"/>
                                    </w:rPr>
                                  </w:pPr>
                                </w:p>
                              </w:tc>
                            </w:tr>
                            <w:tr w:rsidR="00E94BB2" w:rsidRPr="00AA7602" w14:paraId="6C7A4298"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2B99F09A"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nil"/>
                                    <w:right w:val="single" w:sz="4" w:space="0" w:color="auto"/>
                                  </w:tcBorders>
                                  <w:shd w:val="clear" w:color="auto" w:fill="auto"/>
                                  <w:vAlign w:val="center"/>
                                  <w:hideMark/>
                                </w:tcPr>
                                <w:p w14:paraId="4BB01CE3"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nil"/>
                                    <w:right w:val="single" w:sz="4" w:space="0" w:color="auto"/>
                                  </w:tcBorders>
                                  <w:shd w:val="clear" w:color="auto" w:fill="auto"/>
                                  <w:vAlign w:val="center"/>
                                  <w:hideMark/>
                                </w:tcPr>
                                <w:p w14:paraId="3E50FB3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36,618 </w:t>
                                  </w:r>
                                </w:p>
                              </w:tc>
                              <w:tc>
                                <w:tcPr>
                                  <w:tcW w:w="907" w:type="dxa"/>
                                  <w:tcBorders>
                                    <w:top w:val="nil"/>
                                    <w:left w:val="nil"/>
                                    <w:bottom w:val="nil"/>
                                    <w:right w:val="single" w:sz="4" w:space="0" w:color="auto"/>
                                  </w:tcBorders>
                                  <w:shd w:val="clear" w:color="auto" w:fill="auto"/>
                                  <w:vAlign w:val="center"/>
                                  <w:hideMark/>
                                </w:tcPr>
                                <w:p w14:paraId="43C35E0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38,071 </w:t>
                                  </w:r>
                                </w:p>
                              </w:tc>
                              <w:tc>
                                <w:tcPr>
                                  <w:tcW w:w="907" w:type="dxa"/>
                                  <w:tcBorders>
                                    <w:top w:val="nil"/>
                                    <w:left w:val="nil"/>
                                    <w:bottom w:val="nil"/>
                                    <w:right w:val="single" w:sz="4" w:space="0" w:color="auto"/>
                                  </w:tcBorders>
                                  <w:shd w:val="clear" w:color="auto" w:fill="auto"/>
                                  <w:vAlign w:val="center"/>
                                  <w:hideMark/>
                                </w:tcPr>
                                <w:p w14:paraId="38FA161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38,404 </w:t>
                                  </w:r>
                                </w:p>
                              </w:tc>
                              <w:tc>
                                <w:tcPr>
                                  <w:tcW w:w="907" w:type="dxa"/>
                                  <w:tcBorders>
                                    <w:top w:val="nil"/>
                                    <w:left w:val="nil"/>
                                    <w:bottom w:val="nil"/>
                                    <w:right w:val="single" w:sz="4" w:space="0" w:color="auto"/>
                                  </w:tcBorders>
                                  <w:shd w:val="clear" w:color="auto" w:fill="auto"/>
                                  <w:vAlign w:val="center"/>
                                  <w:hideMark/>
                                </w:tcPr>
                                <w:p w14:paraId="6D2E66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39,861 </w:t>
                                  </w:r>
                                </w:p>
                              </w:tc>
                              <w:tc>
                                <w:tcPr>
                                  <w:tcW w:w="907" w:type="dxa"/>
                                  <w:tcBorders>
                                    <w:top w:val="nil"/>
                                    <w:left w:val="nil"/>
                                    <w:bottom w:val="nil"/>
                                    <w:right w:val="single" w:sz="4" w:space="0" w:color="auto"/>
                                  </w:tcBorders>
                                  <w:shd w:val="clear" w:color="auto" w:fill="auto"/>
                                  <w:vAlign w:val="center"/>
                                  <w:hideMark/>
                                </w:tcPr>
                                <w:p w14:paraId="281A013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40,966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08AD3F2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nil"/>
                                    <w:right w:val="single" w:sz="4" w:space="0" w:color="auto"/>
                                  </w:tcBorders>
                                  <w:shd w:val="clear" w:color="auto" w:fill="auto"/>
                                  <w:vAlign w:val="center"/>
                                  <w:hideMark/>
                                </w:tcPr>
                                <w:p w14:paraId="795D4A8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4,348 </w:t>
                                  </w:r>
                                </w:p>
                              </w:tc>
                              <w:tc>
                                <w:tcPr>
                                  <w:tcW w:w="910" w:type="dxa"/>
                                  <w:gridSpan w:val="2"/>
                                  <w:tcBorders>
                                    <w:top w:val="single" w:sz="4" w:space="0" w:color="auto"/>
                                    <w:left w:val="nil"/>
                                    <w:bottom w:val="single" w:sz="8" w:space="0" w:color="auto"/>
                                    <w:right w:val="single" w:sz="4" w:space="0" w:color="auto"/>
                                    <w:tl2br w:val="single" w:sz="4" w:space="0" w:color="auto"/>
                                  </w:tcBorders>
                                  <w:shd w:val="clear" w:color="auto" w:fill="auto"/>
                                  <w:vAlign w:val="center"/>
                                  <w:hideMark/>
                                </w:tcPr>
                                <w:p w14:paraId="0B02260C" w14:textId="77777777" w:rsidR="00E94BB2" w:rsidRDefault="00E94BB2" w:rsidP="00A7017E">
                                  <w:pPr>
                                    <w:spacing w:line="240" w:lineRule="exact"/>
                                    <w:rPr>
                                      <w:rFonts w:ascii="Calibri" w:hAnsi="Calibri" w:cs="Calibri"/>
                                      <w:color w:val="000000"/>
                                    </w:rPr>
                                  </w:pPr>
                                </w:p>
                              </w:tc>
                            </w:tr>
                            <w:tr w:rsidR="00E94BB2" w:rsidRPr="00AA7602" w14:paraId="31CAA0E8"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2959AFD1" w14:textId="70C9998A"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公務機關</w:t>
                                  </w:r>
                                  <w:r w:rsidRPr="00AA7602">
                                    <w:rPr>
                                      <w:rFonts w:ascii="標楷體" w:eastAsia="標楷體" w:hAnsi="標楷體" w:cs="新細明體" w:hint="eastAsia"/>
                                      <w:color w:val="000000"/>
                                      <w:kern w:val="0"/>
                                      <w:sz w:val="20"/>
                                    </w:rPr>
                                    <w:br/>
                                  </w:r>
                                  <w:r w:rsidRPr="00014688">
                                    <w:rPr>
                                      <w:rFonts w:ascii="標楷體" w:eastAsia="標楷體" w:hAnsi="標楷體" w:cs="新細明體" w:hint="eastAsia"/>
                                      <w:color w:val="000000"/>
                                      <w:kern w:val="0"/>
                                      <w:sz w:val="20"/>
                                    </w:rPr>
                                    <w:t>(</w:t>
                                  </w:r>
                                  <w:proofErr w:type="gramStart"/>
                                  <w:r w:rsidRPr="00014688">
                                    <w:rPr>
                                      <w:rFonts w:ascii="標楷體" w:eastAsia="標楷體" w:hAnsi="標楷體" w:cs="新細明體" w:hint="eastAsia"/>
                                      <w:color w:val="000000"/>
                                      <w:kern w:val="0"/>
                                      <w:sz w:val="20"/>
                                    </w:rPr>
                                    <w:t>註</w:t>
                                  </w:r>
                                  <w:proofErr w:type="gramEnd"/>
                                  <w:r w:rsidR="00BA7457" w:rsidRPr="00014688">
                                    <w:rPr>
                                      <w:rFonts w:ascii="標楷體" w:eastAsia="標楷體" w:hAnsi="標楷體" w:cs="新細明體"/>
                                      <w:color w:val="000000"/>
                                      <w:kern w:val="0"/>
                                      <w:sz w:val="20"/>
                                    </w:rPr>
                                    <w:t>2</w:t>
                                  </w:r>
                                  <w:r w:rsidRPr="00014688">
                                    <w:rPr>
                                      <w:rFonts w:ascii="標楷體" w:eastAsia="標楷體" w:hAnsi="標楷體" w:cs="新細明體" w:hint="eastAsia"/>
                                      <w:color w:val="000000"/>
                                      <w:kern w:val="0"/>
                                      <w:sz w:val="20"/>
                                    </w:rPr>
                                    <w:t>)</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70BA9C4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小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420AF2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40,492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900C33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41,864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6D4DB7E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42,076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994BEC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42,816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A66E7F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43,689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8DE30F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42.80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F08869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3,197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251F0334" w14:textId="77777777" w:rsidR="00E94BB2" w:rsidRPr="002515F0" w:rsidRDefault="00E94BB2" w:rsidP="00A7017E">
                                  <w:pPr>
                                    <w:spacing w:line="240" w:lineRule="exact"/>
                                    <w:jc w:val="right"/>
                                    <w:rPr>
                                      <w:rFonts w:ascii="標楷體" w:eastAsia="標楷體" w:hAnsi="標楷體" w:cs="新細明體"/>
                                      <w:bCs/>
                                      <w:color w:val="000000"/>
                                      <w:sz w:val="20"/>
                                    </w:rPr>
                                  </w:pPr>
                                  <w:r w:rsidRPr="002515F0">
                                    <w:rPr>
                                      <w:rFonts w:ascii="標楷體" w:eastAsia="標楷體" w:hAnsi="標楷體" w:hint="eastAsia"/>
                                      <w:bCs/>
                                      <w:color w:val="000000"/>
                                      <w:sz w:val="20"/>
                                    </w:rPr>
                                    <w:t>7.90</w:t>
                                  </w:r>
                                </w:p>
                              </w:tc>
                            </w:tr>
                            <w:tr w:rsidR="00E94BB2" w:rsidRPr="00AA7602" w14:paraId="3E27EECC" w14:textId="77777777" w:rsidTr="00772217">
                              <w:trPr>
                                <w:trHeight w:val="20"/>
                                <w:jc w:val="center"/>
                              </w:trPr>
                              <w:tc>
                                <w:tcPr>
                                  <w:tcW w:w="1131" w:type="dxa"/>
                                  <w:vMerge/>
                                  <w:tcBorders>
                                    <w:top w:val="nil"/>
                                    <w:left w:val="single" w:sz="4" w:space="0" w:color="auto"/>
                                    <w:bottom w:val="single" w:sz="4" w:space="0" w:color="auto"/>
                                    <w:right w:val="single" w:sz="4" w:space="0" w:color="auto"/>
                                  </w:tcBorders>
                                  <w:vAlign w:val="center"/>
                                  <w:hideMark/>
                                </w:tcPr>
                                <w:p w14:paraId="458BB4E7"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1BA7ECD8"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nil"/>
                                    <w:left w:val="nil"/>
                                    <w:bottom w:val="single" w:sz="4" w:space="0" w:color="auto"/>
                                    <w:right w:val="single" w:sz="4" w:space="0" w:color="auto"/>
                                  </w:tcBorders>
                                  <w:shd w:val="clear" w:color="auto" w:fill="auto"/>
                                  <w:vAlign w:val="center"/>
                                  <w:hideMark/>
                                </w:tcPr>
                                <w:p w14:paraId="1435D5A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15,272 </w:t>
                                  </w:r>
                                </w:p>
                              </w:tc>
                              <w:tc>
                                <w:tcPr>
                                  <w:tcW w:w="907" w:type="dxa"/>
                                  <w:tcBorders>
                                    <w:top w:val="nil"/>
                                    <w:left w:val="nil"/>
                                    <w:bottom w:val="single" w:sz="4" w:space="0" w:color="auto"/>
                                    <w:right w:val="single" w:sz="4" w:space="0" w:color="auto"/>
                                  </w:tcBorders>
                                  <w:shd w:val="clear" w:color="auto" w:fill="auto"/>
                                  <w:vAlign w:val="center"/>
                                  <w:hideMark/>
                                </w:tcPr>
                                <w:p w14:paraId="7052A14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15,616 </w:t>
                                  </w:r>
                                </w:p>
                              </w:tc>
                              <w:tc>
                                <w:tcPr>
                                  <w:tcW w:w="907" w:type="dxa"/>
                                  <w:tcBorders>
                                    <w:top w:val="nil"/>
                                    <w:left w:val="nil"/>
                                    <w:bottom w:val="single" w:sz="4" w:space="0" w:color="auto"/>
                                    <w:right w:val="single" w:sz="4" w:space="0" w:color="auto"/>
                                  </w:tcBorders>
                                  <w:shd w:val="clear" w:color="auto" w:fill="auto"/>
                                  <w:vAlign w:val="center"/>
                                  <w:hideMark/>
                                </w:tcPr>
                                <w:p w14:paraId="2D01849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15,906 </w:t>
                                  </w:r>
                                </w:p>
                              </w:tc>
                              <w:tc>
                                <w:tcPr>
                                  <w:tcW w:w="907" w:type="dxa"/>
                                  <w:tcBorders>
                                    <w:top w:val="nil"/>
                                    <w:left w:val="nil"/>
                                    <w:bottom w:val="single" w:sz="4" w:space="0" w:color="auto"/>
                                    <w:right w:val="single" w:sz="4" w:space="0" w:color="auto"/>
                                  </w:tcBorders>
                                  <w:shd w:val="clear" w:color="auto" w:fill="auto"/>
                                  <w:vAlign w:val="center"/>
                                  <w:hideMark/>
                                </w:tcPr>
                                <w:p w14:paraId="2E49963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15,511 </w:t>
                                  </w:r>
                                </w:p>
                              </w:tc>
                              <w:tc>
                                <w:tcPr>
                                  <w:tcW w:w="907" w:type="dxa"/>
                                  <w:tcBorders>
                                    <w:top w:val="nil"/>
                                    <w:left w:val="nil"/>
                                    <w:bottom w:val="single" w:sz="4" w:space="0" w:color="auto"/>
                                    <w:right w:val="single" w:sz="4" w:space="0" w:color="auto"/>
                                  </w:tcBorders>
                                  <w:shd w:val="clear" w:color="auto" w:fill="auto"/>
                                  <w:vAlign w:val="center"/>
                                  <w:hideMark/>
                                </w:tcPr>
                                <w:p w14:paraId="5814764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15,737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240A4169"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387C14C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46</w:t>
                                  </w:r>
                                  <w:r>
                                    <w:rPr>
                                      <w:rFonts w:ascii="標楷體" w:eastAsia="標楷體" w:hAnsi="標楷體" w:cs="新細明體"/>
                                      <w:color w:val="000000"/>
                                      <w:kern w:val="0"/>
                                      <w:sz w:val="20"/>
                                    </w:rPr>
                                    <w:t>5</w:t>
                                  </w:r>
                                  <w:r w:rsidRPr="00AA7602">
                                    <w:rPr>
                                      <w:rFonts w:ascii="標楷體" w:eastAsia="標楷體" w:hAnsi="標楷體" w:cs="新細明體" w:hint="eastAsia"/>
                                      <w:color w:val="000000"/>
                                      <w:kern w:val="0"/>
                                      <w:sz w:val="20"/>
                                    </w:rPr>
                                    <w:t xml:space="preserve">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tcPr>
                                <w:p w14:paraId="0B365357"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40855CB0" w14:textId="77777777" w:rsidTr="00772217">
                              <w:trPr>
                                <w:trHeight w:val="20"/>
                                <w:jc w:val="center"/>
                              </w:trPr>
                              <w:tc>
                                <w:tcPr>
                                  <w:tcW w:w="1131" w:type="dxa"/>
                                  <w:vMerge/>
                                  <w:tcBorders>
                                    <w:top w:val="nil"/>
                                    <w:left w:val="single" w:sz="4" w:space="0" w:color="auto"/>
                                    <w:bottom w:val="single" w:sz="4" w:space="0" w:color="auto"/>
                                    <w:right w:val="single" w:sz="4" w:space="0" w:color="auto"/>
                                  </w:tcBorders>
                                  <w:vAlign w:val="center"/>
                                  <w:hideMark/>
                                </w:tcPr>
                                <w:p w14:paraId="1D00D8CF"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448A48BA"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single" w:sz="4" w:space="0" w:color="auto"/>
                                    <w:right w:val="single" w:sz="4" w:space="0" w:color="auto"/>
                                  </w:tcBorders>
                                  <w:shd w:val="clear" w:color="auto" w:fill="auto"/>
                                  <w:vAlign w:val="center"/>
                                  <w:hideMark/>
                                </w:tcPr>
                                <w:p w14:paraId="0814E50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25,220 </w:t>
                                  </w:r>
                                </w:p>
                              </w:tc>
                              <w:tc>
                                <w:tcPr>
                                  <w:tcW w:w="907" w:type="dxa"/>
                                  <w:tcBorders>
                                    <w:top w:val="nil"/>
                                    <w:left w:val="nil"/>
                                    <w:bottom w:val="single" w:sz="4" w:space="0" w:color="auto"/>
                                    <w:right w:val="single" w:sz="4" w:space="0" w:color="auto"/>
                                  </w:tcBorders>
                                  <w:shd w:val="clear" w:color="auto" w:fill="auto"/>
                                  <w:vAlign w:val="center"/>
                                  <w:hideMark/>
                                </w:tcPr>
                                <w:p w14:paraId="24A2449C"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26,248 </w:t>
                                  </w:r>
                                </w:p>
                              </w:tc>
                              <w:tc>
                                <w:tcPr>
                                  <w:tcW w:w="907" w:type="dxa"/>
                                  <w:tcBorders>
                                    <w:top w:val="nil"/>
                                    <w:left w:val="nil"/>
                                    <w:bottom w:val="single" w:sz="4" w:space="0" w:color="auto"/>
                                    <w:right w:val="single" w:sz="4" w:space="0" w:color="auto"/>
                                  </w:tcBorders>
                                  <w:shd w:val="clear" w:color="auto" w:fill="auto"/>
                                  <w:vAlign w:val="center"/>
                                  <w:hideMark/>
                                </w:tcPr>
                                <w:p w14:paraId="002EE81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26,170 </w:t>
                                  </w:r>
                                </w:p>
                              </w:tc>
                              <w:tc>
                                <w:tcPr>
                                  <w:tcW w:w="907" w:type="dxa"/>
                                  <w:tcBorders>
                                    <w:top w:val="nil"/>
                                    <w:left w:val="nil"/>
                                    <w:bottom w:val="single" w:sz="4" w:space="0" w:color="auto"/>
                                    <w:right w:val="single" w:sz="4" w:space="0" w:color="auto"/>
                                  </w:tcBorders>
                                  <w:shd w:val="clear" w:color="auto" w:fill="auto"/>
                                  <w:vAlign w:val="center"/>
                                  <w:hideMark/>
                                </w:tcPr>
                                <w:p w14:paraId="2289B46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27,305 </w:t>
                                  </w:r>
                                </w:p>
                              </w:tc>
                              <w:tc>
                                <w:tcPr>
                                  <w:tcW w:w="907" w:type="dxa"/>
                                  <w:tcBorders>
                                    <w:top w:val="nil"/>
                                    <w:left w:val="nil"/>
                                    <w:bottom w:val="single" w:sz="4" w:space="0" w:color="auto"/>
                                    <w:right w:val="single" w:sz="4" w:space="0" w:color="auto"/>
                                  </w:tcBorders>
                                  <w:shd w:val="clear" w:color="auto" w:fill="auto"/>
                                  <w:vAlign w:val="center"/>
                                  <w:hideMark/>
                                </w:tcPr>
                                <w:p w14:paraId="17D9F62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27,952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1FC4591C"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4A9B4A1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2,732 </w:t>
                                  </w:r>
                                </w:p>
                              </w:tc>
                              <w:tc>
                                <w:tcPr>
                                  <w:tcW w:w="910" w:type="dxa"/>
                                  <w:gridSpan w:val="2"/>
                                  <w:tcBorders>
                                    <w:top w:val="single" w:sz="4" w:space="0" w:color="auto"/>
                                    <w:left w:val="nil"/>
                                    <w:bottom w:val="single" w:sz="8" w:space="0" w:color="auto"/>
                                    <w:right w:val="single" w:sz="4" w:space="0" w:color="auto"/>
                                    <w:tl2br w:val="single" w:sz="4" w:space="0" w:color="auto"/>
                                  </w:tcBorders>
                                  <w:shd w:val="clear" w:color="auto" w:fill="auto"/>
                                  <w:vAlign w:val="center"/>
                                </w:tcPr>
                                <w:p w14:paraId="4275E956"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5531608B"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57419A9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公立學校</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0AD5483D"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小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340FF6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8,104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F93424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8,398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2F625D2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8,862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6B9DA12C"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9,007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93D11AB"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9,574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6DB8A3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9.38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F512EB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1,470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28796C02" w14:textId="77777777" w:rsidR="00E94BB2" w:rsidRPr="002515F0" w:rsidRDefault="00E94BB2" w:rsidP="00A7017E">
                                  <w:pPr>
                                    <w:spacing w:line="240" w:lineRule="exact"/>
                                    <w:jc w:val="right"/>
                                    <w:rPr>
                                      <w:rFonts w:ascii="標楷體" w:eastAsia="標楷體" w:hAnsi="標楷體"/>
                                      <w:bCs/>
                                      <w:color w:val="000000"/>
                                      <w:sz w:val="20"/>
                                    </w:rPr>
                                  </w:pPr>
                                  <w:r w:rsidRPr="002515F0">
                                    <w:rPr>
                                      <w:rFonts w:ascii="標楷體" w:eastAsia="標楷體" w:hAnsi="標楷體" w:hint="eastAsia"/>
                                      <w:bCs/>
                                      <w:color w:val="000000"/>
                                      <w:sz w:val="20"/>
                                    </w:rPr>
                                    <w:t>18.14</w:t>
                                  </w:r>
                                </w:p>
                              </w:tc>
                            </w:tr>
                            <w:tr w:rsidR="00E94BB2" w:rsidRPr="00AA7602" w14:paraId="32491EAA"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625189D6"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1D2AC"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459BFAF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4,885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0BF7673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5,132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D3E82A4"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5,435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52269E2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5,499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E8D159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5,959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7581B47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0BF43F8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1,074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tcPr>
                                <w:p w14:paraId="3436B84D"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01DEF14F"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3A2A3E8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01AE2BB9"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single" w:sz="4" w:space="0" w:color="auto"/>
                                    <w:right w:val="single" w:sz="4" w:space="0" w:color="auto"/>
                                  </w:tcBorders>
                                  <w:shd w:val="clear" w:color="auto" w:fill="auto"/>
                                  <w:vAlign w:val="center"/>
                                  <w:hideMark/>
                                </w:tcPr>
                                <w:p w14:paraId="11D007C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3,219 </w:t>
                                  </w:r>
                                </w:p>
                              </w:tc>
                              <w:tc>
                                <w:tcPr>
                                  <w:tcW w:w="907" w:type="dxa"/>
                                  <w:tcBorders>
                                    <w:top w:val="nil"/>
                                    <w:left w:val="nil"/>
                                    <w:bottom w:val="single" w:sz="4" w:space="0" w:color="auto"/>
                                    <w:right w:val="single" w:sz="4" w:space="0" w:color="auto"/>
                                  </w:tcBorders>
                                  <w:shd w:val="clear" w:color="auto" w:fill="auto"/>
                                  <w:vAlign w:val="center"/>
                                  <w:hideMark/>
                                </w:tcPr>
                                <w:p w14:paraId="74C790F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3,267 </w:t>
                                  </w:r>
                                </w:p>
                              </w:tc>
                              <w:tc>
                                <w:tcPr>
                                  <w:tcW w:w="907" w:type="dxa"/>
                                  <w:tcBorders>
                                    <w:top w:val="nil"/>
                                    <w:left w:val="nil"/>
                                    <w:bottom w:val="single" w:sz="4" w:space="0" w:color="auto"/>
                                    <w:right w:val="single" w:sz="4" w:space="0" w:color="auto"/>
                                  </w:tcBorders>
                                  <w:shd w:val="clear" w:color="auto" w:fill="auto"/>
                                  <w:vAlign w:val="center"/>
                                  <w:hideMark/>
                                </w:tcPr>
                                <w:p w14:paraId="271180F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3,427 </w:t>
                                  </w:r>
                                </w:p>
                              </w:tc>
                              <w:tc>
                                <w:tcPr>
                                  <w:tcW w:w="907" w:type="dxa"/>
                                  <w:tcBorders>
                                    <w:top w:val="nil"/>
                                    <w:left w:val="nil"/>
                                    <w:bottom w:val="single" w:sz="4" w:space="0" w:color="auto"/>
                                    <w:right w:val="single" w:sz="4" w:space="0" w:color="auto"/>
                                  </w:tcBorders>
                                  <w:shd w:val="clear" w:color="auto" w:fill="auto"/>
                                  <w:vAlign w:val="center"/>
                                  <w:hideMark/>
                                </w:tcPr>
                                <w:p w14:paraId="658D5BC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3,509 </w:t>
                                  </w:r>
                                </w:p>
                              </w:tc>
                              <w:tc>
                                <w:tcPr>
                                  <w:tcW w:w="907" w:type="dxa"/>
                                  <w:tcBorders>
                                    <w:top w:val="nil"/>
                                    <w:left w:val="nil"/>
                                    <w:bottom w:val="single" w:sz="4" w:space="0" w:color="auto"/>
                                    <w:right w:val="single" w:sz="4" w:space="0" w:color="auto"/>
                                  </w:tcBorders>
                                  <w:shd w:val="clear" w:color="auto" w:fill="auto"/>
                                  <w:vAlign w:val="center"/>
                                  <w:hideMark/>
                                </w:tcPr>
                                <w:p w14:paraId="7B067ED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3,615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433BE12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6B389AA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39</w:t>
                                  </w:r>
                                  <w:r>
                                    <w:rPr>
                                      <w:rFonts w:ascii="標楷體" w:eastAsia="標楷體" w:hAnsi="標楷體" w:cs="新細明體"/>
                                      <w:color w:val="000000"/>
                                      <w:kern w:val="0"/>
                                      <w:sz w:val="20"/>
                                    </w:rPr>
                                    <w:t>6</w:t>
                                  </w:r>
                                  <w:r w:rsidRPr="00AA7602">
                                    <w:rPr>
                                      <w:rFonts w:ascii="標楷體" w:eastAsia="標楷體" w:hAnsi="標楷體" w:cs="新細明體" w:hint="eastAsia"/>
                                      <w:color w:val="000000"/>
                                      <w:kern w:val="0"/>
                                      <w:sz w:val="20"/>
                                    </w:rPr>
                                    <w:t xml:space="preserve"> </w:t>
                                  </w:r>
                                </w:p>
                              </w:tc>
                              <w:tc>
                                <w:tcPr>
                                  <w:tcW w:w="910" w:type="dxa"/>
                                  <w:gridSpan w:val="2"/>
                                  <w:tcBorders>
                                    <w:top w:val="single" w:sz="4" w:space="0" w:color="auto"/>
                                    <w:left w:val="nil"/>
                                    <w:bottom w:val="single" w:sz="8" w:space="0" w:color="auto"/>
                                    <w:right w:val="single" w:sz="4" w:space="0" w:color="auto"/>
                                    <w:tl2br w:val="single" w:sz="4" w:space="0" w:color="auto"/>
                                  </w:tcBorders>
                                  <w:shd w:val="clear" w:color="auto" w:fill="auto"/>
                                  <w:vAlign w:val="center"/>
                                </w:tcPr>
                                <w:p w14:paraId="75921FE8"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79D2B99C"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60DC1813" w14:textId="77777777" w:rsidR="00E94BB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公立醫療</w:t>
                                  </w:r>
                                </w:p>
                                <w:p w14:paraId="76946978"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機構</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369F05E6"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小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0DB2123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41,853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03716A4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43,741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107C6CB"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45,858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26223C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47,210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A034E7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48,808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4BE584B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47.82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F2152B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6,956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7C70434C" w14:textId="77777777" w:rsidR="00E94BB2" w:rsidRPr="002515F0" w:rsidRDefault="00E94BB2" w:rsidP="00A7017E">
                                  <w:pPr>
                                    <w:spacing w:line="240" w:lineRule="exact"/>
                                    <w:jc w:val="right"/>
                                    <w:rPr>
                                      <w:rFonts w:ascii="標楷體" w:eastAsia="標楷體" w:hAnsi="標楷體"/>
                                      <w:bCs/>
                                      <w:color w:val="000000"/>
                                      <w:sz w:val="20"/>
                                    </w:rPr>
                                  </w:pPr>
                                  <w:r w:rsidRPr="002515F0">
                                    <w:rPr>
                                      <w:rFonts w:ascii="標楷體" w:eastAsia="標楷體" w:hAnsi="標楷體" w:hint="eastAsia"/>
                                      <w:bCs/>
                                      <w:color w:val="000000"/>
                                      <w:sz w:val="20"/>
                                    </w:rPr>
                                    <w:t>16.62</w:t>
                                  </w:r>
                                </w:p>
                              </w:tc>
                            </w:tr>
                            <w:tr w:rsidR="00E94BB2" w:rsidRPr="00AA7602" w14:paraId="54F653D1"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24279161"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10BE2"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4C31A82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33,673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80DC6B4"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35,185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338CA0A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37,051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34FB5E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38,162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A5FE4C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39,408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3BD7D18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18ED75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5,735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tcPr>
                                <w:p w14:paraId="3FE87C53" w14:textId="77777777" w:rsidR="00E94BB2" w:rsidRPr="00907C62" w:rsidRDefault="00E94BB2" w:rsidP="00A7017E">
                                  <w:pPr>
                                    <w:spacing w:line="240" w:lineRule="exact"/>
                                    <w:jc w:val="right"/>
                                    <w:rPr>
                                      <w:rFonts w:ascii="標楷體" w:eastAsia="標楷體" w:hAnsi="標楷體" w:cs="新細明體"/>
                                      <w:color w:val="000000"/>
                                      <w:sz w:val="20"/>
                                    </w:rPr>
                                  </w:pPr>
                                </w:p>
                              </w:tc>
                            </w:tr>
                            <w:tr w:rsidR="00E94BB2" w:rsidRPr="00AA7602" w14:paraId="270C3D29"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08FA66B3"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0942987A"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single" w:sz="4" w:space="0" w:color="auto"/>
                                    <w:right w:val="single" w:sz="4" w:space="0" w:color="auto"/>
                                  </w:tcBorders>
                                  <w:shd w:val="clear" w:color="auto" w:fill="auto"/>
                                  <w:vAlign w:val="center"/>
                                  <w:hideMark/>
                                </w:tcPr>
                                <w:p w14:paraId="5AE043A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8,179 </w:t>
                                  </w:r>
                                </w:p>
                              </w:tc>
                              <w:tc>
                                <w:tcPr>
                                  <w:tcW w:w="907" w:type="dxa"/>
                                  <w:tcBorders>
                                    <w:top w:val="nil"/>
                                    <w:left w:val="nil"/>
                                    <w:bottom w:val="single" w:sz="4" w:space="0" w:color="auto"/>
                                    <w:right w:val="single" w:sz="4" w:space="0" w:color="auto"/>
                                  </w:tcBorders>
                                  <w:shd w:val="clear" w:color="auto" w:fill="auto"/>
                                  <w:vAlign w:val="center"/>
                                  <w:hideMark/>
                                </w:tcPr>
                                <w:p w14:paraId="68914F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8,556 </w:t>
                                  </w:r>
                                </w:p>
                              </w:tc>
                              <w:tc>
                                <w:tcPr>
                                  <w:tcW w:w="907" w:type="dxa"/>
                                  <w:tcBorders>
                                    <w:top w:val="nil"/>
                                    <w:left w:val="nil"/>
                                    <w:bottom w:val="single" w:sz="4" w:space="0" w:color="auto"/>
                                    <w:right w:val="single" w:sz="4" w:space="0" w:color="auto"/>
                                  </w:tcBorders>
                                  <w:shd w:val="clear" w:color="auto" w:fill="auto"/>
                                  <w:vAlign w:val="center"/>
                                  <w:hideMark/>
                                </w:tcPr>
                                <w:p w14:paraId="299E84D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8,807 </w:t>
                                  </w:r>
                                </w:p>
                              </w:tc>
                              <w:tc>
                                <w:tcPr>
                                  <w:tcW w:w="907" w:type="dxa"/>
                                  <w:tcBorders>
                                    <w:top w:val="nil"/>
                                    <w:left w:val="nil"/>
                                    <w:bottom w:val="single" w:sz="4" w:space="0" w:color="auto"/>
                                    <w:right w:val="single" w:sz="4" w:space="0" w:color="auto"/>
                                  </w:tcBorders>
                                  <w:shd w:val="clear" w:color="auto" w:fill="auto"/>
                                  <w:vAlign w:val="center"/>
                                  <w:hideMark/>
                                </w:tcPr>
                                <w:p w14:paraId="415C099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9,048 </w:t>
                                  </w:r>
                                </w:p>
                              </w:tc>
                              <w:tc>
                                <w:tcPr>
                                  <w:tcW w:w="907" w:type="dxa"/>
                                  <w:tcBorders>
                                    <w:top w:val="nil"/>
                                    <w:left w:val="nil"/>
                                    <w:bottom w:val="single" w:sz="4" w:space="0" w:color="auto"/>
                                    <w:right w:val="single" w:sz="4" w:space="0" w:color="auto"/>
                                  </w:tcBorders>
                                  <w:shd w:val="clear" w:color="auto" w:fill="auto"/>
                                  <w:vAlign w:val="center"/>
                                  <w:hideMark/>
                                </w:tcPr>
                                <w:p w14:paraId="02E8067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9,400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1A4D210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1BF8F7EB"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1,221 </w:t>
                                  </w:r>
                                </w:p>
                              </w:tc>
                              <w:tc>
                                <w:tcPr>
                                  <w:tcW w:w="910" w:type="dxa"/>
                                  <w:gridSpan w:val="2"/>
                                  <w:tcBorders>
                                    <w:top w:val="single" w:sz="4" w:space="0" w:color="auto"/>
                                    <w:left w:val="nil"/>
                                    <w:bottom w:val="single" w:sz="4" w:space="0" w:color="auto"/>
                                    <w:right w:val="single" w:sz="4" w:space="0" w:color="auto"/>
                                    <w:tl2br w:val="single" w:sz="4" w:space="0" w:color="auto"/>
                                  </w:tcBorders>
                                  <w:shd w:val="clear" w:color="auto" w:fill="auto"/>
                                  <w:vAlign w:val="center"/>
                                </w:tcPr>
                                <w:p w14:paraId="394BABD8" w14:textId="77777777" w:rsidR="00E94BB2" w:rsidRPr="00907C62" w:rsidRDefault="00E94BB2" w:rsidP="00A7017E">
                                  <w:pPr>
                                    <w:spacing w:line="240" w:lineRule="exact"/>
                                    <w:jc w:val="right"/>
                                    <w:rPr>
                                      <w:rFonts w:ascii="標楷體" w:eastAsia="標楷體" w:hAnsi="標楷體"/>
                                      <w:color w:val="000000"/>
                                      <w:sz w:val="20"/>
                                    </w:rPr>
                                  </w:pPr>
                                </w:p>
                              </w:tc>
                            </w:tr>
                            <w:tr w:rsidR="00E94BB2" w:rsidRPr="00AA7602" w14:paraId="473276AA" w14:textId="77777777" w:rsidTr="00772217">
                              <w:trPr>
                                <w:gridAfter w:val="1"/>
                                <w:wAfter w:w="57" w:type="dxa"/>
                                <w:trHeight w:val="283"/>
                                <w:jc w:val="center"/>
                              </w:trPr>
                              <w:tc>
                                <w:tcPr>
                                  <w:tcW w:w="9873" w:type="dxa"/>
                                  <w:gridSpan w:val="10"/>
                                  <w:tcBorders>
                                    <w:top w:val="single" w:sz="4" w:space="0" w:color="auto"/>
                                  </w:tcBorders>
                                  <w:vAlign w:val="center"/>
                                </w:tcPr>
                                <w:p w14:paraId="1B931082" w14:textId="77777777" w:rsidR="00E94BB2" w:rsidRPr="008F3D3E" w:rsidRDefault="00E94BB2" w:rsidP="00F95D89">
                                  <w:pPr>
                                    <w:widowControl/>
                                    <w:spacing w:line="200" w:lineRule="exact"/>
                                    <w:ind w:left="522" w:hangingChars="290" w:hanging="522"/>
                                    <w:jc w:val="both"/>
                                    <w:rPr>
                                      <w:rFonts w:ascii="標楷體" w:eastAsia="標楷體" w:hAnsi="標楷體" w:cs="新細明體"/>
                                      <w:kern w:val="0"/>
                                      <w:sz w:val="18"/>
                                      <w:szCs w:val="18"/>
                                    </w:rPr>
                                  </w:pPr>
                                  <w:proofErr w:type="gramStart"/>
                                  <w:r w:rsidRPr="008F3D3E">
                                    <w:rPr>
                                      <w:rFonts w:ascii="標楷體" w:eastAsia="標楷體" w:hAnsi="標楷體" w:cs="新細明體" w:hint="eastAsia"/>
                                      <w:kern w:val="0"/>
                                      <w:sz w:val="18"/>
                                      <w:szCs w:val="18"/>
                                    </w:rPr>
                                    <w:t>註</w:t>
                                  </w:r>
                                  <w:proofErr w:type="gramEnd"/>
                                  <w:r w:rsidRPr="008F3D3E">
                                    <w:rPr>
                                      <w:rFonts w:ascii="標楷體" w:eastAsia="標楷體" w:hAnsi="標楷體" w:cs="新細明體" w:hint="eastAsia"/>
                                      <w:kern w:val="0"/>
                                      <w:sz w:val="18"/>
                                      <w:szCs w:val="18"/>
                                    </w:rPr>
                                    <w:t>：1.各機關運用多元人力人數處於浮動狀態，本表</w:t>
                                  </w:r>
                                  <w:proofErr w:type="gramStart"/>
                                  <w:r w:rsidRPr="008F3D3E">
                                    <w:rPr>
                                      <w:rFonts w:ascii="標楷體" w:eastAsia="標楷體" w:hAnsi="標楷體" w:cs="新細明體" w:hint="eastAsia"/>
                                      <w:kern w:val="0"/>
                                      <w:sz w:val="18"/>
                                      <w:szCs w:val="18"/>
                                    </w:rPr>
                                    <w:t>數據係當年度</w:t>
                                  </w:r>
                                  <w:proofErr w:type="gramEnd"/>
                                  <w:r w:rsidRPr="008F3D3E">
                                    <w:rPr>
                                      <w:rFonts w:ascii="標楷體" w:eastAsia="標楷體" w:hAnsi="標楷體" w:cs="新細明體" w:hint="eastAsia"/>
                                      <w:kern w:val="0"/>
                                      <w:sz w:val="18"/>
                                      <w:szCs w:val="18"/>
                                    </w:rPr>
                                    <w:t>之平均數，又各項數值合計數、百分比係以各細項原值計算後，四捨五入表達至表列統計單位。</w:t>
                                  </w:r>
                                  <w:r w:rsidRPr="008F3D3E">
                                    <w:rPr>
                                      <w:rFonts w:ascii="標楷體" w:eastAsia="標楷體" w:hAnsi="標楷體" w:cs="新細明體"/>
                                      <w:kern w:val="0"/>
                                      <w:sz w:val="18"/>
                                      <w:szCs w:val="18"/>
                                    </w:rPr>
                                    <w:t xml:space="preserve"> </w:t>
                                  </w:r>
                                </w:p>
                                <w:p w14:paraId="73ED110F" w14:textId="77777777" w:rsidR="00E94BB2" w:rsidRPr="008F3D3E" w:rsidRDefault="00E94BB2" w:rsidP="00F95D89">
                                  <w:pPr>
                                    <w:widowControl/>
                                    <w:spacing w:line="200" w:lineRule="exact"/>
                                    <w:ind w:leftChars="140" w:left="336"/>
                                    <w:rPr>
                                      <w:rFonts w:ascii="標楷體" w:eastAsia="標楷體" w:hAnsi="標楷體" w:cs="新細明體"/>
                                      <w:kern w:val="0"/>
                                      <w:sz w:val="18"/>
                                      <w:szCs w:val="18"/>
                                    </w:rPr>
                                  </w:pPr>
                                  <w:r w:rsidRPr="008F3D3E">
                                    <w:rPr>
                                      <w:rFonts w:ascii="標楷體" w:eastAsia="標楷體" w:hAnsi="標楷體" w:cs="新細明體" w:hint="eastAsia"/>
                                      <w:kern w:val="0"/>
                                      <w:sz w:val="18"/>
                                      <w:szCs w:val="18"/>
                                    </w:rPr>
                                    <w:t>2</w:t>
                                  </w:r>
                                  <w:r w:rsidRPr="008F3D3E">
                                    <w:rPr>
                                      <w:rFonts w:ascii="標楷體" w:eastAsia="標楷體" w:hAnsi="標楷體" w:cs="新細明體"/>
                                      <w:kern w:val="0"/>
                                      <w:sz w:val="18"/>
                                      <w:szCs w:val="18"/>
                                    </w:rPr>
                                    <w:t>.</w:t>
                                  </w:r>
                                  <w:r w:rsidRPr="008F3D3E">
                                    <w:rPr>
                                      <w:rFonts w:ascii="標楷體" w:eastAsia="標楷體" w:hAnsi="標楷體" w:cs="新細明體" w:hint="eastAsia"/>
                                      <w:kern w:val="0"/>
                                      <w:sz w:val="18"/>
                                      <w:szCs w:val="18"/>
                                    </w:rPr>
                                    <w:t>不屬於公立學校或公立醫療機構者，歸類為公務機關。</w:t>
                                  </w:r>
                                </w:p>
                                <w:p w14:paraId="68B45160" w14:textId="77777777" w:rsidR="00E94BB2" w:rsidRPr="008F3D3E" w:rsidRDefault="00E94BB2" w:rsidP="00F95D89">
                                  <w:pPr>
                                    <w:widowControl/>
                                    <w:spacing w:line="200" w:lineRule="exact"/>
                                    <w:ind w:leftChars="140" w:left="516" w:hangingChars="100" w:hanging="180"/>
                                    <w:jc w:val="both"/>
                                    <w:rPr>
                                      <w:rFonts w:ascii="標楷體" w:eastAsia="標楷體" w:hAnsi="標楷體" w:cs="新細明體"/>
                                      <w:kern w:val="0"/>
                                      <w:sz w:val="18"/>
                                      <w:szCs w:val="18"/>
                                    </w:rPr>
                                  </w:pPr>
                                  <w:r w:rsidRPr="008F3D3E">
                                    <w:rPr>
                                      <w:rFonts w:ascii="標楷體" w:eastAsia="標楷體" w:hAnsi="標楷體" w:cs="新細明體"/>
                                      <w:kern w:val="0"/>
                                      <w:sz w:val="18"/>
                                      <w:szCs w:val="18"/>
                                    </w:rPr>
                                    <w:t>3.</w:t>
                                  </w:r>
                                  <w:r w:rsidRPr="00772217">
                                    <w:rPr>
                                      <w:rFonts w:ascii="標楷體" w:eastAsia="標楷體" w:hAnsi="標楷體" w:cs="新細明體" w:hint="eastAsia"/>
                                      <w:spacing w:val="-4"/>
                                      <w:kern w:val="0"/>
                                      <w:sz w:val="18"/>
                                      <w:szCs w:val="18"/>
                                    </w:rPr>
                                    <w:t>約用人員係全日工時者（不含部分工時者）；派駐勞工係指全日派駐於機關工作者（不含部分工時、未派駐機關場所者）。</w:t>
                                  </w:r>
                                </w:p>
                                <w:p w14:paraId="68A2C37D" w14:textId="77777777" w:rsidR="00E94BB2" w:rsidRPr="00605BAA" w:rsidRDefault="00E94BB2" w:rsidP="00F95D89">
                                  <w:pPr>
                                    <w:widowControl/>
                                    <w:spacing w:line="200" w:lineRule="exact"/>
                                    <w:ind w:leftChars="140" w:left="336"/>
                                    <w:rPr>
                                      <w:rFonts w:ascii="標楷體" w:eastAsia="標楷體" w:hAnsi="標楷體" w:cs="新細明體"/>
                                      <w:color w:val="000000"/>
                                      <w:kern w:val="0"/>
                                      <w:sz w:val="18"/>
                                      <w:szCs w:val="18"/>
                                    </w:rPr>
                                  </w:pPr>
                                  <w:r w:rsidRPr="008F3D3E">
                                    <w:rPr>
                                      <w:rFonts w:ascii="標楷體" w:eastAsia="標楷體" w:hAnsi="標楷體" w:cs="新細明體"/>
                                      <w:kern w:val="0"/>
                                      <w:sz w:val="18"/>
                                      <w:szCs w:val="18"/>
                                    </w:rPr>
                                    <w:t>4.</w:t>
                                  </w:r>
                                  <w:r w:rsidRPr="008F3D3E">
                                    <w:rPr>
                                      <w:rFonts w:ascii="標楷體" w:eastAsia="標楷體" w:hAnsi="標楷體" w:cs="新細明體" w:hint="eastAsia"/>
                                      <w:kern w:val="0"/>
                                      <w:sz w:val="18"/>
                                      <w:szCs w:val="18"/>
                                    </w:rPr>
                                    <w:t>資料來源：整理自行政院人事行政總處提供資料。</w:t>
                                  </w:r>
                                </w:p>
                              </w:tc>
                            </w:tr>
                          </w:tbl>
                          <w:p w14:paraId="75FF32F1" w14:textId="77777777" w:rsidR="00E94BB2" w:rsidRPr="00A7017E" w:rsidRDefault="00E94BB2" w:rsidP="00E94B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AE509" id="_x0000_s1087" type="#_x0000_t202" style="position:absolute;left:0;text-align:left;margin-left:1.6pt;margin-top:-.25pt;width:506.15pt;height:275.4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" stroked="f">
                <v:textbox>
                  <w:txbxContent>
                    <w:tbl>
                      <w:tblPr>
                        <w:tblW w:w="9930" w:type="dxa"/>
                        <w:jc w:val="center"/>
                        <w:tblCellMar>
                          <w:left w:w="28" w:type="dxa"/>
                          <w:right w:w="28" w:type="dxa"/>
                        </w:tblCellMar>
                        <w:tblLook w:val="04A0" w:firstRow="1" w:lastRow="0" w:firstColumn="1" w:lastColumn="0" w:noHBand="0" w:noVBand="1"/>
                      </w:tblPr>
                      <w:tblGrid>
                        <w:gridCol w:w="1131"/>
                        <w:gridCol w:w="1540"/>
                        <w:gridCol w:w="907"/>
                        <w:gridCol w:w="907"/>
                        <w:gridCol w:w="907"/>
                        <w:gridCol w:w="907"/>
                        <w:gridCol w:w="907"/>
                        <w:gridCol w:w="907"/>
                        <w:gridCol w:w="907"/>
                        <w:gridCol w:w="853"/>
                        <w:gridCol w:w="57"/>
                      </w:tblGrid>
                      <w:tr w:rsidR="00E94BB2" w:rsidRPr="00AA7602" w14:paraId="11B97C71" w14:textId="77777777" w:rsidTr="00772217">
                        <w:trPr>
                          <w:gridAfter w:val="1"/>
                          <w:wAfter w:w="57" w:type="dxa"/>
                          <w:trHeight w:val="20"/>
                          <w:jc w:val="center"/>
                        </w:trPr>
                        <w:tc>
                          <w:tcPr>
                            <w:tcW w:w="9873" w:type="dxa"/>
                            <w:gridSpan w:val="10"/>
                            <w:tcBorders>
                              <w:top w:val="nil"/>
                              <w:left w:val="nil"/>
                              <w:bottom w:val="nil"/>
                              <w:right w:val="nil"/>
                            </w:tcBorders>
                            <w:shd w:val="clear" w:color="auto" w:fill="auto"/>
                            <w:vAlign w:val="center"/>
                            <w:hideMark/>
                          </w:tcPr>
                          <w:p w14:paraId="74C0563E" w14:textId="77777777" w:rsidR="00E94BB2" w:rsidRPr="00AA7602" w:rsidRDefault="00E94BB2" w:rsidP="00A7017E">
                            <w:pPr>
                              <w:widowControl/>
                              <w:spacing w:line="240" w:lineRule="exact"/>
                              <w:jc w:val="center"/>
                              <w:rPr>
                                <w:rFonts w:ascii="標楷體" w:eastAsia="標楷體" w:hAnsi="標楷體" w:cs="新細明體"/>
                                <w:b/>
                                <w:bCs/>
                                <w:color w:val="000000"/>
                                <w:kern w:val="0"/>
                              </w:rPr>
                            </w:pPr>
                            <w:r w:rsidRPr="00086D2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Pr>
                                <w:rFonts w:ascii="標楷體" w:eastAsia="標楷體" w:hAnsi="標楷體" w:cs="新細明體"/>
                                <w:b/>
                                <w:bCs/>
                                <w:color w:val="000000"/>
                                <w:kern w:val="0"/>
                              </w:rPr>
                              <w:t>5</w:t>
                            </w:r>
                            <w:r w:rsidRPr="009912E3">
                              <w:rPr>
                                <w:rFonts w:ascii="標楷體" w:eastAsia="標楷體" w:hAnsi="標楷體" w:cs="新細明體"/>
                                <w:b/>
                                <w:bCs/>
                                <w:color w:val="000000"/>
                                <w:kern w:val="0"/>
                              </w:rPr>
                              <w:t xml:space="preserve">  </w:t>
                            </w:r>
                            <w:r w:rsidRPr="00AA7602">
                              <w:rPr>
                                <w:rFonts w:ascii="標楷體" w:eastAsia="標楷體" w:hAnsi="標楷體" w:cs="新細明體" w:hint="eastAsia"/>
                                <w:b/>
                                <w:bCs/>
                                <w:color w:val="000000"/>
                                <w:kern w:val="0"/>
                              </w:rPr>
                              <w:t>中央</w:t>
                            </w:r>
                            <w:r>
                              <w:rPr>
                                <w:rFonts w:ascii="標楷體" w:eastAsia="標楷體" w:hAnsi="標楷體" w:cs="新細明體" w:hint="eastAsia"/>
                                <w:b/>
                                <w:bCs/>
                                <w:color w:val="000000"/>
                                <w:kern w:val="0"/>
                              </w:rPr>
                              <w:t>政府運</w:t>
                            </w:r>
                            <w:r w:rsidRPr="00AA7602">
                              <w:rPr>
                                <w:rFonts w:ascii="標楷體" w:eastAsia="標楷體" w:hAnsi="標楷體" w:cs="新細明體" w:hint="eastAsia"/>
                                <w:b/>
                                <w:bCs/>
                                <w:color w:val="000000"/>
                                <w:kern w:val="0"/>
                              </w:rPr>
                              <w:t>用</w:t>
                            </w:r>
                            <w:r>
                              <w:rPr>
                                <w:rFonts w:ascii="標楷體" w:eastAsia="標楷體" w:hAnsi="標楷體" w:cs="新細明體" w:hint="eastAsia"/>
                                <w:b/>
                                <w:bCs/>
                                <w:color w:val="000000"/>
                                <w:kern w:val="0"/>
                              </w:rPr>
                              <w:t>多元人力</w:t>
                            </w:r>
                            <w:r w:rsidRPr="00AA7602">
                              <w:rPr>
                                <w:rFonts w:ascii="標楷體" w:eastAsia="標楷體" w:hAnsi="標楷體" w:cs="新細明體" w:hint="eastAsia"/>
                                <w:b/>
                                <w:bCs/>
                                <w:color w:val="000000"/>
                                <w:kern w:val="0"/>
                              </w:rPr>
                              <w:t>情形</w:t>
                            </w:r>
                          </w:p>
                        </w:tc>
                      </w:tr>
                      <w:tr w:rsidR="00E94BB2" w:rsidRPr="00AA7602" w14:paraId="3A1F42B7" w14:textId="77777777" w:rsidTr="00772217">
                        <w:trPr>
                          <w:gridAfter w:val="1"/>
                          <w:wAfter w:w="57" w:type="dxa"/>
                          <w:trHeight w:val="20"/>
                          <w:jc w:val="center"/>
                        </w:trPr>
                        <w:tc>
                          <w:tcPr>
                            <w:tcW w:w="9873" w:type="dxa"/>
                            <w:gridSpan w:val="10"/>
                            <w:tcBorders>
                              <w:top w:val="nil"/>
                              <w:left w:val="nil"/>
                              <w:bottom w:val="nil"/>
                              <w:right w:val="nil"/>
                            </w:tcBorders>
                            <w:shd w:val="clear" w:color="auto" w:fill="auto"/>
                            <w:vAlign w:val="center"/>
                            <w:hideMark/>
                          </w:tcPr>
                          <w:p w14:paraId="13E7AE8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單位：人、％</w:t>
                            </w:r>
                          </w:p>
                        </w:tc>
                      </w:tr>
                      <w:tr w:rsidR="00E94BB2" w:rsidRPr="00AA7602" w14:paraId="69EBB497" w14:textId="77777777" w:rsidTr="00772217">
                        <w:trPr>
                          <w:trHeight w:val="20"/>
                          <w:jc w:val="center"/>
                        </w:trPr>
                        <w:tc>
                          <w:tcPr>
                            <w:tcW w:w="1131" w:type="dxa"/>
                            <w:vMerge w:val="restart"/>
                            <w:tcBorders>
                              <w:top w:val="single" w:sz="4" w:space="0" w:color="auto"/>
                              <w:left w:val="single" w:sz="4" w:space="0" w:color="auto"/>
                              <w:right w:val="single" w:sz="4" w:space="0" w:color="auto"/>
                            </w:tcBorders>
                            <w:shd w:val="clear" w:color="auto" w:fill="auto"/>
                            <w:vAlign w:val="center"/>
                            <w:hideMark/>
                          </w:tcPr>
                          <w:p w14:paraId="5C4F3FDE"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機關屬性</w:t>
                            </w:r>
                          </w:p>
                        </w:tc>
                        <w:tc>
                          <w:tcPr>
                            <w:tcW w:w="1540" w:type="dxa"/>
                            <w:vMerge w:val="restart"/>
                            <w:tcBorders>
                              <w:top w:val="single" w:sz="4" w:space="0" w:color="auto"/>
                              <w:left w:val="single" w:sz="4" w:space="0" w:color="auto"/>
                              <w:right w:val="single" w:sz="4" w:space="0" w:color="auto"/>
                            </w:tcBorders>
                            <w:shd w:val="clear" w:color="auto" w:fill="auto"/>
                            <w:vAlign w:val="center"/>
                            <w:hideMark/>
                          </w:tcPr>
                          <w:p w14:paraId="67521C3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多元人力類型</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121BE9"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109</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5C5ABF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110</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B63C36F"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111</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D4D277B"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112</w:t>
                            </w:r>
                            <w:proofErr w:type="gramEnd"/>
                            <w:r w:rsidRPr="00AA7602">
                              <w:rPr>
                                <w:rFonts w:ascii="標楷體" w:eastAsia="標楷體" w:hAnsi="標楷體" w:cs="新細明體" w:hint="eastAsia"/>
                                <w:color w:val="000000"/>
                                <w:kern w:val="0"/>
                                <w:sz w:val="20"/>
                              </w:rPr>
                              <w:t>年</w:t>
                            </w:r>
                            <w:r>
                              <w:rPr>
                                <w:rFonts w:ascii="標楷體" w:eastAsia="標楷體" w:hAnsi="標楷體" w:cs="新細明體" w:hint="eastAsia"/>
                                <w:color w:val="000000"/>
                                <w:kern w:val="0"/>
                                <w:sz w:val="20"/>
                              </w:rPr>
                              <w:t>度</w:t>
                            </w:r>
                          </w:p>
                        </w:tc>
                        <w:tc>
                          <w:tcPr>
                            <w:tcW w:w="3631" w:type="dxa"/>
                            <w:gridSpan w:val="5"/>
                            <w:tcBorders>
                              <w:top w:val="single" w:sz="4" w:space="0" w:color="auto"/>
                              <w:left w:val="nil"/>
                              <w:bottom w:val="single" w:sz="4" w:space="0" w:color="auto"/>
                              <w:right w:val="single" w:sz="4" w:space="0" w:color="000000"/>
                            </w:tcBorders>
                            <w:shd w:val="clear" w:color="auto" w:fill="auto"/>
                            <w:vAlign w:val="center"/>
                            <w:hideMark/>
                          </w:tcPr>
                          <w:p w14:paraId="73F06F53"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roofErr w:type="gramStart"/>
                            <w:r w:rsidRPr="00AA7602">
                              <w:rPr>
                                <w:rFonts w:ascii="標楷體" w:eastAsia="標楷體" w:hAnsi="標楷體" w:cs="新細明體" w:hint="eastAsia"/>
                                <w:color w:val="000000"/>
                                <w:kern w:val="0"/>
                                <w:sz w:val="20"/>
                              </w:rPr>
                              <w:t>113</w:t>
                            </w:r>
                            <w:proofErr w:type="gramEnd"/>
                            <w:r w:rsidRPr="00AA7602">
                              <w:rPr>
                                <w:rFonts w:ascii="標楷體" w:eastAsia="標楷體" w:hAnsi="標楷體" w:cs="新細明體" w:hint="eastAsia"/>
                                <w:color w:val="000000"/>
                                <w:kern w:val="0"/>
                                <w:sz w:val="20"/>
                              </w:rPr>
                              <w:t>年度</w:t>
                            </w:r>
                          </w:p>
                        </w:tc>
                      </w:tr>
                      <w:tr w:rsidR="00E94BB2" w:rsidRPr="00AA7602" w14:paraId="35861527" w14:textId="77777777" w:rsidTr="00772217">
                        <w:trPr>
                          <w:trHeight w:val="20"/>
                          <w:jc w:val="center"/>
                        </w:trPr>
                        <w:tc>
                          <w:tcPr>
                            <w:tcW w:w="1131" w:type="dxa"/>
                            <w:vMerge/>
                            <w:tcBorders>
                              <w:left w:val="single" w:sz="4" w:space="0" w:color="auto"/>
                              <w:right w:val="single" w:sz="4" w:space="0" w:color="auto"/>
                            </w:tcBorders>
                            <w:vAlign w:val="center"/>
                            <w:hideMark/>
                          </w:tcPr>
                          <w:p w14:paraId="127C055C"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vMerge/>
                            <w:tcBorders>
                              <w:left w:val="single" w:sz="4" w:space="0" w:color="auto"/>
                              <w:right w:val="single" w:sz="4" w:space="0" w:color="auto"/>
                            </w:tcBorders>
                            <w:vAlign w:val="center"/>
                            <w:hideMark/>
                          </w:tcPr>
                          <w:p w14:paraId="3AE6619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333B4037"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031B4DB5"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4980D66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right w:val="single" w:sz="4" w:space="0" w:color="auto"/>
                            </w:tcBorders>
                            <w:vAlign w:val="center"/>
                            <w:hideMark/>
                          </w:tcPr>
                          <w:p w14:paraId="6EAEB384"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val="restart"/>
                            <w:tcBorders>
                              <w:top w:val="nil"/>
                              <w:left w:val="nil"/>
                              <w:right w:val="single" w:sz="4" w:space="0" w:color="auto"/>
                            </w:tcBorders>
                            <w:shd w:val="clear" w:color="auto" w:fill="auto"/>
                            <w:vAlign w:val="center"/>
                            <w:hideMark/>
                          </w:tcPr>
                          <w:p w14:paraId="3F29CE55"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人數</w:t>
                            </w:r>
                          </w:p>
                        </w:tc>
                        <w:tc>
                          <w:tcPr>
                            <w:tcW w:w="907" w:type="dxa"/>
                            <w:vMerge w:val="restart"/>
                            <w:tcBorders>
                              <w:top w:val="nil"/>
                              <w:left w:val="nil"/>
                              <w:right w:val="single" w:sz="4" w:space="0" w:color="auto"/>
                            </w:tcBorders>
                            <w:shd w:val="clear" w:color="auto" w:fill="auto"/>
                            <w:vAlign w:val="center"/>
                            <w:hideMark/>
                          </w:tcPr>
                          <w:p w14:paraId="41DD64A0"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占比</w:t>
                            </w:r>
                          </w:p>
                        </w:tc>
                        <w:tc>
                          <w:tcPr>
                            <w:tcW w:w="1814" w:type="dxa"/>
                            <w:gridSpan w:val="3"/>
                            <w:tcBorders>
                              <w:top w:val="nil"/>
                              <w:left w:val="nil"/>
                              <w:bottom w:val="single" w:sz="4" w:space="0" w:color="auto"/>
                              <w:right w:val="single" w:sz="4" w:space="0" w:color="auto"/>
                            </w:tcBorders>
                            <w:shd w:val="clear" w:color="auto" w:fill="auto"/>
                            <w:vAlign w:val="center"/>
                            <w:hideMark/>
                          </w:tcPr>
                          <w:p w14:paraId="656A2E7B" w14:textId="77777777" w:rsidR="00E94BB2" w:rsidRPr="00772217" w:rsidRDefault="00E94BB2" w:rsidP="00A7017E">
                            <w:pPr>
                              <w:spacing w:line="240" w:lineRule="exact"/>
                              <w:jc w:val="center"/>
                              <w:rPr>
                                <w:rFonts w:ascii="標楷體" w:eastAsia="標楷體" w:hAnsi="標楷體" w:cs="新細明體"/>
                                <w:color w:val="000000"/>
                                <w:spacing w:val="-4"/>
                                <w:kern w:val="0"/>
                                <w:sz w:val="20"/>
                              </w:rPr>
                            </w:pPr>
                            <w:r w:rsidRPr="00772217">
                              <w:rPr>
                                <w:rFonts w:ascii="標楷體" w:eastAsia="標楷體" w:hAnsi="標楷體" w:cs="新細明體" w:hint="eastAsia"/>
                                <w:color w:val="000000"/>
                                <w:spacing w:val="-4"/>
                                <w:kern w:val="0"/>
                                <w:sz w:val="20"/>
                              </w:rPr>
                              <w:t>較</w:t>
                            </w:r>
                            <w:proofErr w:type="gramStart"/>
                            <w:r w:rsidRPr="00772217">
                              <w:rPr>
                                <w:rFonts w:ascii="標楷體" w:eastAsia="標楷體" w:hAnsi="標楷體" w:cs="新細明體" w:hint="eastAsia"/>
                                <w:color w:val="000000"/>
                                <w:spacing w:val="-4"/>
                                <w:kern w:val="0"/>
                                <w:sz w:val="20"/>
                              </w:rPr>
                              <w:t>109</w:t>
                            </w:r>
                            <w:proofErr w:type="gramEnd"/>
                            <w:r w:rsidRPr="00772217">
                              <w:rPr>
                                <w:rFonts w:ascii="標楷體" w:eastAsia="標楷體" w:hAnsi="標楷體" w:cs="新細明體" w:hint="eastAsia"/>
                                <w:color w:val="000000"/>
                                <w:spacing w:val="-4"/>
                                <w:kern w:val="0"/>
                                <w:sz w:val="20"/>
                              </w:rPr>
                              <w:t>年度增減情形</w:t>
                            </w:r>
                          </w:p>
                        </w:tc>
                      </w:tr>
                      <w:tr w:rsidR="00E94BB2" w:rsidRPr="00AA7602" w14:paraId="540AD288" w14:textId="77777777" w:rsidTr="00772217">
                        <w:trPr>
                          <w:trHeight w:val="20"/>
                          <w:jc w:val="center"/>
                        </w:trPr>
                        <w:tc>
                          <w:tcPr>
                            <w:tcW w:w="1131" w:type="dxa"/>
                            <w:vMerge/>
                            <w:tcBorders>
                              <w:left w:val="single" w:sz="4" w:space="0" w:color="auto"/>
                              <w:bottom w:val="single" w:sz="4" w:space="0" w:color="auto"/>
                              <w:right w:val="single" w:sz="4" w:space="0" w:color="auto"/>
                            </w:tcBorders>
                            <w:vAlign w:val="center"/>
                          </w:tcPr>
                          <w:p w14:paraId="73E6454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vMerge/>
                            <w:tcBorders>
                              <w:left w:val="single" w:sz="4" w:space="0" w:color="auto"/>
                              <w:bottom w:val="single" w:sz="4" w:space="0" w:color="auto"/>
                              <w:right w:val="single" w:sz="4" w:space="0" w:color="auto"/>
                            </w:tcBorders>
                            <w:vAlign w:val="center"/>
                          </w:tcPr>
                          <w:p w14:paraId="63FD3D10"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051C8188"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31A1F568"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2D5056B2"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single" w:sz="4" w:space="0" w:color="auto"/>
                              <w:bottom w:val="single" w:sz="4" w:space="0" w:color="auto"/>
                              <w:right w:val="single" w:sz="4" w:space="0" w:color="auto"/>
                            </w:tcBorders>
                            <w:vAlign w:val="center"/>
                          </w:tcPr>
                          <w:p w14:paraId="7E1AC22D"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907" w:type="dxa"/>
                            <w:vMerge/>
                            <w:tcBorders>
                              <w:left w:val="nil"/>
                              <w:bottom w:val="nil"/>
                              <w:right w:val="single" w:sz="4" w:space="0" w:color="auto"/>
                            </w:tcBorders>
                            <w:shd w:val="clear" w:color="auto" w:fill="auto"/>
                            <w:vAlign w:val="center"/>
                          </w:tcPr>
                          <w:p w14:paraId="63983E8B"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
                        </w:tc>
                        <w:tc>
                          <w:tcPr>
                            <w:tcW w:w="907" w:type="dxa"/>
                            <w:vMerge/>
                            <w:tcBorders>
                              <w:left w:val="nil"/>
                              <w:bottom w:val="nil"/>
                              <w:right w:val="single" w:sz="4" w:space="0" w:color="auto"/>
                            </w:tcBorders>
                            <w:shd w:val="clear" w:color="auto" w:fill="auto"/>
                            <w:vAlign w:val="center"/>
                          </w:tcPr>
                          <w:p w14:paraId="62A4409F"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p>
                        </w:tc>
                        <w:tc>
                          <w:tcPr>
                            <w:tcW w:w="907" w:type="dxa"/>
                            <w:tcBorders>
                              <w:top w:val="single" w:sz="4" w:space="0" w:color="auto"/>
                              <w:left w:val="nil"/>
                              <w:bottom w:val="nil"/>
                              <w:right w:val="single" w:sz="4" w:space="0" w:color="auto"/>
                            </w:tcBorders>
                            <w:shd w:val="clear" w:color="auto" w:fill="auto"/>
                            <w:vAlign w:val="center"/>
                          </w:tcPr>
                          <w:p w14:paraId="525003B4" w14:textId="77777777" w:rsidR="00E94BB2" w:rsidRPr="00AA7602" w:rsidRDefault="00E94BB2" w:rsidP="00A7017E">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910" w:type="dxa"/>
                            <w:gridSpan w:val="2"/>
                            <w:tcBorders>
                              <w:top w:val="single" w:sz="4" w:space="0" w:color="auto"/>
                              <w:left w:val="nil"/>
                              <w:bottom w:val="nil"/>
                              <w:right w:val="single" w:sz="4" w:space="0" w:color="auto"/>
                            </w:tcBorders>
                            <w:shd w:val="clear" w:color="auto" w:fill="auto"/>
                            <w:vAlign w:val="center"/>
                          </w:tcPr>
                          <w:p w14:paraId="62AAF877" w14:textId="77777777" w:rsidR="00E94BB2" w:rsidRPr="00AA7602" w:rsidRDefault="00E94BB2" w:rsidP="00A7017E">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p>
                        </w:tc>
                      </w:tr>
                      <w:tr w:rsidR="00E94BB2" w:rsidRPr="00AA7602" w14:paraId="5F9AF8B2"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3E3B9B6D"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合 計</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0FC66D48" w14:textId="77777777" w:rsidR="00E94BB2" w:rsidRPr="00AA7602" w:rsidRDefault="00E94BB2" w:rsidP="00A7017E">
                            <w:pPr>
                              <w:widowControl/>
                              <w:spacing w:line="240" w:lineRule="exact"/>
                              <w:jc w:val="center"/>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總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4A5B1DFA"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90,448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2499C9DA"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94,003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AE1755B"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96,797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765FF0A2"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99,033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99F691E"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102,070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3907DE3"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100.00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693A4D12" w14:textId="77777777" w:rsidR="00E94BB2" w:rsidRPr="00AA7602" w:rsidRDefault="00E94BB2" w:rsidP="00A7017E">
                            <w:pPr>
                              <w:widowControl/>
                              <w:spacing w:line="240" w:lineRule="exact"/>
                              <w:jc w:val="right"/>
                              <w:rPr>
                                <w:rFonts w:ascii="標楷體" w:eastAsia="標楷體" w:hAnsi="標楷體" w:cs="新細明體"/>
                                <w:b/>
                                <w:bCs/>
                                <w:color w:val="000000"/>
                                <w:kern w:val="0"/>
                                <w:sz w:val="20"/>
                              </w:rPr>
                            </w:pPr>
                            <w:r w:rsidRPr="00AA7602">
                              <w:rPr>
                                <w:rFonts w:ascii="標楷體" w:eastAsia="標楷體" w:hAnsi="標楷體" w:cs="新細明體" w:hint="eastAsia"/>
                                <w:b/>
                                <w:bCs/>
                                <w:color w:val="000000"/>
                                <w:kern w:val="0"/>
                                <w:sz w:val="20"/>
                              </w:rPr>
                              <w:t xml:space="preserve">11,622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7CABA30C" w14:textId="77777777" w:rsidR="00E94BB2" w:rsidRDefault="00E94BB2" w:rsidP="00A7017E">
                            <w:pPr>
                              <w:widowControl/>
                              <w:spacing w:line="240" w:lineRule="exact"/>
                              <w:jc w:val="right"/>
                              <w:rPr>
                                <w:rFonts w:ascii="標楷體" w:eastAsia="標楷體" w:hAnsi="標楷體"/>
                                <w:b/>
                                <w:bCs/>
                                <w:color w:val="000000"/>
                                <w:sz w:val="20"/>
                              </w:rPr>
                            </w:pPr>
                            <w:r>
                              <w:rPr>
                                <w:rFonts w:ascii="標楷體" w:eastAsia="標楷體" w:hAnsi="標楷體" w:hint="eastAsia"/>
                                <w:b/>
                                <w:bCs/>
                                <w:color w:val="000000"/>
                                <w:sz w:val="20"/>
                              </w:rPr>
                              <w:t>12.85</w:t>
                            </w:r>
                          </w:p>
                        </w:tc>
                      </w:tr>
                      <w:tr w:rsidR="00E94BB2" w:rsidRPr="00AA7602" w14:paraId="30F46A2C"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5743AFE3"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5ABF6E88"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nil"/>
                              <w:left w:val="nil"/>
                              <w:bottom w:val="single" w:sz="4" w:space="0" w:color="auto"/>
                              <w:right w:val="single" w:sz="4" w:space="0" w:color="auto"/>
                            </w:tcBorders>
                            <w:shd w:val="clear" w:color="auto" w:fill="auto"/>
                            <w:vAlign w:val="center"/>
                            <w:hideMark/>
                          </w:tcPr>
                          <w:p w14:paraId="7D0033C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53,830 </w:t>
                            </w:r>
                          </w:p>
                        </w:tc>
                        <w:tc>
                          <w:tcPr>
                            <w:tcW w:w="907" w:type="dxa"/>
                            <w:tcBorders>
                              <w:top w:val="nil"/>
                              <w:left w:val="nil"/>
                              <w:bottom w:val="single" w:sz="4" w:space="0" w:color="auto"/>
                              <w:right w:val="single" w:sz="4" w:space="0" w:color="auto"/>
                            </w:tcBorders>
                            <w:shd w:val="clear" w:color="auto" w:fill="auto"/>
                            <w:vAlign w:val="center"/>
                            <w:hideMark/>
                          </w:tcPr>
                          <w:p w14:paraId="0BCFCB2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55,932 </w:t>
                            </w:r>
                          </w:p>
                        </w:tc>
                        <w:tc>
                          <w:tcPr>
                            <w:tcW w:w="907" w:type="dxa"/>
                            <w:tcBorders>
                              <w:top w:val="nil"/>
                              <w:left w:val="nil"/>
                              <w:bottom w:val="single" w:sz="4" w:space="0" w:color="auto"/>
                              <w:right w:val="single" w:sz="4" w:space="0" w:color="auto"/>
                            </w:tcBorders>
                            <w:shd w:val="clear" w:color="auto" w:fill="auto"/>
                            <w:vAlign w:val="center"/>
                            <w:hideMark/>
                          </w:tcPr>
                          <w:p w14:paraId="3DB1CA9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58,393 </w:t>
                            </w:r>
                          </w:p>
                        </w:tc>
                        <w:tc>
                          <w:tcPr>
                            <w:tcW w:w="907" w:type="dxa"/>
                            <w:tcBorders>
                              <w:top w:val="nil"/>
                              <w:left w:val="nil"/>
                              <w:bottom w:val="single" w:sz="4" w:space="0" w:color="auto"/>
                              <w:right w:val="single" w:sz="4" w:space="0" w:color="auto"/>
                            </w:tcBorders>
                            <w:shd w:val="clear" w:color="auto" w:fill="auto"/>
                            <w:vAlign w:val="center"/>
                            <w:hideMark/>
                          </w:tcPr>
                          <w:p w14:paraId="68B710B9"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59,172 </w:t>
                            </w:r>
                          </w:p>
                        </w:tc>
                        <w:tc>
                          <w:tcPr>
                            <w:tcW w:w="907" w:type="dxa"/>
                            <w:tcBorders>
                              <w:top w:val="nil"/>
                              <w:left w:val="nil"/>
                              <w:bottom w:val="single" w:sz="4" w:space="0" w:color="auto"/>
                              <w:right w:val="single" w:sz="4" w:space="0" w:color="auto"/>
                            </w:tcBorders>
                            <w:shd w:val="clear" w:color="auto" w:fill="auto"/>
                            <w:vAlign w:val="center"/>
                            <w:hideMark/>
                          </w:tcPr>
                          <w:p w14:paraId="520976A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61,104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501AB32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2B578CA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7,274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hideMark/>
                          </w:tcPr>
                          <w:p w14:paraId="58BB9FF5" w14:textId="77777777" w:rsidR="00E94BB2" w:rsidRDefault="00E94BB2" w:rsidP="00A7017E">
                            <w:pPr>
                              <w:spacing w:line="240" w:lineRule="exact"/>
                              <w:rPr>
                                <w:rFonts w:ascii="Calibri" w:hAnsi="Calibri" w:cs="Calibri"/>
                                <w:color w:val="000000"/>
                              </w:rPr>
                            </w:pPr>
                          </w:p>
                        </w:tc>
                      </w:tr>
                      <w:tr w:rsidR="00E94BB2" w:rsidRPr="00AA7602" w14:paraId="6C7A4298"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2B99F09A"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nil"/>
                              <w:right w:val="single" w:sz="4" w:space="0" w:color="auto"/>
                            </w:tcBorders>
                            <w:shd w:val="clear" w:color="auto" w:fill="auto"/>
                            <w:vAlign w:val="center"/>
                            <w:hideMark/>
                          </w:tcPr>
                          <w:p w14:paraId="4BB01CE3"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nil"/>
                              <w:right w:val="single" w:sz="4" w:space="0" w:color="auto"/>
                            </w:tcBorders>
                            <w:shd w:val="clear" w:color="auto" w:fill="auto"/>
                            <w:vAlign w:val="center"/>
                            <w:hideMark/>
                          </w:tcPr>
                          <w:p w14:paraId="3E50FB3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36,618 </w:t>
                            </w:r>
                          </w:p>
                        </w:tc>
                        <w:tc>
                          <w:tcPr>
                            <w:tcW w:w="907" w:type="dxa"/>
                            <w:tcBorders>
                              <w:top w:val="nil"/>
                              <w:left w:val="nil"/>
                              <w:bottom w:val="nil"/>
                              <w:right w:val="single" w:sz="4" w:space="0" w:color="auto"/>
                            </w:tcBorders>
                            <w:shd w:val="clear" w:color="auto" w:fill="auto"/>
                            <w:vAlign w:val="center"/>
                            <w:hideMark/>
                          </w:tcPr>
                          <w:p w14:paraId="43C35E0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38,071 </w:t>
                            </w:r>
                          </w:p>
                        </w:tc>
                        <w:tc>
                          <w:tcPr>
                            <w:tcW w:w="907" w:type="dxa"/>
                            <w:tcBorders>
                              <w:top w:val="nil"/>
                              <w:left w:val="nil"/>
                              <w:bottom w:val="nil"/>
                              <w:right w:val="single" w:sz="4" w:space="0" w:color="auto"/>
                            </w:tcBorders>
                            <w:shd w:val="clear" w:color="auto" w:fill="auto"/>
                            <w:vAlign w:val="center"/>
                            <w:hideMark/>
                          </w:tcPr>
                          <w:p w14:paraId="38FA161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38,404 </w:t>
                            </w:r>
                          </w:p>
                        </w:tc>
                        <w:tc>
                          <w:tcPr>
                            <w:tcW w:w="907" w:type="dxa"/>
                            <w:tcBorders>
                              <w:top w:val="nil"/>
                              <w:left w:val="nil"/>
                              <w:bottom w:val="nil"/>
                              <w:right w:val="single" w:sz="4" w:space="0" w:color="auto"/>
                            </w:tcBorders>
                            <w:shd w:val="clear" w:color="auto" w:fill="auto"/>
                            <w:vAlign w:val="center"/>
                            <w:hideMark/>
                          </w:tcPr>
                          <w:p w14:paraId="6D2E66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39,861 </w:t>
                            </w:r>
                          </w:p>
                        </w:tc>
                        <w:tc>
                          <w:tcPr>
                            <w:tcW w:w="907" w:type="dxa"/>
                            <w:tcBorders>
                              <w:top w:val="nil"/>
                              <w:left w:val="nil"/>
                              <w:bottom w:val="nil"/>
                              <w:right w:val="single" w:sz="4" w:space="0" w:color="auto"/>
                            </w:tcBorders>
                            <w:shd w:val="clear" w:color="auto" w:fill="auto"/>
                            <w:vAlign w:val="center"/>
                            <w:hideMark/>
                          </w:tcPr>
                          <w:p w14:paraId="281A013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40,966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08AD3F2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nil"/>
                              <w:right w:val="single" w:sz="4" w:space="0" w:color="auto"/>
                            </w:tcBorders>
                            <w:shd w:val="clear" w:color="auto" w:fill="auto"/>
                            <w:vAlign w:val="center"/>
                            <w:hideMark/>
                          </w:tcPr>
                          <w:p w14:paraId="795D4A8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4,348 </w:t>
                            </w:r>
                          </w:p>
                        </w:tc>
                        <w:tc>
                          <w:tcPr>
                            <w:tcW w:w="910" w:type="dxa"/>
                            <w:gridSpan w:val="2"/>
                            <w:tcBorders>
                              <w:top w:val="single" w:sz="4" w:space="0" w:color="auto"/>
                              <w:left w:val="nil"/>
                              <w:bottom w:val="single" w:sz="8" w:space="0" w:color="auto"/>
                              <w:right w:val="single" w:sz="4" w:space="0" w:color="auto"/>
                              <w:tl2br w:val="single" w:sz="4" w:space="0" w:color="auto"/>
                            </w:tcBorders>
                            <w:shd w:val="clear" w:color="auto" w:fill="auto"/>
                            <w:vAlign w:val="center"/>
                            <w:hideMark/>
                          </w:tcPr>
                          <w:p w14:paraId="0B02260C" w14:textId="77777777" w:rsidR="00E94BB2" w:rsidRDefault="00E94BB2" w:rsidP="00A7017E">
                            <w:pPr>
                              <w:spacing w:line="240" w:lineRule="exact"/>
                              <w:rPr>
                                <w:rFonts w:ascii="Calibri" w:hAnsi="Calibri" w:cs="Calibri"/>
                                <w:color w:val="000000"/>
                              </w:rPr>
                            </w:pPr>
                          </w:p>
                        </w:tc>
                      </w:tr>
                      <w:tr w:rsidR="00E94BB2" w:rsidRPr="00AA7602" w14:paraId="31CAA0E8"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2959AFD1" w14:textId="70C9998A"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公務機關</w:t>
                            </w:r>
                            <w:r w:rsidRPr="00AA7602">
                              <w:rPr>
                                <w:rFonts w:ascii="標楷體" w:eastAsia="標楷體" w:hAnsi="標楷體" w:cs="新細明體" w:hint="eastAsia"/>
                                <w:color w:val="000000"/>
                                <w:kern w:val="0"/>
                                <w:sz w:val="20"/>
                              </w:rPr>
                              <w:br/>
                            </w:r>
                            <w:r w:rsidRPr="00014688">
                              <w:rPr>
                                <w:rFonts w:ascii="標楷體" w:eastAsia="標楷體" w:hAnsi="標楷體" w:cs="新細明體" w:hint="eastAsia"/>
                                <w:color w:val="000000"/>
                                <w:kern w:val="0"/>
                                <w:sz w:val="20"/>
                              </w:rPr>
                              <w:t>(</w:t>
                            </w:r>
                            <w:proofErr w:type="gramStart"/>
                            <w:r w:rsidRPr="00014688">
                              <w:rPr>
                                <w:rFonts w:ascii="標楷體" w:eastAsia="標楷體" w:hAnsi="標楷體" w:cs="新細明體" w:hint="eastAsia"/>
                                <w:color w:val="000000"/>
                                <w:kern w:val="0"/>
                                <w:sz w:val="20"/>
                              </w:rPr>
                              <w:t>註</w:t>
                            </w:r>
                            <w:proofErr w:type="gramEnd"/>
                            <w:r w:rsidR="00BA7457" w:rsidRPr="00014688">
                              <w:rPr>
                                <w:rFonts w:ascii="標楷體" w:eastAsia="標楷體" w:hAnsi="標楷體" w:cs="新細明體"/>
                                <w:color w:val="000000"/>
                                <w:kern w:val="0"/>
                                <w:sz w:val="20"/>
                              </w:rPr>
                              <w:t>2</w:t>
                            </w:r>
                            <w:r w:rsidRPr="00014688">
                              <w:rPr>
                                <w:rFonts w:ascii="標楷體" w:eastAsia="標楷體" w:hAnsi="標楷體" w:cs="新細明體" w:hint="eastAsia"/>
                                <w:color w:val="000000"/>
                                <w:kern w:val="0"/>
                                <w:sz w:val="20"/>
                              </w:rPr>
                              <w:t>)</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70BA9C4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小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420AF2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40,492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900C33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41,864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6D4DB7E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42,076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994BEC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42,816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A66E7F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43,689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8DE30F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42.80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F08869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3,197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251F0334" w14:textId="77777777" w:rsidR="00E94BB2" w:rsidRPr="002515F0" w:rsidRDefault="00E94BB2" w:rsidP="00A7017E">
                            <w:pPr>
                              <w:spacing w:line="240" w:lineRule="exact"/>
                              <w:jc w:val="right"/>
                              <w:rPr>
                                <w:rFonts w:ascii="標楷體" w:eastAsia="標楷體" w:hAnsi="標楷體" w:cs="新細明體"/>
                                <w:bCs/>
                                <w:color w:val="000000"/>
                                <w:sz w:val="20"/>
                              </w:rPr>
                            </w:pPr>
                            <w:r w:rsidRPr="002515F0">
                              <w:rPr>
                                <w:rFonts w:ascii="標楷體" w:eastAsia="標楷體" w:hAnsi="標楷體" w:hint="eastAsia"/>
                                <w:bCs/>
                                <w:color w:val="000000"/>
                                <w:sz w:val="20"/>
                              </w:rPr>
                              <w:t>7.90</w:t>
                            </w:r>
                          </w:p>
                        </w:tc>
                      </w:tr>
                      <w:tr w:rsidR="00E94BB2" w:rsidRPr="00AA7602" w14:paraId="3E27EECC" w14:textId="77777777" w:rsidTr="00772217">
                        <w:trPr>
                          <w:trHeight w:val="20"/>
                          <w:jc w:val="center"/>
                        </w:trPr>
                        <w:tc>
                          <w:tcPr>
                            <w:tcW w:w="1131" w:type="dxa"/>
                            <w:vMerge/>
                            <w:tcBorders>
                              <w:top w:val="nil"/>
                              <w:left w:val="single" w:sz="4" w:space="0" w:color="auto"/>
                              <w:bottom w:val="single" w:sz="4" w:space="0" w:color="auto"/>
                              <w:right w:val="single" w:sz="4" w:space="0" w:color="auto"/>
                            </w:tcBorders>
                            <w:vAlign w:val="center"/>
                            <w:hideMark/>
                          </w:tcPr>
                          <w:p w14:paraId="458BB4E7"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1BA7ECD8"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nil"/>
                              <w:left w:val="nil"/>
                              <w:bottom w:val="single" w:sz="4" w:space="0" w:color="auto"/>
                              <w:right w:val="single" w:sz="4" w:space="0" w:color="auto"/>
                            </w:tcBorders>
                            <w:shd w:val="clear" w:color="auto" w:fill="auto"/>
                            <w:vAlign w:val="center"/>
                            <w:hideMark/>
                          </w:tcPr>
                          <w:p w14:paraId="1435D5A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15,272 </w:t>
                            </w:r>
                          </w:p>
                        </w:tc>
                        <w:tc>
                          <w:tcPr>
                            <w:tcW w:w="907" w:type="dxa"/>
                            <w:tcBorders>
                              <w:top w:val="nil"/>
                              <w:left w:val="nil"/>
                              <w:bottom w:val="single" w:sz="4" w:space="0" w:color="auto"/>
                              <w:right w:val="single" w:sz="4" w:space="0" w:color="auto"/>
                            </w:tcBorders>
                            <w:shd w:val="clear" w:color="auto" w:fill="auto"/>
                            <w:vAlign w:val="center"/>
                            <w:hideMark/>
                          </w:tcPr>
                          <w:p w14:paraId="7052A14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15,616 </w:t>
                            </w:r>
                          </w:p>
                        </w:tc>
                        <w:tc>
                          <w:tcPr>
                            <w:tcW w:w="907" w:type="dxa"/>
                            <w:tcBorders>
                              <w:top w:val="nil"/>
                              <w:left w:val="nil"/>
                              <w:bottom w:val="single" w:sz="4" w:space="0" w:color="auto"/>
                              <w:right w:val="single" w:sz="4" w:space="0" w:color="auto"/>
                            </w:tcBorders>
                            <w:shd w:val="clear" w:color="auto" w:fill="auto"/>
                            <w:vAlign w:val="center"/>
                            <w:hideMark/>
                          </w:tcPr>
                          <w:p w14:paraId="2D01849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15,906 </w:t>
                            </w:r>
                          </w:p>
                        </w:tc>
                        <w:tc>
                          <w:tcPr>
                            <w:tcW w:w="907" w:type="dxa"/>
                            <w:tcBorders>
                              <w:top w:val="nil"/>
                              <w:left w:val="nil"/>
                              <w:bottom w:val="single" w:sz="4" w:space="0" w:color="auto"/>
                              <w:right w:val="single" w:sz="4" w:space="0" w:color="auto"/>
                            </w:tcBorders>
                            <w:shd w:val="clear" w:color="auto" w:fill="auto"/>
                            <w:vAlign w:val="center"/>
                            <w:hideMark/>
                          </w:tcPr>
                          <w:p w14:paraId="2E49963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15,511 </w:t>
                            </w:r>
                          </w:p>
                        </w:tc>
                        <w:tc>
                          <w:tcPr>
                            <w:tcW w:w="907" w:type="dxa"/>
                            <w:tcBorders>
                              <w:top w:val="nil"/>
                              <w:left w:val="nil"/>
                              <w:bottom w:val="single" w:sz="4" w:space="0" w:color="auto"/>
                              <w:right w:val="single" w:sz="4" w:space="0" w:color="auto"/>
                            </w:tcBorders>
                            <w:shd w:val="clear" w:color="auto" w:fill="auto"/>
                            <w:vAlign w:val="center"/>
                            <w:hideMark/>
                          </w:tcPr>
                          <w:p w14:paraId="5814764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15,737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240A4169"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387C14C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46</w:t>
                            </w:r>
                            <w:r>
                              <w:rPr>
                                <w:rFonts w:ascii="標楷體" w:eastAsia="標楷體" w:hAnsi="標楷體" w:cs="新細明體"/>
                                <w:color w:val="000000"/>
                                <w:kern w:val="0"/>
                                <w:sz w:val="20"/>
                              </w:rPr>
                              <w:t>5</w:t>
                            </w:r>
                            <w:r w:rsidRPr="00AA7602">
                              <w:rPr>
                                <w:rFonts w:ascii="標楷體" w:eastAsia="標楷體" w:hAnsi="標楷體" w:cs="新細明體" w:hint="eastAsia"/>
                                <w:color w:val="000000"/>
                                <w:kern w:val="0"/>
                                <w:sz w:val="20"/>
                              </w:rPr>
                              <w:t xml:space="preserve">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tcPr>
                          <w:p w14:paraId="0B365357"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40855CB0" w14:textId="77777777" w:rsidTr="00772217">
                        <w:trPr>
                          <w:trHeight w:val="20"/>
                          <w:jc w:val="center"/>
                        </w:trPr>
                        <w:tc>
                          <w:tcPr>
                            <w:tcW w:w="1131" w:type="dxa"/>
                            <w:vMerge/>
                            <w:tcBorders>
                              <w:top w:val="nil"/>
                              <w:left w:val="single" w:sz="4" w:space="0" w:color="auto"/>
                              <w:bottom w:val="single" w:sz="4" w:space="0" w:color="auto"/>
                              <w:right w:val="single" w:sz="4" w:space="0" w:color="auto"/>
                            </w:tcBorders>
                            <w:vAlign w:val="center"/>
                            <w:hideMark/>
                          </w:tcPr>
                          <w:p w14:paraId="1D00D8CF"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448A48BA"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single" w:sz="4" w:space="0" w:color="auto"/>
                              <w:right w:val="single" w:sz="4" w:space="0" w:color="auto"/>
                            </w:tcBorders>
                            <w:shd w:val="clear" w:color="auto" w:fill="auto"/>
                            <w:vAlign w:val="center"/>
                            <w:hideMark/>
                          </w:tcPr>
                          <w:p w14:paraId="0814E50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25,220 </w:t>
                            </w:r>
                          </w:p>
                        </w:tc>
                        <w:tc>
                          <w:tcPr>
                            <w:tcW w:w="907" w:type="dxa"/>
                            <w:tcBorders>
                              <w:top w:val="nil"/>
                              <w:left w:val="nil"/>
                              <w:bottom w:val="single" w:sz="4" w:space="0" w:color="auto"/>
                              <w:right w:val="single" w:sz="4" w:space="0" w:color="auto"/>
                            </w:tcBorders>
                            <w:shd w:val="clear" w:color="auto" w:fill="auto"/>
                            <w:vAlign w:val="center"/>
                            <w:hideMark/>
                          </w:tcPr>
                          <w:p w14:paraId="24A2449C"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26,248 </w:t>
                            </w:r>
                          </w:p>
                        </w:tc>
                        <w:tc>
                          <w:tcPr>
                            <w:tcW w:w="907" w:type="dxa"/>
                            <w:tcBorders>
                              <w:top w:val="nil"/>
                              <w:left w:val="nil"/>
                              <w:bottom w:val="single" w:sz="4" w:space="0" w:color="auto"/>
                              <w:right w:val="single" w:sz="4" w:space="0" w:color="auto"/>
                            </w:tcBorders>
                            <w:shd w:val="clear" w:color="auto" w:fill="auto"/>
                            <w:vAlign w:val="center"/>
                            <w:hideMark/>
                          </w:tcPr>
                          <w:p w14:paraId="002EE81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26,170 </w:t>
                            </w:r>
                          </w:p>
                        </w:tc>
                        <w:tc>
                          <w:tcPr>
                            <w:tcW w:w="907" w:type="dxa"/>
                            <w:tcBorders>
                              <w:top w:val="nil"/>
                              <w:left w:val="nil"/>
                              <w:bottom w:val="single" w:sz="4" w:space="0" w:color="auto"/>
                              <w:right w:val="single" w:sz="4" w:space="0" w:color="auto"/>
                            </w:tcBorders>
                            <w:shd w:val="clear" w:color="auto" w:fill="auto"/>
                            <w:vAlign w:val="center"/>
                            <w:hideMark/>
                          </w:tcPr>
                          <w:p w14:paraId="2289B46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27,305 </w:t>
                            </w:r>
                          </w:p>
                        </w:tc>
                        <w:tc>
                          <w:tcPr>
                            <w:tcW w:w="907" w:type="dxa"/>
                            <w:tcBorders>
                              <w:top w:val="nil"/>
                              <w:left w:val="nil"/>
                              <w:bottom w:val="single" w:sz="4" w:space="0" w:color="auto"/>
                              <w:right w:val="single" w:sz="4" w:space="0" w:color="auto"/>
                            </w:tcBorders>
                            <w:shd w:val="clear" w:color="auto" w:fill="auto"/>
                            <w:vAlign w:val="center"/>
                            <w:hideMark/>
                          </w:tcPr>
                          <w:p w14:paraId="17D9F62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27,952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1FC4591C"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4A9B4A1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2,732 </w:t>
                            </w:r>
                          </w:p>
                        </w:tc>
                        <w:tc>
                          <w:tcPr>
                            <w:tcW w:w="910" w:type="dxa"/>
                            <w:gridSpan w:val="2"/>
                            <w:tcBorders>
                              <w:top w:val="single" w:sz="4" w:space="0" w:color="auto"/>
                              <w:left w:val="nil"/>
                              <w:bottom w:val="single" w:sz="8" w:space="0" w:color="auto"/>
                              <w:right w:val="single" w:sz="4" w:space="0" w:color="auto"/>
                              <w:tl2br w:val="single" w:sz="4" w:space="0" w:color="auto"/>
                            </w:tcBorders>
                            <w:shd w:val="clear" w:color="auto" w:fill="auto"/>
                            <w:vAlign w:val="center"/>
                          </w:tcPr>
                          <w:p w14:paraId="4275E956"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5531608B"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57419A9C"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公立學校</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0AD5483D"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小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340FF6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8,104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F93424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8,398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2F625D2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8,862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6B9DA12C"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9,007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93D11AB"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9,574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6DB8A3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9.38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F512EB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1,470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28796C02" w14:textId="77777777" w:rsidR="00E94BB2" w:rsidRPr="002515F0" w:rsidRDefault="00E94BB2" w:rsidP="00A7017E">
                            <w:pPr>
                              <w:spacing w:line="240" w:lineRule="exact"/>
                              <w:jc w:val="right"/>
                              <w:rPr>
                                <w:rFonts w:ascii="標楷體" w:eastAsia="標楷體" w:hAnsi="標楷體"/>
                                <w:bCs/>
                                <w:color w:val="000000"/>
                                <w:sz w:val="20"/>
                              </w:rPr>
                            </w:pPr>
                            <w:r w:rsidRPr="002515F0">
                              <w:rPr>
                                <w:rFonts w:ascii="標楷體" w:eastAsia="標楷體" w:hAnsi="標楷體" w:hint="eastAsia"/>
                                <w:bCs/>
                                <w:color w:val="000000"/>
                                <w:sz w:val="20"/>
                              </w:rPr>
                              <w:t>18.14</w:t>
                            </w:r>
                          </w:p>
                        </w:tc>
                      </w:tr>
                      <w:tr w:rsidR="00E94BB2" w:rsidRPr="00AA7602" w14:paraId="32491EAA"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625189D6"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1D2AC"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459BFAF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4,885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0BF7673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5,132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D3E82A4"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5,435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52269E2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5,499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E8D159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5,959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7581B471"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0BF43F8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1,074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tcPr>
                          <w:p w14:paraId="3436B84D"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01DEF14F"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3A2A3E8B"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01AE2BB9"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single" w:sz="4" w:space="0" w:color="auto"/>
                              <w:right w:val="single" w:sz="4" w:space="0" w:color="auto"/>
                            </w:tcBorders>
                            <w:shd w:val="clear" w:color="auto" w:fill="auto"/>
                            <w:vAlign w:val="center"/>
                            <w:hideMark/>
                          </w:tcPr>
                          <w:p w14:paraId="11D007C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3,219 </w:t>
                            </w:r>
                          </w:p>
                        </w:tc>
                        <w:tc>
                          <w:tcPr>
                            <w:tcW w:w="907" w:type="dxa"/>
                            <w:tcBorders>
                              <w:top w:val="nil"/>
                              <w:left w:val="nil"/>
                              <w:bottom w:val="single" w:sz="4" w:space="0" w:color="auto"/>
                              <w:right w:val="single" w:sz="4" w:space="0" w:color="auto"/>
                            </w:tcBorders>
                            <w:shd w:val="clear" w:color="auto" w:fill="auto"/>
                            <w:vAlign w:val="center"/>
                            <w:hideMark/>
                          </w:tcPr>
                          <w:p w14:paraId="74C790F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3,267 </w:t>
                            </w:r>
                          </w:p>
                        </w:tc>
                        <w:tc>
                          <w:tcPr>
                            <w:tcW w:w="907" w:type="dxa"/>
                            <w:tcBorders>
                              <w:top w:val="nil"/>
                              <w:left w:val="nil"/>
                              <w:bottom w:val="single" w:sz="4" w:space="0" w:color="auto"/>
                              <w:right w:val="single" w:sz="4" w:space="0" w:color="auto"/>
                            </w:tcBorders>
                            <w:shd w:val="clear" w:color="auto" w:fill="auto"/>
                            <w:vAlign w:val="center"/>
                            <w:hideMark/>
                          </w:tcPr>
                          <w:p w14:paraId="271180F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3,427 </w:t>
                            </w:r>
                          </w:p>
                        </w:tc>
                        <w:tc>
                          <w:tcPr>
                            <w:tcW w:w="907" w:type="dxa"/>
                            <w:tcBorders>
                              <w:top w:val="nil"/>
                              <w:left w:val="nil"/>
                              <w:bottom w:val="single" w:sz="4" w:space="0" w:color="auto"/>
                              <w:right w:val="single" w:sz="4" w:space="0" w:color="auto"/>
                            </w:tcBorders>
                            <w:shd w:val="clear" w:color="auto" w:fill="auto"/>
                            <w:vAlign w:val="center"/>
                            <w:hideMark/>
                          </w:tcPr>
                          <w:p w14:paraId="658D5BC5"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3,509 </w:t>
                            </w:r>
                          </w:p>
                        </w:tc>
                        <w:tc>
                          <w:tcPr>
                            <w:tcW w:w="907" w:type="dxa"/>
                            <w:tcBorders>
                              <w:top w:val="nil"/>
                              <w:left w:val="nil"/>
                              <w:bottom w:val="single" w:sz="4" w:space="0" w:color="auto"/>
                              <w:right w:val="single" w:sz="4" w:space="0" w:color="auto"/>
                            </w:tcBorders>
                            <w:shd w:val="clear" w:color="auto" w:fill="auto"/>
                            <w:vAlign w:val="center"/>
                            <w:hideMark/>
                          </w:tcPr>
                          <w:p w14:paraId="7B067ED0"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3,615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433BE12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6B389AA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39</w:t>
                            </w:r>
                            <w:r>
                              <w:rPr>
                                <w:rFonts w:ascii="標楷體" w:eastAsia="標楷體" w:hAnsi="標楷體" w:cs="新細明體"/>
                                <w:color w:val="000000"/>
                                <w:kern w:val="0"/>
                                <w:sz w:val="20"/>
                              </w:rPr>
                              <w:t>6</w:t>
                            </w:r>
                            <w:r w:rsidRPr="00AA7602">
                              <w:rPr>
                                <w:rFonts w:ascii="標楷體" w:eastAsia="標楷體" w:hAnsi="標楷體" w:cs="新細明體" w:hint="eastAsia"/>
                                <w:color w:val="000000"/>
                                <w:kern w:val="0"/>
                                <w:sz w:val="20"/>
                              </w:rPr>
                              <w:t xml:space="preserve"> </w:t>
                            </w:r>
                          </w:p>
                        </w:tc>
                        <w:tc>
                          <w:tcPr>
                            <w:tcW w:w="910" w:type="dxa"/>
                            <w:gridSpan w:val="2"/>
                            <w:tcBorders>
                              <w:top w:val="single" w:sz="4" w:space="0" w:color="auto"/>
                              <w:left w:val="nil"/>
                              <w:bottom w:val="single" w:sz="8" w:space="0" w:color="auto"/>
                              <w:right w:val="single" w:sz="4" w:space="0" w:color="auto"/>
                              <w:tl2br w:val="single" w:sz="4" w:space="0" w:color="auto"/>
                            </w:tcBorders>
                            <w:shd w:val="clear" w:color="auto" w:fill="auto"/>
                            <w:vAlign w:val="center"/>
                          </w:tcPr>
                          <w:p w14:paraId="75921FE8" w14:textId="77777777" w:rsidR="00E94BB2" w:rsidRPr="002515F0" w:rsidRDefault="00E94BB2" w:rsidP="00A7017E">
                            <w:pPr>
                              <w:spacing w:line="240" w:lineRule="exact"/>
                              <w:jc w:val="right"/>
                              <w:rPr>
                                <w:rFonts w:ascii="標楷體" w:eastAsia="標楷體" w:hAnsi="標楷體"/>
                                <w:color w:val="000000"/>
                                <w:sz w:val="20"/>
                              </w:rPr>
                            </w:pPr>
                            <w:r w:rsidRPr="002515F0">
                              <w:rPr>
                                <w:rFonts w:ascii="標楷體" w:eastAsia="標楷體" w:hAnsi="標楷體" w:hint="eastAsia"/>
                                <w:color w:val="000000"/>
                                <w:sz w:val="20"/>
                              </w:rPr>
                              <w:t xml:space="preserve">　</w:t>
                            </w:r>
                          </w:p>
                        </w:tc>
                      </w:tr>
                      <w:tr w:rsidR="00E94BB2" w:rsidRPr="00AA7602" w14:paraId="79D2B99C" w14:textId="77777777" w:rsidTr="00772217">
                        <w:trPr>
                          <w:trHeight w:val="20"/>
                          <w:jc w:val="center"/>
                        </w:trPr>
                        <w:tc>
                          <w:tcPr>
                            <w:tcW w:w="1131" w:type="dxa"/>
                            <w:vMerge w:val="restart"/>
                            <w:tcBorders>
                              <w:top w:val="nil"/>
                              <w:left w:val="single" w:sz="4" w:space="0" w:color="auto"/>
                              <w:bottom w:val="single" w:sz="4" w:space="0" w:color="auto"/>
                              <w:right w:val="single" w:sz="4" w:space="0" w:color="auto"/>
                            </w:tcBorders>
                            <w:shd w:val="clear" w:color="auto" w:fill="auto"/>
                            <w:vAlign w:val="center"/>
                            <w:hideMark/>
                          </w:tcPr>
                          <w:p w14:paraId="60DC1813" w14:textId="77777777" w:rsidR="00E94BB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公立醫療</w:t>
                            </w:r>
                          </w:p>
                          <w:p w14:paraId="76946978"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機構</w:t>
                            </w:r>
                          </w:p>
                        </w:tc>
                        <w:tc>
                          <w:tcPr>
                            <w:tcW w:w="1540" w:type="dxa"/>
                            <w:tcBorders>
                              <w:top w:val="single" w:sz="8" w:space="0" w:color="auto"/>
                              <w:left w:val="single" w:sz="4" w:space="0" w:color="auto"/>
                              <w:bottom w:val="single" w:sz="8" w:space="0" w:color="auto"/>
                              <w:right w:val="single" w:sz="4" w:space="0" w:color="auto"/>
                            </w:tcBorders>
                            <w:shd w:val="clear" w:color="000000" w:fill="F2F2F2"/>
                            <w:vAlign w:val="center"/>
                            <w:hideMark/>
                          </w:tcPr>
                          <w:p w14:paraId="369F05E6" w14:textId="77777777" w:rsidR="00E94BB2" w:rsidRPr="00AA7602" w:rsidRDefault="00E94BB2" w:rsidP="00A7017E">
                            <w:pPr>
                              <w:widowControl/>
                              <w:spacing w:line="240" w:lineRule="exact"/>
                              <w:jc w:val="center"/>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小 計</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0DB21236"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41,853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03716A4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43,741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107C6CB"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45,858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126223C7"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47,210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5A034E7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48,808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4BE584B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47.82 </w:t>
                            </w:r>
                          </w:p>
                        </w:tc>
                        <w:tc>
                          <w:tcPr>
                            <w:tcW w:w="907" w:type="dxa"/>
                            <w:tcBorders>
                              <w:top w:val="single" w:sz="8" w:space="0" w:color="auto"/>
                              <w:left w:val="nil"/>
                              <w:bottom w:val="single" w:sz="8" w:space="0" w:color="auto"/>
                              <w:right w:val="single" w:sz="4" w:space="0" w:color="auto"/>
                            </w:tcBorders>
                            <w:shd w:val="clear" w:color="000000" w:fill="F2F2F2"/>
                            <w:vAlign w:val="center"/>
                            <w:hideMark/>
                          </w:tcPr>
                          <w:p w14:paraId="3F2152BF"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6,956 </w:t>
                            </w:r>
                          </w:p>
                        </w:tc>
                        <w:tc>
                          <w:tcPr>
                            <w:tcW w:w="910" w:type="dxa"/>
                            <w:gridSpan w:val="2"/>
                            <w:tcBorders>
                              <w:top w:val="single" w:sz="8" w:space="0" w:color="auto"/>
                              <w:left w:val="nil"/>
                              <w:bottom w:val="single" w:sz="8" w:space="0" w:color="auto"/>
                              <w:right w:val="single" w:sz="8" w:space="0" w:color="auto"/>
                            </w:tcBorders>
                            <w:shd w:val="clear" w:color="000000" w:fill="F2F2F2"/>
                            <w:vAlign w:val="center"/>
                            <w:hideMark/>
                          </w:tcPr>
                          <w:p w14:paraId="7C70434C" w14:textId="77777777" w:rsidR="00E94BB2" w:rsidRPr="002515F0" w:rsidRDefault="00E94BB2" w:rsidP="00A7017E">
                            <w:pPr>
                              <w:spacing w:line="240" w:lineRule="exact"/>
                              <w:jc w:val="right"/>
                              <w:rPr>
                                <w:rFonts w:ascii="標楷體" w:eastAsia="標楷體" w:hAnsi="標楷體"/>
                                <w:bCs/>
                                <w:color w:val="000000"/>
                                <w:sz w:val="20"/>
                              </w:rPr>
                            </w:pPr>
                            <w:r w:rsidRPr="002515F0">
                              <w:rPr>
                                <w:rFonts w:ascii="標楷體" w:eastAsia="標楷體" w:hAnsi="標楷體" w:hint="eastAsia"/>
                                <w:bCs/>
                                <w:color w:val="000000"/>
                                <w:sz w:val="20"/>
                              </w:rPr>
                              <w:t>16.62</w:t>
                            </w:r>
                          </w:p>
                        </w:tc>
                      </w:tr>
                      <w:tr w:rsidR="00E94BB2" w:rsidRPr="00AA7602" w14:paraId="54F653D1"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24279161"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10BE2"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約用</w:t>
                            </w:r>
                            <w:r>
                              <w:rPr>
                                <w:rFonts w:ascii="標楷體" w:eastAsia="標楷體" w:hAnsi="標楷體" w:cs="新細明體" w:hint="eastAsia"/>
                                <w:color w:val="000000"/>
                                <w:kern w:val="0"/>
                                <w:sz w:val="20"/>
                              </w:rPr>
                              <w:t>人員</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4C31A82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33,673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80DC6B4"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35,185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338CA0A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37,051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34FB5E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38,162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A5FE4C3"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39,408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3BD7D18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18ED75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5,735 </w:t>
                            </w:r>
                          </w:p>
                        </w:tc>
                        <w:tc>
                          <w:tcPr>
                            <w:tcW w:w="910" w:type="dxa"/>
                            <w:gridSpan w:val="2"/>
                            <w:tcBorders>
                              <w:top w:val="single" w:sz="8" w:space="0" w:color="auto"/>
                              <w:left w:val="nil"/>
                              <w:bottom w:val="single" w:sz="4" w:space="0" w:color="auto"/>
                              <w:right w:val="single" w:sz="4" w:space="0" w:color="auto"/>
                              <w:tl2br w:val="single" w:sz="4" w:space="0" w:color="auto"/>
                            </w:tcBorders>
                            <w:shd w:val="clear" w:color="auto" w:fill="auto"/>
                            <w:vAlign w:val="center"/>
                          </w:tcPr>
                          <w:p w14:paraId="3FE87C53" w14:textId="77777777" w:rsidR="00E94BB2" w:rsidRPr="00907C62" w:rsidRDefault="00E94BB2" w:rsidP="00A7017E">
                            <w:pPr>
                              <w:spacing w:line="240" w:lineRule="exact"/>
                              <w:jc w:val="right"/>
                              <w:rPr>
                                <w:rFonts w:ascii="標楷體" w:eastAsia="標楷體" w:hAnsi="標楷體" w:cs="新細明體"/>
                                <w:color w:val="000000"/>
                                <w:sz w:val="20"/>
                              </w:rPr>
                            </w:pPr>
                          </w:p>
                        </w:tc>
                      </w:tr>
                      <w:tr w:rsidR="00E94BB2" w:rsidRPr="00AA7602" w14:paraId="270C3D29" w14:textId="77777777" w:rsidTr="00772217">
                        <w:trPr>
                          <w:trHeight w:val="20"/>
                          <w:jc w:val="center"/>
                        </w:trPr>
                        <w:tc>
                          <w:tcPr>
                            <w:tcW w:w="1131" w:type="dxa"/>
                            <w:vMerge/>
                            <w:tcBorders>
                              <w:top w:val="nil"/>
                              <w:left w:val="single" w:sz="4" w:space="0" w:color="auto"/>
                              <w:bottom w:val="single" w:sz="4" w:space="0" w:color="auto"/>
                              <w:right w:val="nil"/>
                            </w:tcBorders>
                            <w:vAlign w:val="center"/>
                            <w:hideMark/>
                          </w:tcPr>
                          <w:p w14:paraId="08FA66B3" w14:textId="77777777" w:rsidR="00E94BB2" w:rsidRPr="00AA7602" w:rsidRDefault="00E94BB2" w:rsidP="00A7017E">
                            <w:pPr>
                              <w:widowControl/>
                              <w:spacing w:line="240" w:lineRule="exact"/>
                              <w:rPr>
                                <w:rFonts w:ascii="標楷體" w:eastAsia="標楷體" w:hAnsi="標楷體" w:cs="新細明體"/>
                                <w:color w:val="000000"/>
                                <w:kern w:val="0"/>
                                <w:sz w:val="20"/>
                              </w:rPr>
                            </w:pPr>
                          </w:p>
                        </w:tc>
                        <w:tc>
                          <w:tcPr>
                            <w:tcW w:w="1540" w:type="dxa"/>
                            <w:tcBorders>
                              <w:top w:val="nil"/>
                              <w:left w:val="single" w:sz="4" w:space="0" w:color="auto"/>
                              <w:bottom w:val="single" w:sz="4" w:space="0" w:color="auto"/>
                              <w:right w:val="single" w:sz="4" w:space="0" w:color="auto"/>
                            </w:tcBorders>
                            <w:shd w:val="clear" w:color="auto" w:fill="auto"/>
                            <w:vAlign w:val="center"/>
                            <w:hideMark/>
                          </w:tcPr>
                          <w:p w14:paraId="0942987A" w14:textId="77777777" w:rsidR="00E94BB2" w:rsidRPr="00AA7602" w:rsidRDefault="00E94BB2" w:rsidP="00A7017E">
                            <w:pPr>
                              <w:widowControl/>
                              <w:spacing w:line="240" w:lineRule="exact"/>
                              <w:rPr>
                                <w:rFonts w:ascii="標楷體" w:eastAsia="標楷體" w:hAnsi="標楷體" w:cs="新細明體"/>
                                <w:color w:val="000000"/>
                                <w:kern w:val="0"/>
                                <w:sz w:val="20"/>
                              </w:rPr>
                            </w:pPr>
                            <w:r w:rsidRPr="00C85B70">
                              <w:rPr>
                                <w:rFonts w:ascii="標楷體" w:eastAsia="標楷體" w:hAnsi="標楷體" w:cs="新細明體" w:hint="eastAsia"/>
                                <w:color w:val="000000"/>
                                <w:kern w:val="0"/>
                                <w:sz w:val="20"/>
                              </w:rPr>
                              <w:t>派駐勞工</w:t>
                            </w:r>
                          </w:p>
                        </w:tc>
                        <w:tc>
                          <w:tcPr>
                            <w:tcW w:w="907" w:type="dxa"/>
                            <w:tcBorders>
                              <w:top w:val="nil"/>
                              <w:left w:val="nil"/>
                              <w:bottom w:val="single" w:sz="4" w:space="0" w:color="auto"/>
                              <w:right w:val="single" w:sz="4" w:space="0" w:color="auto"/>
                            </w:tcBorders>
                            <w:shd w:val="clear" w:color="auto" w:fill="auto"/>
                            <w:vAlign w:val="center"/>
                            <w:hideMark/>
                          </w:tcPr>
                          <w:p w14:paraId="5AE043A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8,179 </w:t>
                            </w:r>
                          </w:p>
                        </w:tc>
                        <w:tc>
                          <w:tcPr>
                            <w:tcW w:w="907" w:type="dxa"/>
                            <w:tcBorders>
                              <w:top w:val="nil"/>
                              <w:left w:val="nil"/>
                              <w:bottom w:val="single" w:sz="4" w:space="0" w:color="auto"/>
                              <w:right w:val="single" w:sz="4" w:space="0" w:color="auto"/>
                            </w:tcBorders>
                            <w:shd w:val="clear" w:color="auto" w:fill="auto"/>
                            <w:vAlign w:val="center"/>
                            <w:hideMark/>
                          </w:tcPr>
                          <w:p w14:paraId="68914F5D"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8,556 </w:t>
                            </w:r>
                          </w:p>
                        </w:tc>
                        <w:tc>
                          <w:tcPr>
                            <w:tcW w:w="907" w:type="dxa"/>
                            <w:tcBorders>
                              <w:top w:val="nil"/>
                              <w:left w:val="nil"/>
                              <w:bottom w:val="single" w:sz="4" w:space="0" w:color="auto"/>
                              <w:right w:val="single" w:sz="4" w:space="0" w:color="auto"/>
                            </w:tcBorders>
                            <w:shd w:val="clear" w:color="auto" w:fill="auto"/>
                            <w:vAlign w:val="center"/>
                            <w:hideMark/>
                          </w:tcPr>
                          <w:p w14:paraId="299E84DE"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8,807 </w:t>
                            </w:r>
                          </w:p>
                        </w:tc>
                        <w:tc>
                          <w:tcPr>
                            <w:tcW w:w="907" w:type="dxa"/>
                            <w:tcBorders>
                              <w:top w:val="nil"/>
                              <w:left w:val="nil"/>
                              <w:bottom w:val="single" w:sz="4" w:space="0" w:color="auto"/>
                              <w:right w:val="single" w:sz="4" w:space="0" w:color="auto"/>
                            </w:tcBorders>
                            <w:shd w:val="clear" w:color="auto" w:fill="auto"/>
                            <w:vAlign w:val="center"/>
                            <w:hideMark/>
                          </w:tcPr>
                          <w:p w14:paraId="415C0992"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9,048 </w:t>
                            </w:r>
                          </w:p>
                        </w:tc>
                        <w:tc>
                          <w:tcPr>
                            <w:tcW w:w="907" w:type="dxa"/>
                            <w:tcBorders>
                              <w:top w:val="nil"/>
                              <w:left w:val="nil"/>
                              <w:bottom w:val="single" w:sz="4" w:space="0" w:color="auto"/>
                              <w:right w:val="single" w:sz="4" w:space="0" w:color="auto"/>
                            </w:tcBorders>
                            <w:shd w:val="clear" w:color="auto" w:fill="auto"/>
                            <w:vAlign w:val="center"/>
                            <w:hideMark/>
                          </w:tcPr>
                          <w:p w14:paraId="02E8067A"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9,400 </w:t>
                            </w:r>
                          </w:p>
                        </w:tc>
                        <w:tc>
                          <w:tcPr>
                            <w:tcW w:w="907" w:type="dxa"/>
                            <w:tcBorders>
                              <w:top w:val="nil"/>
                              <w:left w:val="nil"/>
                              <w:bottom w:val="single" w:sz="4" w:space="0" w:color="auto"/>
                              <w:right w:val="single" w:sz="4" w:space="0" w:color="auto"/>
                              <w:tl2br w:val="single" w:sz="4" w:space="0" w:color="auto"/>
                            </w:tcBorders>
                            <w:shd w:val="clear" w:color="auto" w:fill="auto"/>
                            <w:vAlign w:val="center"/>
                            <w:hideMark/>
                          </w:tcPr>
                          <w:p w14:paraId="1A4D2108"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　</w:t>
                            </w:r>
                          </w:p>
                        </w:tc>
                        <w:tc>
                          <w:tcPr>
                            <w:tcW w:w="907" w:type="dxa"/>
                            <w:tcBorders>
                              <w:top w:val="nil"/>
                              <w:left w:val="nil"/>
                              <w:bottom w:val="single" w:sz="4" w:space="0" w:color="auto"/>
                              <w:right w:val="single" w:sz="4" w:space="0" w:color="auto"/>
                            </w:tcBorders>
                            <w:shd w:val="clear" w:color="auto" w:fill="auto"/>
                            <w:vAlign w:val="center"/>
                            <w:hideMark/>
                          </w:tcPr>
                          <w:p w14:paraId="1BF8F7EB" w14:textId="77777777" w:rsidR="00E94BB2" w:rsidRPr="00AA7602" w:rsidRDefault="00E94BB2" w:rsidP="00A7017E">
                            <w:pPr>
                              <w:widowControl/>
                              <w:spacing w:line="240" w:lineRule="exact"/>
                              <w:jc w:val="right"/>
                              <w:rPr>
                                <w:rFonts w:ascii="標楷體" w:eastAsia="標楷體" w:hAnsi="標楷體" w:cs="新細明體"/>
                                <w:color w:val="000000"/>
                                <w:kern w:val="0"/>
                                <w:sz w:val="20"/>
                              </w:rPr>
                            </w:pPr>
                            <w:r w:rsidRPr="00AA7602">
                              <w:rPr>
                                <w:rFonts w:ascii="標楷體" w:eastAsia="標楷體" w:hAnsi="標楷體" w:cs="新細明體" w:hint="eastAsia"/>
                                <w:color w:val="000000"/>
                                <w:kern w:val="0"/>
                                <w:sz w:val="20"/>
                              </w:rPr>
                              <w:t xml:space="preserve">1,221 </w:t>
                            </w:r>
                          </w:p>
                        </w:tc>
                        <w:tc>
                          <w:tcPr>
                            <w:tcW w:w="910" w:type="dxa"/>
                            <w:gridSpan w:val="2"/>
                            <w:tcBorders>
                              <w:top w:val="single" w:sz="4" w:space="0" w:color="auto"/>
                              <w:left w:val="nil"/>
                              <w:bottom w:val="single" w:sz="4" w:space="0" w:color="auto"/>
                              <w:right w:val="single" w:sz="4" w:space="0" w:color="auto"/>
                              <w:tl2br w:val="single" w:sz="4" w:space="0" w:color="auto"/>
                            </w:tcBorders>
                            <w:shd w:val="clear" w:color="auto" w:fill="auto"/>
                            <w:vAlign w:val="center"/>
                          </w:tcPr>
                          <w:p w14:paraId="394BABD8" w14:textId="77777777" w:rsidR="00E94BB2" w:rsidRPr="00907C62" w:rsidRDefault="00E94BB2" w:rsidP="00A7017E">
                            <w:pPr>
                              <w:spacing w:line="240" w:lineRule="exact"/>
                              <w:jc w:val="right"/>
                              <w:rPr>
                                <w:rFonts w:ascii="標楷體" w:eastAsia="標楷體" w:hAnsi="標楷體"/>
                                <w:color w:val="000000"/>
                                <w:sz w:val="20"/>
                              </w:rPr>
                            </w:pPr>
                          </w:p>
                        </w:tc>
                      </w:tr>
                      <w:tr w:rsidR="00E94BB2" w:rsidRPr="00AA7602" w14:paraId="473276AA" w14:textId="77777777" w:rsidTr="00772217">
                        <w:trPr>
                          <w:gridAfter w:val="1"/>
                          <w:wAfter w:w="57" w:type="dxa"/>
                          <w:trHeight w:val="283"/>
                          <w:jc w:val="center"/>
                        </w:trPr>
                        <w:tc>
                          <w:tcPr>
                            <w:tcW w:w="9873" w:type="dxa"/>
                            <w:gridSpan w:val="10"/>
                            <w:tcBorders>
                              <w:top w:val="single" w:sz="4" w:space="0" w:color="auto"/>
                            </w:tcBorders>
                            <w:vAlign w:val="center"/>
                          </w:tcPr>
                          <w:p w14:paraId="1B931082" w14:textId="77777777" w:rsidR="00E94BB2" w:rsidRPr="008F3D3E" w:rsidRDefault="00E94BB2" w:rsidP="00F95D89">
                            <w:pPr>
                              <w:widowControl/>
                              <w:spacing w:line="200" w:lineRule="exact"/>
                              <w:ind w:left="522" w:hangingChars="290" w:hanging="522"/>
                              <w:jc w:val="both"/>
                              <w:rPr>
                                <w:rFonts w:ascii="標楷體" w:eastAsia="標楷體" w:hAnsi="標楷體" w:cs="新細明體"/>
                                <w:kern w:val="0"/>
                                <w:sz w:val="18"/>
                                <w:szCs w:val="18"/>
                              </w:rPr>
                            </w:pPr>
                            <w:proofErr w:type="gramStart"/>
                            <w:r w:rsidRPr="008F3D3E">
                              <w:rPr>
                                <w:rFonts w:ascii="標楷體" w:eastAsia="標楷體" w:hAnsi="標楷體" w:cs="新細明體" w:hint="eastAsia"/>
                                <w:kern w:val="0"/>
                                <w:sz w:val="18"/>
                                <w:szCs w:val="18"/>
                              </w:rPr>
                              <w:t>註</w:t>
                            </w:r>
                            <w:proofErr w:type="gramEnd"/>
                            <w:r w:rsidRPr="008F3D3E">
                              <w:rPr>
                                <w:rFonts w:ascii="標楷體" w:eastAsia="標楷體" w:hAnsi="標楷體" w:cs="新細明體" w:hint="eastAsia"/>
                                <w:kern w:val="0"/>
                                <w:sz w:val="18"/>
                                <w:szCs w:val="18"/>
                              </w:rPr>
                              <w:t>：1.各機關運用多元人力人數處於浮動狀態，本表</w:t>
                            </w:r>
                            <w:proofErr w:type="gramStart"/>
                            <w:r w:rsidRPr="008F3D3E">
                              <w:rPr>
                                <w:rFonts w:ascii="標楷體" w:eastAsia="標楷體" w:hAnsi="標楷體" w:cs="新細明體" w:hint="eastAsia"/>
                                <w:kern w:val="0"/>
                                <w:sz w:val="18"/>
                                <w:szCs w:val="18"/>
                              </w:rPr>
                              <w:t>數據係當年度</w:t>
                            </w:r>
                            <w:proofErr w:type="gramEnd"/>
                            <w:r w:rsidRPr="008F3D3E">
                              <w:rPr>
                                <w:rFonts w:ascii="標楷體" w:eastAsia="標楷體" w:hAnsi="標楷體" w:cs="新細明體" w:hint="eastAsia"/>
                                <w:kern w:val="0"/>
                                <w:sz w:val="18"/>
                                <w:szCs w:val="18"/>
                              </w:rPr>
                              <w:t>之平均數，又各項數值合計數、百分比係以各細項原值計算後，四捨五入表達至表列統計單位。</w:t>
                            </w:r>
                            <w:r w:rsidRPr="008F3D3E">
                              <w:rPr>
                                <w:rFonts w:ascii="標楷體" w:eastAsia="標楷體" w:hAnsi="標楷體" w:cs="新細明體"/>
                                <w:kern w:val="0"/>
                                <w:sz w:val="18"/>
                                <w:szCs w:val="18"/>
                              </w:rPr>
                              <w:t xml:space="preserve"> </w:t>
                            </w:r>
                          </w:p>
                          <w:p w14:paraId="73ED110F" w14:textId="77777777" w:rsidR="00E94BB2" w:rsidRPr="008F3D3E" w:rsidRDefault="00E94BB2" w:rsidP="00F95D89">
                            <w:pPr>
                              <w:widowControl/>
                              <w:spacing w:line="200" w:lineRule="exact"/>
                              <w:ind w:leftChars="140" w:left="336"/>
                              <w:rPr>
                                <w:rFonts w:ascii="標楷體" w:eastAsia="標楷體" w:hAnsi="標楷體" w:cs="新細明體"/>
                                <w:kern w:val="0"/>
                                <w:sz w:val="18"/>
                                <w:szCs w:val="18"/>
                              </w:rPr>
                            </w:pPr>
                            <w:r w:rsidRPr="008F3D3E">
                              <w:rPr>
                                <w:rFonts w:ascii="標楷體" w:eastAsia="標楷體" w:hAnsi="標楷體" w:cs="新細明體" w:hint="eastAsia"/>
                                <w:kern w:val="0"/>
                                <w:sz w:val="18"/>
                                <w:szCs w:val="18"/>
                              </w:rPr>
                              <w:t>2</w:t>
                            </w:r>
                            <w:r w:rsidRPr="008F3D3E">
                              <w:rPr>
                                <w:rFonts w:ascii="標楷體" w:eastAsia="標楷體" w:hAnsi="標楷體" w:cs="新細明體"/>
                                <w:kern w:val="0"/>
                                <w:sz w:val="18"/>
                                <w:szCs w:val="18"/>
                              </w:rPr>
                              <w:t>.</w:t>
                            </w:r>
                            <w:r w:rsidRPr="008F3D3E">
                              <w:rPr>
                                <w:rFonts w:ascii="標楷體" w:eastAsia="標楷體" w:hAnsi="標楷體" w:cs="新細明體" w:hint="eastAsia"/>
                                <w:kern w:val="0"/>
                                <w:sz w:val="18"/>
                                <w:szCs w:val="18"/>
                              </w:rPr>
                              <w:t>不屬於公立學校或公立醫療機構者，歸類為公務機關。</w:t>
                            </w:r>
                          </w:p>
                          <w:p w14:paraId="68B45160" w14:textId="77777777" w:rsidR="00E94BB2" w:rsidRPr="008F3D3E" w:rsidRDefault="00E94BB2" w:rsidP="00F95D89">
                            <w:pPr>
                              <w:widowControl/>
                              <w:spacing w:line="200" w:lineRule="exact"/>
                              <w:ind w:leftChars="140" w:left="516" w:hangingChars="100" w:hanging="180"/>
                              <w:jc w:val="both"/>
                              <w:rPr>
                                <w:rFonts w:ascii="標楷體" w:eastAsia="標楷體" w:hAnsi="標楷體" w:cs="新細明體"/>
                                <w:kern w:val="0"/>
                                <w:sz w:val="18"/>
                                <w:szCs w:val="18"/>
                              </w:rPr>
                            </w:pPr>
                            <w:r w:rsidRPr="008F3D3E">
                              <w:rPr>
                                <w:rFonts w:ascii="標楷體" w:eastAsia="標楷體" w:hAnsi="標楷體" w:cs="新細明體"/>
                                <w:kern w:val="0"/>
                                <w:sz w:val="18"/>
                                <w:szCs w:val="18"/>
                              </w:rPr>
                              <w:t>3.</w:t>
                            </w:r>
                            <w:r w:rsidRPr="00772217">
                              <w:rPr>
                                <w:rFonts w:ascii="標楷體" w:eastAsia="標楷體" w:hAnsi="標楷體" w:cs="新細明體" w:hint="eastAsia"/>
                                <w:spacing w:val="-4"/>
                                <w:kern w:val="0"/>
                                <w:sz w:val="18"/>
                                <w:szCs w:val="18"/>
                              </w:rPr>
                              <w:t>約用人員係全日工時者（不含部分工時者）；派駐勞工係指全日派駐於機關工作者（不含部分工時、未派駐機關場所者）。</w:t>
                            </w:r>
                          </w:p>
                          <w:p w14:paraId="68A2C37D" w14:textId="77777777" w:rsidR="00E94BB2" w:rsidRPr="00605BAA" w:rsidRDefault="00E94BB2" w:rsidP="00F95D89">
                            <w:pPr>
                              <w:widowControl/>
                              <w:spacing w:line="200" w:lineRule="exact"/>
                              <w:ind w:leftChars="140" w:left="336"/>
                              <w:rPr>
                                <w:rFonts w:ascii="標楷體" w:eastAsia="標楷體" w:hAnsi="標楷體" w:cs="新細明體"/>
                                <w:color w:val="000000"/>
                                <w:kern w:val="0"/>
                                <w:sz w:val="18"/>
                                <w:szCs w:val="18"/>
                              </w:rPr>
                            </w:pPr>
                            <w:r w:rsidRPr="008F3D3E">
                              <w:rPr>
                                <w:rFonts w:ascii="標楷體" w:eastAsia="標楷體" w:hAnsi="標楷體" w:cs="新細明體"/>
                                <w:kern w:val="0"/>
                                <w:sz w:val="18"/>
                                <w:szCs w:val="18"/>
                              </w:rPr>
                              <w:t>4.</w:t>
                            </w:r>
                            <w:r w:rsidRPr="008F3D3E">
                              <w:rPr>
                                <w:rFonts w:ascii="標楷體" w:eastAsia="標楷體" w:hAnsi="標楷體" w:cs="新細明體" w:hint="eastAsia"/>
                                <w:kern w:val="0"/>
                                <w:sz w:val="18"/>
                                <w:szCs w:val="18"/>
                              </w:rPr>
                              <w:t>資料來源：整理自行政院人事行政總處提供資料。</w:t>
                            </w:r>
                          </w:p>
                        </w:tc>
                      </w:tr>
                    </w:tbl>
                    <w:p w14:paraId="75FF32F1" w14:textId="77777777" w:rsidR="00E94BB2" w:rsidRPr="00A7017E" w:rsidRDefault="00E94BB2" w:rsidP="00E94BB2"/>
                  </w:txbxContent>
                </v:textbox>
                <w10:wrap type="square" anchorx="margin" anchory="margin"/>
              </v:shape>
            </w:pict>
          </mc:Fallback>
        </mc:AlternateContent>
      </w:r>
      <w:r w:rsidRPr="00E336A7">
        <w:rPr>
          <w:rFonts w:hAnsi="標楷體" w:hint="eastAsia"/>
          <w:bCs/>
          <w:snapToGrid w:val="0"/>
          <w:spacing w:val="-2"/>
          <w:sz w:val="24"/>
          <w:szCs w:val="24"/>
        </w:rPr>
        <w:t>總數之半，又25個主管部會中，計有21個主管部會</w:t>
      </w:r>
      <w:proofErr w:type="gramStart"/>
      <w:r w:rsidRPr="00E336A7">
        <w:rPr>
          <w:rFonts w:hAnsi="標楷體" w:hint="eastAsia"/>
          <w:bCs/>
          <w:snapToGrid w:val="0"/>
          <w:spacing w:val="-2"/>
          <w:sz w:val="24"/>
          <w:szCs w:val="24"/>
        </w:rPr>
        <w:t>113</w:t>
      </w:r>
      <w:proofErr w:type="gramEnd"/>
      <w:r w:rsidRPr="00E336A7">
        <w:rPr>
          <w:rFonts w:hAnsi="標楷體" w:hint="eastAsia"/>
          <w:bCs/>
          <w:snapToGrid w:val="0"/>
          <w:spacing w:val="-2"/>
          <w:sz w:val="24"/>
          <w:szCs w:val="24"/>
        </w:rPr>
        <w:t>年度多元人力數量及占比，均較</w:t>
      </w:r>
      <w:proofErr w:type="gramStart"/>
      <w:r w:rsidRPr="00E336A7">
        <w:rPr>
          <w:rFonts w:hAnsi="標楷體" w:hint="eastAsia"/>
          <w:bCs/>
          <w:snapToGrid w:val="0"/>
          <w:spacing w:val="-2"/>
          <w:sz w:val="24"/>
          <w:szCs w:val="24"/>
        </w:rPr>
        <w:t>109</w:t>
      </w:r>
      <w:proofErr w:type="gramEnd"/>
      <w:r w:rsidRPr="00E336A7">
        <w:rPr>
          <w:rFonts w:hAnsi="標楷體" w:hint="eastAsia"/>
          <w:bCs/>
          <w:snapToGrid w:val="0"/>
          <w:spacing w:val="-2"/>
          <w:sz w:val="24"/>
          <w:szCs w:val="24"/>
        </w:rPr>
        <w:t>年度上升。次查，在公務機關部分，中央研究院、國軍退除役官兵輔導委員會、客家委員會、原住民族委員會、</w:t>
      </w:r>
      <w:proofErr w:type="gramStart"/>
      <w:r w:rsidRPr="00E336A7">
        <w:rPr>
          <w:rFonts w:hAnsi="標楷體" w:hint="eastAsia"/>
          <w:bCs/>
          <w:snapToGrid w:val="0"/>
          <w:spacing w:val="-2"/>
          <w:sz w:val="24"/>
          <w:szCs w:val="24"/>
        </w:rPr>
        <w:t>勞動部等5個</w:t>
      </w:r>
      <w:proofErr w:type="gramEnd"/>
      <w:r w:rsidRPr="00E336A7">
        <w:rPr>
          <w:rFonts w:hAnsi="標楷體" w:hint="eastAsia"/>
          <w:bCs/>
          <w:snapToGrid w:val="0"/>
          <w:spacing w:val="-2"/>
          <w:sz w:val="24"/>
          <w:szCs w:val="24"/>
        </w:rPr>
        <w:t>主管機關</w:t>
      </w:r>
      <w:proofErr w:type="gramStart"/>
      <w:r w:rsidRPr="00E336A7">
        <w:rPr>
          <w:rFonts w:hAnsi="標楷體" w:hint="eastAsia"/>
          <w:bCs/>
          <w:snapToGrid w:val="0"/>
          <w:spacing w:val="-2"/>
          <w:sz w:val="24"/>
          <w:szCs w:val="24"/>
        </w:rPr>
        <w:t>113</w:t>
      </w:r>
      <w:proofErr w:type="gramEnd"/>
      <w:r w:rsidRPr="00E336A7">
        <w:rPr>
          <w:rFonts w:hAnsi="標楷體" w:hint="eastAsia"/>
          <w:bCs/>
          <w:snapToGrid w:val="0"/>
          <w:spacing w:val="-2"/>
          <w:sz w:val="24"/>
          <w:szCs w:val="24"/>
        </w:rPr>
        <w:t>年度多元人力占比已超逾50％；公立醫療機構部分，國軍退除役官兵輔導委員會、教育部、衛生</w:t>
      </w:r>
      <w:proofErr w:type="gramStart"/>
      <w:r w:rsidRPr="00E336A7">
        <w:rPr>
          <w:rFonts w:hAnsi="標楷體" w:hint="eastAsia"/>
          <w:bCs/>
          <w:snapToGrid w:val="0"/>
          <w:spacing w:val="-2"/>
          <w:sz w:val="24"/>
          <w:szCs w:val="24"/>
        </w:rPr>
        <w:t>福利部等各</w:t>
      </w:r>
      <w:proofErr w:type="gramEnd"/>
      <w:r w:rsidRPr="00E336A7">
        <w:rPr>
          <w:rFonts w:hAnsi="標楷體" w:hint="eastAsia"/>
          <w:bCs/>
          <w:snapToGrid w:val="0"/>
          <w:spacing w:val="-2"/>
          <w:sz w:val="24"/>
          <w:szCs w:val="24"/>
        </w:rPr>
        <w:t>主管公立醫療機構多元人力占比普遍超逾60％，顯示</w:t>
      </w:r>
      <w:r w:rsidRPr="00E336A7">
        <w:rPr>
          <w:rFonts w:hAnsi="標楷體"/>
          <w:bCs/>
          <w:snapToGrid w:val="0"/>
          <w:spacing w:val="-2"/>
          <w:sz w:val="24"/>
          <w:szCs w:val="24"/>
        </w:rPr>
        <w:t>各機關</w:t>
      </w:r>
      <w:r w:rsidRPr="00E336A7">
        <w:rPr>
          <w:rFonts w:hAnsi="標楷體" w:hint="eastAsia"/>
          <w:bCs/>
          <w:snapToGrid w:val="0"/>
          <w:spacing w:val="-2"/>
          <w:sz w:val="24"/>
          <w:szCs w:val="24"/>
        </w:rPr>
        <w:t>運用</w:t>
      </w:r>
      <w:r w:rsidRPr="00E336A7">
        <w:rPr>
          <w:rFonts w:hAnsi="標楷體"/>
          <w:bCs/>
          <w:snapToGrid w:val="0"/>
          <w:spacing w:val="-2"/>
          <w:sz w:val="24"/>
          <w:szCs w:val="24"/>
        </w:rPr>
        <w:t>多元人力</w:t>
      </w:r>
      <w:r w:rsidRPr="00E336A7">
        <w:rPr>
          <w:rFonts w:hAnsi="標楷體" w:hint="eastAsia"/>
          <w:bCs/>
          <w:snapToGrid w:val="0"/>
          <w:spacing w:val="-2"/>
          <w:sz w:val="24"/>
          <w:szCs w:val="24"/>
        </w:rPr>
        <w:t>明顯</w:t>
      </w:r>
      <w:r w:rsidRPr="00E336A7">
        <w:rPr>
          <w:rFonts w:hAnsi="標楷體"/>
          <w:bCs/>
          <w:snapToGrid w:val="0"/>
          <w:spacing w:val="-2"/>
          <w:sz w:val="24"/>
          <w:szCs w:val="24"/>
        </w:rPr>
        <w:t>增加，</w:t>
      </w:r>
      <w:r w:rsidRPr="00E336A7">
        <w:rPr>
          <w:rFonts w:hAnsi="標楷體" w:hint="eastAsia"/>
          <w:bCs/>
          <w:snapToGrid w:val="0"/>
          <w:spacing w:val="-2"/>
          <w:sz w:val="24"/>
          <w:szCs w:val="24"/>
        </w:rPr>
        <w:t>甚已成為部分公務機關及公立醫療機構</w:t>
      </w:r>
      <w:r w:rsidRPr="00E336A7">
        <w:rPr>
          <w:rFonts w:hAnsi="標楷體"/>
          <w:bCs/>
          <w:snapToGrid w:val="0"/>
          <w:spacing w:val="-2"/>
          <w:sz w:val="24"/>
          <w:szCs w:val="24"/>
        </w:rPr>
        <w:t>常態性人力來源</w:t>
      </w:r>
      <w:r w:rsidRPr="00E336A7">
        <w:rPr>
          <w:rFonts w:hAnsi="標楷體" w:hint="eastAsia"/>
          <w:bCs/>
          <w:snapToGrid w:val="0"/>
          <w:spacing w:val="-2"/>
          <w:sz w:val="24"/>
          <w:szCs w:val="24"/>
        </w:rPr>
        <w:t>，恐</w:t>
      </w:r>
      <w:r w:rsidRPr="00E336A7">
        <w:rPr>
          <w:rFonts w:hAnsi="標楷體"/>
          <w:bCs/>
          <w:snapToGrid w:val="0"/>
          <w:spacing w:val="-2"/>
          <w:sz w:val="24"/>
          <w:szCs w:val="24"/>
        </w:rPr>
        <w:t>衍生人力結構失衡、管理負擔增加、人力穩定性</w:t>
      </w:r>
      <w:r w:rsidRPr="00E336A7">
        <w:rPr>
          <w:rFonts w:hAnsi="標楷體" w:hint="eastAsia"/>
          <w:bCs/>
          <w:snapToGrid w:val="0"/>
          <w:spacing w:val="-2"/>
          <w:sz w:val="24"/>
          <w:szCs w:val="24"/>
        </w:rPr>
        <w:t>及勞動</w:t>
      </w:r>
      <w:r w:rsidRPr="00E336A7">
        <w:rPr>
          <w:rFonts w:hAnsi="標楷體"/>
          <w:bCs/>
          <w:snapToGrid w:val="0"/>
          <w:spacing w:val="-2"/>
          <w:sz w:val="24"/>
          <w:szCs w:val="24"/>
        </w:rPr>
        <w:t>權益保障不足</w:t>
      </w:r>
      <w:r w:rsidRPr="00E336A7">
        <w:rPr>
          <w:rFonts w:hAnsi="標楷體" w:hint="eastAsia"/>
          <w:bCs/>
          <w:snapToGrid w:val="0"/>
          <w:spacing w:val="-2"/>
          <w:sz w:val="24"/>
          <w:szCs w:val="24"/>
        </w:rPr>
        <w:t>等風險與挑戰。</w:t>
      </w:r>
      <w:bookmarkStart w:id="26" w:name="_Hlk199947754"/>
      <w:r w:rsidR="006F0D26">
        <w:rPr>
          <w:rFonts w:hAnsi="標楷體" w:hint="eastAsia"/>
          <w:bCs/>
          <w:snapToGrid w:val="0"/>
          <w:spacing w:val="-2"/>
          <w:sz w:val="24"/>
          <w:szCs w:val="24"/>
        </w:rPr>
        <w:t>允宜</w:t>
      </w:r>
      <w:r w:rsidRPr="00E336A7">
        <w:rPr>
          <w:rFonts w:hAnsi="標楷體" w:hint="eastAsia"/>
          <w:bCs/>
          <w:snapToGrid w:val="0"/>
          <w:spacing w:val="-2"/>
          <w:sz w:val="24"/>
          <w:szCs w:val="24"/>
        </w:rPr>
        <w:t>督促行政院人事行政總處通盤審視政府整體用人全貌，適時</w:t>
      </w:r>
      <w:r w:rsidRPr="00E336A7">
        <w:rPr>
          <w:rFonts w:hAnsi="標楷體"/>
          <w:bCs/>
          <w:snapToGrid w:val="0"/>
          <w:spacing w:val="-2"/>
          <w:sz w:val="24"/>
          <w:szCs w:val="24"/>
        </w:rPr>
        <w:t>檢討多元人力運用政策</w:t>
      </w:r>
      <w:r w:rsidRPr="00E336A7">
        <w:rPr>
          <w:rFonts w:hAnsi="標楷體" w:hint="eastAsia"/>
          <w:bCs/>
          <w:snapToGrid w:val="0"/>
          <w:spacing w:val="-2"/>
          <w:sz w:val="24"/>
          <w:szCs w:val="24"/>
        </w:rPr>
        <w:t>及</w:t>
      </w:r>
      <w:r w:rsidRPr="00E336A7">
        <w:rPr>
          <w:rFonts w:hAnsi="標楷體"/>
          <w:bCs/>
          <w:snapToGrid w:val="0"/>
          <w:spacing w:val="-2"/>
          <w:sz w:val="24"/>
          <w:szCs w:val="24"/>
        </w:rPr>
        <w:t>建立適切之監督管理制度，並評估必要之法規修正或行政指引補充，以</w:t>
      </w:r>
      <w:proofErr w:type="gramStart"/>
      <w:r w:rsidRPr="00E336A7">
        <w:rPr>
          <w:rFonts w:hAnsi="標楷體"/>
          <w:bCs/>
          <w:snapToGrid w:val="0"/>
          <w:spacing w:val="-2"/>
          <w:sz w:val="24"/>
          <w:szCs w:val="24"/>
        </w:rPr>
        <w:t>釐</w:t>
      </w:r>
      <w:proofErr w:type="gramEnd"/>
      <w:r w:rsidRPr="00E336A7">
        <w:rPr>
          <w:rFonts w:hAnsi="標楷體"/>
          <w:bCs/>
          <w:snapToGrid w:val="0"/>
          <w:spacing w:val="-2"/>
          <w:sz w:val="24"/>
          <w:szCs w:val="24"/>
        </w:rPr>
        <w:t>清多元人力之適用範圍與角色定位，審慎管控其規模</w:t>
      </w:r>
      <w:r w:rsidRPr="00E336A7">
        <w:rPr>
          <w:rFonts w:hAnsi="標楷體" w:hint="eastAsia"/>
          <w:bCs/>
          <w:snapToGrid w:val="0"/>
          <w:spacing w:val="-2"/>
          <w:sz w:val="24"/>
          <w:szCs w:val="24"/>
        </w:rPr>
        <w:t>，以</w:t>
      </w:r>
      <w:r w:rsidRPr="00E336A7">
        <w:rPr>
          <w:rFonts w:hAnsi="標楷體"/>
          <w:bCs/>
          <w:snapToGrid w:val="0"/>
          <w:spacing w:val="-2"/>
          <w:sz w:val="24"/>
          <w:szCs w:val="24"/>
        </w:rPr>
        <w:t>確保</w:t>
      </w:r>
      <w:r w:rsidRPr="00E336A7">
        <w:rPr>
          <w:rFonts w:hAnsi="標楷體" w:hint="eastAsia"/>
          <w:bCs/>
          <w:snapToGrid w:val="0"/>
          <w:spacing w:val="-2"/>
          <w:sz w:val="24"/>
          <w:szCs w:val="24"/>
        </w:rPr>
        <w:t>政府整體</w:t>
      </w:r>
      <w:r w:rsidRPr="00E336A7">
        <w:rPr>
          <w:rFonts w:hAnsi="標楷體"/>
          <w:bCs/>
          <w:snapToGrid w:val="0"/>
          <w:spacing w:val="-2"/>
          <w:sz w:val="24"/>
          <w:szCs w:val="24"/>
        </w:rPr>
        <w:t>人力運用之效率與永續發展</w:t>
      </w:r>
      <w:r w:rsidRPr="00E336A7">
        <w:rPr>
          <w:rFonts w:hAnsi="標楷體" w:hint="eastAsia"/>
          <w:bCs/>
          <w:snapToGrid w:val="0"/>
          <w:spacing w:val="-2"/>
          <w:sz w:val="24"/>
          <w:szCs w:val="24"/>
        </w:rPr>
        <w:t>。</w:t>
      </w:r>
      <w:bookmarkEnd w:id="26"/>
    </w:p>
    <w:p w14:paraId="3B8B3418" w14:textId="1AF100AB" w:rsidR="00286703" w:rsidRDefault="005D0F74" w:rsidP="00286703">
      <w:pPr>
        <w:pStyle w:val="affb"/>
        <w:tabs>
          <w:tab w:val="left" w:pos="1560"/>
        </w:tabs>
        <w:overflowPunct w:val="0"/>
        <w:spacing w:line="450" w:lineRule="exact"/>
        <w:ind w:left="0" w:firstLineChars="400" w:firstLine="961"/>
        <w:jc w:val="both"/>
        <w:rPr>
          <w:rFonts w:hAnsi="標楷體"/>
          <w:bCs/>
          <w:snapToGrid w:val="0"/>
          <w:sz w:val="24"/>
          <w:szCs w:val="24"/>
        </w:rPr>
      </w:pPr>
      <w:r w:rsidRPr="00702BDF">
        <w:rPr>
          <w:rFonts w:hAnsi="標楷體" w:hint="eastAsia"/>
          <w:b/>
          <w:color w:val="000000" w:themeColor="text1"/>
          <w:sz w:val="24"/>
          <w:szCs w:val="28"/>
        </w:rPr>
        <w:t xml:space="preserve">3.　</w:t>
      </w:r>
      <w:r w:rsidRPr="00702BDF">
        <w:rPr>
          <w:rFonts w:hAnsi="標楷體" w:hint="eastAsia"/>
          <w:b/>
          <w:kern w:val="2"/>
          <w:sz w:val="24"/>
          <w:szCs w:val="24"/>
        </w:rPr>
        <w:t>中央政府各機關近年正式人力預算員額約20萬人，惟因未運用缺額數仍多、高普考試未補</w:t>
      </w:r>
      <w:proofErr w:type="gramStart"/>
      <w:r w:rsidRPr="00702BDF">
        <w:rPr>
          <w:rFonts w:hAnsi="標楷體" w:hint="eastAsia"/>
          <w:b/>
          <w:kern w:val="2"/>
          <w:sz w:val="24"/>
          <w:szCs w:val="24"/>
        </w:rPr>
        <w:t>實職缺數及</w:t>
      </w:r>
      <w:proofErr w:type="gramEnd"/>
      <w:r w:rsidRPr="00702BDF">
        <w:rPr>
          <w:rFonts w:hAnsi="標楷體" w:hint="eastAsia"/>
          <w:b/>
          <w:kern w:val="2"/>
          <w:sz w:val="24"/>
          <w:szCs w:val="24"/>
        </w:rPr>
        <w:t>公務人員辭職人數逐年增加等，整體缺額率已近</w:t>
      </w:r>
      <w:proofErr w:type="gramStart"/>
      <w:r w:rsidRPr="00702BDF">
        <w:rPr>
          <w:rFonts w:hAnsi="標楷體" w:hint="eastAsia"/>
          <w:b/>
          <w:kern w:val="2"/>
          <w:sz w:val="24"/>
          <w:szCs w:val="24"/>
        </w:rPr>
        <w:t>1成</w:t>
      </w:r>
      <w:proofErr w:type="gramEnd"/>
      <w:r w:rsidRPr="00702BDF">
        <w:rPr>
          <w:rFonts w:hAnsi="標楷體" w:hint="eastAsia"/>
          <w:b/>
          <w:kern w:val="2"/>
          <w:sz w:val="24"/>
          <w:szCs w:val="24"/>
        </w:rPr>
        <w:t>，恐加重公務人力負荷及影響機關業務推動，允宜適時檢討長期未運用</w:t>
      </w:r>
      <w:proofErr w:type="gramStart"/>
      <w:r w:rsidRPr="00702BDF">
        <w:rPr>
          <w:rFonts w:hAnsi="標楷體" w:hint="eastAsia"/>
          <w:b/>
          <w:kern w:val="2"/>
          <w:sz w:val="24"/>
          <w:szCs w:val="24"/>
        </w:rPr>
        <w:t>缺額留控之</w:t>
      </w:r>
      <w:proofErr w:type="gramEnd"/>
      <w:r w:rsidRPr="00702BDF">
        <w:rPr>
          <w:rFonts w:hAnsi="標楷體" w:hint="eastAsia"/>
          <w:b/>
          <w:kern w:val="2"/>
          <w:sz w:val="24"/>
          <w:szCs w:val="24"/>
        </w:rPr>
        <w:t>必要性，</w:t>
      </w:r>
      <w:proofErr w:type="gramStart"/>
      <w:r w:rsidRPr="00702BDF">
        <w:rPr>
          <w:rFonts w:hAnsi="標楷體" w:hint="eastAsia"/>
          <w:b/>
          <w:kern w:val="2"/>
          <w:sz w:val="24"/>
          <w:szCs w:val="24"/>
        </w:rPr>
        <w:t>俾</w:t>
      </w:r>
      <w:proofErr w:type="gramEnd"/>
      <w:r w:rsidRPr="00702BDF">
        <w:rPr>
          <w:rFonts w:hAnsi="標楷體" w:hint="eastAsia"/>
          <w:b/>
          <w:kern w:val="2"/>
          <w:sz w:val="24"/>
          <w:szCs w:val="24"/>
        </w:rPr>
        <w:t>利整體規劃彈性調撥，並強化攬（留）才成效，以穩定公務體系人力運作：</w:t>
      </w:r>
      <w:r w:rsidRPr="00702BDF">
        <w:rPr>
          <w:rFonts w:hAnsi="標楷體" w:hint="eastAsia"/>
          <w:bCs/>
          <w:snapToGrid w:val="0"/>
          <w:sz w:val="24"/>
          <w:szCs w:val="24"/>
        </w:rPr>
        <w:t>中央政府各機關近</w:t>
      </w:r>
      <w:proofErr w:type="gramStart"/>
      <w:r w:rsidRPr="00702BDF">
        <w:rPr>
          <w:rFonts w:hAnsi="標楷體" w:hint="eastAsia"/>
          <w:bCs/>
          <w:snapToGrid w:val="0"/>
          <w:sz w:val="24"/>
          <w:szCs w:val="24"/>
        </w:rPr>
        <w:t>5</w:t>
      </w:r>
      <w:proofErr w:type="gramEnd"/>
      <w:r w:rsidRPr="00702BDF">
        <w:rPr>
          <w:rFonts w:hAnsi="標楷體" w:hint="eastAsia"/>
          <w:bCs/>
          <w:snapToGrid w:val="0"/>
          <w:sz w:val="24"/>
          <w:szCs w:val="24"/>
        </w:rPr>
        <w:t>年度正式人力（預算員額類型屬職員、警察、法警、聘用人員、約</w:t>
      </w:r>
      <w:proofErr w:type="gramStart"/>
      <w:r w:rsidRPr="00702BDF">
        <w:rPr>
          <w:rFonts w:hAnsi="標楷體" w:hint="eastAsia"/>
          <w:bCs/>
          <w:snapToGrid w:val="0"/>
          <w:sz w:val="24"/>
          <w:szCs w:val="24"/>
        </w:rPr>
        <w:t>僱</w:t>
      </w:r>
      <w:proofErr w:type="gramEnd"/>
      <w:r w:rsidRPr="00702BDF">
        <w:rPr>
          <w:rFonts w:hAnsi="標楷體" w:hint="eastAsia"/>
          <w:bCs/>
          <w:snapToGrid w:val="0"/>
          <w:sz w:val="24"/>
          <w:szCs w:val="24"/>
        </w:rPr>
        <w:t>人員、駐外雇員）之平均預算員額，自</w:t>
      </w:r>
      <w:proofErr w:type="gramStart"/>
      <w:r w:rsidRPr="00702BDF">
        <w:rPr>
          <w:rFonts w:hAnsi="標楷體" w:hint="eastAsia"/>
          <w:bCs/>
          <w:snapToGrid w:val="0"/>
          <w:sz w:val="24"/>
          <w:szCs w:val="24"/>
        </w:rPr>
        <w:t>109</w:t>
      </w:r>
      <w:proofErr w:type="gramEnd"/>
      <w:r w:rsidRPr="00702BDF">
        <w:rPr>
          <w:rFonts w:hAnsi="標楷體" w:hint="eastAsia"/>
          <w:bCs/>
          <w:snapToGrid w:val="0"/>
          <w:sz w:val="24"/>
          <w:szCs w:val="24"/>
        </w:rPr>
        <w:t>年度之20萬4</w:t>
      </w:r>
      <w:r w:rsidRPr="00702BDF">
        <w:rPr>
          <w:rFonts w:hAnsi="標楷體"/>
          <w:bCs/>
          <w:snapToGrid w:val="0"/>
          <w:sz w:val="24"/>
          <w:szCs w:val="24"/>
        </w:rPr>
        <w:t>,964</w:t>
      </w:r>
      <w:r w:rsidRPr="00702BDF">
        <w:rPr>
          <w:rFonts w:hAnsi="標楷體" w:hint="eastAsia"/>
          <w:bCs/>
          <w:snapToGrid w:val="0"/>
          <w:sz w:val="24"/>
          <w:szCs w:val="24"/>
        </w:rPr>
        <w:t>人，增加至</w:t>
      </w:r>
      <w:proofErr w:type="gramStart"/>
      <w:r w:rsidRPr="00702BDF">
        <w:rPr>
          <w:rFonts w:hAnsi="標楷體" w:hint="eastAsia"/>
          <w:bCs/>
          <w:snapToGrid w:val="0"/>
          <w:sz w:val="24"/>
          <w:szCs w:val="24"/>
        </w:rPr>
        <w:t>113</w:t>
      </w:r>
      <w:proofErr w:type="gramEnd"/>
      <w:r w:rsidRPr="00702BDF">
        <w:rPr>
          <w:rFonts w:hAnsi="標楷體" w:hint="eastAsia"/>
          <w:bCs/>
          <w:snapToGrid w:val="0"/>
          <w:sz w:val="24"/>
          <w:szCs w:val="24"/>
        </w:rPr>
        <w:t>年度之20萬8</w:t>
      </w:r>
      <w:r w:rsidRPr="00702BDF">
        <w:rPr>
          <w:rFonts w:hAnsi="標楷體"/>
          <w:bCs/>
          <w:snapToGrid w:val="0"/>
          <w:sz w:val="24"/>
          <w:szCs w:val="24"/>
        </w:rPr>
        <w:t>,155</w:t>
      </w:r>
      <w:r w:rsidRPr="00702BDF">
        <w:rPr>
          <w:rFonts w:hAnsi="標楷體" w:hint="eastAsia"/>
          <w:bCs/>
          <w:snapToGrid w:val="0"/>
          <w:sz w:val="24"/>
          <w:szCs w:val="24"/>
        </w:rPr>
        <w:t>人，惟平均現有人數，自</w:t>
      </w:r>
      <w:proofErr w:type="gramStart"/>
      <w:r w:rsidRPr="00702BDF">
        <w:rPr>
          <w:rFonts w:hAnsi="標楷體" w:hint="eastAsia"/>
          <w:bCs/>
          <w:snapToGrid w:val="0"/>
          <w:sz w:val="24"/>
          <w:szCs w:val="24"/>
        </w:rPr>
        <w:t>109</w:t>
      </w:r>
      <w:proofErr w:type="gramEnd"/>
      <w:r w:rsidRPr="00702BDF">
        <w:rPr>
          <w:rFonts w:hAnsi="標楷體" w:hint="eastAsia"/>
          <w:bCs/>
          <w:snapToGrid w:val="0"/>
          <w:sz w:val="24"/>
          <w:szCs w:val="24"/>
        </w:rPr>
        <w:t>年度之19萬835人，降至</w:t>
      </w:r>
      <w:proofErr w:type="gramStart"/>
      <w:r w:rsidRPr="00702BDF">
        <w:rPr>
          <w:rFonts w:hAnsi="標楷體" w:hint="eastAsia"/>
          <w:bCs/>
          <w:snapToGrid w:val="0"/>
          <w:sz w:val="24"/>
          <w:szCs w:val="24"/>
        </w:rPr>
        <w:t>113</w:t>
      </w:r>
      <w:proofErr w:type="gramEnd"/>
      <w:r w:rsidRPr="00702BDF">
        <w:rPr>
          <w:rFonts w:hAnsi="標楷體" w:hint="eastAsia"/>
          <w:bCs/>
          <w:snapToGrid w:val="0"/>
          <w:sz w:val="24"/>
          <w:szCs w:val="24"/>
        </w:rPr>
        <w:t>年度之18萬8</w:t>
      </w:r>
      <w:r w:rsidRPr="00702BDF">
        <w:rPr>
          <w:rFonts w:hAnsi="標楷體"/>
          <w:bCs/>
          <w:snapToGrid w:val="0"/>
          <w:sz w:val="24"/>
          <w:szCs w:val="24"/>
        </w:rPr>
        <w:t>,168</w:t>
      </w:r>
      <w:r w:rsidRPr="00702BDF">
        <w:rPr>
          <w:rFonts w:hAnsi="標楷體" w:hint="eastAsia"/>
          <w:bCs/>
          <w:snapToGrid w:val="0"/>
          <w:sz w:val="24"/>
          <w:szCs w:val="24"/>
        </w:rPr>
        <w:t>人；缺額率自</w:t>
      </w:r>
      <w:proofErr w:type="gramStart"/>
      <w:r w:rsidRPr="00702BDF">
        <w:rPr>
          <w:rFonts w:hAnsi="標楷體" w:hint="eastAsia"/>
          <w:bCs/>
          <w:snapToGrid w:val="0"/>
          <w:sz w:val="24"/>
          <w:szCs w:val="24"/>
        </w:rPr>
        <w:t>109</w:t>
      </w:r>
      <w:proofErr w:type="gramEnd"/>
      <w:r w:rsidRPr="00702BDF">
        <w:rPr>
          <w:rFonts w:hAnsi="標楷體" w:hint="eastAsia"/>
          <w:bCs/>
          <w:snapToGrid w:val="0"/>
          <w:sz w:val="24"/>
          <w:szCs w:val="24"/>
        </w:rPr>
        <w:t>年度之6.89％逐年擴大至</w:t>
      </w:r>
      <w:proofErr w:type="gramStart"/>
      <w:r w:rsidRPr="00702BDF">
        <w:rPr>
          <w:rFonts w:hAnsi="標楷體" w:hint="eastAsia"/>
          <w:bCs/>
          <w:snapToGrid w:val="0"/>
          <w:sz w:val="24"/>
          <w:szCs w:val="24"/>
        </w:rPr>
        <w:t>113</w:t>
      </w:r>
      <w:proofErr w:type="gramEnd"/>
      <w:r w:rsidRPr="00702BDF">
        <w:rPr>
          <w:rFonts w:hAnsi="標楷體" w:hint="eastAsia"/>
          <w:bCs/>
          <w:snapToGrid w:val="0"/>
          <w:sz w:val="24"/>
          <w:szCs w:val="24"/>
        </w:rPr>
        <w:t>年度之9.60％</w:t>
      </w:r>
      <w:bookmarkStart w:id="27" w:name="_Hlk202175298"/>
      <w:r w:rsidRPr="00702BDF">
        <w:rPr>
          <w:rFonts w:hAnsi="標楷體" w:hint="eastAsia"/>
          <w:bCs/>
          <w:snapToGrid w:val="0"/>
          <w:sz w:val="24"/>
          <w:szCs w:val="24"/>
        </w:rPr>
        <w:t>（圖1</w:t>
      </w:r>
      <w:r w:rsidR="007C78F6" w:rsidRPr="00702BDF">
        <w:rPr>
          <w:rFonts w:hAnsi="標楷體" w:hint="eastAsia"/>
          <w:bCs/>
          <w:snapToGrid w:val="0"/>
          <w:sz w:val="24"/>
          <w:szCs w:val="24"/>
        </w:rPr>
        <w:t>4</w:t>
      </w:r>
      <w:r w:rsidRPr="00702BDF">
        <w:rPr>
          <w:rFonts w:hAnsi="標楷體" w:hint="eastAsia"/>
          <w:bCs/>
          <w:snapToGrid w:val="0"/>
          <w:sz w:val="24"/>
          <w:szCs w:val="24"/>
        </w:rPr>
        <w:t>）</w:t>
      </w:r>
      <w:bookmarkEnd w:id="27"/>
      <w:r w:rsidRPr="00702BDF">
        <w:rPr>
          <w:rFonts w:hAnsi="標楷體" w:hint="eastAsia"/>
          <w:bCs/>
          <w:snapToGrid w:val="0"/>
          <w:sz w:val="24"/>
          <w:szCs w:val="24"/>
        </w:rPr>
        <w:t>。經查各機關缺額原因及</w:t>
      </w:r>
      <w:proofErr w:type="gramStart"/>
      <w:r w:rsidRPr="00702BDF">
        <w:rPr>
          <w:rFonts w:hAnsi="標楷體" w:hint="eastAsia"/>
          <w:bCs/>
          <w:snapToGrid w:val="0"/>
          <w:sz w:val="24"/>
          <w:szCs w:val="24"/>
        </w:rPr>
        <w:t>遴</w:t>
      </w:r>
      <w:proofErr w:type="gramEnd"/>
      <w:r w:rsidRPr="00702BDF">
        <w:rPr>
          <w:rFonts w:hAnsi="標楷體" w:hint="eastAsia"/>
          <w:bCs/>
          <w:snapToGrid w:val="0"/>
          <w:sz w:val="24"/>
          <w:szCs w:val="24"/>
        </w:rPr>
        <w:t>補情形，核有：（1）行政院配合各機關業務消長，近</w:t>
      </w:r>
      <w:proofErr w:type="gramStart"/>
      <w:r w:rsidRPr="00702BDF">
        <w:rPr>
          <w:rFonts w:hAnsi="標楷體" w:hint="eastAsia"/>
          <w:bCs/>
          <w:snapToGrid w:val="0"/>
          <w:sz w:val="24"/>
          <w:szCs w:val="24"/>
        </w:rPr>
        <w:t>5</w:t>
      </w:r>
      <w:proofErr w:type="gramEnd"/>
      <w:r w:rsidRPr="00702BDF">
        <w:rPr>
          <w:rFonts w:hAnsi="標楷體" w:hint="eastAsia"/>
          <w:bCs/>
          <w:snapToGrid w:val="0"/>
          <w:sz w:val="24"/>
          <w:szCs w:val="24"/>
        </w:rPr>
        <w:t>年度（109至113年度）核予中央政府各機關正式人力預算員額整體呈增加趨勢，惟各機關未及時規劃</w:t>
      </w:r>
      <w:proofErr w:type="gramStart"/>
      <w:r w:rsidRPr="00702BDF">
        <w:rPr>
          <w:rFonts w:hAnsi="標楷體" w:hint="eastAsia"/>
          <w:bCs/>
          <w:snapToGrid w:val="0"/>
          <w:sz w:val="24"/>
          <w:szCs w:val="24"/>
        </w:rPr>
        <w:t>遴</w:t>
      </w:r>
      <w:proofErr w:type="gramEnd"/>
      <w:r w:rsidRPr="00702BDF">
        <w:rPr>
          <w:rFonts w:hAnsi="標楷體" w:hint="eastAsia"/>
          <w:bCs/>
          <w:snapToGrid w:val="0"/>
          <w:sz w:val="24"/>
          <w:szCs w:val="24"/>
        </w:rPr>
        <w:t>補方式之</w:t>
      </w:r>
      <w:r w:rsidR="00702BDF" w:rsidRPr="00702BDF">
        <w:rPr>
          <w:rFonts w:hAnsi="標楷體" w:hint="eastAsia"/>
          <w:bCs/>
          <w:snapToGrid w:val="0"/>
          <w:sz w:val="24"/>
          <w:szCs w:val="24"/>
        </w:rPr>
        <w:t>「其他類」</w:t>
      </w:r>
      <w:r w:rsidRPr="00702BDF">
        <w:rPr>
          <w:rFonts w:hAnsi="標楷體" w:hint="eastAsia"/>
          <w:bCs/>
          <w:snapToGrid w:val="0"/>
          <w:sz w:val="24"/>
          <w:szCs w:val="24"/>
        </w:rPr>
        <w:t>缺額</w:t>
      </w:r>
      <w:r w:rsidR="00702BDF" w:rsidRPr="00702BDF">
        <w:rPr>
          <w:rFonts w:hAnsi="標楷體" w:hint="eastAsia"/>
          <w:bCs/>
          <w:snapToGrid w:val="0"/>
          <w:sz w:val="24"/>
          <w:szCs w:val="24"/>
        </w:rPr>
        <w:t>平均</w:t>
      </w:r>
      <w:r w:rsidRPr="00702BDF">
        <w:rPr>
          <w:rFonts w:hAnsi="標楷體" w:hint="eastAsia"/>
          <w:bCs/>
          <w:snapToGrid w:val="0"/>
          <w:sz w:val="24"/>
          <w:szCs w:val="24"/>
        </w:rPr>
        <w:t>數自</w:t>
      </w:r>
      <w:proofErr w:type="gramStart"/>
      <w:r w:rsidRPr="00702BDF">
        <w:rPr>
          <w:rFonts w:hAnsi="標楷體" w:hint="eastAsia"/>
          <w:bCs/>
          <w:snapToGrid w:val="0"/>
          <w:sz w:val="24"/>
          <w:szCs w:val="24"/>
        </w:rPr>
        <w:t>109</w:t>
      </w:r>
      <w:proofErr w:type="gramEnd"/>
      <w:r w:rsidRPr="00702BDF">
        <w:rPr>
          <w:rFonts w:hAnsi="標楷體" w:hint="eastAsia"/>
          <w:bCs/>
          <w:snapToGrid w:val="0"/>
          <w:sz w:val="24"/>
          <w:szCs w:val="24"/>
        </w:rPr>
        <w:t>年度之4,145人，逐年擴大至</w:t>
      </w:r>
      <w:proofErr w:type="gramStart"/>
      <w:r w:rsidRPr="00702BDF">
        <w:rPr>
          <w:rFonts w:hAnsi="標楷體" w:hint="eastAsia"/>
          <w:bCs/>
          <w:snapToGrid w:val="0"/>
          <w:sz w:val="24"/>
          <w:szCs w:val="24"/>
        </w:rPr>
        <w:t>113</w:t>
      </w:r>
      <w:proofErr w:type="gramEnd"/>
      <w:r w:rsidRPr="00702BDF">
        <w:rPr>
          <w:rFonts w:hAnsi="標楷體" w:hint="eastAsia"/>
          <w:bCs/>
          <w:snapToGrid w:val="0"/>
          <w:sz w:val="24"/>
          <w:szCs w:val="24"/>
        </w:rPr>
        <w:t>年度之</w:t>
      </w:r>
      <w:r w:rsidR="00AF398D">
        <w:rPr>
          <w:rFonts w:hint="eastAsia"/>
          <w:noProof/>
          <w:lang w:val="zh-TW"/>
        </w:rPr>
        <w:lastRenderedPageBreak/>
        <mc:AlternateContent>
          <mc:Choice Requires="wpg">
            <w:drawing>
              <wp:anchor distT="0" distB="0" distL="114300" distR="114300" simplePos="0" relativeHeight="251657728" behindDoc="0" locked="0" layoutInCell="1" allowOverlap="1" wp14:anchorId="4DC4E1F1" wp14:editId="3EFDEC28">
                <wp:simplePos x="0" y="0"/>
                <wp:positionH relativeFrom="column">
                  <wp:posOffset>1875790</wp:posOffset>
                </wp:positionH>
                <wp:positionV relativeFrom="paragraph">
                  <wp:posOffset>101600</wp:posOffset>
                </wp:positionV>
                <wp:extent cx="4423410" cy="4542155"/>
                <wp:effectExtent l="0" t="0" r="0" b="0"/>
                <wp:wrapSquare wrapText="bothSides"/>
                <wp:docPr id="88" name="群組 88"/>
                <wp:cNvGraphicFramePr/>
                <a:graphic xmlns:a="http://schemas.openxmlformats.org/drawingml/2006/main">
                  <a:graphicData uri="http://schemas.microsoft.com/office/word/2010/wordprocessingGroup">
                    <wpg:wgp>
                      <wpg:cNvGrpSpPr/>
                      <wpg:grpSpPr>
                        <a:xfrm>
                          <a:off x="0" y="0"/>
                          <a:ext cx="4423410" cy="4542155"/>
                          <a:chOff x="0" y="0"/>
                          <a:chExt cx="4423410" cy="4645025"/>
                        </a:xfrm>
                      </wpg:grpSpPr>
                      <wpg:grpSp>
                        <wpg:cNvPr id="89" name="群組 89"/>
                        <wpg:cNvGrpSpPr/>
                        <wpg:grpSpPr>
                          <a:xfrm>
                            <a:off x="0" y="0"/>
                            <a:ext cx="4423410" cy="4645025"/>
                            <a:chOff x="0" y="0"/>
                            <a:chExt cx="4423410" cy="4645043"/>
                          </a:xfrm>
                          <a:noFill/>
                        </wpg:grpSpPr>
                        <wpg:grpSp>
                          <wpg:cNvPr id="90" name="群組 90"/>
                          <wpg:cNvGrpSpPr/>
                          <wpg:grpSpPr>
                            <a:xfrm>
                              <a:off x="0" y="0"/>
                              <a:ext cx="4423410" cy="4645043"/>
                              <a:chOff x="30480" y="76695"/>
                              <a:chExt cx="4423526" cy="4837560"/>
                            </a:xfrm>
                            <a:grpFill/>
                          </wpg:grpSpPr>
                          <wpg:grpSp>
                            <wpg:cNvPr id="91" name="群組 91"/>
                            <wpg:cNvGrpSpPr/>
                            <wpg:grpSpPr>
                              <a:xfrm>
                                <a:off x="173182" y="76695"/>
                                <a:ext cx="4280824" cy="2454838"/>
                                <a:chOff x="0" y="76695"/>
                                <a:chExt cx="4280824" cy="2454838"/>
                              </a:xfrm>
                              <a:grpFill/>
                            </wpg:grpSpPr>
                            <wpg:graphicFrame>
                              <wpg:cNvPr id="92" name="圖表 92"/>
                              <wpg:cNvFrPr/>
                              <wpg:xfrm>
                                <a:off x="498764" y="422522"/>
                                <a:ext cx="3782060" cy="2037183"/>
                              </wpg:xfrm>
                              <a:graphic>
                                <a:graphicData uri="http://schemas.openxmlformats.org/drawingml/2006/chart">
                                  <c:chart xmlns:c="http://schemas.openxmlformats.org/drawingml/2006/chart" xmlns:r="http://schemas.openxmlformats.org/officeDocument/2006/relationships" r:id="rId31"/>
                                </a:graphicData>
                              </a:graphic>
                            </wpg:graphicFrame>
                            <wps:wsp>
                              <wps:cNvPr id="93" name="文字方塊 2"/>
                              <wps:cNvSpPr txBox="1">
                                <a:spLocks noChangeArrowheads="1"/>
                              </wps:cNvSpPr>
                              <wps:spPr bwMode="auto">
                                <a:xfrm>
                                  <a:off x="0" y="76695"/>
                                  <a:ext cx="4204335" cy="304075"/>
                                </a:xfrm>
                                <a:prstGeom prst="rect">
                                  <a:avLst/>
                                </a:prstGeom>
                                <a:grpFill/>
                                <a:ln w="9525">
                                  <a:noFill/>
                                  <a:miter lim="800000"/>
                                  <a:headEnd/>
                                  <a:tailEnd/>
                                </a:ln>
                              </wps:spPr>
                              <wps:txbx>
                                <w:txbxContent>
                                  <w:p w14:paraId="2D37D6BB" w14:textId="77777777" w:rsidR="00AF398D" w:rsidRDefault="00AF398D" w:rsidP="00AF398D">
                                    <w:pPr>
                                      <w:jc w:val="center"/>
                                    </w:pPr>
                                    <w:r>
                                      <w:rPr>
                                        <w:rFonts w:ascii="標楷體" w:eastAsia="標楷體" w:hAnsi="標楷體" w:cs="新細明體" w:hint="eastAsia"/>
                                        <w:b/>
                                        <w:bCs/>
                                        <w:color w:val="000000"/>
                                        <w:kern w:val="0"/>
                                      </w:rPr>
                                      <w:t>圖1</w:t>
                                    </w:r>
                                    <w:r>
                                      <w:rPr>
                                        <w:rFonts w:ascii="標楷體" w:eastAsia="標楷體" w:hAnsi="標楷體" w:cs="新細明體"/>
                                        <w:b/>
                                        <w:bCs/>
                                        <w:color w:val="000000"/>
                                        <w:kern w:val="0"/>
                                      </w:rPr>
                                      <w:t>4</w:t>
                                    </w:r>
                                    <w:r>
                                      <w:rPr>
                                        <w:rFonts w:ascii="標楷體" w:eastAsia="標楷體" w:hAnsi="標楷體" w:cs="新細明體" w:hint="eastAsia"/>
                                        <w:b/>
                                        <w:bCs/>
                                        <w:color w:val="000000"/>
                                        <w:kern w:val="0"/>
                                      </w:rPr>
                                      <w:t xml:space="preserve">　正式人力</w:t>
                                    </w:r>
                                    <w:r w:rsidRPr="00DE673B">
                                      <w:rPr>
                                        <w:rFonts w:ascii="標楷體" w:eastAsia="標楷體" w:hAnsi="標楷體" w:cs="新細明體" w:hint="eastAsia"/>
                                        <w:b/>
                                        <w:bCs/>
                                        <w:color w:val="000000"/>
                                        <w:kern w:val="0"/>
                                      </w:rPr>
                                      <w:t>預算員額進用及缺額情形</w:t>
                                    </w:r>
                                  </w:p>
                                </w:txbxContent>
                              </wps:txbx>
                              <wps:bodyPr rot="0" vert="horz" wrap="square" lIns="91440" tIns="45720" rIns="91440" bIns="45720" anchor="t" anchorCtr="0">
                                <a:noAutofit/>
                              </wps:bodyPr>
                            </wps:wsp>
                            <wps:wsp>
                              <wps:cNvPr id="94" name="文字方塊 2"/>
                              <wps:cNvSpPr txBox="1">
                                <a:spLocks noChangeArrowheads="1"/>
                              </wps:cNvSpPr>
                              <wps:spPr bwMode="auto">
                                <a:xfrm>
                                  <a:off x="568036" y="498764"/>
                                  <a:ext cx="297815" cy="265430"/>
                                </a:xfrm>
                                <a:prstGeom prst="rect">
                                  <a:avLst/>
                                </a:prstGeom>
                                <a:grpFill/>
                                <a:ln w="9525">
                                  <a:noFill/>
                                  <a:miter lim="800000"/>
                                  <a:headEnd/>
                                  <a:tailEnd/>
                                </a:ln>
                              </wps:spPr>
                              <wps:txbx>
                                <w:txbxContent>
                                  <w:p w14:paraId="5235A1E5" w14:textId="77777777" w:rsidR="00AF398D" w:rsidRPr="00C36637" w:rsidRDefault="00AF398D" w:rsidP="00AF398D">
                                    <w:pPr>
                                      <w:rPr>
                                        <w:rFonts w:ascii="標楷體" w:eastAsia="標楷體" w:hAnsi="標楷體"/>
                                        <w:sz w:val="20"/>
                                      </w:rPr>
                                    </w:pPr>
                                    <w:r w:rsidRPr="00C36637">
                                      <w:rPr>
                                        <w:rFonts w:ascii="標楷體" w:eastAsia="標楷體" w:hAnsi="標楷體" w:hint="eastAsia"/>
                                        <w:sz w:val="20"/>
                                      </w:rPr>
                                      <w:t>人</w:t>
                                    </w:r>
                                  </w:p>
                                </w:txbxContent>
                              </wps:txbx>
                              <wps:bodyPr rot="0" vert="horz" wrap="square" lIns="91440" tIns="45720" rIns="91440" bIns="45720" anchor="t" anchorCtr="0">
                                <a:noAutofit/>
                              </wps:bodyPr>
                            </wps:wsp>
                            <wps:wsp>
                              <wps:cNvPr id="95" name="文字方塊 2"/>
                              <wps:cNvSpPr txBox="1">
                                <a:spLocks noChangeArrowheads="1"/>
                              </wps:cNvSpPr>
                              <wps:spPr bwMode="auto">
                                <a:xfrm>
                                  <a:off x="3872345" y="490779"/>
                                  <a:ext cx="297815" cy="265430"/>
                                </a:xfrm>
                                <a:prstGeom prst="rect">
                                  <a:avLst/>
                                </a:prstGeom>
                                <a:grpFill/>
                                <a:ln w="9525">
                                  <a:noFill/>
                                  <a:miter lim="800000"/>
                                  <a:headEnd/>
                                  <a:tailEnd/>
                                </a:ln>
                              </wps:spPr>
                              <wps:txbx>
                                <w:txbxContent>
                                  <w:p w14:paraId="6E909F7C" w14:textId="77777777" w:rsidR="00AF398D" w:rsidRPr="00C36637" w:rsidRDefault="00AF398D" w:rsidP="00AF398D">
                                    <w:pPr>
                                      <w:spacing w:line="240" w:lineRule="exact"/>
                                      <w:rPr>
                                        <w:rFonts w:ascii="標楷體" w:eastAsia="標楷體" w:hAnsi="標楷體"/>
                                        <w:sz w:val="20"/>
                                      </w:rPr>
                                    </w:pPr>
                                    <w:r w:rsidRPr="00B1515A">
                                      <w:rPr>
                                        <w:rFonts w:ascii="標楷體" w:eastAsia="標楷體" w:hAnsi="標楷體" w:cs="新細明體" w:hint="eastAsia"/>
                                        <w:color w:val="000000"/>
                                        <w:kern w:val="0"/>
                                        <w:sz w:val="20"/>
                                      </w:rPr>
                                      <w:t>％</w:t>
                                    </w:r>
                                  </w:p>
                                </w:txbxContent>
                              </wps:txbx>
                              <wps:bodyPr rot="0" vert="horz" wrap="square" lIns="91440" tIns="45720" rIns="91440" bIns="45720" anchor="t" anchorCtr="0">
                                <a:noAutofit/>
                              </wps:bodyPr>
                            </wps:wsp>
                            <wps:wsp>
                              <wps:cNvPr id="96" name="文字方塊 2"/>
                              <wps:cNvSpPr txBox="1">
                                <a:spLocks noChangeArrowheads="1"/>
                              </wps:cNvSpPr>
                              <wps:spPr bwMode="auto">
                                <a:xfrm>
                                  <a:off x="3788963" y="2265469"/>
                                  <a:ext cx="471169" cy="266064"/>
                                </a:xfrm>
                                <a:prstGeom prst="rect">
                                  <a:avLst/>
                                </a:prstGeom>
                                <a:grpFill/>
                                <a:ln w="9525">
                                  <a:noFill/>
                                  <a:miter lim="800000"/>
                                  <a:headEnd/>
                                  <a:tailEnd/>
                                </a:ln>
                              </wps:spPr>
                              <wps:txbx>
                                <w:txbxContent>
                                  <w:p w14:paraId="3D435B52" w14:textId="77777777" w:rsidR="00AF398D" w:rsidRPr="00C36637" w:rsidRDefault="00AF398D" w:rsidP="00AF398D">
                                    <w:pPr>
                                      <w:spacing w:line="240" w:lineRule="exact"/>
                                      <w:rPr>
                                        <w:rFonts w:ascii="標楷體" w:eastAsia="標楷體" w:hAnsi="標楷體"/>
                                        <w:sz w:val="20"/>
                                      </w:rPr>
                                    </w:pPr>
                                    <w:r>
                                      <w:rPr>
                                        <w:rFonts w:ascii="標楷體" w:eastAsia="標楷體" w:hAnsi="標楷體" w:cs="新細明體" w:hint="eastAsia"/>
                                        <w:color w:val="000000"/>
                                        <w:kern w:val="0"/>
                                        <w:sz w:val="20"/>
                                      </w:rPr>
                                      <w:t>年度</w:t>
                                    </w:r>
                                  </w:p>
                                </w:txbxContent>
                              </wps:txbx>
                              <wps:bodyPr rot="0" vert="horz" wrap="square" lIns="91440" tIns="45720" rIns="91440" bIns="45720" anchor="t" anchorCtr="0">
                                <a:noAutofit/>
                              </wps:bodyPr>
                            </wps:wsp>
                          </wpg:grpSp>
                          <wps:wsp>
                            <wps:cNvPr id="97" name="文字方塊 2"/>
                            <wps:cNvSpPr txBox="1">
                              <a:spLocks noChangeArrowheads="1"/>
                            </wps:cNvSpPr>
                            <wps:spPr bwMode="auto">
                              <a:xfrm>
                                <a:off x="30480" y="2234468"/>
                                <a:ext cx="4044950" cy="2679787"/>
                              </a:xfrm>
                              <a:prstGeom prst="rect">
                                <a:avLst/>
                              </a:prstGeom>
                              <a:grpFill/>
                              <a:ln w="9525">
                                <a:noFill/>
                                <a:miter lim="800000"/>
                                <a:headEnd/>
                                <a:tailEnd/>
                              </a:ln>
                            </wps:spPr>
                            <wps:txbx>
                              <w:txbxContent>
                                <w:tbl>
                                  <w:tblPr>
                                    <w:tblW w:w="6096" w:type="dxa"/>
                                    <w:tblLayout w:type="fixed"/>
                                    <w:tblCellMar>
                                      <w:left w:w="28" w:type="dxa"/>
                                      <w:right w:w="28" w:type="dxa"/>
                                    </w:tblCellMar>
                                    <w:tblLook w:val="04A0" w:firstRow="1" w:lastRow="0" w:firstColumn="1" w:lastColumn="0" w:noHBand="0" w:noVBand="1"/>
                                  </w:tblPr>
                                  <w:tblGrid>
                                    <w:gridCol w:w="1134"/>
                                    <w:gridCol w:w="709"/>
                                    <w:gridCol w:w="850"/>
                                    <w:gridCol w:w="851"/>
                                    <w:gridCol w:w="850"/>
                                    <w:gridCol w:w="851"/>
                                    <w:gridCol w:w="851"/>
                                  </w:tblGrid>
                                  <w:tr w:rsidR="00AF398D" w:rsidRPr="00B1515A" w14:paraId="0B427C6E" w14:textId="77777777" w:rsidTr="00A12BEB">
                                    <w:trPr>
                                      <w:trHeight w:val="20"/>
                                    </w:trPr>
                                    <w:tc>
                                      <w:tcPr>
                                        <w:tcW w:w="1134" w:type="dxa"/>
                                        <w:tcBorders>
                                          <w:top w:val="nil"/>
                                          <w:left w:val="nil"/>
                                          <w:bottom w:val="nil"/>
                                          <w:right w:val="nil"/>
                                        </w:tcBorders>
                                      </w:tcPr>
                                      <w:p w14:paraId="5C133B9E" w14:textId="77777777" w:rsidR="00AF398D" w:rsidRPr="00B1515A" w:rsidRDefault="00AF398D" w:rsidP="00A12BEB">
                                        <w:pPr>
                                          <w:widowControl/>
                                          <w:rPr>
                                            <w:rFonts w:ascii="新細明體" w:hAnsi="新細明體" w:cs="新細明體"/>
                                            <w:kern w:val="0"/>
                                            <w:sz w:val="20"/>
                                          </w:rPr>
                                        </w:pPr>
                                      </w:p>
                                    </w:tc>
                                    <w:tc>
                                      <w:tcPr>
                                        <w:tcW w:w="709" w:type="dxa"/>
                                        <w:tcBorders>
                                          <w:top w:val="nil"/>
                                          <w:left w:val="nil"/>
                                          <w:bottom w:val="nil"/>
                                          <w:right w:val="nil"/>
                                        </w:tcBorders>
                                        <w:shd w:val="clear" w:color="auto" w:fill="auto"/>
                                        <w:noWrap/>
                                        <w:vAlign w:val="bottom"/>
                                        <w:hideMark/>
                                      </w:tcPr>
                                      <w:p w14:paraId="68E30CA4" w14:textId="77777777" w:rsidR="00AF398D" w:rsidRPr="00B1515A" w:rsidRDefault="00AF398D" w:rsidP="00A12BEB">
                                        <w:pPr>
                                          <w:widowControl/>
                                          <w:rPr>
                                            <w:rFonts w:ascii="新細明體" w:hAnsi="新細明體" w:cs="新細明體"/>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8CD29"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109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4939913"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D645F6B"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EAD6CE7"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E37BC61"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113</w:t>
                                        </w:r>
                                      </w:p>
                                    </w:tc>
                                  </w:tr>
                                  <w:tr w:rsidR="00AF398D" w:rsidRPr="00B1515A" w14:paraId="6310D5C5" w14:textId="77777777" w:rsidTr="00A12BEB">
                                    <w:trPr>
                                      <w:trHeight w:val="20"/>
                                    </w:trPr>
                                    <w:tc>
                                      <w:tcPr>
                                        <w:tcW w:w="1843" w:type="dxa"/>
                                        <w:gridSpan w:val="2"/>
                                        <w:tcBorders>
                                          <w:top w:val="single" w:sz="4" w:space="0" w:color="auto"/>
                                          <w:left w:val="single" w:sz="4" w:space="0" w:color="auto"/>
                                          <w:bottom w:val="single" w:sz="4" w:space="0" w:color="auto"/>
                                          <w:right w:val="single" w:sz="4" w:space="0" w:color="auto"/>
                                        </w:tcBorders>
                                      </w:tcPr>
                                      <w:p w14:paraId="10AC3B5D"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平均預算員額</w:t>
                                        </w:r>
                                      </w:p>
                                    </w:tc>
                                    <w:tc>
                                      <w:tcPr>
                                        <w:tcW w:w="850" w:type="dxa"/>
                                        <w:tcBorders>
                                          <w:top w:val="nil"/>
                                          <w:left w:val="nil"/>
                                          <w:bottom w:val="single" w:sz="4" w:space="0" w:color="auto"/>
                                          <w:right w:val="single" w:sz="4" w:space="0" w:color="auto"/>
                                        </w:tcBorders>
                                        <w:shd w:val="clear" w:color="auto" w:fill="auto"/>
                                        <w:noWrap/>
                                        <w:hideMark/>
                                      </w:tcPr>
                                      <w:p w14:paraId="3A6E297D"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color w:val="000000"/>
                                            <w:kern w:val="0"/>
                                            <w:sz w:val="20"/>
                                          </w:rPr>
                                          <w:t xml:space="preserve">204,964 </w:t>
                                        </w:r>
                                      </w:p>
                                    </w:tc>
                                    <w:tc>
                                      <w:tcPr>
                                        <w:tcW w:w="851" w:type="dxa"/>
                                        <w:tcBorders>
                                          <w:top w:val="nil"/>
                                          <w:left w:val="nil"/>
                                          <w:bottom w:val="single" w:sz="4" w:space="0" w:color="auto"/>
                                          <w:right w:val="single" w:sz="4" w:space="0" w:color="auto"/>
                                        </w:tcBorders>
                                        <w:shd w:val="clear" w:color="auto" w:fill="auto"/>
                                        <w:noWrap/>
                                        <w:vAlign w:val="bottom"/>
                                        <w:hideMark/>
                                      </w:tcPr>
                                      <w:p w14:paraId="2F3A7DEC"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207,596 </w:t>
                                        </w:r>
                                      </w:p>
                                    </w:tc>
                                    <w:tc>
                                      <w:tcPr>
                                        <w:tcW w:w="850" w:type="dxa"/>
                                        <w:tcBorders>
                                          <w:top w:val="nil"/>
                                          <w:left w:val="nil"/>
                                          <w:bottom w:val="single" w:sz="4" w:space="0" w:color="auto"/>
                                          <w:right w:val="single" w:sz="4" w:space="0" w:color="auto"/>
                                        </w:tcBorders>
                                        <w:shd w:val="clear" w:color="auto" w:fill="auto"/>
                                        <w:noWrap/>
                                        <w:vAlign w:val="bottom"/>
                                        <w:hideMark/>
                                      </w:tcPr>
                                      <w:p w14:paraId="71FD9495"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207,042 </w:t>
                                        </w:r>
                                      </w:p>
                                    </w:tc>
                                    <w:tc>
                                      <w:tcPr>
                                        <w:tcW w:w="851" w:type="dxa"/>
                                        <w:tcBorders>
                                          <w:top w:val="nil"/>
                                          <w:left w:val="nil"/>
                                          <w:bottom w:val="single" w:sz="4" w:space="0" w:color="auto"/>
                                          <w:right w:val="single" w:sz="4" w:space="0" w:color="auto"/>
                                        </w:tcBorders>
                                        <w:shd w:val="clear" w:color="auto" w:fill="auto"/>
                                        <w:noWrap/>
                                        <w:vAlign w:val="bottom"/>
                                        <w:hideMark/>
                                      </w:tcPr>
                                      <w:p w14:paraId="283A0DC5"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208,036 </w:t>
                                        </w:r>
                                      </w:p>
                                    </w:tc>
                                    <w:tc>
                                      <w:tcPr>
                                        <w:tcW w:w="851" w:type="dxa"/>
                                        <w:tcBorders>
                                          <w:top w:val="nil"/>
                                          <w:left w:val="nil"/>
                                          <w:bottom w:val="single" w:sz="4" w:space="0" w:color="auto"/>
                                          <w:right w:val="single" w:sz="4" w:space="0" w:color="auto"/>
                                        </w:tcBorders>
                                        <w:shd w:val="clear" w:color="auto" w:fill="auto"/>
                                        <w:noWrap/>
                                        <w:vAlign w:val="bottom"/>
                                        <w:hideMark/>
                                      </w:tcPr>
                                      <w:p w14:paraId="562EF8EF"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208,155 </w:t>
                                        </w:r>
                                      </w:p>
                                    </w:tc>
                                  </w:tr>
                                  <w:tr w:rsidR="00AF398D" w:rsidRPr="00B1515A" w14:paraId="7A02BAAF" w14:textId="77777777" w:rsidTr="00A12BEB">
                                    <w:trPr>
                                      <w:trHeight w:val="20"/>
                                    </w:trPr>
                                    <w:tc>
                                      <w:tcPr>
                                        <w:tcW w:w="1843" w:type="dxa"/>
                                        <w:gridSpan w:val="2"/>
                                        <w:tcBorders>
                                          <w:top w:val="nil"/>
                                          <w:left w:val="single" w:sz="4" w:space="0" w:color="auto"/>
                                          <w:bottom w:val="single" w:sz="4" w:space="0" w:color="auto"/>
                                          <w:right w:val="single" w:sz="4" w:space="0" w:color="auto"/>
                                        </w:tcBorders>
                                      </w:tcPr>
                                      <w:p w14:paraId="17E5C474"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平均現有人數</w:t>
                                        </w:r>
                                      </w:p>
                                    </w:tc>
                                    <w:tc>
                                      <w:tcPr>
                                        <w:tcW w:w="850" w:type="dxa"/>
                                        <w:tcBorders>
                                          <w:top w:val="nil"/>
                                          <w:left w:val="nil"/>
                                          <w:bottom w:val="single" w:sz="4" w:space="0" w:color="auto"/>
                                          <w:right w:val="single" w:sz="4" w:space="0" w:color="auto"/>
                                        </w:tcBorders>
                                        <w:shd w:val="clear" w:color="auto" w:fill="auto"/>
                                        <w:noWrap/>
                                        <w:hideMark/>
                                      </w:tcPr>
                                      <w:p w14:paraId="64AE6078"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color w:val="000000"/>
                                            <w:kern w:val="0"/>
                                            <w:sz w:val="20"/>
                                          </w:rPr>
                                          <w:t xml:space="preserve">190,835 </w:t>
                                        </w:r>
                                      </w:p>
                                    </w:tc>
                                    <w:tc>
                                      <w:tcPr>
                                        <w:tcW w:w="851" w:type="dxa"/>
                                        <w:tcBorders>
                                          <w:top w:val="nil"/>
                                          <w:left w:val="nil"/>
                                          <w:bottom w:val="single" w:sz="4" w:space="0" w:color="auto"/>
                                          <w:right w:val="single" w:sz="4" w:space="0" w:color="auto"/>
                                        </w:tcBorders>
                                        <w:shd w:val="clear" w:color="auto" w:fill="auto"/>
                                        <w:noWrap/>
                                        <w:vAlign w:val="bottom"/>
                                        <w:hideMark/>
                                      </w:tcPr>
                                      <w:p w14:paraId="10B7BCA1"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191,814 </w:t>
                                        </w:r>
                                      </w:p>
                                    </w:tc>
                                    <w:tc>
                                      <w:tcPr>
                                        <w:tcW w:w="850" w:type="dxa"/>
                                        <w:tcBorders>
                                          <w:top w:val="nil"/>
                                          <w:left w:val="nil"/>
                                          <w:bottom w:val="single" w:sz="4" w:space="0" w:color="auto"/>
                                          <w:right w:val="single" w:sz="4" w:space="0" w:color="auto"/>
                                        </w:tcBorders>
                                        <w:shd w:val="clear" w:color="auto" w:fill="auto"/>
                                        <w:noWrap/>
                                        <w:vAlign w:val="bottom"/>
                                        <w:hideMark/>
                                      </w:tcPr>
                                      <w:p w14:paraId="73CC289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189,684 </w:t>
                                        </w:r>
                                      </w:p>
                                    </w:tc>
                                    <w:tc>
                                      <w:tcPr>
                                        <w:tcW w:w="851" w:type="dxa"/>
                                        <w:tcBorders>
                                          <w:top w:val="nil"/>
                                          <w:left w:val="nil"/>
                                          <w:bottom w:val="single" w:sz="4" w:space="0" w:color="auto"/>
                                          <w:right w:val="single" w:sz="4" w:space="0" w:color="auto"/>
                                        </w:tcBorders>
                                        <w:shd w:val="clear" w:color="auto" w:fill="auto"/>
                                        <w:noWrap/>
                                        <w:vAlign w:val="bottom"/>
                                        <w:hideMark/>
                                      </w:tcPr>
                                      <w:p w14:paraId="7A3DA987"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189,471 </w:t>
                                        </w:r>
                                      </w:p>
                                    </w:tc>
                                    <w:tc>
                                      <w:tcPr>
                                        <w:tcW w:w="851" w:type="dxa"/>
                                        <w:tcBorders>
                                          <w:top w:val="nil"/>
                                          <w:left w:val="nil"/>
                                          <w:bottom w:val="single" w:sz="4" w:space="0" w:color="auto"/>
                                          <w:right w:val="single" w:sz="4" w:space="0" w:color="auto"/>
                                        </w:tcBorders>
                                        <w:shd w:val="clear" w:color="auto" w:fill="auto"/>
                                        <w:noWrap/>
                                        <w:vAlign w:val="bottom"/>
                                        <w:hideMark/>
                                      </w:tcPr>
                                      <w:p w14:paraId="2A9D924F"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188,168 </w:t>
                                        </w:r>
                                      </w:p>
                                    </w:tc>
                                  </w:tr>
                                  <w:tr w:rsidR="00AF398D" w:rsidRPr="00B1515A" w14:paraId="37DA50CF" w14:textId="77777777" w:rsidTr="00A12BEB">
                                    <w:trPr>
                                      <w:trHeight w:val="20"/>
                                    </w:trPr>
                                    <w:tc>
                                      <w:tcPr>
                                        <w:tcW w:w="1134" w:type="dxa"/>
                                        <w:vMerge w:val="restart"/>
                                        <w:tcBorders>
                                          <w:top w:val="nil"/>
                                          <w:left w:val="single" w:sz="4" w:space="0" w:color="auto"/>
                                          <w:right w:val="single" w:sz="4" w:space="0" w:color="auto"/>
                                        </w:tcBorders>
                                        <w:vAlign w:val="center"/>
                                      </w:tcPr>
                                      <w:p w14:paraId="55C0D18C" w14:textId="77777777" w:rsidR="00AF398D" w:rsidRPr="00B1515A" w:rsidRDefault="00AF398D" w:rsidP="00A12BEB">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平均缺額</w:t>
                                        </w:r>
                                      </w:p>
                                    </w:tc>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6133B901"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人數</w:t>
                                        </w:r>
                                      </w:p>
                                    </w:tc>
                                    <w:tc>
                                      <w:tcPr>
                                        <w:tcW w:w="850" w:type="dxa"/>
                                        <w:tcBorders>
                                          <w:top w:val="nil"/>
                                          <w:left w:val="nil"/>
                                          <w:bottom w:val="single" w:sz="4" w:space="0" w:color="auto"/>
                                          <w:right w:val="single" w:sz="4" w:space="0" w:color="auto"/>
                                        </w:tcBorders>
                                        <w:shd w:val="clear" w:color="auto" w:fill="auto"/>
                                        <w:noWrap/>
                                        <w:vAlign w:val="center"/>
                                        <w:hideMark/>
                                      </w:tcPr>
                                      <w:p w14:paraId="184D50B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14,129</w:t>
                                        </w:r>
                                      </w:p>
                                    </w:tc>
                                    <w:tc>
                                      <w:tcPr>
                                        <w:tcW w:w="851" w:type="dxa"/>
                                        <w:tcBorders>
                                          <w:top w:val="nil"/>
                                          <w:left w:val="nil"/>
                                          <w:bottom w:val="single" w:sz="4" w:space="0" w:color="auto"/>
                                          <w:right w:val="single" w:sz="4" w:space="0" w:color="auto"/>
                                        </w:tcBorders>
                                        <w:shd w:val="clear" w:color="auto" w:fill="auto"/>
                                        <w:noWrap/>
                                        <w:vAlign w:val="center"/>
                                        <w:hideMark/>
                                      </w:tcPr>
                                      <w:p w14:paraId="691DCE19"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15,782</w:t>
                                        </w:r>
                                      </w:p>
                                    </w:tc>
                                    <w:tc>
                                      <w:tcPr>
                                        <w:tcW w:w="850" w:type="dxa"/>
                                        <w:tcBorders>
                                          <w:top w:val="nil"/>
                                          <w:left w:val="nil"/>
                                          <w:bottom w:val="single" w:sz="4" w:space="0" w:color="auto"/>
                                          <w:right w:val="single" w:sz="4" w:space="0" w:color="auto"/>
                                        </w:tcBorders>
                                        <w:shd w:val="clear" w:color="auto" w:fill="auto"/>
                                        <w:noWrap/>
                                        <w:vAlign w:val="center"/>
                                        <w:hideMark/>
                                      </w:tcPr>
                                      <w:p w14:paraId="3778849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17,358</w:t>
                                        </w:r>
                                      </w:p>
                                    </w:tc>
                                    <w:tc>
                                      <w:tcPr>
                                        <w:tcW w:w="851" w:type="dxa"/>
                                        <w:tcBorders>
                                          <w:top w:val="nil"/>
                                          <w:left w:val="nil"/>
                                          <w:bottom w:val="single" w:sz="4" w:space="0" w:color="auto"/>
                                          <w:right w:val="single" w:sz="4" w:space="0" w:color="auto"/>
                                        </w:tcBorders>
                                        <w:shd w:val="clear" w:color="auto" w:fill="auto"/>
                                        <w:noWrap/>
                                        <w:vAlign w:val="center"/>
                                        <w:hideMark/>
                                      </w:tcPr>
                                      <w:p w14:paraId="2582E008"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18,565</w:t>
                                        </w:r>
                                      </w:p>
                                    </w:tc>
                                    <w:tc>
                                      <w:tcPr>
                                        <w:tcW w:w="851" w:type="dxa"/>
                                        <w:tcBorders>
                                          <w:top w:val="nil"/>
                                          <w:left w:val="nil"/>
                                          <w:bottom w:val="single" w:sz="4" w:space="0" w:color="auto"/>
                                          <w:right w:val="single" w:sz="4" w:space="0" w:color="auto"/>
                                        </w:tcBorders>
                                        <w:shd w:val="clear" w:color="auto" w:fill="auto"/>
                                        <w:noWrap/>
                                        <w:vAlign w:val="center"/>
                                        <w:hideMark/>
                                      </w:tcPr>
                                      <w:p w14:paraId="28D96A93"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19,987</w:t>
                                        </w:r>
                                      </w:p>
                                    </w:tc>
                                  </w:tr>
                                  <w:tr w:rsidR="00AF398D" w:rsidRPr="00B1515A" w14:paraId="6B68AC26" w14:textId="77777777" w:rsidTr="00A12BEB">
                                    <w:trPr>
                                      <w:trHeight w:val="20"/>
                                    </w:trPr>
                                    <w:tc>
                                      <w:tcPr>
                                        <w:tcW w:w="1134" w:type="dxa"/>
                                        <w:vMerge/>
                                        <w:tcBorders>
                                          <w:left w:val="single" w:sz="4" w:space="0" w:color="auto"/>
                                          <w:bottom w:val="single" w:sz="4" w:space="0" w:color="auto"/>
                                          <w:right w:val="single" w:sz="4" w:space="0" w:color="auto"/>
                                        </w:tcBorders>
                                        <w:vAlign w:val="center"/>
                                      </w:tcPr>
                                      <w:p w14:paraId="4D5AF302" w14:textId="77777777" w:rsidR="00AF398D" w:rsidRPr="00B1515A" w:rsidRDefault="00AF398D" w:rsidP="00A12BEB">
                                        <w:pPr>
                                          <w:widowControl/>
                                          <w:jc w:val="center"/>
                                          <w:rPr>
                                            <w:rFonts w:ascii="標楷體" w:eastAsia="標楷體" w:hAnsi="標楷體" w:cs="新細明體"/>
                                            <w:color w:val="000000"/>
                                            <w:kern w:val="0"/>
                                            <w:sz w:val="20"/>
                                          </w:rPr>
                                        </w:pPr>
                                      </w:p>
                                    </w:tc>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35297D74" w14:textId="77777777" w:rsidR="00AF398D" w:rsidRPr="00B1515A" w:rsidRDefault="00AF398D" w:rsidP="00A12BEB">
                                        <w:pPr>
                                          <w:widowControl/>
                                          <w:rPr>
                                            <w:rFonts w:ascii="標楷體" w:eastAsia="標楷體" w:hAnsi="標楷體" w:cs="新細明體"/>
                                            <w:color w:val="000000"/>
                                            <w:kern w:val="0"/>
                                            <w:sz w:val="20"/>
                                          </w:rPr>
                                        </w:pPr>
                                        <w:bookmarkStart w:id="28" w:name="_Hlk201589330"/>
                                        <w:r w:rsidRPr="00B1515A">
                                          <w:rPr>
                                            <w:rFonts w:ascii="標楷體" w:eastAsia="標楷體" w:hAnsi="標楷體" w:cs="新細明體" w:hint="eastAsia"/>
                                            <w:color w:val="000000"/>
                                            <w:kern w:val="0"/>
                                            <w:sz w:val="20"/>
                                          </w:rPr>
                                          <w:t>％</w:t>
                                        </w:r>
                                        <w:bookmarkEnd w:id="28"/>
                                      </w:p>
                                    </w:tc>
                                    <w:tc>
                                      <w:tcPr>
                                        <w:tcW w:w="850" w:type="dxa"/>
                                        <w:tcBorders>
                                          <w:top w:val="nil"/>
                                          <w:left w:val="nil"/>
                                          <w:bottom w:val="single" w:sz="4" w:space="0" w:color="auto"/>
                                          <w:right w:val="single" w:sz="4" w:space="0" w:color="auto"/>
                                        </w:tcBorders>
                                        <w:shd w:val="clear" w:color="auto" w:fill="auto"/>
                                        <w:noWrap/>
                                        <w:vAlign w:val="bottom"/>
                                        <w:hideMark/>
                                      </w:tcPr>
                                      <w:p w14:paraId="13BE89EF"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6.89 </w:t>
                                        </w:r>
                                      </w:p>
                                    </w:tc>
                                    <w:tc>
                                      <w:tcPr>
                                        <w:tcW w:w="851" w:type="dxa"/>
                                        <w:tcBorders>
                                          <w:top w:val="nil"/>
                                          <w:left w:val="nil"/>
                                          <w:bottom w:val="single" w:sz="4" w:space="0" w:color="auto"/>
                                          <w:right w:val="single" w:sz="4" w:space="0" w:color="auto"/>
                                        </w:tcBorders>
                                        <w:shd w:val="clear" w:color="auto" w:fill="auto"/>
                                        <w:noWrap/>
                                        <w:vAlign w:val="bottom"/>
                                        <w:hideMark/>
                                      </w:tcPr>
                                      <w:p w14:paraId="0FBE518C"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7.60 </w:t>
                                        </w:r>
                                      </w:p>
                                    </w:tc>
                                    <w:tc>
                                      <w:tcPr>
                                        <w:tcW w:w="850" w:type="dxa"/>
                                        <w:tcBorders>
                                          <w:top w:val="nil"/>
                                          <w:left w:val="nil"/>
                                          <w:bottom w:val="single" w:sz="4" w:space="0" w:color="auto"/>
                                          <w:right w:val="single" w:sz="4" w:space="0" w:color="auto"/>
                                        </w:tcBorders>
                                        <w:shd w:val="clear" w:color="auto" w:fill="auto"/>
                                        <w:noWrap/>
                                        <w:vAlign w:val="bottom"/>
                                        <w:hideMark/>
                                      </w:tcPr>
                                      <w:p w14:paraId="134B126C"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8.38 </w:t>
                                        </w:r>
                                      </w:p>
                                    </w:tc>
                                    <w:tc>
                                      <w:tcPr>
                                        <w:tcW w:w="851" w:type="dxa"/>
                                        <w:tcBorders>
                                          <w:top w:val="nil"/>
                                          <w:left w:val="nil"/>
                                          <w:bottom w:val="single" w:sz="4" w:space="0" w:color="auto"/>
                                          <w:right w:val="single" w:sz="4" w:space="0" w:color="auto"/>
                                        </w:tcBorders>
                                        <w:shd w:val="clear" w:color="auto" w:fill="auto"/>
                                        <w:noWrap/>
                                        <w:vAlign w:val="bottom"/>
                                        <w:hideMark/>
                                      </w:tcPr>
                                      <w:p w14:paraId="420E734E"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8.92 </w:t>
                                        </w:r>
                                      </w:p>
                                    </w:tc>
                                    <w:tc>
                                      <w:tcPr>
                                        <w:tcW w:w="851" w:type="dxa"/>
                                        <w:tcBorders>
                                          <w:top w:val="nil"/>
                                          <w:left w:val="nil"/>
                                          <w:bottom w:val="single" w:sz="4" w:space="0" w:color="auto"/>
                                          <w:right w:val="single" w:sz="4" w:space="0" w:color="auto"/>
                                        </w:tcBorders>
                                        <w:shd w:val="clear" w:color="auto" w:fill="auto"/>
                                        <w:noWrap/>
                                        <w:vAlign w:val="bottom"/>
                                        <w:hideMark/>
                                      </w:tcPr>
                                      <w:p w14:paraId="3F6A4869"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9.60 </w:t>
                                        </w:r>
                                      </w:p>
                                    </w:tc>
                                  </w:tr>
                                  <w:tr w:rsidR="00AF398D" w:rsidRPr="00B1515A" w14:paraId="45753C07" w14:textId="77777777" w:rsidTr="00A12BEB">
                                    <w:trPr>
                                      <w:trHeight w:val="20"/>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29A11D00" w14:textId="77777777" w:rsidR="00AF398D" w:rsidRPr="00B1515A" w:rsidRDefault="00AF398D" w:rsidP="00A12BEB">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平均其他類缺額</w:t>
                                        </w:r>
                                        <w:r>
                                          <w:rPr>
                                            <w:rFonts w:ascii="標楷體" w:eastAsia="標楷體" w:hAnsi="標楷體" w:cs="新細明體" w:hint="eastAsia"/>
                                            <w:color w:val="000000"/>
                                            <w:spacing w:val="-14"/>
                                            <w:kern w:val="0"/>
                                            <w:sz w:val="20"/>
                                          </w:rPr>
                                          <w:t>（</w:t>
                                        </w:r>
                                        <w:proofErr w:type="gramStart"/>
                                        <w:r w:rsidRPr="00C76777">
                                          <w:rPr>
                                            <w:rFonts w:ascii="標楷體" w:eastAsia="標楷體" w:hAnsi="標楷體" w:cs="新細明體" w:hint="eastAsia"/>
                                            <w:color w:val="000000"/>
                                            <w:spacing w:val="-14"/>
                                            <w:kern w:val="0"/>
                                            <w:sz w:val="20"/>
                                          </w:rPr>
                                          <w:t>註</w:t>
                                        </w:r>
                                        <w:proofErr w:type="gramEnd"/>
                                        <w:r w:rsidRPr="00C76777">
                                          <w:rPr>
                                            <w:rFonts w:ascii="標楷體" w:eastAsia="標楷體" w:hAnsi="標楷體" w:cs="新細明體" w:hint="eastAsia"/>
                                            <w:color w:val="000000"/>
                                            <w:spacing w:val="-14"/>
                                            <w:kern w:val="0"/>
                                            <w:sz w:val="20"/>
                                          </w:rPr>
                                          <w:t>2</w:t>
                                        </w:r>
                                        <w:r>
                                          <w:rPr>
                                            <w:rFonts w:ascii="標楷體" w:eastAsia="標楷體" w:hAnsi="標楷體" w:cs="新細明體" w:hint="eastAsia"/>
                                            <w:color w:val="000000"/>
                                            <w:spacing w:val="-14"/>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251C2"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人數</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967414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4,145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93F939D"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5,054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70EB393"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5,539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A0BB118"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6,326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D95C362"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7,147</w:t>
                                        </w:r>
                                      </w:p>
                                    </w:tc>
                                  </w:tr>
                                  <w:tr w:rsidR="00AF398D" w:rsidRPr="00B1515A" w14:paraId="1F74D1F3" w14:textId="77777777" w:rsidTr="00A12BEB">
                                    <w:trPr>
                                      <w:trHeight w:val="20"/>
                                    </w:trPr>
                                    <w:tc>
                                      <w:tcPr>
                                        <w:tcW w:w="1134" w:type="dxa"/>
                                        <w:vMerge/>
                                        <w:tcBorders>
                                          <w:top w:val="single" w:sz="4" w:space="0" w:color="auto"/>
                                          <w:left w:val="single" w:sz="4" w:space="0" w:color="auto"/>
                                          <w:bottom w:val="single" w:sz="4" w:space="0" w:color="auto"/>
                                          <w:right w:val="single" w:sz="4" w:space="0" w:color="auto"/>
                                        </w:tcBorders>
                                      </w:tcPr>
                                      <w:p w14:paraId="3D8C9F93" w14:textId="77777777" w:rsidR="00AF398D" w:rsidRPr="00B1515A" w:rsidRDefault="00AF398D" w:rsidP="00A12BEB">
                                        <w:pPr>
                                          <w:widowControl/>
                                          <w:rPr>
                                            <w:rFonts w:ascii="標楷體" w:eastAsia="標楷體" w:hAnsi="標楷體" w:cs="新細明體"/>
                                            <w:color w:val="000000"/>
                                            <w:kern w:val="0"/>
                                            <w:sz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2ABBC"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6B132343"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2.02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83CA49E"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2.43 </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984352A"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2.68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FF85816"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3.04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55816F1"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3.43 </w:t>
                                        </w:r>
                                      </w:p>
                                    </w:tc>
                                  </w:tr>
                                  <w:tr w:rsidR="00AF398D" w:rsidRPr="00B1515A" w14:paraId="5CDDF3CD" w14:textId="77777777" w:rsidTr="00A12BEB">
                                    <w:trPr>
                                      <w:trHeight w:val="20"/>
                                    </w:trPr>
                                    <w:tc>
                                      <w:tcPr>
                                        <w:tcW w:w="6096" w:type="dxa"/>
                                        <w:gridSpan w:val="7"/>
                                        <w:tcBorders>
                                          <w:top w:val="single" w:sz="4" w:space="0" w:color="auto"/>
                                        </w:tcBorders>
                                      </w:tcPr>
                                      <w:p w14:paraId="5FA72C2B" w14:textId="77777777" w:rsidR="00AF398D" w:rsidRPr="0023246D" w:rsidRDefault="00AF398D" w:rsidP="00821840">
                                        <w:pPr>
                                          <w:widowControl/>
                                          <w:spacing w:line="210" w:lineRule="exact"/>
                                          <w:ind w:left="522" w:hangingChars="290" w:hanging="522"/>
                                          <w:jc w:val="both"/>
                                          <w:rPr>
                                            <w:rFonts w:ascii="標楷體" w:eastAsia="標楷體" w:hAnsi="標楷體" w:cs="新細明體"/>
                                            <w:color w:val="000000"/>
                                            <w:kern w:val="0"/>
                                            <w:sz w:val="18"/>
                                            <w:szCs w:val="18"/>
                                          </w:rPr>
                                        </w:pPr>
                                        <w:proofErr w:type="gramStart"/>
                                        <w:r w:rsidRPr="0023246D">
                                          <w:rPr>
                                            <w:rFonts w:ascii="標楷體" w:eastAsia="標楷體" w:hAnsi="標楷體" w:cs="新細明體" w:hint="eastAsia"/>
                                            <w:color w:val="000000"/>
                                            <w:kern w:val="0"/>
                                            <w:sz w:val="18"/>
                                            <w:szCs w:val="18"/>
                                          </w:rPr>
                                          <w:t>註</w:t>
                                        </w:r>
                                        <w:proofErr w:type="gramEnd"/>
                                        <w:r w:rsidRPr="0023246D">
                                          <w:rPr>
                                            <w:rFonts w:ascii="標楷體" w:eastAsia="標楷體" w:hAnsi="標楷體" w:cs="新細明體" w:hint="eastAsia"/>
                                            <w:color w:val="000000"/>
                                            <w:kern w:val="0"/>
                                            <w:sz w:val="18"/>
                                            <w:szCs w:val="18"/>
                                          </w:rPr>
                                          <w:t>：1.預算員額進用及缺額情形處於浮動狀態，本表</w:t>
                                        </w:r>
                                        <w:proofErr w:type="gramStart"/>
                                        <w:r w:rsidRPr="0023246D">
                                          <w:rPr>
                                            <w:rFonts w:ascii="標楷體" w:eastAsia="標楷體" w:hAnsi="標楷體" w:cs="新細明體" w:hint="eastAsia"/>
                                            <w:color w:val="000000"/>
                                            <w:kern w:val="0"/>
                                            <w:sz w:val="18"/>
                                            <w:szCs w:val="18"/>
                                          </w:rPr>
                                          <w:t>數據係當年度</w:t>
                                        </w:r>
                                        <w:proofErr w:type="gramEnd"/>
                                        <w:r w:rsidRPr="0023246D">
                                          <w:rPr>
                                            <w:rFonts w:ascii="標楷體" w:eastAsia="標楷體" w:hAnsi="標楷體" w:cs="新細明體" w:hint="eastAsia"/>
                                            <w:color w:val="000000"/>
                                            <w:kern w:val="0"/>
                                            <w:sz w:val="18"/>
                                            <w:szCs w:val="18"/>
                                          </w:rPr>
                                          <w:t>之平均數，又各項數值合計數、百分比係以各細項原值計算後，四捨五入表達至表列統計單位。</w:t>
                                        </w:r>
                                      </w:p>
                                      <w:p w14:paraId="2B56661B" w14:textId="77777777" w:rsidR="00AF398D" w:rsidRPr="0023246D" w:rsidRDefault="00AF398D" w:rsidP="00821840">
                                        <w:pPr>
                                          <w:widowControl/>
                                          <w:spacing w:line="210" w:lineRule="exact"/>
                                          <w:ind w:leftChars="140" w:left="514" w:hangingChars="99" w:hanging="178"/>
                                          <w:jc w:val="both"/>
                                          <w:rPr>
                                            <w:rFonts w:ascii="標楷體" w:eastAsia="標楷體" w:hAnsi="標楷體" w:cs="新細明體"/>
                                            <w:color w:val="000000"/>
                                            <w:kern w:val="0"/>
                                            <w:sz w:val="18"/>
                                            <w:szCs w:val="18"/>
                                          </w:rPr>
                                        </w:pPr>
                                        <w:r w:rsidRPr="0023246D">
                                          <w:rPr>
                                            <w:rFonts w:ascii="標楷體" w:eastAsia="標楷體" w:hAnsi="標楷體" w:cs="新細明體" w:hint="eastAsia"/>
                                            <w:color w:val="000000"/>
                                            <w:kern w:val="0"/>
                                            <w:sz w:val="18"/>
                                            <w:szCs w:val="18"/>
                                          </w:rPr>
                                          <w:t>2.依據行政院人事行政總處訂定「中央政府機關辦理員額評鑑作業注意事項」第5點第3款規定，預算員額缺額排除一級主管以上職缺、機要職缺、依法規</w:t>
                                        </w:r>
                                        <w:r>
                                          <w:rPr>
                                            <w:rFonts w:ascii="標楷體" w:eastAsia="標楷體" w:hAnsi="標楷體" w:cs="新細明體" w:hint="eastAsia"/>
                                            <w:color w:val="000000"/>
                                            <w:kern w:val="0"/>
                                            <w:sz w:val="18"/>
                                            <w:szCs w:val="18"/>
                                          </w:rPr>
                                          <w:t>（</w:t>
                                        </w:r>
                                        <w:r w:rsidRPr="0023246D">
                                          <w:rPr>
                                            <w:rFonts w:ascii="標楷體" w:eastAsia="標楷體" w:hAnsi="標楷體" w:cs="新細明體" w:hint="eastAsia"/>
                                            <w:color w:val="000000"/>
                                            <w:kern w:val="0"/>
                                            <w:sz w:val="18"/>
                                            <w:szCs w:val="18"/>
                                          </w:rPr>
                                          <w:t>公務人員留職停薪辦法、性別工作平等法、公務員懲戒法等</w:t>
                                        </w:r>
                                        <w:r>
                                          <w:rPr>
                                            <w:rFonts w:ascii="標楷體" w:eastAsia="標楷體" w:hAnsi="標楷體" w:cs="新細明體" w:hint="eastAsia"/>
                                            <w:color w:val="000000"/>
                                            <w:kern w:val="0"/>
                                            <w:sz w:val="18"/>
                                            <w:szCs w:val="18"/>
                                          </w:rPr>
                                          <w:t>）</w:t>
                                        </w:r>
                                        <w:r w:rsidRPr="0023246D">
                                          <w:rPr>
                                            <w:rFonts w:ascii="標楷體" w:eastAsia="標楷體" w:hAnsi="標楷體" w:cs="新細明體" w:hint="eastAsia"/>
                                            <w:color w:val="000000"/>
                                            <w:kern w:val="0"/>
                                            <w:sz w:val="18"/>
                                            <w:szCs w:val="18"/>
                                          </w:rPr>
                                          <w:t>保留職缺、考試分發</w:t>
                                        </w:r>
                                        <w:proofErr w:type="gramStart"/>
                                        <w:r w:rsidRPr="0023246D">
                                          <w:rPr>
                                            <w:rFonts w:ascii="標楷體" w:eastAsia="標楷體" w:hAnsi="標楷體" w:cs="新細明體" w:hint="eastAsia"/>
                                            <w:color w:val="000000"/>
                                            <w:kern w:val="0"/>
                                            <w:sz w:val="18"/>
                                            <w:szCs w:val="18"/>
                                          </w:rPr>
                                          <w:t>列管職缺</w:t>
                                        </w:r>
                                        <w:proofErr w:type="gramEnd"/>
                                        <w:r w:rsidRPr="0023246D">
                                          <w:rPr>
                                            <w:rFonts w:ascii="標楷體" w:eastAsia="標楷體" w:hAnsi="標楷體" w:cs="新細明體" w:hint="eastAsia"/>
                                            <w:color w:val="000000"/>
                                            <w:kern w:val="0"/>
                                            <w:sz w:val="18"/>
                                            <w:szCs w:val="18"/>
                                          </w:rPr>
                                          <w:t>、</w:t>
                                        </w:r>
                                        <w:proofErr w:type="gramStart"/>
                                        <w:r w:rsidRPr="0023246D">
                                          <w:rPr>
                                            <w:rFonts w:ascii="標楷體" w:eastAsia="標楷體" w:hAnsi="標楷體" w:cs="新細明體" w:hint="eastAsia"/>
                                            <w:color w:val="000000"/>
                                            <w:kern w:val="0"/>
                                            <w:sz w:val="18"/>
                                            <w:szCs w:val="18"/>
                                          </w:rPr>
                                          <w:t>遴</w:t>
                                        </w:r>
                                        <w:proofErr w:type="gramEnd"/>
                                        <w:r w:rsidRPr="0023246D">
                                          <w:rPr>
                                            <w:rFonts w:ascii="標楷體" w:eastAsia="標楷體" w:hAnsi="標楷體" w:cs="新細明體" w:hint="eastAsia"/>
                                            <w:color w:val="000000"/>
                                            <w:kern w:val="0"/>
                                            <w:sz w:val="18"/>
                                            <w:szCs w:val="18"/>
                                          </w:rPr>
                                          <w:t>補中、借調至他機關等6類缺額後，概屬員額未有效運用之「其他」類缺額。</w:t>
                                        </w:r>
                                      </w:p>
                                      <w:p w14:paraId="2C97F6A5" w14:textId="77777777" w:rsidR="00AF398D" w:rsidRPr="00B1515A" w:rsidRDefault="00AF398D" w:rsidP="00821840">
                                        <w:pPr>
                                          <w:widowControl/>
                                          <w:spacing w:line="210" w:lineRule="exact"/>
                                          <w:ind w:leftChars="140" w:left="514" w:hangingChars="99" w:hanging="178"/>
                                          <w:jc w:val="both"/>
                                          <w:rPr>
                                            <w:rFonts w:ascii="標楷體" w:eastAsia="標楷體" w:hAnsi="標楷體" w:cs="新細明體"/>
                                            <w:color w:val="000000"/>
                                            <w:kern w:val="0"/>
                                            <w:sz w:val="20"/>
                                          </w:rPr>
                                        </w:pPr>
                                        <w:r w:rsidRPr="0023246D">
                                          <w:rPr>
                                            <w:rFonts w:ascii="標楷體" w:eastAsia="標楷體" w:hAnsi="標楷體" w:cs="新細明體" w:hint="eastAsia"/>
                                            <w:color w:val="000000"/>
                                            <w:kern w:val="0"/>
                                            <w:sz w:val="18"/>
                                            <w:szCs w:val="18"/>
                                          </w:rPr>
                                          <w:t>3.資料來源：整理自行政院人事行政總處提供資料。</w:t>
                                        </w:r>
                                      </w:p>
                                    </w:tc>
                                  </w:tr>
                                </w:tbl>
                                <w:p w14:paraId="49DEF3D6" w14:textId="77777777" w:rsidR="00AF398D" w:rsidRPr="004C6859" w:rsidRDefault="00AF398D" w:rsidP="00AF398D"/>
                              </w:txbxContent>
                            </wps:txbx>
                            <wps:bodyPr rot="0" vert="horz" wrap="square" lIns="91440" tIns="45720" rIns="91440" bIns="45720" anchor="t" anchorCtr="0">
                              <a:noAutofit/>
                            </wps:bodyPr>
                          </wps:wsp>
                        </wpg:grpSp>
                        <wpg:grpSp>
                          <wpg:cNvPr id="98" name="群組 98"/>
                          <wpg:cNvGrpSpPr/>
                          <wpg:grpSpPr>
                            <a:xfrm>
                              <a:off x="1198571" y="2001796"/>
                              <a:ext cx="142535" cy="60956"/>
                              <a:chOff x="38787" y="87663"/>
                              <a:chExt cx="142875" cy="61366"/>
                            </a:xfrm>
                            <a:grpFill/>
                          </wpg:grpSpPr>
                          <wps:wsp>
                            <wps:cNvPr id="99" name="直線接點 99"/>
                            <wps:cNvCnPr/>
                            <wps:spPr>
                              <a:xfrm>
                                <a:off x="42958" y="87663"/>
                                <a:ext cx="130810" cy="0"/>
                              </a:xfrm>
                              <a:prstGeom prst="line">
                                <a:avLst/>
                              </a:prstGeom>
                              <a:grpFill/>
                              <a:ln w="12700" cap="flat" cmpd="sng" algn="ctr">
                                <a:solidFill>
                                  <a:schemeClr val="tx1"/>
                                </a:solidFill>
                                <a:prstDash val="solid"/>
                              </a:ln>
                              <a:effectLst/>
                            </wps:spPr>
                            <wps:bodyPr/>
                          </wps:wsp>
                          <wps:wsp>
                            <wps:cNvPr id="100" name="直線接點 100"/>
                            <wps:cNvCnPr/>
                            <wps:spPr>
                              <a:xfrm>
                                <a:off x="42958" y="149029"/>
                                <a:ext cx="130810" cy="0"/>
                              </a:xfrm>
                              <a:prstGeom prst="line">
                                <a:avLst/>
                              </a:prstGeom>
                              <a:grpFill/>
                              <a:ln w="12700" cap="flat" cmpd="sng" algn="ctr">
                                <a:solidFill>
                                  <a:schemeClr val="tx1"/>
                                </a:solidFill>
                                <a:prstDash val="solid"/>
                              </a:ln>
                              <a:effectLst/>
                            </wps:spPr>
                            <wps:bodyPr/>
                          </wps:wsp>
                          <wps:wsp>
                            <wps:cNvPr id="101" name="矩形 101"/>
                            <wps:cNvSpPr/>
                            <wps:spPr>
                              <a:xfrm>
                                <a:off x="38787" y="98096"/>
                                <a:ext cx="142875" cy="46355"/>
                              </a:xfrm>
                              <a:prstGeom prst="rect">
                                <a:avLst/>
                              </a:prstGeom>
                              <a:solidFill>
                                <a:schemeClr val="bg1"/>
                              </a:solidFill>
                              <a:ln w="25400" cap="flat" cmpd="sng" algn="ctr">
                                <a:noFill/>
                                <a:prstDash val="solid"/>
                              </a:ln>
                              <a:effectLst/>
                            </wps:spPr>
                            <wps:bodyPr rtlCol="0" anchor="t"/>
                          </wps:wsp>
                        </wpg:grpSp>
                        <wps:wsp>
                          <wps:cNvPr id="102" name="文字方塊 5"/>
                          <wps:cNvSpPr txBox="1"/>
                          <wps:spPr>
                            <a:xfrm>
                              <a:off x="656649" y="2031318"/>
                              <a:ext cx="505460" cy="193675"/>
                            </a:xfrm>
                            <a:prstGeom prst="rect">
                              <a:avLst/>
                            </a:prstGeom>
                            <a:solidFill>
                              <a:schemeClr val="bg1"/>
                            </a:solidFill>
                            <a:ln w="9525" cmpd="sng">
                              <a:noFill/>
                            </a:ln>
                            <a:effectLst/>
                          </wps:spPr>
                          <wps:txbx>
                            <w:txbxContent>
                              <w:p w14:paraId="093D35F5" w14:textId="77777777" w:rsidR="00AF398D" w:rsidRPr="005E2435" w:rsidRDefault="00AF398D" w:rsidP="00AF398D">
                                <w:pPr>
                                  <w:spacing w:line="240" w:lineRule="exact"/>
                                  <w:ind w:right="75"/>
                                  <w:jc w:val="right"/>
                                  <w:rPr>
                                    <w:rFonts w:ascii="標楷體" w:eastAsia="標楷體" w:hAnsi="標楷體"/>
                                    <w:color w:val="595959" w:themeColor="text1" w:themeTint="A6"/>
                                    <w:kern w:val="0"/>
                                    <w:sz w:val="20"/>
                                  </w:rPr>
                                </w:pPr>
                                <w:r w:rsidRPr="005E2435">
                                  <w:rPr>
                                    <w:rFonts w:ascii="標楷體" w:eastAsia="標楷體" w:hAnsi="標楷體" w:hint="eastAsia"/>
                                    <w:color w:val="595959" w:themeColor="text1" w:themeTint="A6"/>
                                    <w:sz w:val="20"/>
                                  </w:rPr>
                                  <w:t>0</w:t>
                                </w:r>
                              </w:p>
                            </w:txbxContent>
                          </wps:txbx>
                          <wps:bodyPr vertOverflow="clip" horzOverflow="clip" wrap="square" lIns="0" tIns="0" rIns="0" bIns="0" rtlCol="0" anchor="t">
                            <a:noAutofit/>
                          </wps:bodyPr>
                        </wps:wsp>
                      </wpg:grpSp>
                      <wps:wsp>
                        <wps:cNvPr id="103" name="波浪 103"/>
                        <wps:cNvSpPr/>
                        <wps:spPr>
                          <a:xfrm>
                            <a:off x="1397000" y="2001520"/>
                            <a:ext cx="138289" cy="59266"/>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波浪 104"/>
                        <wps:cNvSpPr/>
                        <wps:spPr>
                          <a:xfrm>
                            <a:off x="1534160" y="2006600"/>
                            <a:ext cx="138289" cy="59266"/>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波浪 105"/>
                        <wps:cNvSpPr/>
                        <wps:spPr>
                          <a:xfrm>
                            <a:off x="1940560" y="200660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波浪 106"/>
                        <wps:cNvSpPr/>
                        <wps:spPr>
                          <a:xfrm>
                            <a:off x="2082800" y="201168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波浪 107"/>
                        <wps:cNvSpPr/>
                        <wps:spPr>
                          <a:xfrm>
                            <a:off x="2484120" y="201676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波浪 108"/>
                        <wps:cNvSpPr/>
                        <wps:spPr>
                          <a:xfrm>
                            <a:off x="2621280" y="201676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波浪 109"/>
                        <wps:cNvSpPr/>
                        <wps:spPr>
                          <a:xfrm>
                            <a:off x="3022600" y="201676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波浪 110"/>
                        <wps:cNvSpPr/>
                        <wps:spPr>
                          <a:xfrm>
                            <a:off x="3159760" y="201676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波浪 111"/>
                        <wps:cNvSpPr/>
                        <wps:spPr>
                          <a:xfrm>
                            <a:off x="3561080" y="201168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波浪 112"/>
                        <wps:cNvSpPr/>
                        <wps:spPr>
                          <a:xfrm>
                            <a:off x="3698240" y="2011680"/>
                            <a:ext cx="137795" cy="59055"/>
                          </a:xfrm>
                          <a:prstGeom prst="wav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DC4E1F1" id="群組 88" o:spid="_x0000_s1088" style="position:absolute;left:0;text-align:left;margin-left:147.7pt;margin-top:8pt;width:348.3pt;height:357.65pt;z-index:251657728" coordsize="44234,46450"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&#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">
                <v:group id="群組 89" o:spid="_x0000_s1089" style="position:absolute;width:44234;height:46450" coordsize="44234,4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群組 90" o:spid="_x0000_s1090" style="position:absolute;width:44234;height:46450" coordorigin="304,766" coordsize="44235,4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群組 91" o:spid="_x0000_s1091" style="position:absolute;left:1731;top:766;width:42809;height:24549" coordorigin=",766" coordsize="42808,2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圖表 92" o:spid="_x0000_s1092" type="#_x0000_t75" style="position:absolute;left:5095;top:4792;width:35602;height:18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">
                        <v:imagedata r:id="rId32" o:title=""/>
                        <o:lock v:ext="edit" aspectratio="f"/>
                      </v:shape>
                      <v:shape id="_x0000_s1093" type="#_x0000_t202" style="position:absolute;top:766;width:42043;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2D37D6BB" w14:textId="77777777" w:rsidR="00AF398D" w:rsidRDefault="00AF398D" w:rsidP="00AF398D">
                              <w:pPr>
                                <w:jc w:val="center"/>
                              </w:pPr>
                              <w:r>
                                <w:rPr>
                                  <w:rFonts w:ascii="標楷體" w:eastAsia="標楷體" w:hAnsi="標楷體" w:cs="新細明體" w:hint="eastAsia"/>
                                  <w:b/>
                                  <w:bCs/>
                                  <w:color w:val="000000"/>
                                  <w:kern w:val="0"/>
                                </w:rPr>
                                <w:t>圖1</w:t>
                              </w:r>
                              <w:r>
                                <w:rPr>
                                  <w:rFonts w:ascii="標楷體" w:eastAsia="標楷體" w:hAnsi="標楷體" w:cs="新細明體"/>
                                  <w:b/>
                                  <w:bCs/>
                                  <w:color w:val="000000"/>
                                  <w:kern w:val="0"/>
                                </w:rPr>
                                <w:t>4</w:t>
                              </w:r>
                              <w:r>
                                <w:rPr>
                                  <w:rFonts w:ascii="標楷體" w:eastAsia="標楷體" w:hAnsi="標楷體" w:cs="新細明體" w:hint="eastAsia"/>
                                  <w:b/>
                                  <w:bCs/>
                                  <w:color w:val="000000"/>
                                  <w:kern w:val="0"/>
                                </w:rPr>
                                <w:t xml:space="preserve">　正式人力</w:t>
                              </w:r>
                              <w:r w:rsidRPr="00DE673B">
                                <w:rPr>
                                  <w:rFonts w:ascii="標楷體" w:eastAsia="標楷體" w:hAnsi="標楷體" w:cs="新細明體" w:hint="eastAsia"/>
                                  <w:b/>
                                  <w:bCs/>
                                  <w:color w:val="000000"/>
                                  <w:kern w:val="0"/>
                                </w:rPr>
                                <w:t>預算員額進用及缺額情形</w:t>
                              </w:r>
                            </w:p>
                          </w:txbxContent>
                        </v:textbox>
                      </v:shape>
                      <v:shape id="_x0000_s1094" type="#_x0000_t202" style="position:absolute;left:5680;top:4987;width:2978;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5235A1E5" w14:textId="77777777" w:rsidR="00AF398D" w:rsidRPr="00C36637" w:rsidRDefault="00AF398D" w:rsidP="00AF398D">
                              <w:pPr>
                                <w:rPr>
                                  <w:rFonts w:ascii="標楷體" w:eastAsia="標楷體" w:hAnsi="標楷體"/>
                                  <w:sz w:val="20"/>
                                </w:rPr>
                              </w:pPr>
                              <w:r w:rsidRPr="00C36637">
                                <w:rPr>
                                  <w:rFonts w:ascii="標楷體" w:eastAsia="標楷體" w:hAnsi="標楷體" w:hint="eastAsia"/>
                                  <w:sz w:val="20"/>
                                </w:rPr>
                                <w:t>人</w:t>
                              </w:r>
                            </w:p>
                          </w:txbxContent>
                        </v:textbox>
                      </v:shape>
                      <v:shape id="_x0000_s1095" type="#_x0000_t202" style="position:absolute;left:38723;top:4907;width:2978;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6E909F7C" w14:textId="77777777" w:rsidR="00AF398D" w:rsidRPr="00C36637" w:rsidRDefault="00AF398D" w:rsidP="00AF398D">
                              <w:pPr>
                                <w:spacing w:line="240" w:lineRule="exact"/>
                                <w:rPr>
                                  <w:rFonts w:ascii="標楷體" w:eastAsia="標楷體" w:hAnsi="標楷體"/>
                                  <w:sz w:val="20"/>
                                </w:rPr>
                              </w:pPr>
                              <w:r w:rsidRPr="00B1515A">
                                <w:rPr>
                                  <w:rFonts w:ascii="標楷體" w:eastAsia="標楷體" w:hAnsi="標楷體" w:cs="新細明體" w:hint="eastAsia"/>
                                  <w:color w:val="000000"/>
                                  <w:kern w:val="0"/>
                                  <w:sz w:val="20"/>
                                </w:rPr>
                                <w:t>％</w:t>
                              </w:r>
                            </w:p>
                          </w:txbxContent>
                        </v:textbox>
                      </v:shape>
                      <v:shape id="_x0000_s1096" type="#_x0000_t202" style="position:absolute;left:37889;top:22654;width:4712;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3D435B52" w14:textId="77777777" w:rsidR="00AF398D" w:rsidRPr="00C36637" w:rsidRDefault="00AF398D" w:rsidP="00AF398D">
                              <w:pPr>
                                <w:spacing w:line="240" w:lineRule="exact"/>
                                <w:rPr>
                                  <w:rFonts w:ascii="標楷體" w:eastAsia="標楷體" w:hAnsi="標楷體"/>
                                  <w:sz w:val="20"/>
                                </w:rPr>
                              </w:pPr>
                              <w:r>
                                <w:rPr>
                                  <w:rFonts w:ascii="標楷體" w:eastAsia="標楷體" w:hAnsi="標楷體" w:cs="新細明體" w:hint="eastAsia"/>
                                  <w:color w:val="000000"/>
                                  <w:kern w:val="0"/>
                                  <w:sz w:val="20"/>
                                </w:rPr>
                                <w:t>年度</w:t>
                              </w:r>
                            </w:p>
                          </w:txbxContent>
                        </v:textbox>
                      </v:shape>
                    </v:group>
                    <v:shape id="_x0000_s1097" type="#_x0000_t202" style="position:absolute;left:304;top:22344;width:40450;height:26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tbl>
                            <w:tblPr>
                              <w:tblW w:w="6096" w:type="dxa"/>
                              <w:tblLayout w:type="fixed"/>
                              <w:tblCellMar>
                                <w:left w:w="28" w:type="dxa"/>
                                <w:right w:w="28" w:type="dxa"/>
                              </w:tblCellMar>
                              <w:tblLook w:val="04A0" w:firstRow="1" w:lastRow="0" w:firstColumn="1" w:lastColumn="0" w:noHBand="0" w:noVBand="1"/>
                            </w:tblPr>
                            <w:tblGrid>
                              <w:gridCol w:w="1134"/>
                              <w:gridCol w:w="709"/>
                              <w:gridCol w:w="850"/>
                              <w:gridCol w:w="851"/>
                              <w:gridCol w:w="850"/>
                              <w:gridCol w:w="851"/>
                              <w:gridCol w:w="851"/>
                            </w:tblGrid>
                            <w:tr w:rsidR="00AF398D" w:rsidRPr="00B1515A" w14:paraId="0B427C6E" w14:textId="77777777" w:rsidTr="00A12BEB">
                              <w:trPr>
                                <w:trHeight w:val="20"/>
                              </w:trPr>
                              <w:tc>
                                <w:tcPr>
                                  <w:tcW w:w="1134" w:type="dxa"/>
                                  <w:tcBorders>
                                    <w:top w:val="nil"/>
                                    <w:left w:val="nil"/>
                                    <w:bottom w:val="nil"/>
                                    <w:right w:val="nil"/>
                                  </w:tcBorders>
                                </w:tcPr>
                                <w:p w14:paraId="5C133B9E" w14:textId="77777777" w:rsidR="00AF398D" w:rsidRPr="00B1515A" w:rsidRDefault="00AF398D" w:rsidP="00A12BEB">
                                  <w:pPr>
                                    <w:widowControl/>
                                    <w:rPr>
                                      <w:rFonts w:ascii="新細明體" w:hAnsi="新細明體" w:cs="新細明體"/>
                                      <w:kern w:val="0"/>
                                      <w:sz w:val="20"/>
                                    </w:rPr>
                                  </w:pPr>
                                </w:p>
                              </w:tc>
                              <w:tc>
                                <w:tcPr>
                                  <w:tcW w:w="709" w:type="dxa"/>
                                  <w:tcBorders>
                                    <w:top w:val="nil"/>
                                    <w:left w:val="nil"/>
                                    <w:bottom w:val="nil"/>
                                    <w:right w:val="nil"/>
                                  </w:tcBorders>
                                  <w:shd w:val="clear" w:color="auto" w:fill="auto"/>
                                  <w:noWrap/>
                                  <w:vAlign w:val="bottom"/>
                                  <w:hideMark/>
                                </w:tcPr>
                                <w:p w14:paraId="68E30CA4" w14:textId="77777777" w:rsidR="00AF398D" w:rsidRPr="00B1515A" w:rsidRDefault="00AF398D" w:rsidP="00A12BEB">
                                  <w:pPr>
                                    <w:widowControl/>
                                    <w:rPr>
                                      <w:rFonts w:ascii="新細明體" w:hAnsi="新細明體" w:cs="新細明體"/>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8CD29"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109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4939913"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D645F6B"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EAD6CE7"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E37BC61" w14:textId="77777777" w:rsidR="00AF398D" w:rsidRPr="00B1515A" w:rsidRDefault="00AF398D" w:rsidP="00A12BEB">
                                  <w:pPr>
                                    <w:widowControl/>
                                    <w:jc w:val="center"/>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113</w:t>
                                  </w:r>
                                </w:p>
                              </w:tc>
                            </w:tr>
                            <w:tr w:rsidR="00AF398D" w:rsidRPr="00B1515A" w14:paraId="6310D5C5" w14:textId="77777777" w:rsidTr="00A12BEB">
                              <w:trPr>
                                <w:trHeight w:val="20"/>
                              </w:trPr>
                              <w:tc>
                                <w:tcPr>
                                  <w:tcW w:w="1843" w:type="dxa"/>
                                  <w:gridSpan w:val="2"/>
                                  <w:tcBorders>
                                    <w:top w:val="single" w:sz="4" w:space="0" w:color="auto"/>
                                    <w:left w:val="single" w:sz="4" w:space="0" w:color="auto"/>
                                    <w:bottom w:val="single" w:sz="4" w:space="0" w:color="auto"/>
                                    <w:right w:val="single" w:sz="4" w:space="0" w:color="auto"/>
                                  </w:tcBorders>
                                </w:tcPr>
                                <w:p w14:paraId="10AC3B5D"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平均預算員額</w:t>
                                  </w:r>
                                </w:p>
                              </w:tc>
                              <w:tc>
                                <w:tcPr>
                                  <w:tcW w:w="850" w:type="dxa"/>
                                  <w:tcBorders>
                                    <w:top w:val="nil"/>
                                    <w:left w:val="nil"/>
                                    <w:bottom w:val="single" w:sz="4" w:space="0" w:color="auto"/>
                                    <w:right w:val="single" w:sz="4" w:space="0" w:color="auto"/>
                                  </w:tcBorders>
                                  <w:shd w:val="clear" w:color="auto" w:fill="auto"/>
                                  <w:noWrap/>
                                  <w:hideMark/>
                                </w:tcPr>
                                <w:p w14:paraId="3A6E297D"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color w:val="000000"/>
                                      <w:kern w:val="0"/>
                                      <w:sz w:val="20"/>
                                    </w:rPr>
                                    <w:t xml:space="preserve">204,964 </w:t>
                                  </w:r>
                                </w:p>
                              </w:tc>
                              <w:tc>
                                <w:tcPr>
                                  <w:tcW w:w="851" w:type="dxa"/>
                                  <w:tcBorders>
                                    <w:top w:val="nil"/>
                                    <w:left w:val="nil"/>
                                    <w:bottom w:val="single" w:sz="4" w:space="0" w:color="auto"/>
                                    <w:right w:val="single" w:sz="4" w:space="0" w:color="auto"/>
                                  </w:tcBorders>
                                  <w:shd w:val="clear" w:color="auto" w:fill="auto"/>
                                  <w:noWrap/>
                                  <w:vAlign w:val="bottom"/>
                                  <w:hideMark/>
                                </w:tcPr>
                                <w:p w14:paraId="2F3A7DEC"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207,596 </w:t>
                                  </w:r>
                                </w:p>
                              </w:tc>
                              <w:tc>
                                <w:tcPr>
                                  <w:tcW w:w="850" w:type="dxa"/>
                                  <w:tcBorders>
                                    <w:top w:val="nil"/>
                                    <w:left w:val="nil"/>
                                    <w:bottom w:val="single" w:sz="4" w:space="0" w:color="auto"/>
                                    <w:right w:val="single" w:sz="4" w:space="0" w:color="auto"/>
                                  </w:tcBorders>
                                  <w:shd w:val="clear" w:color="auto" w:fill="auto"/>
                                  <w:noWrap/>
                                  <w:vAlign w:val="bottom"/>
                                  <w:hideMark/>
                                </w:tcPr>
                                <w:p w14:paraId="71FD9495"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207,042 </w:t>
                                  </w:r>
                                </w:p>
                              </w:tc>
                              <w:tc>
                                <w:tcPr>
                                  <w:tcW w:w="851" w:type="dxa"/>
                                  <w:tcBorders>
                                    <w:top w:val="nil"/>
                                    <w:left w:val="nil"/>
                                    <w:bottom w:val="single" w:sz="4" w:space="0" w:color="auto"/>
                                    <w:right w:val="single" w:sz="4" w:space="0" w:color="auto"/>
                                  </w:tcBorders>
                                  <w:shd w:val="clear" w:color="auto" w:fill="auto"/>
                                  <w:noWrap/>
                                  <w:vAlign w:val="bottom"/>
                                  <w:hideMark/>
                                </w:tcPr>
                                <w:p w14:paraId="283A0DC5"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208,036 </w:t>
                                  </w:r>
                                </w:p>
                              </w:tc>
                              <w:tc>
                                <w:tcPr>
                                  <w:tcW w:w="851" w:type="dxa"/>
                                  <w:tcBorders>
                                    <w:top w:val="nil"/>
                                    <w:left w:val="nil"/>
                                    <w:bottom w:val="single" w:sz="4" w:space="0" w:color="auto"/>
                                    <w:right w:val="single" w:sz="4" w:space="0" w:color="auto"/>
                                  </w:tcBorders>
                                  <w:shd w:val="clear" w:color="auto" w:fill="auto"/>
                                  <w:noWrap/>
                                  <w:vAlign w:val="bottom"/>
                                  <w:hideMark/>
                                </w:tcPr>
                                <w:p w14:paraId="562EF8EF"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208,155 </w:t>
                                  </w:r>
                                </w:p>
                              </w:tc>
                            </w:tr>
                            <w:tr w:rsidR="00AF398D" w:rsidRPr="00B1515A" w14:paraId="7A02BAAF" w14:textId="77777777" w:rsidTr="00A12BEB">
                              <w:trPr>
                                <w:trHeight w:val="20"/>
                              </w:trPr>
                              <w:tc>
                                <w:tcPr>
                                  <w:tcW w:w="1843" w:type="dxa"/>
                                  <w:gridSpan w:val="2"/>
                                  <w:tcBorders>
                                    <w:top w:val="nil"/>
                                    <w:left w:val="single" w:sz="4" w:space="0" w:color="auto"/>
                                    <w:bottom w:val="single" w:sz="4" w:space="0" w:color="auto"/>
                                    <w:right w:val="single" w:sz="4" w:space="0" w:color="auto"/>
                                  </w:tcBorders>
                                </w:tcPr>
                                <w:p w14:paraId="17E5C474"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平均現有人數</w:t>
                                  </w:r>
                                </w:p>
                              </w:tc>
                              <w:tc>
                                <w:tcPr>
                                  <w:tcW w:w="850" w:type="dxa"/>
                                  <w:tcBorders>
                                    <w:top w:val="nil"/>
                                    <w:left w:val="nil"/>
                                    <w:bottom w:val="single" w:sz="4" w:space="0" w:color="auto"/>
                                    <w:right w:val="single" w:sz="4" w:space="0" w:color="auto"/>
                                  </w:tcBorders>
                                  <w:shd w:val="clear" w:color="auto" w:fill="auto"/>
                                  <w:noWrap/>
                                  <w:hideMark/>
                                </w:tcPr>
                                <w:p w14:paraId="64AE6078"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color w:val="000000"/>
                                      <w:kern w:val="0"/>
                                      <w:sz w:val="20"/>
                                    </w:rPr>
                                    <w:t xml:space="preserve">190,835 </w:t>
                                  </w:r>
                                </w:p>
                              </w:tc>
                              <w:tc>
                                <w:tcPr>
                                  <w:tcW w:w="851" w:type="dxa"/>
                                  <w:tcBorders>
                                    <w:top w:val="nil"/>
                                    <w:left w:val="nil"/>
                                    <w:bottom w:val="single" w:sz="4" w:space="0" w:color="auto"/>
                                    <w:right w:val="single" w:sz="4" w:space="0" w:color="auto"/>
                                  </w:tcBorders>
                                  <w:shd w:val="clear" w:color="auto" w:fill="auto"/>
                                  <w:noWrap/>
                                  <w:vAlign w:val="bottom"/>
                                  <w:hideMark/>
                                </w:tcPr>
                                <w:p w14:paraId="10B7BCA1"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191,814 </w:t>
                                  </w:r>
                                </w:p>
                              </w:tc>
                              <w:tc>
                                <w:tcPr>
                                  <w:tcW w:w="850" w:type="dxa"/>
                                  <w:tcBorders>
                                    <w:top w:val="nil"/>
                                    <w:left w:val="nil"/>
                                    <w:bottom w:val="single" w:sz="4" w:space="0" w:color="auto"/>
                                    <w:right w:val="single" w:sz="4" w:space="0" w:color="auto"/>
                                  </w:tcBorders>
                                  <w:shd w:val="clear" w:color="auto" w:fill="auto"/>
                                  <w:noWrap/>
                                  <w:vAlign w:val="bottom"/>
                                  <w:hideMark/>
                                </w:tcPr>
                                <w:p w14:paraId="73CC289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189,684 </w:t>
                                  </w:r>
                                </w:p>
                              </w:tc>
                              <w:tc>
                                <w:tcPr>
                                  <w:tcW w:w="851" w:type="dxa"/>
                                  <w:tcBorders>
                                    <w:top w:val="nil"/>
                                    <w:left w:val="nil"/>
                                    <w:bottom w:val="single" w:sz="4" w:space="0" w:color="auto"/>
                                    <w:right w:val="single" w:sz="4" w:space="0" w:color="auto"/>
                                  </w:tcBorders>
                                  <w:shd w:val="clear" w:color="auto" w:fill="auto"/>
                                  <w:noWrap/>
                                  <w:vAlign w:val="bottom"/>
                                  <w:hideMark/>
                                </w:tcPr>
                                <w:p w14:paraId="7A3DA987"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189,471 </w:t>
                                  </w:r>
                                </w:p>
                              </w:tc>
                              <w:tc>
                                <w:tcPr>
                                  <w:tcW w:w="851" w:type="dxa"/>
                                  <w:tcBorders>
                                    <w:top w:val="nil"/>
                                    <w:left w:val="nil"/>
                                    <w:bottom w:val="single" w:sz="4" w:space="0" w:color="auto"/>
                                    <w:right w:val="single" w:sz="4" w:space="0" w:color="auto"/>
                                  </w:tcBorders>
                                  <w:shd w:val="clear" w:color="auto" w:fill="auto"/>
                                  <w:noWrap/>
                                  <w:vAlign w:val="bottom"/>
                                  <w:hideMark/>
                                </w:tcPr>
                                <w:p w14:paraId="2A9D924F"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188,168 </w:t>
                                  </w:r>
                                </w:p>
                              </w:tc>
                            </w:tr>
                            <w:tr w:rsidR="00AF398D" w:rsidRPr="00B1515A" w14:paraId="37DA50CF" w14:textId="77777777" w:rsidTr="00A12BEB">
                              <w:trPr>
                                <w:trHeight w:val="20"/>
                              </w:trPr>
                              <w:tc>
                                <w:tcPr>
                                  <w:tcW w:w="1134" w:type="dxa"/>
                                  <w:vMerge w:val="restart"/>
                                  <w:tcBorders>
                                    <w:top w:val="nil"/>
                                    <w:left w:val="single" w:sz="4" w:space="0" w:color="auto"/>
                                    <w:right w:val="single" w:sz="4" w:space="0" w:color="auto"/>
                                  </w:tcBorders>
                                  <w:vAlign w:val="center"/>
                                </w:tcPr>
                                <w:p w14:paraId="55C0D18C" w14:textId="77777777" w:rsidR="00AF398D" w:rsidRPr="00B1515A" w:rsidRDefault="00AF398D" w:rsidP="00A12BEB">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平均缺額</w:t>
                                  </w:r>
                                </w:p>
                              </w:tc>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6133B901"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人數</w:t>
                                  </w:r>
                                </w:p>
                              </w:tc>
                              <w:tc>
                                <w:tcPr>
                                  <w:tcW w:w="850" w:type="dxa"/>
                                  <w:tcBorders>
                                    <w:top w:val="nil"/>
                                    <w:left w:val="nil"/>
                                    <w:bottom w:val="single" w:sz="4" w:space="0" w:color="auto"/>
                                    <w:right w:val="single" w:sz="4" w:space="0" w:color="auto"/>
                                  </w:tcBorders>
                                  <w:shd w:val="clear" w:color="auto" w:fill="auto"/>
                                  <w:noWrap/>
                                  <w:vAlign w:val="center"/>
                                  <w:hideMark/>
                                </w:tcPr>
                                <w:p w14:paraId="184D50B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14,129</w:t>
                                  </w:r>
                                </w:p>
                              </w:tc>
                              <w:tc>
                                <w:tcPr>
                                  <w:tcW w:w="851" w:type="dxa"/>
                                  <w:tcBorders>
                                    <w:top w:val="nil"/>
                                    <w:left w:val="nil"/>
                                    <w:bottom w:val="single" w:sz="4" w:space="0" w:color="auto"/>
                                    <w:right w:val="single" w:sz="4" w:space="0" w:color="auto"/>
                                  </w:tcBorders>
                                  <w:shd w:val="clear" w:color="auto" w:fill="auto"/>
                                  <w:noWrap/>
                                  <w:vAlign w:val="center"/>
                                  <w:hideMark/>
                                </w:tcPr>
                                <w:p w14:paraId="691DCE19"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15,782</w:t>
                                  </w:r>
                                </w:p>
                              </w:tc>
                              <w:tc>
                                <w:tcPr>
                                  <w:tcW w:w="850" w:type="dxa"/>
                                  <w:tcBorders>
                                    <w:top w:val="nil"/>
                                    <w:left w:val="nil"/>
                                    <w:bottom w:val="single" w:sz="4" w:space="0" w:color="auto"/>
                                    <w:right w:val="single" w:sz="4" w:space="0" w:color="auto"/>
                                  </w:tcBorders>
                                  <w:shd w:val="clear" w:color="auto" w:fill="auto"/>
                                  <w:noWrap/>
                                  <w:vAlign w:val="center"/>
                                  <w:hideMark/>
                                </w:tcPr>
                                <w:p w14:paraId="3778849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17,358</w:t>
                                  </w:r>
                                </w:p>
                              </w:tc>
                              <w:tc>
                                <w:tcPr>
                                  <w:tcW w:w="851" w:type="dxa"/>
                                  <w:tcBorders>
                                    <w:top w:val="nil"/>
                                    <w:left w:val="nil"/>
                                    <w:bottom w:val="single" w:sz="4" w:space="0" w:color="auto"/>
                                    <w:right w:val="single" w:sz="4" w:space="0" w:color="auto"/>
                                  </w:tcBorders>
                                  <w:shd w:val="clear" w:color="auto" w:fill="auto"/>
                                  <w:noWrap/>
                                  <w:vAlign w:val="center"/>
                                  <w:hideMark/>
                                </w:tcPr>
                                <w:p w14:paraId="2582E008"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18,565</w:t>
                                  </w:r>
                                </w:p>
                              </w:tc>
                              <w:tc>
                                <w:tcPr>
                                  <w:tcW w:w="851" w:type="dxa"/>
                                  <w:tcBorders>
                                    <w:top w:val="nil"/>
                                    <w:left w:val="nil"/>
                                    <w:bottom w:val="single" w:sz="4" w:space="0" w:color="auto"/>
                                    <w:right w:val="single" w:sz="4" w:space="0" w:color="auto"/>
                                  </w:tcBorders>
                                  <w:shd w:val="clear" w:color="auto" w:fill="auto"/>
                                  <w:noWrap/>
                                  <w:vAlign w:val="center"/>
                                  <w:hideMark/>
                                </w:tcPr>
                                <w:p w14:paraId="28D96A93"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19,987</w:t>
                                  </w:r>
                                </w:p>
                              </w:tc>
                            </w:tr>
                            <w:tr w:rsidR="00AF398D" w:rsidRPr="00B1515A" w14:paraId="6B68AC26" w14:textId="77777777" w:rsidTr="00A12BEB">
                              <w:trPr>
                                <w:trHeight w:val="20"/>
                              </w:trPr>
                              <w:tc>
                                <w:tcPr>
                                  <w:tcW w:w="1134" w:type="dxa"/>
                                  <w:vMerge/>
                                  <w:tcBorders>
                                    <w:left w:val="single" w:sz="4" w:space="0" w:color="auto"/>
                                    <w:bottom w:val="single" w:sz="4" w:space="0" w:color="auto"/>
                                    <w:right w:val="single" w:sz="4" w:space="0" w:color="auto"/>
                                  </w:tcBorders>
                                  <w:vAlign w:val="center"/>
                                </w:tcPr>
                                <w:p w14:paraId="4D5AF302" w14:textId="77777777" w:rsidR="00AF398D" w:rsidRPr="00B1515A" w:rsidRDefault="00AF398D" w:rsidP="00A12BEB">
                                  <w:pPr>
                                    <w:widowControl/>
                                    <w:jc w:val="center"/>
                                    <w:rPr>
                                      <w:rFonts w:ascii="標楷體" w:eastAsia="標楷體" w:hAnsi="標楷體" w:cs="新細明體"/>
                                      <w:color w:val="000000"/>
                                      <w:kern w:val="0"/>
                                      <w:sz w:val="20"/>
                                    </w:rPr>
                                  </w:pPr>
                                </w:p>
                              </w:tc>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35297D74" w14:textId="77777777" w:rsidR="00AF398D" w:rsidRPr="00B1515A" w:rsidRDefault="00AF398D" w:rsidP="00A12BEB">
                                  <w:pPr>
                                    <w:widowControl/>
                                    <w:rPr>
                                      <w:rFonts w:ascii="標楷體" w:eastAsia="標楷體" w:hAnsi="標楷體" w:cs="新細明體"/>
                                      <w:color w:val="000000"/>
                                      <w:kern w:val="0"/>
                                      <w:sz w:val="20"/>
                                    </w:rPr>
                                  </w:pPr>
                                  <w:bookmarkStart w:id="29" w:name="_Hlk201589330"/>
                                  <w:r w:rsidRPr="00B1515A">
                                    <w:rPr>
                                      <w:rFonts w:ascii="標楷體" w:eastAsia="標楷體" w:hAnsi="標楷體" w:cs="新細明體" w:hint="eastAsia"/>
                                      <w:color w:val="000000"/>
                                      <w:kern w:val="0"/>
                                      <w:sz w:val="20"/>
                                    </w:rPr>
                                    <w:t>％</w:t>
                                  </w:r>
                                  <w:bookmarkEnd w:id="29"/>
                                </w:p>
                              </w:tc>
                              <w:tc>
                                <w:tcPr>
                                  <w:tcW w:w="850" w:type="dxa"/>
                                  <w:tcBorders>
                                    <w:top w:val="nil"/>
                                    <w:left w:val="nil"/>
                                    <w:bottom w:val="single" w:sz="4" w:space="0" w:color="auto"/>
                                    <w:right w:val="single" w:sz="4" w:space="0" w:color="auto"/>
                                  </w:tcBorders>
                                  <w:shd w:val="clear" w:color="auto" w:fill="auto"/>
                                  <w:noWrap/>
                                  <w:vAlign w:val="bottom"/>
                                  <w:hideMark/>
                                </w:tcPr>
                                <w:p w14:paraId="13BE89EF"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6.89 </w:t>
                                  </w:r>
                                </w:p>
                              </w:tc>
                              <w:tc>
                                <w:tcPr>
                                  <w:tcW w:w="851" w:type="dxa"/>
                                  <w:tcBorders>
                                    <w:top w:val="nil"/>
                                    <w:left w:val="nil"/>
                                    <w:bottom w:val="single" w:sz="4" w:space="0" w:color="auto"/>
                                    <w:right w:val="single" w:sz="4" w:space="0" w:color="auto"/>
                                  </w:tcBorders>
                                  <w:shd w:val="clear" w:color="auto" w:fill="auto"/>
                                  <w:noWrap/>
                                  <w:vAlign w:val="bottom"/>
                                  <w:hideMark/>
                                </w:tcPr>
                                <w:p w14:paraId="0FBE518C"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7.60 </w:t>
                                  </w:r>
                                </w:p>
                              </w:tc>
                              <w:tc>
                                <w:tcPr>
                                  <w:tcW w:w="850" w:type="dxa"/>
                                  <w:tcBorders>
                                    <w:top w:val="nil"/>
                                    <w:left w:val="nil"/>
                                    <w:bottom w:val="single" w:sz="4" w:space="0" w:color="auto"/>
                                    <w:right w:val="single" w:sz="4" w:space="0" w:color="auto"/>
                                  </w:tcBorders>
                                  <w:shd w:val="clear" w:color="auto" w:fill="auto"/>
                                  <w:noWrap/>
                                  <w:vAlign w:val="bottom"/>
                                  <w:hideMark/>
                                </w:tcPr>
                                <w:p w14:paraId="134B126C"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8.38 </w:t>
                                  </w:r>
                                </w:p>
                              </w:tc>
                              <w:tc>
                                <w:tcPr>
                                  <w:tcW w:w="851" w:type="dxa"/>
                                  <w:tcBorders>
                                    <w:top w:val="nil"/>
                                    <w:left w:val="nil"/>
                                    <w:bottom w:val="single" w:sz="4" w:space="0" w:color="auto"/>
                                    <w:right w:val="single" w:sz="4" w:space="0" w:color="auto"/>
                                  </w:tcBorders>
                                  <w:shd w:val="clear" w:color="auto" w:fill="auto"/>
                                  <w:noWrap/>
                                  <w:vAlign w:val="bottom"/>
                                  <w:hideMark/>
                                </w:tcPr>
                                <w:p w14:paraId="420E734E"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8.92 </w:t>
                                  </w:r>
                                </w:p>
                              </w:tc>
                              <w:tc>
                                <w:tcPr>
                                  <w:tcW w:w="851" w:type="dxa"/>
                                  <w:tcBorders>
                                    <w:top w:val="nil"/>
                                    <w:left w:val="nil"/>
                                    <w:bottom w:val="single" w:sz="4" w:space="0" w:color="auto"/>
                                    <w:right w:val="single" w:sz="4" w:space="0" w:color="auto"/>
                                  </w:tcBorders>
                                  <w:shd w:val="clear" w:color="auto" w:fill="auto"/>
                                  <w:noWrap/>
                                  <w:vAlign w:val="bottom"/>
                                  <w:hideMark/>
                                </w:tcPr>
                                <w:p w14:paraId="3F6A4869"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9.60 </w:t>
                                  </w:r>
                                </w:p>
                              </w:tc>
                            </w:tr>
                            <w:tr w:rsidR="00AF398D" w:rsidRPr="00B1515A" w14:paraId="45753C07" w14:textId="77777777" w:rsidTr="00A12BEB">
                              <w:trPr>
                                <w:trHeight w:val="20"/>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29A11D00" w14:textId="77777777" w:rsidR="00AF398D" w:rsidRPr="00B1515A" w:rsidRDefault="00AF398D" w:rsidP="00A12BEB">
                                  <w:pPr>
                                    <w:widowControl/>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平均其他類缺額</w:t>
                                  </w:r>
                                  <w:r>
                                    <w:rPr>
                                      <w:rFonts w:ascii="標楷體" w:eastAsia="標楷體" w:hAnsi="標楷體" w:cs="新細明體" w:hint="eastAsia"/>
                                      <w:color w:val="000000"/>
                                      <w:spacing w:val="-14"/>
                                      <w:kern w:val="0"/>
                                      <w:sz w:val="20"/>
                                    </w:rPr>
                                    <w:t>（</w:t>
                                  </w:r>
                                  <w:proofErr w:type="gramStart"/>
                                  <w:r w:rsidRPr="00C76777">
                                    <w:rPr>
                                      <w:rFonts w:ascii="標楷體" w:eastAsia="標楷體" w:hAnsi="標楷體" w:cs="新細明體" w:hint="eastAsia"/>
                                      <w:color w:val="000000"/>
                                      <w:spacing w:val="-14"/>
                                      <w:kern w:val="0"/>
                                      <w:sz w:val="20"/>
                                    </w:rPr>
                                    <w:t>註</w:t>
                                  </w:r>
                                  <w:proofErr w:type="gramEnd"/>
                                  <w:r w:rsidRPr="00C76777">
                                    <w:rPr>
                                      <w:rFonts w:ascii="標楷體" w:eastAsia="標楷體" w:hAnsi="標楷體" w:cs="新細明體" w:hint="eastAsia"/>
                                      <w:color w:val="000000"/>
                                      <w:spacing w:val="-14"/>
                                      <w:kern w:val="0"/>
                                      <w:sz w:val="20"/>
                                    </w:rPr>
                                    <w:t>2</w:t>
                                  </w:r>
                                  <w:r>
                                    <w:rPr>
                                      <w:rFonts w:ascii="標楷體" w:eastAsia="標楷體" w:hAnsi="標楷體" w:cs="新細明體" w:hint="eastAsia"/>
                                      <w:color w:val="000000"/>
                                      <w:spacing w:val="-14"/>
                                      <w:kern w:val="0"/>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251C2"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人數</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9674144"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4,145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93F939D"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5,054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70EB393"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5,539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A0BB118"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6,326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D95C362"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7,147</w:t>
                                  </w:r>
                                </w:p>
                              </w:tc>
                            </w:tr>
                            <w:tr w:rsidR="00AF398D" w:rsidRPr="00B1515A" w14:paraId="1F74D1F3" w14:textId="77777777" w:rsidTr="00A12BEB">
                              <w:trPr>
                                <w:trHeight w:val="20"/>
                              </w:trPr>
                              <w:tc>
                                <w:tcPr>
                                  <w:tcW w:w="1134" w:type="dxa"/>
                                  <w:vMerge/>
                                  <w:tcBorders>
                                    <w:top w:val="single" w:sz="4" w:space="0" w:color="auto"/>
                                    <w:left w:val="single" w:sz="4" w:space="0" w:color="auto"/>
                                    <w:bottom w:val="single" w:sz="4" w:space="0" w:color="auto"/>
                                    <w:right w:val="single" w:sz="4" w:space="0" w:color="auto"/>
                                  </w:tcBorders>
                                </w:tcPr>
                                <w:p w14:paraId="3D8C9F93" w14:textId="77777777" w:rsidR="00AF398D" w:rsidRPr="00B1515A" w:rsidRDefault="00AF398D" w:rsidP="00A12BEB">
                                  <w:pPr>
                                    <w:widowControl/>
                                    <w:rPr>
                                      <w:rFonts w:ascii="標楷體" w:eastAsia="標楷體" w:hAnsi="標楷體" w:cs="新細明體"/>
                                      <w:color w:val="000000"/>
                                      <w:kern w:val="0"/>
                                      <w:sz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2ABBC" w14:textId="77777777" w:rsidR="00AF398D" w:rsidRPr="00B1515A" w:rsidRDefault="00AF398D" w:rsidP="00A12BEB">
                                  <w:pPr>
                                    <w:widowControl/>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6B132343"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2.02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83CA49E"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2.43 </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984352A"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2.68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FF85816"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3.04 </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55816F1" w14:textId="77777777" w:rsidR="00AF398D" w:rsidRPr="00B1515A" w:rsidRDefault="00AF398D" w:rsidP="00A12BEB">
                                  <w:pPr>
                                    <w:widowControl/>
                                    <w:jc w:val="right"/>
                                    <w:rPr>
                                      <w:rFonts w:ascii="標楷體" w:eastAsia="標楷體" w:hAnsi="標楷體" w:cs="新細明體"/>
                                      <w:color w:val="000000"/>
                                      <w:kern w:val="0"/>
                                      <w:sz w:val="20"/>
                                    </w:rPr>
                                  </w:pPr>
                                  <w:r w:rsidRPr="00B1515A">
                                    <w:rPr>
                                      <w:rFonts w:ascii="標楷體" w:eastAsia="標楷體" w:hAnsi="標楷體" w:cs="新細明體" w:hint="eastAsia"/>
                                      <w:color w:val="000000"/>
                                      <w:kern w:val="0"/>
                                      <w:sz w:val="20"/>
                                    </w:rPr>
                                    <w:t xml:space="preserve">3.43 </w:t>
                                  </w:r>
                                </w:p>
                              </w:tc>
                            </w:tr>
                            <w:tr w:rsidR="00AF398D" w:rsidRPr="00B1515A" w14:paraId="5CDDF3CD" w14:textId="77777777" w:rsidTr="00A12BEB">
                              <w:trPr>
                                <w:trHeight w:val="20"/>
                              </w:trPr>
                              <w:tc>
                                <w:tcPr>
                                  <w:tcW w:w="6096" w:type="dxa"/>
                                  <w:gridSpan w:val="7"/>
                                  <w:tcBorders>
                                    <w:top w:val="single" w:sz="4" w:space="0" w:color="auto"/>
                                  </w:tcBorders>
                                </w:tcPr>
                                <w:p w14:paraId="5FA72C2B" w14:textId="77777777" w:rsidR="00AF398D" w:rsidRPr="0023246D" w:rsidRDefault="00AF398D" w:rsidP="00821840">
                                  <w:pPr>
                                    <w:widowControl/>
                                    <w:spacing w:line="210" w:lineRule="exact"/>
                                    <w:ind w:left="522" w:hangingChars="290" w:hanging="522"/>
                                    <w:jc w:val="both"/>
                                    <w:rPr>
                                      <w:rFonts w:ascii="標楷體" w:eastAsia="標楷體" w:hAnsi="標楷體" w:cs="新細明體"/>
                                      <w:color w:val="000000"/>
                                      <w:kern w:val="0"/>
                                      <w:sz w:val="18"/>
                                      <w:szCs w:val="18"/>
                                    </w:rPr>
                                  </w:pPr>
                                  <w:proofErr w:type="gramStart"/>
                                  <w:r w:rsidRPr="0023246D">
                                    <w:rPr>
                                      <w:rFonts w:ascii="標楷體" w:eastAsia="標楷體" w:hAnsi="標楷體" w:cs="新細明體" w:hint="eastAsia"/>
                                      <w:color w:val="000000"/>
                                      <w:kern w:val="0"/>
                                      <w:sz w:val="18"/>
                                      <w:szCs w:val="18"/>
                                    </w:rPr>
                                    <w:t>註</w:t>
                                  </w:r>
                                  <w:proofErr w:type="gramEnd"/>
                                  <w:r w:rsidRPr="0023246D">
                                    <w:rPr>
                                      <w:rFonts w:ascii="標楷體" w:eastAsia="標楷體" w:hAnsi="標楷體" w:cs="新細明體" w:hint="eastAsia"/>
                                      <w:color w:val="000000"/>
                                      <w:kern w:val="0"/>
                                      <w:sz w:val="18"/>
                                      <w:szCs w:val="18"/>
                                    </w:rPr>
                                    <w:t>：1.預算員額進用及缺額情形處於浮動狀態，本表</w:t>
                                  </w:r>
                                  <w:proofErr w:type="gramStart"/>
                                  <w:r w:rsidRPr="0023246D">
                                    <w:rPr>
                                      <w:rFonts w:ascii="標楷體" w:eastAsia="標楷體" w:hAnsi="標楷體" w:cs="新細明體" w:hint="eastAsia"/>
                                      <w:color w:val="000000"/>
                                      <w:kern w:val="0"/>
                                      <w:sz w:val="18"/>
                                      <w:szCs w:val="18"/>
                                    </w:rPr>
                                    <w:t>數據係當年度</w:t>
                                  </w:r>
                                  <w:proofErr w:type="gramEnd"/>
                                  <w:r w:rsidRPr="0023246D">
                                    <w:rPr>
                                      <w:rFonts w:ascii="標楷體" w:eastAsia="標楷體" w:hAnsi="標楷體" w:cs="新細明體" w:hint="eastAsia"/>
                                      <w:color w:val="000000"/>
                                      <w:kern w:val="0"/>
                                      <w:sz w:val="18"/>
                                      <w:szCs w:val="18"/>
                                    </w:rPr>
                                    <w:t>之平均數，又各項數值合計數、百分比係以各細項原值計算後，四捨五入表達至表列統計單位。</w:t>
                                  </w:r>
                                </w:p>
                                <w:p w14:paraId="2B56661B" w14:textId="77777777" w:rsidR="00AF398D" w:rsidRPr="0023246D" w:rsidRDefault="00AF398D" w:rsidP="00821840">
                                  <w:pPr>
                                    <w:widowControl/>
                                    <w:spacing w:line="210" w:lineRule="exact"/>
                                    <w:ind w:leftChars="140" w:left="514" w:hangingChars="99" w:hanging="178"/>
                                    <w:jc w:val="both"/>
                                    <w:rPr>
                                      <w:rFonts w:ascii="標楷體" w:eastAsia="標楷體" w:hAnsi="標楷體" w:cs="新細明體"/>
                                      <w:color w:val="000000"/>
                                      <w:kern w:val="0"/>
                                      <w:sz w:val="18"/>
                                      <w:szCs w:val="18"/>
                                    </w:rPr>
                                  </w:pPr>
                                  <w:r w:rsidRPr="0023246D">
                                    <w:rPr>
                                      <w:rFonts w:ascii="標楷體" w:eastAsia="標楷體" w:hAnsi="標楷體" w:cs="新細明體" w:hint="eastAsia"/>
                                      <w:color w:val="000000"/>
                                      <w:kern w:val="0"/>
                                      <w:sz w:val="18"/>
                                      <w:szCs w:val="18"/>
                                    </w:rPr>
                                    <w:t>2.依據行政院人事行政總處訂定「中央政府機關辦理員額評鑑作業注意事項」第5點第3款規定，預算員額缺額排除一級主管以上職缺、機要職缺、依法規</w:t>
                                  </w:r>
                                  <w:r>
                                    <w:rPr>
                                      <w:rFonts w:ascii="標楷體" w:eastAsia="標楷體" w:hAnsi="標楷體" w:cs="新細明體" w:hint="eastAsia"/>
                                      <w:color w:val="000000"/>
                                      <w:kern w:val="0"/>
                                      <w:sz w:val="18"/>
                                      <w:szCs w:val="18"/>
                                    </w:rPr>
                                    <w:t>（</w:t>
                                  </w:r>
                                  <w:r w:rsidRPr="0023246D">
                                    <w:rPr>
                                      <w:rFonts w:ascii="標楷體" w:eastAsia="標楷體" w:hAnsi="標楷體" w:cs="新細明體" w:hint="eastAsia"/>
                                      <w:color w:val="000000"/>
                                      <w:kern w:val="0"/>
                                      <w:sz w:val="18"/>
                                      <w:szCs w:val="18"/>
                                    </w:rPr>
                                    <w:t>公務人員留職停薪辦法、性別工作平等法、公務員懲戒法等</w:t>
                                  </w:r>
                                  <w:r>
                                    <w:rPr>
                                      <w:rFonts w:ascii="標楷體" w:eastAsia="標楷體" w:hAnsi="標楷體" w:cs="新細明體" w:hint="eastAsia"/>
                                      <w:color w:val="000000"/>
                                      <w:kern w:val="0"/>
                                      <w:sz w:val="18"/>
                                      <w:szCs w:val="18"/>
                                    </w:rPr>
                                    <w:t>）</w:t>
                                  </w:r>
                                  <w:r w:rsidRPr="0023246D">
                                    <w:rPr>
                                      <w:rFonts w:ascii="標楷體" w:eastAsia="標楷體" w:hAnsi="標楷體" w:cs="新細明體" w:hint="eastAsia"/>
                                      <w:color w:val="000000"/>
                                      <w:kern w:val="0"/>
                                      <w:sz w:val="18"/>
                                      <w:szCs w:val="18"/>
                                    </w:rPr>
                                    <w:t>保留職缺、考試分發</w:t>
                                  </w:r>
                                  <w:proofErr w:type="gramStart"/>
                                  <w:r w:rsidRPr="0023246D">
                                    <w:rPr>
                                      <w:rFonts w:ascii="標楷體" w:eastAsia="標楷體" w:hAnsi="標楷體" w:cs="新細明體" w:hint="eastAsia"/>
                                      <w:color w:val="000000"/>
                                      <w:kern w:val="0"/>
                                      <w:sz w:val="18"/>
                                      <w:szCs w:val="18"/>
                                    </w:rPr>
                                    <w:t>列管職缺</w:t>
                                  </w:r>
                                  <w:proofErr w:type="gramEnd"/>
                                  <w:r w:rsidRPr="0023246D">
                                    <w:rPr>
                                      <w:rFonts w:ascii="標楷體" w:eastAsia="標楷體" w:hAnsi="標楷體" w:cs="新細明體" w:hint="eastAsia"/>
                                      <w:color w:val="000000"/>
                                      <w:kern w:val="0"/>
                                      <w:sz w:val="18"/>
                                      <w:szCs w:val="18"/>
                                    </w:rPr>
                                    <w:t>、</w:t>
                                  </w:r>
                                  <w:proofErr w:type="gramStart"/>
                                  <w:r w:rsidRPr="0023246D">
                                    <w:rPr>
                                      <w:rFonts w:ascii="標楷體" w:eastAsia="標楷體" w:hAnsi="標楷體" w:cs="新細明體" w:hint="eastAsia"/>
                                      <w:color w:val="000000"/>
                                      <w:kern w:val="0"/>
                                      <w:sz w:val="18"/>
                                      <w:szCs w:val="18"/>
                                    </w:rPr>
                                    <w:t>遴</w:t>
                                  </w:r>
                                  <w:proofErr w:type="gramEnd"/>
                                  <w:r w:rsidRPr="0023246D">
                                    <w:rPr>
                                      <w:rFonts w:ascii="標楷體" w:eastAsia="標楷體" w:hAnsi="標楷體" w:cs="新細明體" w:hint="eastAsia"/>
                                      <w:color w:val="000000"/>
                                      <w:kern w:val="0"/>
                                      <w:sz w:val="18"/>
                                      <w:szCs w:val="18"/>
                                    </w:rPr>
                                    <w:t>補中、借調至他機關等6類缺額後，概屬員額未有效運用之「其他」類缺額。</w:t>
                                  </w:r>
                                </w:p>
                                <w:p w14:paraId="2C97F6A5" w14:textId="77777777" w:rsidR="00AF398D" w:rsidRPr="00B1515A" w:rsidRDefault="00AF398D" w:rsidP="00821840">
                                  <w:pPr>
                                    <w:widowControl/>
                                    <w:spacing w:line="210" w:lineRule="exact"/>
                                    <w:ind w:leftChars="140" w:left="514" w:hangingChars="99" w:hanging="178"/>
                                    <w:jc w:val="both"/>
                                    <w:rPr>
                                      <w:rFonts w:ascii="標楷體" w:eastAsia="標楷體" w:hAnsi="標楷體" w:cs="新細明體"/>
                                      <w:color w:val="000000"/>
                                      <w:kern w:val="0"/>
                                      <w:sz w:val="20"/>
                                    </w:rPr>
                                  </w:pPr>
                                  <w:r w:rsidRPr="0023246D">
                                    <w:rPr>
                                      <w:rFonts w:ascii="標楷體" w:eastAsia="標楷體" w:hAnsi="標楷體" w:cs="新細明體" w:hint="eastAsia"/>
                                      <w:color w:val="000000"/>
                                      <w:kern w:val="0"/>
                                      <w:sz w:val="18"/>
                                      <w:szCs w:val="18"/>
                                    </w:rPr>
                                    <w:t>3.資料來源：整理自行政院人事行政總處提供資料。</w:t>
                                  </w:r>
                                </w:p>
                              </w:tc>
                            </w:tr>
                          </w:tbl>
                          <w:p w14:paraId="49DEF3D6" w14:textId="77777777" w:rsidR="00AF398D" w:rsidRPr="004C6859" w:rsidRDefault="00AF398D" w:rsidP="00AF398D"/>
                        </w:txbxContent>
                      </v:textbox>
                    </v:shape>
                  </v:group>
                  <v:group id="群組 98" o:spid="_x0000_s1098" style="position:absolute;left:11985;top:20017;width:1426;height:610" coordorigin="38787,87663" coordsize="142875,61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line id="直線接點 99" o:spid="_x0000_s1099" style="position:absolute;visibility:visible;mso-wrap-style:square" from="42958,87663" to="173768,87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" strokecolor="black [3213]" strokeweight="1pt"/>
                    <v:line id="直線接點 100" o:spid="_x0000_s1100" style="position:absolute;visibility:visible;mso-wrap-style:square" from="42958,149029" to="173768,149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" strokecolor="black [3213]" strokeweight="1pt"/>
                    <v:rect id="矩形 101" o:spid="_x0000_s1101" style="position:absolute;left:38787;top:98096;width:142875;height:46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" fillcolor="white [3212]" stroked="f" strokeweight="2pt"/>
                  </v:group>
                  <v:shape id="_x0000_s1102" type="#_x0000_t202" style="position:absolute;left:6566;top:20313;width:5055;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" fillcolor="white [3212]" stroked="f">
                    <v:textbox inset="0,0,0,0">
                      <w:txbxContent>
                        <w:p w14:paraId="093D35F5" w14:textId="77777777" w:rsidR="00AF398D" w:rsidRPr="005E2435" w:rsidRDefault="00AF398D" w:rsidP="00AF398D">
                          <w:pPr>
                            <w:spacing w:line="240" w:lineRule="exact"/>
                            <w:ind w:right="75"/>
                            <w:jc w:val="right"/>
                            <w:rPr>
                              <w:rFonts w:ascii="標楷體" w:eastAsia="標楷體" w:hAnsi="標楷體"/>
                              <w:color w:val="595959" w:themeColor="text1" w:themeTint="A6"/>
                              <w:kern w:val="0"/>
                              <w:sz w:val="20"/>
                            </w:rPr>
                          </w:pPr>
                          <w:r w:rsidRPr="005E2435">
                            <w:rPr>
                              <w:rFonts w:ascii="標楷體" w:eastAsia="標楷體" w:hAnsi="標楷體" w:hint="eastAsia"/>
                              <w:color w:val="595959" w:themeColor="text1" w:themeTint="A6"/>
                              <w:sz w:val="20"/>
                            </w:rPr>
                            <w:t>0</w:t>
                          </w:r>
                        </w:p>
                      </w:txbxContent>
                    </v:textbox>
                  </v:shape>
                </v:group>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波浪 103" o:spid="_x0000_s1103" type="#_x0000_t64" style="position:absolute;left:13970;top:20015;width:1382;height: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" adj="2700" fillcolor="white [3212]" stroked="f" strokeweight="2pt"/>
                <v:shape id="波浪 104" o:spid="_x0000_s1104" type="#_x0000_t64" style="position:absolute;left:15341;top:20066;width:1383;height: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" adj="2700" fillcolor="white [3212]" stroked="f" strokeweight="2pt"/>
                <v:shape id="波浪 105" o:spid="_x0000_s1105" type="#_x0000_t64" style="position:absolute;left:19405;top:20066;width:1378;height: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" adj="2700" fillcolor="white [3212]" stroked="f" strokeweight="2pt"/>
                <v:shape id="波浪 106" o:spid="_x0000_s1106" type="#_x0000_t64" style="position:absolute;left:20828;top:20116;width:1377;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" adj="2700" fillcolor="white [3212]" stroked="f" strokeweight="2pt"/>
                <v:shape id="波浪 107" o:spid="_x0000_s1107" type="#_x0000_t64" style="position:absolute;left:24841;top:20167;width:1378;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" adj="2700" fillcolor="white [3212]" stroked="f" strokeweight="2pt"/>
                <v:shape id="波浪 108" o:spid="_x0000_s1108" type="#_x0000_t64" style="position:absolute;left:26212;top:20167;width:1378;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" adj="2700" fillcolor="white [3212]" stroked="f" strokeweight="2pt"/>
                <v:shape id="波浪 109" o:spid="_x0000_s1109" type="#_x0000_t64" style="position:absolute;left:30226;top:20167;width:1377;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" adj="2700" fillcolor="white [3212]" stroked="f" strokeweight="2pt"/>
                <v:shape id="波浪 110" o:spid="_x0000_s1110" type="#_x0000_t64" style="position:absolute;left:31597;top:20167;width:1378;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" adj="2700" fillcolor="white [3212]" stroked="f" strokeweight="2pt"/>
                <v:shape id="波浪 111" o:spid="_x0000_s1111" type="#_x0000_t64" style="position:absolute;left:35610;top:20116;width:1378;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" adj="2700" fillcolor="white [3212]" stroked="f" strokeweight="2pt"/>
                <v:shape id="波浪 112" o:spid="_x0000_s1112" type="#_x0000_t64" style="position:absolute;left:36982;top:20116;width:1378;height: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" adj="2700" fillcolor="white [3212]" stroked="f" strokeweight="2pt"/>
                <w10:wrap type="square"/>
              </v:group>
              <o:OLEObject Type="Embed" ProgID="Excel.Chart.8" ShapeID="圖表 92" DrawAspect="Content" ObjectID="_1813659873" r:id="rId33">
                <o:FieldCodes>\s</o:FieldCodes>
              </o:OLEObject>
            </w:pict>
          </mc:Fallback>
        </mc:AlternateContent>
      </w:r>
      <w:r w:rsidRPr="00702BDF">
        <w:rPr>
          <w:rFonts w:hAnsi="標楷體" w:hint="eastAsia"/>
          <w:bCs/>
          <w:snapToGrid w:val="0"/>
          <w:sz w:val="24"/>
          <w:szCs w:val="24"/>
        </w:rPr>
        <w:t>7,147人（圖1</w:t>
      </w:r>
      <w:r w:rsidR="000F3CA6" w:rsidRPr="00702BDF">
        <w:rPr>
          <w:rFonts w:hAnsi="標楷體" w:hint="eastAsia"/>
          <w:bCs/>
          <w:snapToGrid w:val="0"/>
          <w:sz w:val="24"/>
          <w:szCs w:val="24"/>
        </w:rPr>
        <w:t>4</w:t>
      </w:r>
      <w:r w:rsidRPr="00702BDF">
        <w:rPr>
          <w:rFonts w:hAnsi="標楷體" w:hint="eastAsia"/>
          <w:bCs/>
          <w:snapToGrid w:val="0"/>
          <w:sz w:val="24"/>
          <w:szCs w:val="24"/>
        </w:rPr>
        <w:t>）</w:t>
      </w:r>
      <w:r w:rsidRPr="00E336A7">
        <w:rPr>
          <w:rFonts w:hAnsi="標楷體" w:hint="eastAsia"/>
          <w:bCs/>
          <w:snapToGrid w:val="0"/>
          <w:spacing w:val="-2"/>
          <w:sz w:val="24"/>
          <w:szCs w:val="24"/>
        </w:rPr>
        <w:t>，顯示部分機關未能積極有效規劃補實缺額，致增列預算員額卻未實際進用，恐影響整體人力及預算資源有效配置</w:t>
      </w:r>
      <w:r w:rsidRPr="00E336A7">
        <w:rPr>
          <w:rFonts w:hAnsi="標楷體"/>
          <w:bCs/>
          <w:snapToGrid w:val="0"/>
          <w:spacing w:val="-2"/>
          <w:sz w:val="24"/>
          <w:szCs w:val="24"/>
        </w:rPr>
        <w:t>，</w:t>
      </w:r>
      <w:r w:rsidRPr="00E336A7">
        <w:rPr>
          <w:rFonts w:hAnsi="標楷體" w:hint="eastAsia"/>
          <w:bCs/>
          <w:snapToGrid w:val="0"/>
          <w:spacing w:val="-2"/>
          <w:sz w:val="24"/>
          <w:szCs w:val="24"/>
        </w:rPr>
        <w:t>允宜督促妥為規劃</w:t>
      </w:r>
      <w:proofErr w:type="gramStart"/>
      <w:r w:rsidRPr="00E336A7">
        <w:rPr>
          <w:rFonts w:hAnsi="標楷體" w:hint="eastAsia"/>
          <w:bCs/>
          <w:snapToGrid w:val="0"/>
          <w:spacing w:val="-2"/>
          <w:sz w:val="24"/>
          <w:szCs w:val="24"/>
        </w:rPr>
        <w:t>遴</w:t>
      </w:r>
      <w:proofErr w:type="gramEnd"/>
      <w:r w:rsidRPr="00E336A7">
        <w:rPr>
          <w:rFonts w:hAnsi="標楷體" w:hint="eastAsia"/>
          <w:bCs/>
          <w:snapToGrid w:val="0"/>
          <w:spacing w:val="-2"/>
          <w:sz w:val="24"/>
          <w:szCs w:val="24"/>
        </w:rPr>
        <w:t>補方式加速補實</w:t>
      </w:r>
      <w:r w:rsidRPr="00E336A7">
        <w:rPr>
          <w:rFonts w:hAnsi="標楷體"/>
          <w:bCs/>
          <w:snapToGrid w:val="0"/>
          <w:spacing w:val="-2"/>
          <w:sz w:val="24"/>
          <w:szCs w:val="24"/>
        </w:rPr>
        <w:t>，</w:t>
      </w:r>
      <w:r w:rsidRPr="00E336A7">
        <w:rPr>
          <w:rFonts w:hAnsi="標楷體" w:hint="eastAsia"/>
          <w:bCs/>
          <w:snapToGrid w:val="0"/>
          <w:spacing w:val="-2"/>
          <w:sz w:val="24"/>
          <w:szCs w:val="24"/>
        </w:rPr>
        <w:t>並檢討長期未用</w:t>
      </w:r>
      <w:proofErr w:type="gramStart"/>
      <w:r w:rsidRPr="00E336A7">
        <w:rPr>
          <w:rFonts w:hAnsi="標楷體" w:hint="eastAsia"/>
          <w:bCs/>
          <w:snapToGrid w:val="0"/>
          <w:spacing w:val="-2"/>
          <w:sz w:val="24"/>
          <w:szCs w:val="24"/>
        </w:rPr>
        <w:t>缺額留控之</w:t>
      </w:r>
      <w:proofErr w:type="gramEnd"/>
      <w:r w:rsidRPr="00E336A7">
        <w:rPr>
          <w:rFonts w:hAnsi="標楷體" w:hint="eastAsia"/>
          <w:bCs/>
          <w:snapToGrid w:val="0"/>
          <w:spacing w:val="-2"/>
          <w:sz w:val="24"/>
          <w:szCs w:val="24"/>
        </w:rPr>
        <w:t>必要性</w:t>
      </w:r>
      <w:r w:rsidRPr="00E336A7">
        <w:rPr>
          <w:rFonts w:hAnsi="標楷體"/>
          <w:bCs/>
          <w:snapToGrid w:val="0"/>
          <w:spacing w:val="-2"/>
          <w:sz w:val="24"/>
          <w:szCs w:val="24"/>
        </w:rPr>
        <w:t>，</w:t>
      </w:r>
      <w:proofErr w:type="gramStart"/>
      <w:r w:rsidRPr="00E336A7">
        <w:rPr>
          <w:rFonts w:hAnsi="標楷體" w:hint="eastAsia"/>
          <w:bCs/>
          <w:snapToGrid w:val="0"/>
          <w:spacing w:val="-2"/>
          <w:sz w:val="24"/>
          <w:szCs w:val="24"/>
        </w:rPr>
        <w:t>俾</w:t>
      </w:r>
      <w:proofErr w:type="gramEnd"/>
      <w:r w:rsidRPr="00E336A7">
        <w:rPr>
          <w:rFonts w:hAnsi="標楷體" w:hint="eastAsia"/>
          <w:bCs/>
          <w:snapToGrid w:val="0"/>
          <w:spacing w:val="-2"/>
          <w:sz w:val="24"/>
          <w:szCs w:val="24"/>
        </w:rPr>
        <w:t>利整體人力彈性調撥運用及順遂公務推動；（2）近</w:t>
      </w:r>
      <w:proofErr w:type="gramStart"/>
      <w:r w:rsidRPr="00E336A7">
        <w:rPr>
          <w:rFonts w:hAnsi="標楷體" w:hint="eastAsia"/>
          <w:bCs/>
          <w:snapToGrid w:val="0"/>
          <w:spacing w:val="-2"/>
          <w:sz w:val="24"/>
          <w:szCs w:val="24"/>
        </w:rPr>
        <w:t>5</w:t>
      </w:r>
      <w:proofErr w:type="gramEnd"/>
      <w:r w:rsidRPr="00E336A7">
        <w:rPr>
          <w:rFonts w:hAnsi="標楷體" w:hint="eastAsia"/>
          <w:bCs/>
          <w:snapToGrid w:val="0"/>
          <w:spacing w:val="-2"/>
          <w:sz w:val="24"/>
          <w:szCs w:val="24"/>
        </w:rPr>
        <w:t>年度中央</w:t>
      </w:r>
      <w:r w:rsidR="008529F5" w:rsidRPr="00E336A7">
        <w:rPr>
          <w:rFonts w:hAnsi="標楷體" w:hint="eastAsia"/>
          <w:bCs/>
          <w:snapToGrid w:val="0"/>
          <w:spacing w:val="-2"/>
          <w:sz w:val="24"/>
          <w:szCs w:val="24"/>
        </w:rPr>
        <w:t>及地方政府各機關提報高普考試需用人數（正額職缺數），由</w:t>
      </w:r>
      <w:proofErr w:type="gramStart"/>
      <w:r w:rsidR="008529F5" w:rsidRPr="00E336A7">
        <w:rPr>
          <w:rFonts w:hAnsi="標楷體" w:hint="eastAsia"/>
          <w:bCs/>
          <w:snapToGrid w:val="0"/>
          <w:spacing w:val="-2"/>
          <w:sz w:val="24"/>
          <w:szCs w:val="24"/>
        </w:rPr>
        <w:t>109</w:t>
      </w:r>
      <w:proofErr w:type="gramEnd"/>
      <w:r w:rsidR="008529F5" w:rsidRPr="00E336A7">
        <w:rPr>
          <w:rFonts w:hAnsi="標楷體" w:hint="eastAsia"/>
          <w:bCs/>
          <w:snapToGrid w:val="0"/>
          <w:spacing w:val="-2"/>
          <w:sz w:val="24"/>
          <w:szCs w:val="24"/>
        </w:rPr>
        <w:t>年度之4,138人，增加至</w:t>
      </w:r>
      <w:proofErr w:type="gramStart"/>
      <w:r w:rsidR="008529F5" w:rsidRPr="00E336A7">
        <w:rPr>
          <w:rFonts w:hAnsi="標楷體" w:hint="eastAsia"/>
          <w:bCs/>
          <w:snapToGrid w:val="0"/>
          <w:spacing w:val="-2"/>
          <w:sz w:val="24"/>
          <w:szCs w:val="24"/>
        </w:rPr>
        <w:t>113</w:t>
      </w:r>
      <w:proofErr w:type="gramEnd"/>
      <w:r w:rsidR="008529F5" w:rsidRPr="00E336A7">
        <w:rPr>
          <w:rFonts w:hAnsi="標楷體" w:hint="eastAsia"/>
          <w:bCs/>
          <w:snapToGrid w:val="0"/>
          <w:spacing w:val="-2"/>
          <w:sz w:val="24"/>
          <w:szCs w:val="24"/>
        </w:rPr>
        <w:t>年度之5,863人，政府機關缺</w:t>
      </w:r>
      <w:r w:rsidR="008E3A66" w:rsidRPr="00E336A7">
        <w:rPr>
          <w:rFonts w:hAnsi="標楷體" w:hint="eastAsia"/>
          <w:bCs/>
          <w:snapToGrid w:val="0"/>
          <w:spacing w:val="-2"/>
          <w:sz w:val="24"/>
          <w:szCs w:val="24"/>
        </w:rPr>
        <w:t>額透過考試</w:t>
      </w:r>
      <w:proofErr w:type="gramStart"/>
      <w:r w:rsidR="008E3A66" w:rsidRPr="00E336A7">
        <w:rPr>
          <w:rFonts w:hAnsi="標楷體" w:hint="eastAsia"/>
          <w:bCs/>
          <w:snapToGrid w:val="0"/>
          <w:spacing w:val="-2"/>
          <w:sz w:val="24"/>
          <w:szCs w:val="24"/>
        </w:rPr>
        <w:t>遴</w:t>
      </w:r>
      <w:proofErr w:type="gramEnd"/>
      <w:r w:rsidR="008E3A66" w:rsidRPr="00E336A7">
        <w:rPr>
          <w:rFonts w:hAnsi="標楷體" w:hint="eastAsia"/>
          <w:bCs/>
          <w:snapToGrid w:val="0"/>
          <w:spacing w:val="-2"/>
          <w:sz w:val="24"/>
          <w:szCs w:val="24"/>
        </w:rPr>
        <w:t>補之需求擴大，惟報考及到考人數呈現下滑</w:t>
      </w:r>
      <w:r w:rsidR="00286703" w:rsidRPr="00E336A7">
        <w:rPr>
          <w:rFonts w:hAnsi="標楷體"/>
          <w:noProof/>
          <w:spacing w:val="-2"/>
        </w:rPr>
        <mc:AlternateContent>
          <mc:Choice Requires="wps">
            <w:drawing>
              <wp:anchor distT="0" distB="0" distL="114300" distR="114300" simplePos="0" relativeHeight="251677696" behindDoc="0" locked="0" layoutInCell="1" allowOverlap="1" wp14:anchorId="5EF63117" wp14:editId="2E59A083">
                <wp:simplePos x="0" y="0"/>
                <wp:positionH relativeFrom="column">
                  <wp:posOffset>1876425</wp:posOffset>
                </wp:positionH>
                <wp:positionV relativeFrom="page">
                  <wp:posOffset>5517515</wp:posOffset>
                </wp:positionV>
                <wp:extent cx="4456430" cy="1813560"/>
                <wp:effectExtent l="0" t="0" r="1270"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6430" cy="1813560"/>
                        </a:xfrm>
                        <a:prstGeom prst="rect">
                          <a:avLst/>
                        </a:prstGeom>
                        <a:solidFill>
                          <a:srgbClr val="FFFFFF"/>
                        </a:solidFill>
                        <a:ln w="9525">
                          <a:noFill/>
                          <a:miter lim="800000"/>
                          <a:headEnd/>
                          <a:tailEnd/>
                        </a:ln>
                      </wps:spPr>
                      <wps:txbx>
                        <w:txbxContent>
                          <w:tbl>
                            <w:tblPr>
                              <w:tblStyle w:val="afff"/>
                              <w:tblW w:w="6663" w:type="dxa"/>
                              <w:jc w:val="center"/>
                              <w:tblLayout w:type="fixed"/>
                              <w:tblLook w:val="04A0" w:firstRow="1" w:lastRow="0" w:firstColumn="1" w:lastColumn="0" w:noHBand="0" w:noVBand="1"/>
                            </w:tblPr>
                            <w:tblGrid>
                              <w:gridCol w:w="709"/>
                              <w:gridCol w:w="851"/>
                              <w:gridCol w:w="850"/>
                              <w:gridCol w:w="850"/>
                              <w:gridCol w:w="851"/>
                              <w:gridCol w:w="850"/>
                              <w:gridCol w:w="851"/>
                              <w:gridCol w:w="851"/>
                            </w:tblGrid>
                            <w:tr w:rsidR="00286703" w:rsidRPr="003135ED" w14:paraId="287E1817" w14:textId="77777777" w:rsidTr="006C2827">
                              <w:trPr>
                                <w:trHeight w:val="454"/>
                                <w:jc w:val="center"/>
                              </w:trPr>
                              <w:tc>
                                <w:tcPr>
                                  <w:tcW w:w="6663" w:type="dxa"/>
                                  <w:gridSpan w:val="8"/>
                                  <w:tcBorders>
                                    <w:top w:val="nil"/>
                                    <w:left w:val="nil"/>
                                    <w:bottom w:val="nil"/>
                                    <w:right w:val="nil"/>
                                  </w:tcBorders>
                                </w:tcPr>
                                <w:p w14:paraId="31085A54" w14:textId="77777777" w:rsidR="00286703" w:rsidRPr="004B4FA8" w:rsidRDefault="00286703" w:rsidP="00BE22AA">
                                  <w:pPr>
                                    <w:spacing w:line="240" w:lineRule="exact"/>
                                    <w:ind w:leftChars="-55" w:left="675" w:hangingChars="336" w:hanging="807"/>
                                    <w:jc w:val="both"/>
                                    <w:rPr>
                                      <w:rFonts w:ascii="標楷體" w:eastAsia="標楷體" w:hAnsi="標楷體"/>
                                      <w:szCs w:val="24"/>
                                    </w:rPr>
                                  </w:pPr>
                                  <w:r w:rsidRPr="009434F7">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6</w:t>
                                  </w:r>
                                  <w:r w:rsidRPr="004B4FA8">
                                    <w:rPr>
                                      <w:rFonts w:ascii="標楷體" w:eastAsia="標楷體" w:hAnsi="標楷體" w:hint="eastAsia"/>
                                      <w:b/>
                                      <w:szCs w:val="24"/>
                                    </w:rPr>
                                    <w:t xml:space="preserve">　公務人員高等考試三級考試暨普通考試正</w:t>
                                  </w:r>
                                  <w:proofErr w:type="gramStart"/>
                                  <w:r w:rsidRPr="004B4FA8">
                                    <w:rPr>
                                      <w:rFonts w:ascii="標楷體" w:eastAsia="標楷體" w:hAnsi="標楷體" w:hint="eastAsia"/>
                                      <w:b/>
                                      <w:szCs w:val="24"/>
                                    </w:rPr>
                                    <w:t>額職缺數</w:t>
                                  </w:r>
                                  <w:proofErr w:type="gramEnd"/>
                                  <w:r w:rsidRPr="004B4FA8">
                                    <w:rPr>
                                      <w:rFonts w:ascii="標楷體" w:eastAsia="標楷體" w:hAnsi="標楷體" w:hint="eastAsia"/>
                                      <w:b/>
                                      <w:szCs w:val="24"/>
                                    </w:rPr>
                                    <w:t>、報考</w:t>
                                  </w:r>
                                  <w:r>
                                    <w:rPr>
                                      <w:rFonts w:ascii="標楷體" w:eastAsia="標楷體" w:hAnsi="標楷體" w:hint="eastAsia"/>
                                      <w:b/>
                                      <w:szCs w:val="24"/>
                                    </w:rPr>
                                    <w:t>及</w:t>
                                  </w:r>
                                  <w:r w:rsidRPr="004B4FA8">
                                    <w:rPr>
                                      <w:rFonts w:ascii="標楷體" w:eastAsia="標楷體" w:hAnsi="標楷體"/>
                                      <w:b/>
                                      <w:szCs w:val="24"/>
                                    </w:rPr>
                                    <w:t>到考情形</w:t>
                                  </w:r>
                                </w:p>
                              </w:tc>
                            </w:tr>
                            <w:tr w:rsidR="00286703" w:rsidRPr="003135ED" w14:paraId="25710A4E" w14:textId="77777777" w:rsidTr="006C2827">
                              <w:trPr>
                                <w:trHeight w:val="227"/>
                                <w:jc w:val="center"/>
                              </w:trPr>
                              <w:tc>
                                <w:tcPr>
                                  <w:tcW w:w="6663" w:type="dxa"/>
                                  <w:gridSpan w:val="8"/>
                                  <w:tcBorders>
                                    <w:top w:val="nil"/>
                                    <w:left w:val="nil"/>
                                    <w:bottom w:val="single" w:sz="4" w:space="0" w:color="auto"/>
                                    <w:right w:val="nil"/>
                                  </w:tcBorders>
                                </w:tcPr>
                                <w:p w14:paraId="086F0074" w14:textId="1104CCD7" w:rsidR="00286703" w:rsidRDefault="00286703" w:rsidP="00660E8B">
                                  <w:pPr>
                                    <w:spacing w:line="220" w:lineRule="exact"/>
                                    <w:jc w:val="right"/>
                                    <w:rPr>
                                      <w:rFonts w:ascii="標楷體" w:eastAsia="標楷體" w:hAnsi="標楷體"/>
                                    </w:rPr>
                                  </w:pPr>
                                  <w:r w:rsidRPr="001B4C3E">
                                    <w:rPr>
                                      <w:rFonts w:ascii="標楷體" w:eastAsia="標楷體" w:hAnsi="標楷體" w:hint="eastAsia"/>
                                      <w:sz w:val="20"/>
                                      <w:szCs w:val="16"/>
                                    </w:rPr>
                                    <w:t>單位</w:t>
                                  </w:r>
                                  <w:r w:rsidRPr="001B4C3E">
                                    <w:rPr>
                                      <w:rFonts w:ascii="標楷體" w:eastAsia="標楷體" w:hAnsi="標楷體"/>
                                      <w:sz w:val="20"/>
                                      <w:szCs w:val="16"/>
                                    </w:rPr>
                                    <w:t>：人</w:t>
                                  </w:r>
                                  <w:r w:rsidR="00B9148F">
                                    <w:rPr>
                                      <w:rFonts w:ascii="標楷體" w:eastAsia="標楷體" w:hAnsi="標楷體" w:hint="eastAsia"/>
                                      <w:sz w:val="20"/>
                                      <w:szCs w:val="16"/>
                                    </w:rPr>
                                    <w:t>、</w:t>
                                  </w:r>
                                  <w:proofErr w:type="gramStart"/>
                                  <w:r w:rsidR="00B9148F">
                                    <w:rPr>
                                      <w:rFonts w:ascii="標楷體" w:eastAsia="標楷體" w:hAnsi="標楷體" w:hint="eastAsia"/>
                                      <w:sz w:val="20"/>
                                      <w:szCs w:val="16"/>
                                    </w:rPr>
                                    <w:t>個</w:t>
                                  </w:r>
                                  <w:proofErr w:type="gramEnd"/>
                                </w:p>
                              </w:tc>
                            </w:tr>
                            <w:tr w:rsidR="00286703" w:rsidRPr="003135ED" w14:paraId="1B403DB7" w14:textId="77777777" w:rsidTr="00BC23F0">
                              <w:trPr>
                                <w:trHeight w:val="227"/>
                                <w:jc w:val="center"/>
                              </w:trPr>
                              <w:tc>
                                <w:tcPr>
                                  <w:tcW w:w="1560" w:type="dxa"/>
                                  <w:gridSpan w:val="2"/>
                                  <w:vMerge w:val="restart"/>
                                  <w:tcBorders>
                                    <w:top w:val="single" w:sz="4" w:space="0" w:color="auto"/>
                                  </w:tcBorders>
                                  <w:vAlign w:val="center"/>
                                </w:tcPr>
                                <w:p w14:paraId="7CA51398"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項目</w:t>
                                  </w:r>
                                </w:p>
                              </w:tc>
                              <w:tc>
                                <w:tcPr>
                                  <w:tcW w:w="4252" w:type="dxa"/>
                                  <w:gridSpan w:val="5"/>
                                  <w:tcBorders>
                                    <w:top w:val="single" w:sz="4" w:space="0" w:color="auto"/>
                                  </w:tcBorders>
                                  <w:vAlign w:val="center"/>
                                </w:tcPr>
                                <w:p w14:paraId="63EDB670" w14:textId="77777777" w:rsidR="00286703" w:rsidRPr="001B4C3E" w:rsidRDefault="00286703" w:rsidP="00660E8B">
                                  <w:pPr>
                                    <w:spacing w:line="240" w:lineRule="exact"/>
                                    <w:jc w:val="center"/>
                                    <w:rPr>
                                      <w:rFonts w:ascii="標楷體" w:eastAsia="標楷體" w:hAnsi="標楷體"/>
                                      <w:sz w:val="20"/>
                                      <w:szCs w:val="16"/>
                                    </w:rPr>
                                  </w:pPr>
                                  <w:r w:rsidRPr="001B4C3E">
                                    <w:rPr>
                                      <w:rFonts w:ascii="標楷體" w:eastAsia="標楷體" w:hAnsi="標楷體" w:hint="eastAsia"/>
                                      <w:sz w:val="20"/>
                                      <w:szCs w:val="16"/>
                                    </w:rPr>
                                    <w:t>年度</w:t>
                                  </w:r>
                                </w:p>
                              </w:tc>
                              <w:tc>
                                <w:tcPr>
                                  <w:tcW w:w="851" w:type="dxa"/>
                                  <w:vMerge w:val="restart"/>
                                  <w:tcBorders>
                                    <w:top w:val="single" w:sz="4" w:space="0" w:color="auto"/>
                                  </w:tcBorders>
                                  <w:vAlign w:val="center"/>
                                </w:tcPr>
                                <w:p w14:paraId="317CC938" w14:textId="77777777" w:rsidR="00286703" w:rsidRPr="001B4C3E" w:rsidRDefault="00286703" w:rsidP="00660E8B">
                                  <w:pPr>
                                    <w:spacing w:line="240" w:lineRule="exact"/>
                                    <w:jc w:val="center"/>
                                    <w:rPr>
                                      <w:rFonts w:ascii="標楷體" w:eastAsia="標楷體" w:hAnsi="標楷體"/>
                                      <w:sz w:val="20"/>
                                      <w:szCs w:val="16"/>
                                    </w:rPr>
                                  </w:pPr>
                                  <w:r w:rsidRPr="001B4C3E">
                                    <w:rPr>
                                      <w:rFonts w:ascii="標楷體" w:eastAsia="標楷體" w:hAnsi="標楷體" w:hint="eastAsia"/>
                                      <w:sz w:val="20"/>
                                      <w:szCs w:val="16"/>
                                    </w:rPr>
                                    <w:t>平均</w:t>
                                  </w:r>
                                </w:p>
                              </w:tc>
                            </w:tr>
                            <w:tr w:rsidR="00286703" w:rsidRPr="003135ED" w14:paraId="63FE25BD" w14:textId="77777777" w:rsidTr="00BC23F0">
                              <w:trPr>
                                <w:trHeight w:val="227"/>
                                <w:jc w:val="center"/>
                              </w:trPr>
                              <w:tc>
                                <w:tcPr>
                                  <w:tcW w:w="1560" w:type="dxa"/>
                                  <w:gridSpan w:val="2"/>
                                  <w:vMerge/>
                                  <w:tcBorders>
                                    <w:bottom w:val="single" w:sz="4" w:space="0" w:color="auto"/>
                                  </w:tcBorders>
                                </w:tcPr>
                                <w:p w14:paraId="0A8C5D31"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
                              </w:tc>
                              <w:tc>
                                <w:tcPr>
                                  <w:tcW w:w="850" w:type="dxa"/>
                                  <w:tcBorders>
                                    <w:top w:val="single" w:sz="4" w:space="0" w:color="auto"/>
                                  </w:tcBorders>
                                  <w:vAlign w:val="center"/>
                                </w:tcPr>
                                <w:p w14:paraId="45DFCDC2"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09</w:t>
                                  </w:r>
                                </w:p>
                              </w:tc>
                              <w:tc>
                                <w:tcPr>
                                  <w:tcW w:w="850" w:type="dxa"/>
                                  <w:tcBorders>
                                    <w:top w:val="single" w:sz="4" w:space="0" w:color="auto"/>
                                  </w:tcBorders>
                                  <w:vAlign w:val="center"/>
                                </w:tcPr>
                                <w:p w14:paraId="35E564B8"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10</w:t>
                                  </w:r>
                                </w:p>
                              </w:tc>
                              <w:tc>
                                <w:tcPr>
                                  <w:tcW w:w="851" w:type="dxa"/>
                                  <w:tcBorders>
                                    <w:top w:val="single" w:sz="4" w:space="0" w:color="auto"/>
                                  </w:tcBorders>
                                  <w:vAlign w:val="center"/>
                                </w:tcPr>
                                <w:p w14:paraId="3C55A722"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11</w:t>
                                  </w:r>
                                </w:p>
                              </w:tc>
                              <w:tc>
                                <w:tcPr>
                                  <w:tcW w:w="850" w:type="dxa"/>
                                  <w:tcBorders>
                                    <w:top w:val="single" w:sz="4" w:space="0" w:color="auto"/>
                                  </w:tcBorders>
                                  <w:vAlign w:val="center"/>
                                </w:tcPr>
                                <w:p w14:paraId="3CF99759"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12</w:t>
                                  </w:r>
                                </w:p>
                              </w:tc>
                              <w:tc>
                                <w:tcPr>
                                  <w:tcW w:w="851" w:type="dxa"/>
                                  <w:tcBorders>
                                    <w:top w:val="single" w:sz="4" w:space="0" w:color="auto"/>
                                  </w:tcBorders>
                                  <w:vAlign w:val="center"/>
                                </w:tcPr>
                                <w:p w14:paraId="4E2FFC8F"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13</w:t>
                                  </w:r>
                                </w:p>
                              </w:tc>
                              <w:tc>
                                <w:tcPr>
                                  <w:tcW w:w="851" w:type="dxa"/>
                                  <w:vMerge/>
                                  <w:vAlign w:val="center"/>
                                </w:tcPr>
                                <w:p w14:paraId="21F8E1E0" w14:textId="77777777" w:rsidR="00286703" w:rsidRPr="001B4C3E" w:rsidRDefault="00286703" w:rsidP="00660E8B">
                                  <w:pPr>
                                    <w:spacing w:line="240" w:lineRule="exact"/>
                                    <w:jc w:val="center"/>
                                    <w:rPr>
                                      <w:rFonts w:ascii="標楷體" w:eastAsia="標楷體" w:hAnsi="標楷體"/>
                                      <w:spacing w:val="-4"/>
                                      <w:sz w:val="20"/>
                                      <w:szCs w:val="16"/>
                                    </w:rPr>
                                  </w:pPr>
                                </w:p>
                              </w:tc>
                            </w:tr>
                            <w:tr w:rsidR="00286703" w:rsidRPr="003135ED" w14:paraId="4AB85C90" w14:textId="77777777" w:rsidTr="00BC23F0">
                              <w:trPr>
                                <w:trHeight w:val="227"/>
                                <w:jc w:val="center"/>
                              </w:trPr>
                              <w:tc>
                                <w:tcPr>
                                  <w:tcW w:w="709" w:type="dxa"/>
                                  <w:vMerge w:val="restart"/>
                                  <w:tcBorders>
                                    <w:top w:val="single" w:sz="4" w:space="0" w:color="auto"/>
                                    <w:left w:val="single" w:sz="4" w:space="0" w:color="auto"/>
                                    <w:right w:val="single" w:sz="4" w:space="0" w:color="auto"/>
                                  </w:tcBorders>
                                  <w:vAlign w:val="center"/>
                                </w:tcPr>
                                <w:p w14:paraId="27FABBEC" w14:textId="77777777" w:rsidR="00286703" w:rsidRPr="001B4C3E" w:rsidRDefault="00286703" w:rsidP="00660E8B">
                                  <w:pPr>
                                    <w:spacing w:line="240" w:lineRule="exact"/>
                                    <w:ind w:leftChars="-50" w:left="-120" w:rightChars="-50" w:right="-120"/>
                                    <w:jc w:val="center"/>
                                    <w:rPr>
                                      <w:rFonts w:ascii="標楷體" w:eastAsia="標楷體" w:hAnsi="標楷體"/>
                                      <w:spacing w:val="-4"/>
                                      <w:sz w:val="20"/>
                                      <w:szCs w:val="16"/>
                                    </w:rPr>
                                  </w:pPr>
                                  <w:r w:rsidRPr="001B4C3E">
                                    <w:rPr>
                                      <w:rFonts w:ascii="標楷體" w:eastAsia="標楷體" w:hAnsi="標楷體" w:hint="eastAsia"/>
                                      <w:spacing w:val="-4"/>
                                      <w:sz w:val="20"/>
                                      <w:szCs w:val="16"/>
                                    </w:rPr>
                                    <w:t>正額</w:t>
                                  </w:r>
                                </w:p>
                                <w:p w14:paraId="590814AA"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roofErr w:type="gramStart"/>
                                  <w:r w:rsidRPr="001B4C3E">
                                    <w:rPr>
                                      <w:rFonts w:ascii="標楷體" w:eastAsia="標楷體" w:hAnsi="標楷體" w:hint="eastAsia"/>
                                      <w:spacing w:val="-4"/>
                                      <w:sz w:val="20"/>
                                      <w:szCs w:val="16"/>
                                    </w:rPr>
                                    <w:t>職缺數</w:t>
                                  </w:r>
                                  <w:proofErr w:type="gramEnd"/>
                                </w:p>
                              </w:tc>
                              <w:tc>
                                <w:tcPr>
                                  <w:tcW w:w="851" w:type="dxa"/>
                                  <w:tcBorders>
                                    <w:top w:val="single" w:sz="4" w:space="0" w:color="auto"/>
                                    <w:left w:val="single" w:sz="4" w:space="0" w:color="auto"/>
                                    <w:bottom w:val="single" w:sz="4" w:space="0" w:color="auto"/>
                                    <w:right w:val="single" w:sz="4" w:space="0" w:color="auto"/>
                                  </w:tcBorders>
                                  <w:vAlign w:val="center"/>
                                </w:tcPr>
                                <w:p w14:paraId="260DA5FC" w14:textId="77777777" w:rsidR="00286703" w:rsidRPr="00355C37" w:rsidRDefault="00286703" w:rsidP="00660E8B">
                                  <w:pPr>
                                    <w:spacing w:line="240" w:lineRule="exact"/>
                                    <w:ind w:leftChars="-50" w:left="-120" w:rightChars="-50" w:right="-120"/>
                                    <w:jc w:val="center"/>
                                    <w:rPr>
                                      <w:rFonts w:ascii="標楷體" w:eastAsia="標楷體" w:hAnsi="標楷體"/>
                                      <w:b/>
                                      <w:bCs/>
                                      <w:sz w:val="20"/>
                                      <w:szCs w:val="16"/>
                                    </w:rPr>
                                  </w:pPr>
                                  <w:r w:rsidRPr="00355C37">
                                    <w:rPr>
                                      <w:rFonts w:ascii="標楷體" w:eastAsia="標楷體" w:hAnsi="標楷體" w:hint="eastAsia"/>
                                      <w:b/>
                                      <w:bCs/>
                                      <w:sz w:val="20"/>
                                      <w:szCs w:val="16"/>
                                    </w:rPr>
                                    <w:t>合 計</w:t>
                                  </w:r>
                                </w:p>
                              </w:tc>
                              <w:tc>
                                <w:tcPr>
                                  <w:tcW w:w="850" w:type="dxa"/>
                                  <w:tcBorders>
                                    <w:left w:val="single" w:sz="4" w:space="0" w:color="auto"/>
                                  </w:tcBorders>
                                  <w:vAlign w:val="center"/>
                                </w:tcPr>
                                <w:p w14:paraId="74A5816C"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,138</w:t>
                                  </w:r>
                                </w:p>
                              </w:tc>
                              <w:tc>
                                <w:tcPr>
                                  <w:tcW w:w="850" w:type="dxa"/>
                                  <w:vAlign w:val="center"/>
                                </w:tcPr>
                                <w:p w14:paraId="0C62F403"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,023</w:t>
                                  </w:r>
                                </w:p>
                              </w:tc>
                              <w:tc>
                                <w:tcPr>
                                  <w:tcW w:w="851" w:type="dxa"/>
                                  <w:vAlign w:val="center"/>
                                </w:tcPr>
                                <w:p w14:paraId="4B37E098"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2</w:t>
                                  </w:r>
                                  <w:r w:rsidRPr="00355C37">
                                    <w:rPr>
                                      <w:rFonts w:ascii="標楷體" w:eastAsia="標楷體" w:hAnsi="標楷體"/>
                                      <w:b/>
                                      <w:bCs/>
                                      <w:sz w:val="20"/>
                                      <w:szCs w:val="16"/>
                                    </w:rPr>
                                    <w:t>,646</w:t>
                                  </w:r>
                                </w:p>
                              </w:tc>
                              <w:tc>
                                <w:tcPr>
                                  <w:tcW w:w="850" w:type="dxa"/>
                                  <w:vAlign w:val="center"/>
                                </w:tcPr>
                                <w:p w14:paraId="39B00854"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,949</w:t>
                                  </w:r>
                                </w:p>
                              </w:tc>
                              <w:tc>
                                <w:tcPr>
                                  <w:tcW w:w="851" w:type="dxa"/>
                                  <w:vAlign w:val="center"/>
                                </w:tcPr>
                                <w:p w14:paraId="313C4194"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5</w:t>
                                  </w:r>
                                  <w:r w:rsidRPr="00355C37">
                                    <w:rPr>
                                      <w:rFonts w:ascii="標楷體" w:eastAsia="標楷體" w:hAnsi="標楷體"/>
                                      <w:b/>
                                      <w:bCs/>
                                      <w:sz w:val="20"/>
                                      <w:szCs w:val="16"/>
                                    </w:rPr>
                                    <w:t>,863</w:t>
                                  </w:r>
                                </w:p>
                              </w:tc>
                              <w:tc>
                                <w:tcPr>
                                  <w:tcW w:w="851" w:type="dxa"/>
                                  <w:vAlign w:val="center"/>
                                </w:tcPr>
                                <w:p w14:paraId="6FAC940B"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w:t>
                                  </w:r>
                                  <w:r w:rsidRPr="00355C37">
                                    <w:rPr>
                                      <w:rFonts w:ascii="標楷體" w:eastAsia="標楷體" w:hAnsi="標楷體" w:hint="eastAsia"/>
                                      <w:b/>
                                      <w:bCs/>
                                      <w:sz w:val="20"/>
                                      <w:szCs w:val="16"/>
                                    </w:rPr>
                                    <w:t>324</w:t>
                                  </w:r>
                                </w:p>
                              </w:tc>
                            </w:tr>
                            <w:tr w:rsidR="00286703" w:rsidRPr="003135ED" w14:paraId="1D2941C3" w14:textId="77777777" w:rsidTr="00BC23F0">
                              <w:trPr>
                                <w:trHeight w:val="227"/>
                                <w:jc w:val="center"/>
                              </w:trPr>
                              <w:tc>
                                <w:tcPr>
                                  <w:tcW w:w="709" w:type="dxa"/>
                                  <w:vMerge/>
                                  <w:tcBorders>
                                    <w:left w:val="single" w:sz="4" w:space="0" w:color="auto"/>
                                    <w:right w:val="single" w:sz="4" w:space="0" w:color="auto"/>
                                  </w:tcBorders>
                                </w:tcPr>
                                <w:p w14:paraId="1DC3CFD0"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7C082DAF"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中央政府</w:t>
                                  </w:r>
                                </w:p>
                              </w:tc>
                              <w:tc>
                                <w:tcPr>
                                  <w:tcW w:w="850" w:type="dxa"/>
                                  <w:tcBorders>
                                    <w:left w:val="single" w:sz="4" w:space="0" w:color="auto"/>
                                  </w:tcBorders>
                                  <w:vAlign w:val="bottom"/>
                                </w:tcPr>
                                <w:p w14:paraId="60CD8B95"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1,605</w:t>
                                  </w:r>
                                </w:p>
                              </w:tc>
                              <w:tc>
                                <w:tcPr>
                                  <w:tcW w:w="850" w:type="dxa"/>
                                  <w:vAlign w:val="bottom"/>
                                </w:tcPr>
                                <w:p w14:paraId="4870BA74"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1,448</w:t>
                                  </w:r>
                                </w:p>
                              </w:tc>
                              <w:tc>
                                <w:tcPr>
                                  <w:tcW w:w="851" w:type="dxa"/>
                                  <w:vAlign w:val="bottom"/>
                                </w:tcPr>
                                <w:p w14:paraId="27ADE07D"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1,158</w:t>
                                  </w:r>
                                </w:p>
                              </w:tc>
                              <w:tc>
                                <w:tcPr>
                                  <w:tcW w:w="850" w:type="dxa"/>
                                  <w:vAlign w:val="bottom"/>
                                </w:tcPr>
                                <w:p w14:paraId="5489E7E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2,040</w:t>
                                  </w:r>
                                </w:p>
                              </w:tc>
                              <w:tc>
                                <w:tcPr>
                                  <w:tcW w:w="851" w:type="dxa"/>
                                  <w:vAlign w:val="bottom"/>
                                </w:tcPr>
                                <w:p w14:paraId="4992C0F1"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2,174</w:t>
                                  </w:r>
                                </w:p>
                              </w:tc>
                              <w:tc>
                                <w:tcPr>
                                  <w:tcW w:w="851" w:type="dxa"/>
                                  <w:vAlign w:val="bottom"/>
                                </w:tcPr>
                                <w:p w14:paraId="1E00BB97" w14:textId="77777777" w:rsidR="00286703" w:rsidRPr="009434F7" w:rsidRDefault="00286703" w:rsidP="00660E8B">
                                  <w:pPr>
                                    <w:widowControl/>
                                    <w:spacing w:line="240" w:lineRule="exact"/>
                                    <w:jc w:val="right"/>
                                    <w:rPr>
                                      <w:rFonts w:ascii="標楷體" w:eastAsia="標楷體" w:hAnsi="標楷體"/>
                                      <w:sz w:val="20"/>
                                      <w:szCs w:val="16"/>
                                    </w:rPr>
                                  </w:pPr>
                                  <w:r w:rsidRPr="009434F7">
                                    <w:rPr>
                                      <w:rFonts w:ascii="標楷體" w:eastAsia="標楷體" w:hAnsi="標楷體" w:hint="eastAsia"/>
                                      <w:sz w:val="20"/>
                                      <w:szCs w:val="16"/>
                                    </w:rPr>
                                    <w:t>1,685</w:t>
                                  </w:r>
                                </w:p>
                              </w:tc>
                            </w:tr>
                            <w:tr w:rsidR="00286703" w:rsidRPr="003135ED" w14:paraId="4B9DE732" w14:textId="77777777" w:rsidTr="00BC23F0">
                              <w:trPr>
                                <w:trHeight w:val="227"/>
                                <w:jc w:val="center"/>
                              </w:trPr>
                              <w:tc>
                                <w:tcPr>
                                  <w:tcW w:w="709" w:type="dxa"/>
                                  <w:vMerge/>
                                  <w:tcBorders>
                                    <w:left w:val="single" w:sz="4" w:space="0" w:color="auto"/>
                                    <w:bottom w:val="single" w:sz="4" w:space="0" w:color="auto"/>
                                    <w:right w:val="single" w:sz="4" w:space="0" w:color="auto"/>
                                  </w:tcBorders>
                                </w:tcPr>
                                <w:p w14:paraId="52CC8844"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
                              </w:tc>
                              <w:tc>
                                <w:tcPr>
                                  <w:tcW w:w="851" w:type="dxa"/>
                                  <w:tcBorders>
                                    <w:top w:val="single" w:sz="4" w:space="0" w:color="auto"/>
                                    <w:left w:val="single" w:sz="4" w:space="0" w:color="auto"/>
                                    <w:bottom w:val="single" w:sz="4" w:space="0" w:color="auto"/>
                                  </w:tcBorders>
                                  <w:vAlign w:val="center"/>
                                </w:tcPr>
                                <w:p w14:paraId="0B947BE9"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地方政府</w:t>
                                  </w:r>
                                </w:p>
                              </w:tc>
                              <w:tc>
                                <w:tcPr>
                                  <w:tcW w:w="850" w:type="dxa"/>
                                  <w:vAlign w:val="bottom"/>
                                </w:tcPr>
                                <w:p w14:paraId="5A626000"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2,533</w:t>
                                  </w:r>
                                </w:p>
                              </w:tc>
                              <w:tc>
                                <w:tcPr>
                                  <w:tcW w:w="850" w:type="dxa"/>
                                  <w:vAlign w:val="bottom"/>
                                </w:tcPr>
                                <w:p w14:paraId="0B09CF5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2,575</w:t>
                                  </w:r>
                                </w:p>
                              </w:tc>
                              <w:tc>
                                <w:tcPr>
                                  <w:tcW w:w="851" w:type="dxa"/>
                                  <w:vAlign w:val="bottom"/>
                                </w:tcPr>
                                <w:p w14:paraId="126439AA"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1,488</w:t>
                                  </w:r>
                                </w:p>
                              </w:tc>
                              <w:tc>
                                <w:tcPr>
                                  <w:tcW w:w="850" w:type="dxa"/>
                                  <w:vAlign w:val="bottom"/>
                                </w:tcPr>
                                <w:p w14:paraId="2A04E84E"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2,909</w:t>
                                  </w:r>
                                </w:p>
                              </w:tc>
                              <w:tc>
                                <w:tcPr>
                                  <w:tcW w:w="851" w:type="dxa"/>
                                  <w:vAlign w:val="bottom"/>
                                </w:tcPr>
                                <w:p w14:paraId="1950BEF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3,689</w:t>
                                  </w:r>
                                </w:p>
                              </w:tc>
                              <w:tc>
                                <w:tcPr>
                                  <w:tcW w:w="851" w:type="dxa"/>
                                  <w:vAlign w:val="bottom"/>
                                </w:tcPr>
                                <w:p w14:paraId="49BBFB20"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2,639</w:t>
                                  </w:r>
                                </w:p>
                              </w:tc>
                            </w:tr>
                            <w:tr w:rsidR="00286703" w:rsidRPr="003135ED" w14:paraId="38A934B9" w14:textId="77777777" w:rsidTr="00BC23F0">
                              <w:trPr>
                                <w:trHeight w:val="227"/>
                                <w:jc w:val="center"/>
                              </w:trPr>
                              <w:tc>
                                <w:tcPr>
                                  <w:tcW w:w="1560" w:type="dxa"/>
                                  <w:gridSpan w:val="2"/>
                                  <w:vAlign w:val="center"/>
                                </w:tcPr>
                                <w:p w14:paraId="03BB4A93"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報考人數</w:t>
                                  </w:r>
                                </w:p>
                              </w:tc>
                              <w:tc>
                                <w:tcPr>
                                  <w:tcW w:w="850" w:type="dxa"/>
                                  <w:vAlign w:val="center"/>
                                </w:tcPr>
                                <w:p w14:paraId="4328A1F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83,616</w:t>
                                  </w:r>
                                </w:p>
                              </w:tc>
                              <w:tc>
                                <w:tcPr>
                                  <w:tcW w:w="850" w:type="dxa"/>
                                  <w:vAlign w:val="center"/>
                                </w:tcPr>
                                <w:p w14:paraId="08DAAC9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84,417</w:t>
                                  </w:r>
                                </w:p>
                              </w:tc>
                              <w:tc>
                                <w:tcPr>
                                  <w:tcW w:w="851" w:type="dxa"/>
                                  <w:vAlign w:val="center"/>
                                </w:tcPr>
                                <w:p w14:paraId="481CF71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71,284</w:t>
                                  </w:r>
                                </w:p>
                              </w:tc>
                              <w:tc>
                                <w:tcPr>
                                  <w:tcW w:w="850" w:type="dxa"/>
                                  <w:vAlign w:val="center"/>
                                </w:tcPr>
                                <w:p w14:paraId="1A4061C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66,402</w:t>
                                  </w:r>
                                </w:p>
                              </w:tc>
                              <w:tc>
                                <w:tcPr>
                                  <w:tcW w:w="851" w:type="dxa"/>
                                  <w:vAlign w:val="center"/>
                                </w:tcPr>
                                <w:p w14:paraId="32F41E7B"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66,702</w:t>
                                  </w:r>
                                </w:p>
                              </w:tc>
                              <w:tc>
                                <w:tcPr>
                                  <w:tcW w:w="851" w:type="dxa"/>
                                  <w:vAlign w:val="center"/>
                                </w:tcPr>
                                <w:p w14:paraId="5A4232F1"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74,484</w:t>
                                  </w:r>
                                </w:p>
                              </w:tc>
                            </w:tr>
                            <w:tr w:rsidR="00286703" w:rsidRPr="003135ED" w14:paraId="09F8BC29" w14:textId="77777777" w:rsidTr="00BC23F0">
                              <w:trPr>
                                <w:trHeight w:val="227"/>
                                <w:jc w:val="center"/>
                              </w:trPr>
                              <w:tc>
                                <w:tcPr>
                                  <w:tcW w:w="1560" w:type="dxa"/>
                                  <w:gridSpan w:val="2"/>
                                  <w:vAlign w:val="center"/>
                                </w:tcPr>
                                <w:p w14:paraId="4E5869A2"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到考人數</w:t>
                                  </w:r>
                                </w:p>
                              </w:tc>
                              <w:tc>
                                <w:tcPr>
                                  <w:tcW w:w="850" w:type="dxa"/>
                                  <w:vAlign w:val="center"/>
                                </w:tcPr>
                                <w:p w14:paraId="30D9502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57,701</w:t>
                                  </w:r>
                                </w:p>
                              </w:tc>
                              <w:tc>
                                <w:tcPr>
                                  <w:tcW w:w="850" w:type="dxa"/>
                                  <w:vAlign w:val="center"/>
                                </w:tcPr>
                                <w:p w14:paraId="1BE5D6D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53,105</w:t>
                                  </w:r>
                                </w:p>
                              </w:tc>
                              <w:tc>
                                <w:tcPr>
                                  <w:tcW w:w="851" w:type="dxa"/>
                                  <w:vAlign w:val="center"/>
                                </w:tcPr>
                                <w:p w14:paraId="5B70DA8A"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46,593</w:t>
                                  </w:r>
                                </w:p>
                              </w:tc>
                              <w:tc>
                                <w:tcPr>
                                  <w:tcW w:w="850" w:type="dxa"/>
                                  <w:vAlign w:val="center"/>
                                </w:tcPr>
                                <w:p w14:paraId="137CBC73"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44,635</w:t>
                                  </w:r>
                                </w:p>
                              </w:tc>
                              <w:tc>
                                <w:tcPr>
                                  <w:tcW w:w="851" w:type="dxa"/>
                                  <w:vAlign w:val="center"/>
                                </w:tcPr>
                                <w:p w14:paraId="335632DD"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46,132</w:t>
                                  </w:r>
                                </w:p>
                              </w:tc>
                              <w:tc>
                                <w:tcPr>
                                  <w:tcW w:w="851" w:type="dxa"/>
                                  <w:vAlign w:val="center"/>
                                </w:tcPr>
                                <w:p w14:paraId="0CEA0CC6"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4</w:t>
                                  </w:r>
                                  <w:r w:rsidRPr="009434F7">
                                    <w:rPr>
                                      <w:rFonts w:ascii="標楷體" w:eastAsia="標楷體" w:hAnsi="標楷體"/>
                                      <w:sz w:val="20"/>
                                      <w:szCs w:val="16"/>
                                    </w:rPr>
                                    <w:t>9,633</w:t>
                                  </w:r>
                                </w:p>
                              </w:tc>
                            </w:tr>
                            <w:tr w:rsidR="00286703" w:rsidRPr="003135ED" w14:paraId="75D39C6F" w14:textId="77777777" w:rsidTr="006C2827">
                              <w:trPr>
                                <w:trHeight w:val="283"/>
                                <w:jc w:val="center"/>
                              </w:trPr>
                              <w:tc>
                                <w:tcPr>
                                  <w:tcW w:w="6663" w:type="dxa"/>
                                  <w:gridSpan w:val="8"/>
                                  <w:tcBorders>
                                    <w:top w:val="single" w:sz="4" w:space="0" w:color="auto"/>
                                    <w:left w:val="nil"/>
                                    <w:bottom w:val="nil"/>
                                    <w:right w:val="nil"/>
                                  </w:tcBorders>
                                </w:tcPr>
                                <w:p w14:paraId="26571529" w14:textId="77777777" w:rsidR="00286703" w:rsidRDefault="00286703" w:rsidP="00660E8B">
                                  <w:pPr>
                                    <w:spacing w:line="240" w:lineRule="exact"/>
                                    <w:ind w:leftChars="-20" w:left="-48"/>
                                    <w:rPr>
                                      <w:rFonts w:ascii="標楷體" w:eastAsia="標楷體" w:hAnsi="標楷體"/>
                                    </w:rPr>
                                  </w:pPr>
                                  <w:r w:rsidRPr="008D2B93">
                                    <w:rPr>
                                      <w:rFonts w:ascii="標楷體" w:eastAsia="標楷體" w:hAnsi="標楷體" w:hint="eastAsia"/>
                                      <w:sz w:val="18"/>
                                      <w:szCs w:val="18"/>
                                    </w:rPr>
                                    <w:t>資料來源</w:t>
                                  </w:r>
                                  <w:r w:rsidRPr="008D2B93">
                                    <w:rPr>
                                      <w:rFonts w:ascii="標楷體" w:eastAsia="標楷體" w:hAnsi="標楷體"/>
                                      <w:sz w:val="18"/>
                                      <w:szCs w:val="18"/>
                                    </w:rPr>
                                    <w:t>：</w:t>
                                  </w:r>
                                  <w:r w:rsidRPr="008D2B93">
                                    <w:rPr>
                                      <w:rFonts w:ascii="標楷體" w:eastAsia="標楷體" w:hAnsi="標楷體" w:hint="eastAsia"/>
                                      <w:sz w:val="18"/>
                                      <w:szCs w:val="18"/>
                                    </w:rPr>
                                    <w:t>整理自</w:t>
                                  </w:r>
                                  <w:r>
                                    <w:rPr>
                                      <w:rFonts w:ascii="標楷體" w:eastAsia="標楷體" w:hAnsi="標楷體" w:hint="eastAsia"/>
                                      <w:sz w:val="18"/>
                                      <w:szCs w:val="18"/>
                                    </w:rPr>
                                    <w:t>考選部網站公告</w:t>
                                  </w:r>
                                  <w:r w:rsidRPr="008D2B93">
                                    <w:rPr>
                                      <w:rFonts w:ascii="標楷體" w:eastAsia="標楷體" w:hAnsi="標楷體"/>
                                      <w:sz w:val="18"/>
                                      <w:szCs w:val="18"/>
                                    </w:rPr>
                                    <w:t>資料。</w:t>
                                  </w:r>
                                </w:p>
                              </w:tc>
                            </w:tr>
                          </w:tbl>
                          <w:p w14:paraId="522546A9" w14:textId="77777777" w:rsidR="00286703" w:rsidRPr="00660E8B" w:rsidRDefault="00286703" w:rsidP="0028670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F63117" id="_x0000_s1113" type="#_x0000_t202" style="position:absolute;left:0;text-align:left;margin-left:147.75pt;margin-top:434.45pt;width:350.9pt;height:142.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" stroked="f">
                <v:textbox>
                  <w:txbxContent>
                    <w:tbl>
                      <w:tblPr>
                        <w:tblStyle w:val="afff"/>
                        <w:tblW w:w="6663" w:type="dxa"/>
                        <w:jc w:val="center"/>
                        <w:tblLayout w:type="fixed"/>
                        <w:tblLook w:val="04A0" w:firstRow="1" w:lastRow="0" w:firstColumn="1" w:lastColumn="0" w:noHBand="0" w:noVBand="1"/>
                      </w:tblPr>
                      <w:tblGrid>
                        <w:gridCol w:w="709"/>
                        <w:gridCol w:w="851"/>
                        <w:gridCol w:w="850"/>
                        <w:gridCol w:w="850"/>
                        <w:gridCol w:w="851"/>
                        <w:gridCol w:w="850"/>
                        <w:gridCol w:w="851"/>
                        <w:gridCol w:w="851"/>
                      </w:tblGrid>
                      <w:tr w:rsidR="00286703" w:rsidRPr="003135ED" w14:paraId="287E1817" w14:textId="77777777" w:rsidTr="006C2827">
                        <w:trPr>
                          <w:trHeight w:val="454"/>
                          <w:jc w:val="center"/>
                        </w:trPr>
                        <w:tc>
                          <w:tcPr>
                            <w:tcW w:w="6663" w:type="dxa"/>
                            <w:gridSpan w:val="8"/>
                            <w:tcBorders>
                              <w:top w:val="nil"/>
                              <w:left w:val="nil"/>
                              <w:bottom w:val="nil"/>
                              <w:right w:val="nil"/>
                            </w:tcBorders>
                          </w:tcPr>
                          <w:p w14:paraId="31085A54" w14:textId="77777777" w:rsidR="00286703" w:rsidRPr="004B4FA8" w:rsidRDefault="00286703" w:rsidP="00BE22AA">
                            <w:pPr>
                              <w:spacing w:line="240" w:lineRule="exact"/>
                              <w:ind w:leftChars="-55" w:left="675" w:hangingChars="336" w:hanging="807"/>
                              <w:jc w:val="both"/>
                              <w:rPr>
                                <w:rFonts w:ascii="標楷體" w:eastAsia="標楷體" w:hAnsi="標楷體"/>
                                <w:szCs w:val="24"/>
                              </w:rPr>
                            </w:pPr>
                            <w:r w:rsidRPr="009434F7">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6</w:t>
                            </w:r>
                            <w:r w:rsidRPr="004B4FA8">
                              <w:rPr>
                                <w:rFonts w:ascii="標楷體" w:eastAsia="標楷體" w:hAnsi="標楷體" w:hint="eastAsia"/>
                                <w:b/>
                                <w:szCs w:val="24"/>
                              </w:rPr>
                              <w:t xml:space="preserve">　公務人員高等考試三級考試暨普通考試正</w:t>
                            </w:r>
                            <w:proofErr w:type="gramStart"/>
                            <w:r w:rsidRPr="004B4FA8">
                              <w:rPr>
                                <w:rFonts w:ascii="標楷體" w:eastAsia="標楷體" w:hAnsi="標楷體" w:hint="eastAsia"/>
                                <w:b/>
                                <w:szCs w:val="24"/>
                              </w:rPr>
                              <w:t>額職缺數</w:t>
                            </w:r>
                            <w:proofErr w:type="gramEnd"/>
                            <w:r w:rsidRPr="004B4FA8">
                              <w:rPr>
                                <w:rFonts w:ascii="標楷體" w:eastAsia="標楷體" w:hAnsi="標楷體" w:hint="eastAsia"/>
                                <w:b/>
                                <w:szCs w:val="24"/>
                              </w:rPr>
                              <w:t>、報考</w:t>
                            </w:r>
                            <w:r>
                              <w:rPr>
                                <w:rFonts w:ascii="標楷體" w:eastAsia="標楷體" w:hAnsi="標楷體" w:hint="eastAsia"/>
                                <w:b/>
                                <w:szCs w:val="24"/>
                              </w:rPr>
                              <w:t>及</w:t>
                            </w:r>
                            <w:r w:rsidRPr="004B4FA8">
                              <w:rPr>
                                <w:rFonts w:ascii="標楷體" w:eastAsia="標楷體" w:hAnsi="標楷體"/>
                                <w:b/>
                                <w:szCs w:val="24"/>
                              </w:rPr>
                              <w:t>到考情形</w:t>
                            </w:r>
                          </w:p>
                        </w:tc>
                      </w:tr>
                      <w:tr w:rsidR="00286703" w:rsidRPr="003135ED" w14:paraId="25710A4E" w14:textId="77777777" w:rsidTr="006C2827">
                        <w:trPr>
                          <w:trHeight w:val="227"/>
                          <w:jc w:val="center"/>
                        </w:trPr>
                        <w:tc>
                          <w:tcPr>
                            <w:tcW w:w="6663" w:type="dxa"/>
                            <w:gridSpan w:val="8"/>
                            <w:tcBorders>
                              <w:top w:val="nil"/>
                              <w:left w:val="nil"/>
                              <w:bottom w:val="single" w:sz="4" w:space="0" w:color="auto"/>
                              <w:right w:val="nil"/>
                            </w:tcBorders>
                          </w:tcPr>
                          <w:p w14:paraId="086F0074" w14:textId="1104CCD7" w:rsidR="00286703" w:rsidRDefault="00286703" w:rsidP="00660E8B">
                            <w:pPr>
                              <w:spacing w:line="220" w:lineRule="exact"/>
                              <w:jc w:val="right"/>
                              <w:rPr>
                                <w:rFonts w:ascii="標楷體" w:eastAsia="標楷體" w:hAnsi="標楷體"/>
                              </w:rPr>
                            </w:pPr>
                            <w:r w:rsidRPr="001B4C3E">
                              <w:rPr>
                                <w:rFonts w:ascii="標楷體" w:eastAsia="標楷體" w:hAnsi="標楷體" w:hint="eastAsia"/>
                                <w:sz w:val="20"/>
                                <w:szCs w:val="16"/>
                              </w:rPr>
                              <w:t>單位</w:t>
                            </w:r>
                            <w:r w:rsidRPr="001B4C3E">
                              <w:rPr>
                                <w:rFonts w:ascii="標楷體" w:eastAsia="標楷體" w:hAnsi="標楷體"/>
                                <w:sz w:val="20"/>
                                <w:szCs w:val="16"/>
                              </w:rPr>
                              <w:t>：人</w:t>
                            </w:r>
                            <w:r w:rsidR="00B9148F">
                              <w:rPr>
                                <w:rFonts w:ascii="標楷體" w:eastAsia="標楷體" w:hAnsi="標楷體" w:hint="eastAsia"/>
                                <w:sz w:val="20"/>
                                <w:szCs w:val="16"/>
                              </w:rPr>
                              <w:t>、</w:t>
                            </w:r>
                            <w:proofErr w:type="gramStart"/>
                            <w:r w:rsidR="00B9148F">
                              <w:rPr>
                                <w:rFonts w:ascii="標楷體" w:eastAsia="標楷體" w:hAnsi="標楷體" w:hint="eastAsia"/>
                                <w:sz w:val="20"/>
                                <w:szCs w:val="16"/>
                              </w:rPr>
                              <w:t>個</w:t>
                            </w:r>
                            <w:proofErr w:type="gramEnd"/>
                          </w:p>
                        </w:tc>
                      </w:tr>
                      <w:tr w:rsidR="00286703" w:rsidRPr="003135ED" w14:paraId="1B403DB7" w14:textId="77777777" w:rsidTr="00BC23F0">
                        <w:trPr>
                          <w:trHeight w:val="227"/>
                          <w:jc w:val="center"/>
                        </w:trPr>
                        <w:tc>
                          <w:tcPr>
                            <w:tcW w:w="1560" w:type="dxa"/>
                            <w:gridSpan w:val="2"/>
                            <w:vMerge w:val="restart"/>
                            <w:tcBorders>
                              <w:top w:val="single" w:sz="4" w:space="0" w:color="auto"/>
                            </w:tcBorders>
                            <w:vAlign w:val="center"/>
                          </w:tcPr>
                          <w:p w14:paraId="7CA51398"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項目</w:t>
                            </w:r>
                          </w:p>
                        </w:tc>
                        <w:tc>
                          <w:tcPr>
                            <w:tcW w:w="4252" w:type="dxa"/>
                            <w:gridSpan w:val="5"/>
                            <w:tcBorders>
                              <w:top w:val="single" w:sz="4" w:space="0" w:color="auto"/>
                            </w:tcBorders>
                            <w:vAlign w:val="center"/>
                          </w:tcPr>
                          <w:p w14:paraId="63EDB670" w14:textId="77777777" w:rsidR="00286703" w:rsidRPr="001B4C3E" w:rsidRDefault="00286703" w:rsidP="00660E8B">
                            <w:pPr>
                              <w:spacing w:line="240" w:lineRule="exact"/>
                              <w:jc w:val="center"/>
                              <w:rPr>
                                <w:rFonts w:ascii="標楷體" w:eastAsia="標楷體" w:hAnsi="標楷體"/>
                                <w:sz w:val="20"/>
                                <w:szCs w:val="16"/>
                              </w:rPr>
                            </w:pPr>
                            <w:r w:rsidRPr="001B4C3E">
                              <w:rPr>
                                <w:rFonts w:ascii="標楷體" w:eastAsia="標楷體" w:hAnsi="標楷體" w:hint="eastAsia"/>
                                <w:sz w:val="20"/>
                                <w:szCs w:val="16"/>
                              </w:rPr>
                              <w:t>年度</w:t>
                            </w:r>
                          </w:p>
                        </w:tc>
                        <w:tc>
                          <w:tcPr>
                            <w:tcW w:w="851" w:type="dxa"/>
                            <w:vMerge w:val="restart"/>
                            <w:tcBorders>
                              <w:top w:val="single" w:sz="4" w:space="0" w:color="auto"/>
                            </w:tcBorders>
                            <w:vAlign w:val="center"/>
                          </w:tcPr>
                          <w:p w14:paraId="317CC938" w14:textId="77777777" w:rsidR="00286703" w:rsidRPr="001B4C3E" w:rsidRDefault="00286703" w:rsidP="00660E8B">
                            <w:pPr>
                              <w:spacing w:line="240" w:lineRule="exact"/>
                              <w:jc w:val="center"/>
                              <w:rPr>
                                <w:rFonts w:ascii="標楷體" w:eastAsia="標楷體" w:hAnsi="標楷體"/>
                                <w:sz w:val="20"/>
                                <w:szCs w:val="16"/>
                              </w:rPr>
                            </w:pPr>
                            <w:r w:rsidRPr="001B4C3E">
                              <w:rPr>
                                <w:rFonts w:ascii="標楷體" w:eastAsia="標楷體" w:hAnsi="標楷體" w:hint="eastAsia"/>
                                <w:sz w:val="20"/>
                                <w:szCs w:val="16"/>
                              </w:rPr>
                              <w:t>平均</w:t>
                            </w:r>
                          </w:p>
                        </w:tc>
                      </w:tr>
                      <w:tr w:rsidR="00286703" w:rsidRPr="003135ED" w14:paraId="63FE25BD" w14:textId="77777777" w:rsidTr="00BC23F0">
                        <w:trPr>
                          <w:trHeight w:val="227"/>
                          <w:jc w:val="center"/>
                        </w:trPr>
                        <w:tc>
                          <w:tcPr>
                            <w:tcW w:w="1560" w:type="dxa"/>
                            <w:gridSpan w:val="2"/>
                            <w:vMerge/>
                            <w:tcBorders>
                              <w:bottom w:val="single" w:sz="4" w:space="0" w:color="auto"/>
                            </w:tcBorders>
                          </w:tcPr>
                          <w:p w14:paraId="0A8C5D31"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
                        </w:tc>
                        <w:tc>
                          <w:tcPr>
                            <w:tcW w:w="850" w:type="dxa"/>
                            <w:tcBorders>
                              <w:top w:val="single" w:sz="4" w:space="0" w:color="auto"/>
                            </w:tcBorders>
                            <w:vAlign w:val="center"/>
                          </w:tcPr>
                          <w:p w14:paraId="45DFCDC2"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09</w:t>
                            </w:r>
                          </w:p>
                        </w:tc>
                        <w:tc>
                          <w:tcPr>
                            <w:tcW w:w="850" w:type="dxa"/>
                            <w:tcBorders>
                              <w:top w:val="single" w:sz="4" w:space="0" w:color="auto"/>
                            </w:tcBorders>
                            <w:vAlign w:val="center"/>
                          </w:tcPr>
                          <w:p w14:paraId="35E564B8"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10</w:t>
                            </w:r>
                          </w:p>
                        </w:tc>
                        <w:tc>
                          <w:tcPr>
                            <w:tcW w:w="851" w:type="dxa"/>
                            <w:tcBorders>
                              <w:top w:val="single" w:sz="4" w:space="0" w:color="auto"/>
                            </w:tcBorders>
                            <w:vAlign w:val="center"/>
                          </w:tcPr>
                          <w:p w14:paraId="3C55A722"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11</w:t>
                            </w:r>
                          </w:p>
                        </w:tc>
                        <w:tc>
                          <w:tcPr>
                            <w:tcW w:w="850" w:type="dxa"/>
                            <w:tcBorders>
                              <w:top w:val="single" w:sz="4" w:space="0" w:color="auto"/>
                            </w:tcBorders>
                            <w:vAlign w:val="center"/>
                          </w:tcPr>
                          <w:p w14:paraId="3CF99759"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12</w:t>
                            </w:r>
                          </w:p>
                        </w:tc>
                        <w:tc>
                          <w:tcPr>
                            <w:tcW w:w="851" w:type="dxa"/>
                            <w:tcBorders>
                              <w:top w:val="single" w:sz="4" w:space="0" w:color="auto"/>
                            </w:tcBorders>
                            <w:vAlign w:val="center"/>
                          </w:tcPr>
                          <w:p w14:paraId="4E2FFC8F" w14:textId="77777777" w:rsidR="00286703" w:rsidRPr="001B4C3E" w:rsidRDefault="00286703" w:rsidP="00660E8B">
                            <w:pPr>
                              <w:spacing w:line="240" w:lineRule="exact"/>
                              <w:jc w:val="center"/>
                              <w:rPr>
                                <w:rFonts w:ascii="標楷體" w:eastAsia="標楷體" w:hAnsi="標楷體"/>
                                <w:spacing w:val="-4"/>
                                <w:sz w:val="20"/>
                                <w:szCs w:val="16"/>
                              </w:rPr>
                            </w:pPr>
                            <w:r w:rsidRPr="001B4C3E">
                              <w:rPr>
                                <w:rFonts w:ascii="標楷體" w:eastAsia="標楷體" w:hAnsi="標楷體" w:hint="eastAsia"/>
                                <w:spacing w:val="-4"/>
                                <w:sz w:val="20"/>
                                <w:szCs w:val="16"/>
                              </w:rPr>
                              <w:t>1</w:t>
                            </w:r>
                            <w:r w:rsidRPr="001B4C3E">
                              <w:rPr>
                                <w:rFonts w:ascii="標楷體" w:eastAsia="標楷體" w:hAnsi="標楷體"/>
                                <w:spacing w:val="-4"/>
                                <w:sz w:val="20"/>
                                <w:szCs w:val="16"/>
                              </w:rPr>
                              <w:t>13</w:t>
                            </w:r>
                          </w:p>
                        </w:tc>
                        <w:tc>
                          <w:tcPr>
                            <w:tcW w:w="851" w:type="dxa"/>
                            <w:vMerge/>
                            <w:vAlign w:val="center"/>
                          </w:tcPr>
                          <w:p w14:paraId="21F8E1E0" w14:textId="77777777" w:rsidR="00286703" w:rsidRPr="001B4C3E" w:rsidRDefault="00286703" w:rsidP="00660E8B">
                            <w:pPr>
                              <w:spacing w:line="240" w:lineRule="exact"/>
                              <w:jc w:val="center"/>
                              <w:rPr>
                                <w:rFonts w:ascii="標楷體" w:eastAsia="標楷體" w:hAnsi="標楷體"/>
                                <w:spacing w:val="-4"/>
                                <w:sz w:val="20"/>
                                <w:szCs w:val="16"/>
                              </w:rPr>
                            </w:pPr>
                          </w:p>
                        </w:tc>
                      </w:tr>
                      <w:tr w:rsidR="00286703" w:rsidRPr="003135ED" w14:paraId="4AB85C90" w14:textId="77777777" w:rsidTr="00BC23F0">
                        <w:trPr>
                          <w:trHeight w:val="227"/>
                          <w:jc w:val="center"/>
                        </w:trPr>
                        <w:tc>
                          <w:tcPr>
                            <w:tcW w:w="709" w:type="dxa"/>
                            <w:vMerge w:val="restart"/>
                            <w:tcBorders>
                              <w:top w:val="single" w:sz="4" w:space="0" w:color="auto"/>
                              <w:left w:val="single" w:sz="4" w:space="0" w:color="auto"/>
                              <w:right w:val="single" w:sz="4" w:space="0" w:color="auto"/>
                            </w:tcBorders>
                            <w:vAlign w:val="center"/>
                          </w:tcPr>
                          <w:p w14:paraId="27FABBEC" w14:textId="77777777" w:rsidR="00286703" w:rsidRPr="001B4C3E" w:rsidRDefault="00286703" w:rsidP="00660E8B">
                            <w:pPr>
                              <w:spacing w:line="240" w:lineRule="exact"/>
                              <w:ind w:leftChars="-50" w:left="-120" w:rightChars="-50" w:right="-120"/>
                              <w:jc w:val="center"/>
                              <w:rPr>
                                <w:rFonts w:ascii="標楷體" w:eastAsia="標楷體" w:hAnsi="標楷體"/>
                                <w:spacing w:val="-4"/>
                                <w:sz w:val="20"/>
                                <w:szCs w:val="16"/>
                              </w:rPr>
                            </w:pPr>
                            <w:r w:rsidRPr="001B4C3E">
                              <w:rPr>
                                <w:rFonts w:ascii="標楷體" w:eastAsia="標楷體" w:hAnsi="標楷體" w:hint="eastAsia"/>
                                <w:spacing w:val="-4"/>
                                <w:sz w:val="20"/>
                                <w:szCs w:val="16"/>
                              </w:rPr>
                              <w:t>正額</w:t>
                            </w:r>
                          </w:p>
                          <w:p w14:paraId="590814AA"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roofErr w:type="gramStart"/>
                            <w:r w:rsidRPr="001B4C3E">
                              <w:rPr>
                                <w:rFonts w:ascii="標楷體" w:eastAsia="標楷體" w:hAnsi="標楷體" w:hint="eastAsia"/>
                                <w:spacing w:val="-4"/>
                                <w:sz w:val="20"/>
                                <w:szCs w:val="16"/>
                              </w:rPr>
                              <w:t>職缺數</w:t>
                            </w:r>
                            <w:proofErr w:type="gramEnd"/>
                          </w:p>
                        </w:tc>
                        <w:tc>
                          <w:tcPr>
                            <w:tcW w:w="851" w:type="dxa"/>
                            <w:tcBorders>
                              <w:top w:val="single" w:sz="4" w:space="0" w:color="auto"/>
                              <w:left w:val="single" w:sz="4" w:space="0" w:color="auto"/>
                              <w:bottom w:val="single" w:sz="4" w:space="0" w:color="auto"/>
                              <w:right w:val="single" w:sz="4" w:space="0" w:color="auto"/>
                            </w:tcBorders>
                            <w:vAlign w:val="center"/>
                          </w:tcPr>
                          <w:p w14:paraId="260DA5FC" w14:textId="77777777" w:rsidR="00286703" w:rsidRPr="00355C37" w:rsidRDefault="00286703" w:rsidP="00660E8B">
                            <w:pPr>
                              <w:spacing w:line="240" w:lineRule="exact"/>
                              <w:ind w:leftChars="-50" w:left="-120" w:rightChars="-50" w:right="-120"/>
                              <w:jc w:val="center"/>
                              <w:rPr>
                                <w:rFonts w:ascii="標楷體" w:eastAsia="標楷體" w:hAnsi="標楷體"/>
                                <w:b/>
                                <w:bCs/>
                                <w:sz w:val="20"/>
                                <w:szCs w:val="16"/>
                              </w:rPr>
                            </w:pPr>
                            <w:r w:rsidRPr="00355C37">
                              <w:rPr>
                                <w:rFonts w:ascii="標楷體" w:eastAsia="標楷體" w:hAnsi="標楷體" w:hint="eastAsia"/>
                                <w:b/>
                                <w:bCs/>
                                <w:sz w:val="20"/>
                                <w:szCs w:val="16"/>
                              </w:rPr>
                              <w:t>合 計</w:t>
                            </w:r>
                          </w:p>
                        </w:tc>
                        <w:tc>
                          <w:tcPr>
                            <w:tcW w:w="850" w:type="dxa"/>
                            <w:tcBorders>
                              <w:left w:val="single" w:sz="4" w:space="0" w:color="auto"/>
                            </w:tcBorders>
                            <w:vAlign w:val="center"/>
                          </w:tcPr>
                          <w:p w14:paraId="74A5816C"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,138</w:t>
                            </w:r>
                          </w:p>
                        </w:tc>
                        <w:tc>
                          <w:tcPr>
                            <w:tcW w:w="850" w:type="dxa"/>
                            <w:vAlign w:val="center"/>
                          </w:tcPr>
                          <w:p w14:paraId="0C62F403"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,023</w:t>
                            </w:r>
                          </w:p>
                        </w:tc>
                        <w:tc>
                          <w:tcPr>
                            <w:tcW w:w="851" w:type="dxa"/>
                            <w:vAlign w:val="center"/>
                          </w:tcPr>
                          <w:p w14:paraId="4B37E098"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2</w:t>
                            </w:r>
                            <w:r w:rsidRPr="00355C37">
                              <w:rPr>
                                <w:rFonts w:ascii="標楷體" w:eastAsia="標楷體" w:hAnsi="標楷體"/>
                                <w:b/>
                                <w:bCs/>
                                <w:sz w:val="20"/>
                                <w:szCs w:val="16"/>
                              </w:rPr>
                              <w:t>,646</w:t>
                            </w:r>
                          </w:p>
                        </w:tc>
                        <w:tc>
                          <w:tcPr>
                            <w:tcW w:w="850" w:type="dxa"/>
                            <w:vAlign w:val="center"/>
                          </w:tcPr>
                          <w:p w14:paraId="39B00854"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,949</w:t>
                            </w:r>
                          </w:p>
                        </w:tc>
                        <w:tc>
                          <w:tcPr>
                            <w:tcW w:w="851" w:type="dxa"/>
                            <w:vAlign w:val="center"/>
                          </w:tcPr>
                          <w:p w14:paraId="313C4194"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5</w:t>
                            </w:r>
                            <w:r w:rsidRPr="00355C37">
                              <w:rPr>
                                <w:rFonts w:ascii="標楷體" w:eastAsia="標楷體" w:hAnsi="標楷體"/>
                                <w:b/>
                                <w:bCs/>
                                <w:sz w:val="20"/>
                                <w:szCs w:val="16"/>
                              </w:rPr>
                              <w:t>,863</w:t>
                            </w:r>
                          </w:p>
                        </w:tc>
                        <w:tc>
                          <w:tcPr>
                            <w:tcW w:w="851" w:type="dxa"/>
                            <w:vAlign w:val="center"/>
                          </w:tcPr>
                          <w:p w14:paraId="6FAC940B" w14:textId="77777777" w:rsidR="00286703" w:rsidRPr="00355C37" w:rsidRDefault="00286703" w:rsidP="00660E8B">
                            <w:pPr>
                              <w:spacing w:line="240" w:lineRule="exact"/>
                              <w:jc w:val="right"/>
                              <w:rPr>
                                <w:rFonts w:ascii="標楷體" w:eastAsia="標楷體" w:hAnsi="標楷體"/>
                                <w:b/>
                                <w:bCs/>
                                <w:sz w:val="20"/>
                                <w:szCs w:val="16"/>
                              </w:rPr>
                            </w:pPr>
                            <w:r w:rsidRPr="00355C37">
                              <w:rPr>
                                <w:rFonts w:ascii="標楷體" w:eastAsia="標楷體" w:hAnsi="標楷體" w:hint="eastAsia"/>
                                <w:b/>
                                <w:bCs/>
                                <w:sz w:val="20"/>
                                <w:szCs w:val="16"/>
                              </w:rPr>
                              <w:t>4</w:t>
                            </w:r>
                            <w:r w:rsidRPr="00355C37">
                              <w:rPr>
                                <w:rFonts w:ascii="標楷體" w:eastAsia="標楷體" w:hAnsi="標楷體"/>
                                <w:b/>
                                <w:bCs/>
                                <w:sz w:val="20"/>
                                <w:szCs w:val="16"/>
                              </w:rPr>
                              <w:t>,</w:t>
                            </w:r>
                            <w:r w:rsidRPr="00355C37">
                              <w:rPr>
                                <w:rFonts w:ascii="標楷體" w:eastAsia="標楷體" w:hAnsi="標楷體" w:hint="eastAsia"/>
                                <w:b/>
                                <w:bCs/>
                                <w:sz w:val="20"/>
                                <w:szCs w:val="16"/>
                              </w:rPr>
                              <w:t>324</w:t>
                            </w:r>
                          </w:p>
                        </w:tc>
                      </w:tr>
                      <w:tr w:rsidR="00286703" w:rsidRPr="003135ED" w14:paraId="1D2941C3" w14:textId="77777777" w:rsidTr="00BC23F0">
                        <w:trPr>
                          <w:trHeight w:val="227"/>
                          <w:jc w:val="center"/>
                        </w:trPr>
                        <w:tc>
                          <w:tcPr>
                            <w:tcW w:w="709" w:type="dxa"/>
                            <w:vMerge/>
                            <w:tcBorders>
                              <w:left w:val="single" w:sz="4" w:space="0" w:color="auto"/>
                              <w:right w:val="single" w:sz="4" w:space="0" w:color="auto"/>
                            </w:tcBorders>
                          </w:tcPr>
                          <w:p w14:paraId="1DC3CFD0"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7C082DAF"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中央政府</w:t>
                            </w:r>
                          </w:p>
                        </w:tc>
                        <w:tc>
                          <w:tcPr>
                            <w:tcW w:w="850" w:type="dxa"/>
                            <w:tcBorders>
                              <w:left w:val="single" w:sz="4" w:space="0" w:color="auto"/>
                            </w:tcBorders>
                            <w:vAlign w:val="bottom"/>
                          </w:tcPr>
                          <w:p w14:paraId="60CD8B95"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1,605</w:t>
                            </w:r>
                          </w:p>
                        </w:tc>
                        <w:tc>
                          <w:tcPr>
                            <w:tcW w:w="850" w:type="dxa"/>
                            <w:vAlign w:val="bottom"/>
                          </w:tcPr>
                          <w:p w14:paraId="4870BA74"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1,448</w:t>
                            </w:r>
                          </w:p>
                        </w:tc>
                        <w:tc>
                          <w:tcPr>
                            <w:tcW w:w="851" w:type="dxa"/>
                            <w:vAlign w:val="bottom"/>
                          </w:tcPr>
                          <w:p w14:paraId="27ADE07D"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1,158</w:t>
                            </w:r>
                          </w:p>
                        </w:tc>
                        <w:tc>
                          <w:tcPr>
                            <w:tcW w:w="850" w:type="dxa"/>
                            <w:vAlign w:val="bottom"/>
                          </w:tcPr>
                          <w:p w14:paraId="5489E7E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2,040</w:t>
                            </w:r>
                          </w:p>
                        </w:tc>
                        <w:tc>
                          <w:tcPr>
                            <w:tcW w:w="851" w:type="dxa"/>
                            <w:vAlign w:val="bottom"/>
                          </w:tcPr>
                          <w:p w14:paraId="4992C0F1"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2,174</w:t>
                            </w:r>
                          </w:p>
                        </w:tc>
                        <w:tc>
                          <w:tcPr>
                            <w:tcW w:w="851" w:type="dxa"/>
                            <w:vAlign w:val="bottom"/>
                          </w:tcPr>
                          <w:p w14:paraId="1E00BB97" w14:textId="77777777" w:rsidR="00286703" w:rsidRPr="009434F7" w:rsidRDefault="00286703" w:rsidP="00660E8B">
                            <w:pPr>
                              <w:widowControl/>
                              <w:spacing w:line="240" w:lineRule="exact"/>
                              <w:jc w:val="right"/>
                              <w:rPr>
                                <w:rFonts w:ascii="標楷體" w:eastAsia="標楷體" w:hAnsi="標楷體"/>
                                <w:sz w:val="20"/>
                                <w:szCs w:val="16"/>
                              </w:rPr>
                            </w:pPr>
                            <w:r w:rsidRPr="009434F7">
                              <w:rPr>
                                <w:rFonts w:ascii="標楷體" w:eastAsia="標楷體" w:hAnsi="標楷體" w:hint="eastAsia"/>
                                <w:sz w:val="20"/>
                                <w:szCs w:val="16"/>
                              </w:rPr>
                              <w:t>1,685</w:t>
                            </w:r>
                          </w:p>
                        </w:tc>
                      </w:tr>
                      <w:tr w:rsidR="00286703" w:rsidRPr="003135ED" w14:paraId="4B9DE732" w14:textId="77777777" w:rsidTr="00BC23F0">
                        <w:trPr>
                          <w:trHeight w:val="227"/>
                          <w:jc w:val="center"/>
                        </w:trPr>
                        <w:tc>
                          <w:tcPr>
                            <w:tcW w:w="709" w:type="dxa"/>
                            <w:vMerge/>
                            <w:tcBorders>
                              <w:left w:val="single" w:sz="4" w:space="0" w:color="auto"/>
                              <w:bottom w:val="single" w:sz="4" w:space="0" w:color="auto"/>
                              <w:right w:val="single" w:sz="4" w:space="0" w:color="auto"/>
                            </w:tcBorders>
                          </w:tcPr>
                          <w:p w14:paraId="52CC8844"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p>
                        </w:tc>
                        <w:tc>
                          <w:tcPr>
                            <w:tcW w:w="851" w:type="dxa"/>
                            <w:tcBorders>
                              <w:top w:val="single" w:sz="4" w:space="0" w:color="auto"/>
                              <w:left w:val="single" w:sz="4" w:space="0" w:color="auto"/>
                              <w:bottom w:val="single" w:sz="4" w:space="0" w:color="auto"/>
                            </w:tcBorders>
                            <w:vAlign w:val="center"/>
                          </w:tcPr>
                          <w:p w14:paraId="0B947BE9"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地方政府</w:t>
                            </w:r>
                          </w:p>
                        </w:tc>
                        <w:tc>
                          <w:tcPr>
                            <w:tcW w:w="850" w:type="dxa"/>
                            <w:vAlign w:val="bottom"/>
                          </w:tcPr>
                          <w:p w14:paraId="5A626000"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2,533</w:t>
                            </w:r>
                          </w:p>
                        </w:tc>
                        <w:tc>
                          <w:tcPr>
                            <w:tcW w:w="850" w:type="dxa"/>
                            <w:vAlign w:val="bottom"/>
                          </w:tcPr>
                          <w:p w14:paraId="0B09CF5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2,575</w:t>
                            </w:r>
                          </w:p>
                        </w:tc>
                        <w:tc>
                          <w:tcPr>
                            <w:tcW w:w="851" w:type="dxa"/>
                            <w:vAlign w:val="bottom"/>
                          </w:tcPr>
                          <w:p w14:paraId="126439AA"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1,488</w:t>
                            </w:r>
                          </w:p>
                        </w:tc>
                        <w:tc>
                          <w:tcPr>
                            <w:tcW w:w="850" w:type="dxa"/>
                            <w:vAlign w:val="bottom"/>
                          </w:tcPr>
                          <w:p w14:paraId="2A04E84E"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2,909</w:t>
                            </w:r>
                          </w:p>
                        </w:tc>
                        <w:tc>
                          <w:tcPr>
                            <w:tcW w:w="851" w:type="dxa"/>
                            <w:vAlign w:val="bottom"/>
                          </w:tcPr>
                          <w:p w14:paraId="1950BEF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3,689</w:t>
                            </w:r>
                          </w:p>
                        </w:tc>
                        <w:tc>
                          <w:tcPr>
                            <w:tcW w:w="851" w:type="dxa"/>
                            <w:vAlign w:val="bottom"/>
                          </w:tcPr>
                          <w:p w14:paraId="49BBFB20"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2,639</w:t>
                            </w:r>
                          </w:p>
                        </w:tc>
                      </w:tr>
                      <w:tr w:rsidR="00286703" w:rsidRPr="003135ED" w14:paraId="38A934B9" w14:textId="77777777" w:rsidTr="00BC23F0">
                        <w:trPr>
                          <w:trHeight w:val="227"/>
                          <w:jc w:val="center"/>
                        </w:trPr>
                        <w:tc>
                          <w:tcPr>
                            <w:tcW w:w="1560" w:type="dxa"/>
                            <w:gridSpan w:val="2"/>
                            <w:vAlign w:val="center"/>
                          </w:tcPr>
                          <w:p w14:paraId="03BB4A93"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報考人數</w:t>
                            </w:r>
                          </w:p>
                        </w:tc>
                        <w:tc>
                          <w:tcPr>
                            <w:tcW w:w="850" w:type="dxa"/>
                            <w:vAlign w:val="center"/>
                          </w:tcPr>
                          <w:p w14:paraId="4328A1F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83,616</w:t>
                            </w:r>
                          </w:p>
                        </w:tc>
                        <w:tc>
                          <w:tcPr>
                            <w:tcW w:w="850" w:type="dxa"/>
                            <w:vAlign w:val="center"/>
                          </w:tcPr>
                          <w:p w14:paraId="08DAAC9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84,417</w:t>
                            </w:r>
                          </w:p>
                        </w:tc>
                        <w:tc>
                          <w:tcPr>
                            <w:tcW w:w="851" w:type="dxa"/>
                            <w:vAlign w:val="center"/>
                          </w:tcPr>
                          <w:p w14:paraId="481CF71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71,284</w:t>
                            </w:r>
                          </w:p>
                        </w:tc>
                        <w:tc>
                          <w:tcPr>
                            <w:tcW w:w="850" w:type="dxa"/>
                            <w:vAlign w:val="center"/>
                          </w:tcPr>
                          <w:p w14:paraId="1A4061C9"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66,402</w:t>
                            </w:r>
                          </w:p>
                        </w:tc>
                        <w:tc>
                          <w:tcPr>
                            <w:tcW w:w="851" w:type="dxa"/>
                            <w:vAlign w:val="center"/>
                          </w:tcPr>
                          <w:p w14:paraId="32F41E7B"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66,702</w:t>
                            </w:r>
                          </w:p>
                        </w:tc>
                        <w:tc>
                          <w:tcPr>
                            <w:tcW w:w="851" w:type="dxa"/>
                            <w:vAlign w:val="center"/>
                          </w:tcPr>
                          <w:p w14:paraId="5A4232F1"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74,484</w:t>
                            </w:r>
                          </w:p>
                        </w:tc>
                      </w:tr>
                      <w:tr w:rsidR="00286703" w:rsidRPr="003135ED" w14:paraId="09F8BC29" w14:textId="77777777" w:rsidTr="00BC23F0">
                        <w:trPr>
                          <w:trHeight w:val="227"/>
                          <w:jc w:val="center"/>
                        </w:trPr>
                        <w:tc>
                          <w:tcPr>
                            <w:tcW w:w="1560" w:type="dxa"/>
                            <w:gridSpan w:val="2"/>
                            <w:vAlign w:val="center"/>
                          </w:tcPr>
                          <w:p w14:paraId="4E5869A2" w14:textId="77777777" w:rsidR="00286703" w:rsidRPr="001B4C3E" w:rsidRDefault="00286703" w:rsidP="00660E8B">
                            <w:pPr>
                              <w:spacing w:line="240" w:lineRule="exact"/>
                              <w:ind w:leftChars="-50" w:left="-120" w:rightChars="-50" w:right="-120"/>
                              <w:jc w:val="center"/>
                              <w:rPr>
                                <w:rFonts w:ascii="標楷體" w:eastAsia="標楷體" w:hAnsi="標楷體"/>
                                <w:sz w:val="20"/>
                                <w:szCs w:val="16"/>
                              </w:rPr>
                            </w:pPr>
                            <w:r w:rsidRPr="001B4C3E">
                              <w:rPr>
                                <w:rFonts w:ascii="標楷體" w:eastAsia="標楷體" w:hAnsi="標楷體" w:hint="eastAsia"/>
                                <w:sz w:val="20"/>
                                <w:szCs w:val="16"/>
                              </w:rPr>
                              <w:t>到考人數</w:t>
                            </w:r>
                          </w:p>
                        </w:tc>
                        <w:tc>
                          <w:tcPr>
                            <w:tcW w:w="850" w:type="dxa"/>
                            <w:vAlign w:val="center"/>
                          </w:tcPr>
                          <w:p w14:paraId="30D9502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57,701</w:t>
                            </w:r>
                          </w:p>
                        </w:tc>
                        <w:tc>
                          <w:tcPr>
                            <w:tcW w:w="850" w:type="dxa"/>
                            <w:vAlign w:val="center"/>
                          </w:tcPr>
                          <w:p w14:paraId="1BE5D6DF"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53,105</w:t>
                            </w:r>
                          </w:p>
                        </w:tc>
                        <w:tc>
                          <w:tcPr>
                            <w:tcW w:w="851" w:type="dxa"/>
                            <w:vAlign w:val="center"/>
                          </w:tcPr>
                          <w:p w14:paraId="5B70DA8A"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46,593</w:t>
                            </w:r>
                          </w:p>
                        </w:tc>
                        <w:tc>
                          <w:tcPr>
                            <w:tcW w:w="850" w:type="dxa"/>
                            <w:vAlign w:val="center"/>
                          </w:tcPr>
                          <w:p w14:paraId="137CBC73"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44,635</w:t>
                            </w:r>
                          </w:p>
                        </w:tc>
                        <w:tc>
                          <w:tcPr>
                            <w:tcW w:w="851" w:type="dxa"/>
                            <w:vAlign w:val="center"/>
                          </w:tcPr>
                          <w:p w14:paraId="335632DD"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sz w:val="20"/>
                                <w:szCs w:val="16"/>
                              </w:rPr>
                              <w:t>46,132</w:t>
                            </w:r>
                          </w:p>
                        </w:tc>
                        <w:tc>
                          <w:tcPr>
                            <w:tcW w:w="851" w:type="dxa"/>
                            <w:vAlign w:val="center"/>
                          </w:tcPr>
                          <w:p w14:paraId="0CEA0CC6" w14:textId="77777777" w:rsidR="00286703" w:rsidRPr="009434F7" w:rsidRDefault="00286703" w:rsidP="00660E8B">
                            <w:pPr>
                              <w:spacing w:line="240" w:lineRule="exact"/>
                              <w:jc w:val="right"/>
                              <w:rPr>
                                <w:rFonts w:ascii="標楷體" w:eastAsia="標楷體" w:hAnsi="標楷體"/>
                                <w:sz w:val="20"/>
                                <w:szCs w:val="16"/>
                              </w:rPr>
                            </w:pPr>
                            <w:r w:rsidRPr="009434F7">
                              <w:rPr>
                                <w:rFonts w:ascii="標楷體" w:eastAsia="標楷體" w:hAnsi="標楷體" w:hint="eastAsia"/>
                                <w:sz w:val="20"/>
                                <w:szCs w:val="16"/>
                              </w:rPr>
                              <w:t>4</w:t>
                            </w:r>
                            <w:r w:rsidRPr="009434F7">
                              <w:rPr>
                                <w:rFonts w:ascii="標楷體" w:eastAsia="標楷體" w:hAnsi="標楷體"/>
                                <w:sz w:val="20"/>
                                <w:szCs w:val="16"/>
                              </w:rPr>
                              <w:t>9,633</w:t>
                            </w:r>
                          </w:p>
                        </w:tc>
                      </w:tr>
                      <w:tr w:rsidR="00286703" w:rsidRPr="003135ED" w14:paraId="75D39C6F" w14:textId="77777777" w:rsidTr="006C2827">
                        <w:trPr>
                          <w:trHeight w:val="283"/>
                          <w:jc w:val="center"/>
                        </w:trPr>
                        <w:tc>
                          <w:tcPr>
                            <w:tcW w:w="6663" w:type="dxa"/>
                            <w:gridSpan w:val="8"/>
                            <w:tcBorders>
                              <w:top w:val="single" w:sz="4" w:space="0" w:color="auto"/>
                              <w:left w:val="nil"/>
                              <w:bottom w:val="nil"/>
                              <w:right w:val="nil"/>
                            </w:tcBorders>
                          </w:tcPr>
                          <w:p w14:paraId="26571529" w14:textId="77777777" w:rsidR="00286703" w:rsidRDefault="00286703" w:rsidP="00660E8B">
                            <w:pPr>
                              <w:spacing w:line="240" w:lineRule="exact"/>
                              <w:ind w:leftChars="-20" w:left="-48"/>
                              <w:rPr>
                                <w:rFonts w:ascii="標楷體" w:eastAsia="標楷體" w:hAnsi="標楷體"/>
                              </w:rPr>
                            </w:pPr>
                            <w:r w:rsidRPr="008D2B93">
                              <w:rPr>
                                <w:rFonts w:ascii="標楷體" w:eastAsia="標楷體" w:hAnsi="標楷體" w:hint="eastAsia"/>
                                <w:sz w:val="18"/>
                                <w:szCs w:val="18"/>
                              </w:rPr>
                              <w:t>資料來源</w:t>
                            </w:r>
                            <w:r w:rsidRPr="008D2B93">
                              <w:rPr>
                                <w:rFonts w:ascii="標楷體" w:eastAsia="標楷體" w:hAnsi="標楷體"/>
                                <w:sz w:val="18"/>
                                <w:szCs w:val="18"/>
                              </w:rPr>
                              <w:t>：</w:t>
                            </w:r>
                            <w:r w:rsidRPr="008D2B93">
                              <w:rPr>
                                <w:rFonts w:ascii="標楷體" w:eastAsia="標楷體" w:hAnsi="標楷體" w:hint="eastAsia"/>
                                <w:sz w:val="18"/>
                                <w:szCs w:val="18"/>
                              </w:rPr>
                              <w:t>整理自</w:t>
                            </w:r>
                            <w:r>
                              <w:rPr>
                                <w:rFonts w:ascii="標楷體" w:eastAsia="標楷體" w:hAnsi="標楷體" w:hint="eastAsia"/>
                                <w:sz w:val="18"/>
                                <w:szCs w:val="18"/>
                              </w:rPr>
                              <w:t>考選部網站公告</w:t>
                            </w:r>
                            <w:r w:rsidRPr="008D2B93">
                              <w:rPr>
                                <w:rFonts w:ascii="標楷體" w:eastAsia="標楷體" w:hAnsi="標楷體"/>
                                <w:sz w:val="18"/>
                                <w:szCs w:val="18"/>
                              </w:rPr>
                              <w:t>資料。</w:t>
                            </w:r>
                          </w:p>
                        </w:tc>
                      </w:tr>
                    </w:tbl>
                    <w:p w14:paraId="522546A9" w14:textId="77777777" w:rsidR="00286703" w:rsidRPr="00660E8B" w:rsidRDefault="00286703" w:rsidP="00286703"/>
                  </w:txbxContent>
                </v:textbox>
                <w10:wrap type="square" anchory="page"/>
              </v:shape>
            </w:pict>
          </mc:Fallback>
        </mc:AlternateContent>
      </w:r>
      <w:r w:rsidR="008E3A66" w:rsidRPr="00E336A7">
        <w:rPr>
          <w:rFonts w:hAnsi="標楷體" w:hint="eastAsia"/>
          <w:bCs/>
          <w:snapToGrid w:val="0"/>
          <w:spacing w:val="-2"/>
          <w:sz w:val="24"/>
          <w:szCs w:val="24"/>
        </w:rPr>
        <w:t>趨勢（表36）；中央</w:t>
      </w:r>
      <w:r w:rsidR="00E336A7" w:rsidRPr="00262D3D">
        <w:rPr>
          <w:rFonts w:hAnsi="標楷體" w:hint="eastAsia"/>
          <w:bCs/>
          <w:snapToGrid w:val="0"/>
          <w:sz w:val="24"/>
          <w:szCs w:val="24"/>
        </w:rPr>
        <w:t>機</w:t>
      </w:r>
      <w:r w:rsidR="00BA54BE" w:rsidRPr="00262D3D">
        <w:rPr>
          <w:rFonts w:hAnsi="標楷體" w:hint="eastAsia"/>
          <w:bCs/>
          <w:snapToGrid w:val="0"/>
          <w:sz w:val="24"/>
          <w:szCs w:val="24"/>
        </w:rPr>
        <w:t>關正</w:t>
      </w:r>
      <w:proofErr w:type="gramStart"/>
      <w:r w:rsidR="00BA54BE" w:rsidRPr="00262D3D">
        <w:rPr>
          <w:rFonts w:hAnsi="標楷體" w:hint="eastAsia"/>
          <w:bCs/>
          <w:snapToGrid w:val="0"/>
          <w:sz w:val="24"/>
          <w:szCs w:val="24"/>
        </w:rPr>
        <w:t>額</w:t>
      </w:r>
      <w:r w:rsidRPr="00262D3D">
        <w:rPr>
          <w:rFonts w:hAnsi="標楷體" w:hint="eastAsia"/>
          <w:bCs/>
          <w:snapToGrid w:val="0"/>
          <w:sz w:val="24"/>
          <w:szCs w:val="24"/>
        </w:rPr>
        <w:t>職缺經</w:t>
      </w:r>
      <w:proofErr w:type="gramEnd"/>
      <w:r w:rsidRPr="00262D3D">
        <w:rPr>
          <w:rFonts w:hAnsi="標楷體" w:hint="eastAsia"/>
          <w:bCs/>
          <w:snapToGrid w:val="0"/>
          <w:sz w:val="24"/>
          <w:szCs w:val="24"/>
        </w:rPr>
        <w:t>考試</w:t>
      </w:r>
      <w:r w:rsidRPr="00262D3D">
        <w:rPr>
          <w:rFonts w:hAnsi="標楷體"/>
          <w:bCs/>
          <w:snapToGrid w:val="0"/>
          <w:sz w:val="24"/>
          <w:szCs w:val="24"/>
        </w:rPr>
        <w:t>錄取、分配訓練</w:t>
      </w:r>
      <w:r w:rsidRPr="00262D3D">
        <w:rPr>
          <w:rFonts w:hAnsi="標楷體" w:hint="eastAsia"/>
          <w:bCs/>
          <w:snapToGrid w:val="0"/>
          <w:sz w:val="24"/>
          <w:szCs w:val="24"/>
        </w:rPr>
        <w:t>、</w:t>
      </w:r>
      <w:r w:rsidRPr="00262D3D">
        <w:rPr>
          <w:rFonts w:hAnsi="標楷體"/>
          <w:bCs/>
          <w:snapToGrid w:val="0"/>
          <w:sz w:val="24"/>
          <w:szCs w:val="24"/>
        </w:rPr>
        <w:t>分發</w:t>
      </w:r>
      <w:r w:rsidRPr="00262D3D">
        <w:rPr>
          <w:rFonts w:hAnsi="標楷體" w:hint="eastAsia"/>
          <w:bCs/>
          <w:snapToGrid w:val="0"/>
          <w:sz w:val="24"/>
          <w:szCs w:val="24"/>
        </w:rPr>
        <w:t>報到等各階段作業後，仍</w:t>
      </w:r>
      <w:proofErr w:type="gramStart"/>
      <w:r w:rsidRPr="00262D3D">
        <w:rPr>
          <w:rFonts w:hAnsi="標楷體" w:hint="eastAsia"/>
          <w:bCs/>
          <w:snapToGrid w:val="0"/>
          <w:sz w:val="24"/>
          <w:szCs w:val="24"/>
        </w:rPr>
        <w:t>未能獲補實</w:t>
      </w:r>
      <w:proofErr w:type="gramEnd"/>
      <w:r w:rsidRPr="00262D3D">
        <w:rPr>
          <w:rFonts w:hAnsi="標楷體" w:hint="eastAsia"/>
          <w:bCs/>
          <w:snapToGrid w:val="0"/>
          <w:sz w:val="24"/>
          <w:szCs w:val="24"/>
        </w:rPr>
        <w:t>之</w:t>
      </w:r>
      <w:proofErr w:type="gramStart"/>
      <w:r w:rsidRPr="00262D3D">
        <w:rPr>
          <w:rFonts w:hAnsi="標楷體" w:hint="eastAsia"/>
          <w:bCs/>
          <w:snapToGrid w:val="0"/>
          <w:sz w:val="24"/>
          <w:szCs w:val="24"/>
        </w:rPr>
        <w:t>職缺數</w:t>
      </w:r>
      <w:proofErr w:type="gramEnd"/>
      <w:r w:rsidRPr="00262D3D">
        <w:rPr>
          <w:rFonts w:hAnsi="標楷體" w:hint="eastAsia"/>
          <w:bCs/>
          <w:snapToGrid w:val="0"/>
          <w:sz w:val="24"/>
          <w:szCs w:val="24"/>
        </w:rPr>
        <w:t>，亦由</w:t>
      </w:r>
      <w:proofErr w:type="gramStart"/>
      <w:r w:rsidRPr="00262D3D">
        <w:rPr>
          <w:rFonts w:hAnsi="標楷體" w:hint="eastAsia"/>
          <w:bCs/>
          <w:snapToGrid w:val="0"/>
          <w:sz w:val="24"/>
          <w:szCs w:val="24"/>
        </w:rPr>
        <w:t>109</w:t>
      </w:r>
      <w:proofErr w:type="gramEnd"/>
      <w:r w:rsidRPr="00262D3D">
        <w:rPr>
          <w:rFonts w:hAnsi="標楷體" w:hint="eastAsia"/>
          <w:bCs/>
          <w:snapToGrid w:val="0"/>
          <w:sz w:val="24"/>
          <w:szCs w:val="24"/>
        </w:rPr>
        <w:t>年度之368個，增加至</w:t>
      </w:r>
      <w:proofErr w:type="gramStart"/>
      <w:r w:rsidRPr="00262D3D">
        <w:rPr>
          <w:rFonts w:hAnsi="標楷體" w:hint="eastAsia"/>
          <w:bCs/>
          <w:snapToGrid w:val="0"/>
          <w:sz w:val="24"/>
          <w:szCs w:val="24"/>
        </w:rPr>
        <w:t>113</w:t>
      </w:r>
      <w:proofErr w:type="gramEnd"/>
      <w:r w:rsidRPr="00262D3D">
        <w:rPr>
          <w:rFonts w:hAnsi="標楷體" w:hint="eastAsia"/>
          <w:bCs/>
          <w:snapToGrid w:val="0"/>
          <w:sz w:val="24"/>
          <w:szCs w:val="24"/>
        </w:rPr>
        <w:t>年度之524</w:t>
      </w:r>
      <w:r w:rsidR="00286703" w:rsidRPr="00262D3D">
        <w:rPr>
          <w:rFonts w:hAnsi="標楷體" w:hint="eastAsia"/>
          <w:bCs/>
          <w:noProof/>
          <w:szCs w:val="24"/>
        </w:rPr>
        <mc:AlternateContent>
          <mc:Choice Requires="wps">
            <w:drawing>
              <wp:anchor distT="0" distB="0" distL="114300" distR="114300" simplePos="0" relativeHeight="251664384" behindDoc="0" locked="0" layoutInCell="1" allowOverlap="1" wp14:anchorId="45DF6C70" wp14:editId="3F6F7D3C">
                <wp:simplePos x="0" y="0"/>
                <wp:positionH relativeFrom="column">
                  <wp:posOffset>1874520</wp:posOffset>
                </wp:positionH>
                <wp:positionV relativeFrom="paragraph">
                  <wp:posOffset>6411595</wp:posOffset>
                </wp:positionV>
                <wp:extent cx="4373880" cy="2541905"/>
                <wp:effectExtent l="0" t="0" r="0"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2541905"/>
                        </a:xfrm>
                        <a:prstGeom prst="rect">
                          <a:avLst/>
                        </a:prstGeom>
                        <a:noFill/>
                        <a:ln w="9525">
                          <a:noFill/>
                          <a:miter lim="800000"/>
                          <a:headEnd/>
                          <a:tailEnd/>
                        </a:ln>
                      </wps:spPr>
                      <wps:txbx>
                        <w:txbxContent>
                          <w:tbl>
                            <w:tblPr>
                              <w:tblStyle w:val="afff"/>
                              <w:tblW w:w="6677" w:type="dxa"/>
                              <w:jc w:val="center"/>
                              <w:tblLayout w:type="fixed"/>
                              <w:tblLook w:val="04A0" w:firstRow="1" w:lastRow="0" w:firstColumn="1" w:lastColumn="0" w:noHBand="0" w:noVBand="1"/>
                            </w:tblPr>
                            <w:tblGrid>
                              <w:gridCol w:w="863"/>
                              <w:gridCol w:w="1162"/>
                              <w:gridCol w:w="1163"/>
                              <w:gridCol w:w="1163"/>
                              <w:gridCol w:w="1163"/>
                              <w:gridCol w:w="1163"/>
                            </w:tblGrid>
                            <w:tr w:rsidR="00E94BB2" w:rsidRPr="003135ED" w14:paraId="1E1D049D" w14:textId="77777777" w:rsidTr="006C2827">
                              <w:trPr>
                                <w:trHeight w:val="340"/>
                                <w:jc w:val="center"/>
                              </w:trPr>
                              <w:tc>
                                <w:tcPr>
                                  <w:tcW w:w="6677" w:type="dxa"/>
                                  <w:gridSpan w:val="6"/>
                                  <w:tcBorders>
                                    <w:top w:val="nil"/>
                                    <w:left w:val="nil"/>
                                    <w:bottom w:val="nil"/>
                                    <w:right w:val="nil"/>
                                  </w:tcBorders>
                                  <w:vAlign w:val="center"/>
                                </w:tcPr>
                                <w:p w14:paraId="144B0C21" w14:textId="77777777" w:rsidR="00E94BB2" w:rsidRPr="00134EEE" w:rsidRDefault="00E94BB2" w:rsidP="00193CC0">
                                  <w:pPr>
                                    <w:spacing w:line="240" w:lineRule="exact"/>
                                    <w:ind w:left="608" w:hangingChars="253" w:hanging="608"/>
                                    <w:jc w:val="center"/>
                                    <w:rPr>
                                      <w:rFonts w:ascii="標楷體" w:eastAsia="標楷體" w:hAnsi="標楷體"/>
                                      <w:szCs w:val="24"/>
                                    </w:rPr>
                                  </w:pPr>
                                  <w:r w:rsidRPr="00134EEE">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7</w:t>
                                  </w:r>
                                  <w:r w:rsidRPr="00134EEE">
                                    <w:rPr>
                                      <w:rFonts w:ascii="標楷體" w:eastAsia="標楷體" w:hAnsi="標楷體" w:hint="eastAsia"/>
                                      <w:b/>
                                      <w:szCs w:val="24"/>
                                    </w:rPr>
                                    <w:t xml:space="preserve">　</w:t>
                                  </w:r>
                                  <w:r w:rsidRPr="00134EEE">
                                    <w:rPr>
                                      <w:rFonts w:ascii="標楷體" w:eastAsia="標楷體" w:hAnsi="標楷體"/>
                                      <w:b/>
                                      <w:szCs w:val="24"/>
                                    </w:rPr>
                                    <w:t>中央政府機關</w:t>
                                  </w:r>
                                  <w:r w:rsidRPr="00134EEE">
                                    <w:rPr>
                                      <w:rFonts w:ascii="標楷體" w:eastAsia="標楷體" w:hAnsi="標楷體" w:hint="eastAsia"/>
                                      <w:b/>
                                      <w:szCs w:val="24"/>
                                    </w:rPr>
                                    <w:t>正職缺額未補實</w:t>
                                  </w:r>
                                  <w:r w:rsidRPr="00134EEE">
                                    <w:rPr>
                                      <w:rFonts w:ascii="標楷體" w:eastAsia="標楷體" w:hAnsi="標楷體"/>
                                      <w:b/>
                                      <w:szCs w:val="24"/>
                                    </w:rPr>
                                    <w:t>情形</w:t>
                                  </w:r>
                                </w:p>
                              </w:tc>
                            </w:tr>
                            <w:tr w:rsidR="00E94BB2" w:rsidRPr="001B4C3E" w14:paraId="6705EDB7" w14:textId="77777777" w:rsidTr="006C2827">
                              <w:trPr>
                                <w:trHeight w:val="227"/>
                                <w:jc w:val="center"/>
                              </w:trPr>
                              <w:tc>
                                <w:tcPr>
                                  <w:tcW w:w="6677" w:type="dxa"/>
                                  <w:gridSpan w:val="6"/>
                                  <w:tcBorders>
                                    <w:top w:val="nil"/>
                                    <w:left w:val="nil"/>
                                    <w:bottom w:val="single" w:sz="4" w:space="0" w:color="auto"/>
                                    <w:right w:val="nil"/>
                                  </w:tcBorders>
                                </w:tcPr>
                                <w:p w14:paraId="5A46BE78" w14:textId="3FB25453" w:rsidR="00E94BB2" w:rsidRPr="001B4C3E" w:rsidRDefault="00E94BB2" w:rsidP="00193CC0">
                                  <w:pPr>
                                    <w:spacing w:line="220" w:lineRule="exact"/>
                                    <w:jc w:val="right"/>
                                    <w:rPr>
                                      <w:rFonts w:ascii="標楷體" w:eastAsia="標楷體" w:hAnsi="標楷體"/>
                                      <w:sz w:val="20"/>
                                    </w:rPr>
                                  </w:pPr>
                                  <w:r w:rsidRPr="001B4C3E">
                                    <w:rPr>
                                      <w:rFonts w:ascii="標楷體" w:eastAsia="標楷體" w:hAnsi="標楷體" w:hint="eastAsia"/>
                                      <w:sz w:val="20"/>
                                    </w:rPr>
                                    <w:t>單位</w:t>
                                  </w:r>
                                  <w:r w:rsidRPr="001B4C3E">
                                    <w:rPr>
                                      <w:rFonts w:ascii="標楷體" w:eastAsia="標楷體" w:hAnsi="標楷體"/>
                                      <w:sz w:val="20"/>
                                    </w:rPr>
                                    <w:t>：</w:t>
                                  </w:r>
                                  <w:proofErr w:type="gramStart"/>
                                  <w:r w:rsidR="00B9148F">
                                    <w:rPr>
                                      <w:rFonts w:ascii="標楷體" w:eastAsia="標楷體" w:hAnsi="標楷體" w:hint="eastAsia"/>
                                      <w:sz w:val="20"/>
                                    </w:rPr>
                                    <w:t>個</w:t>
                                  </w:r>
                                  <w:proofErr w:type="gramEnd"/>
                                  <w:r w:rsidR="00B9148F">
                                    <w:rPr>
                                      <w:rFonts w:ascii="標楷體" w:eastAsia="標楷體" w:hAnsi="標楷體" w:hint="eastAsia"/>
                                      <w:sz w:val="20"/>
                                    </w:rPr>
                                    <w:t>、</w:t>
                                  </w:r>
                                  <w:r w:rsidRPr="001B4C3E">
                                    <w:rPr>
                                      <w:rFonts w:ascii="標楷體" w:eastAsia="標楷體" w:hAnsi="標楷體"/>
                                      <w:sz w:val="20"/>
                                    </w:rPr>
                                    <w:t>人</w:t>
                                  </w:r>
                                  <w:r w:rsidR="00A37550">
                                    <w:rPr>
                                      <w:rFonts w:ascii="標楷體" w:eastAsia="標楷體" w:hAnsi="標楷體" w:hint="eastAsia"/>
                                      <w:sz w:val="20"/>
                                    </w:rPr>
                                    <w:t>、％</w:t>
                                  </w:r>
                                </w:p>
                              </w:tc>
                            </w:tr>
                            <w:tr w:rsidR="00E94BB2" w:rsidRPr="001B4C3E" w14:paraId="137F48F7" w14:textId="77777777" w:rsidTr="006C2827">
                              <w:trPr>
                                <w:trHeight w:val="20"/>
                                <w:jc w:val="center"/>
                              </w:trPr>
                              <w:tc>
                                <w:tcPr>
                                  <w:tcW w:w="863" w:type="dxa"/>
                                  <w:tcBorders>
                                    <w:top w:val="single" w:sz="4" w:space="0" w:color="auto"/>
                                  </w:tcBorders>
                                  <w:vAlign w:val="center"/>
                                </w:tcPr>
                                <w:p w14:paraId="697D6370"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年度</w:t>
                                  </w:r>
                                </w:p>
                              </w:tc>
                              <w:tc>
                                <w:tcPr>
                                  <w:tcW w:w="1162" w:type="dxa"/>
                                  <w:tcBorders>
                                    <w:top w:val="single" w:sz="4" w:space="0" w:color="auto"/>
                                  </w:tcBorders>
                                  <w:vAlign w:val="center"/>
                                </w:tcPr>
                                <w:p w14:paraId="0A5CB75A" w14:textId="77777777" w:rsidR="00E94BB2" w:rsidRPr="001B4C3E" w:rsidRDefault="00E94BB2" w:rsidP="00193CC0">
                                  <w:pPr>
                                    <w:spacing w:line="240" w:lineRule="exact"/>
                                    <w:ind w:leftChars="-20" w:left="-48" w:rightChars="-20" w:right="-48"/>
                                    <w:jc w:val="center"/>
                                    <w:rPr>
                                      <w:rFonts w:ascii="標楷體" w:eastAsia="標楷體" w:hAnsi="標楷體"/>
                                      <w:sz w:val="20"/>
                                    </w:rPr>
                                  </w:pPr>
                                  <w:proofErr w:type="gramStart"/>
                                  <w:r w:rsidRPr="001B4C3E">
                                    <w:rPr>
                                      <w:rFonts w:ascii="標楷體" w:eastAsia="標楷體" w:hAnsi="標楷體" w:hint="eastAsia"/>
                                      <w:sz w:val="20"/>
                                    </w:rPr>
                                    <w:t>正額職缺</w:t>
                                  </w:r>
                                  <w:proofErr w:type="gramEnd"/>
                                </w:p>
                                <w:p w14:paraId="21F2AE3F"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r w:rsidRPr="001B4C3E">
                                    <w:rPr>
                                      <w:rFonts w:ascii="標楷體" w:eastAsia="標楷體" w:hAnsi="標楷體"/>
                                      <w:sz w:val="20"/>
                                    </w:rPr>
                                    <w:t>A)</w:t>
                                  </w:r>
                                </w:p>
                              </w:tc>
                              <w:tc>
                                <w:tcPr>
                                  <w:tcW w:w="1163" w:type="dxa"/>
                                  <w:tcBorders>
                                    <w:top w:val="single" w:sz="4" w:space="0" w:color="auto"/>
                                  </w:tcBorders>
                                  <w:vAlign w:val="center"/>
                                </w:tcPr>
                                <w:p w14:paraId="7613635A"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獲分配人數</w:t>
                                  </w:r>
                                </w:p>
                                <w:p w14:paraId="60D763F0"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r w:rsidRPr="001B4C3E">
                                    <w:rPr>
                                      <w:rFonts w:ascii="標楷體" w:eastAsia="標楷體" w:hAnsi="標楷體"/>
                                      <w:sz w:val="20"/>
                                    </w:rPr>
                                    <w:t>B)</w:t>
                                  </w:r>
                                  <w:r w:rsidRPr="001B4C3E">
                                    <w:rPr>
                                      <w:rFonts w:ascii="標楷體" w:eastAsia="標楷體" w:hAnsi="標楷體" w:hint="eastAsia"/>
                                      <w:sz w:val="20"/>
                                    </w:rPr>
                                    <w:t>(</w:t>
                                  </w:r>
                                  <w:proofErr w:type="gramStart"/>
                                  <w:r w:rsidRPr="001B4C3E">
                                    <w:rPr>
                                      <w:rFonts w:ascii="標楷體" w:eastAsia="標楷體" w:hAnsi="標楷體" w:hint="eastAsia"/>
                                      <w:sz w:val="20"/>
                                    </w:rPr>
                                    <w:t>註</w:t>
                                  </w:r>
                                  <w:proofErr w:type="gramEnd"/>
                                  <w:r w:rsidRPr="001B4C3E">
                                    <w:rPr>
                                      <w:rFonts w:ascii="標楷體" w:eastAsia="標楷體" w:hAnsi="標楷體"/>
                                      <w:sz w:val="20"/>
                                    </w:rPr>
                                    <w:t>1)</w:t>
                                  </w:r>
                                </w:p>
                              </w:tc>
                              <w:tc>
                                <w:tcPr>
                                  <w:tcW w:w="1163" w:type="dxa"/>
                                  <w:tcBorders>
                                    <w:top w:val="single" w:sz="4" w:space="0" w:color="auto"/>
                                  </w:tcBorders>
                                  <w:vAlign w:val="center"/>
                                </w:tcPr>
                                <w:p w14:paraId="4221CBEC"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放棄或未報到人數(</w:t>
                                  </w:r>
                                  <w:r w:rsidRPr="001B4C3E">
                                    <w:rPr>
                                      <w:rFonts w:ascii="標楷體" w:eastAsia="標楷體" w:hAnsi="標楷體"/>
                                      <w:sz w:val="20"/>
                                    </w:rPr>
                                    <w:t>C)</w:t>
                                  </w:r>
                                </w:p>
                                <w:p w14:paraId="2598FF7E"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proofErr w:type="gramStart"/>
                                  <w:r w:rsidRPr="001B4C3E">
                                    <w:rPr>
                                      <w:rFonts w:ascii="標楷體" w:eastAsia="標楷體" w:hAnsi="標楷體" w:hint="eastAsia"/>
                                      <w:sz w:val="20"/>
                                    </w:rPr>
                                    <w:t>註</w:t>
                                  </w:r>
                                  <w:proofErr w:type="gramEnd"/>
                                  <w:r w:rsidRPr="001B4C3E">
                                    <w:rPr>
                                      <w:rFonts w:ascii="標楷體" w:eastAsia="標楷體" w:hAnsi="標楷體"/>
                                      <w:sz w:val="20"/>
                                    </w:rPr>
                                    <w:t>2)</w:t>
                                  </w:r>
                                </w:p>
                              </w:tc>
                              <w:tc>
                                <w:tcPr>
                                  <w:tcW w:w="1163" w:type="dxa"/>
                                  <w:tcBorders>
                                    <w:top w:val="single" w:sz="4" w:space="0" w:color="auto"/>
                                  </w:tcBorders>
                                  <w:vAlign w:val="center"/>
                                </w:tcPr>
                                <w:p w14:paraId="798E47AE"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未補實職缺</w:t>
                                  </w:r>
                                </w:p>
                                <w:p w14:paraId="6260E647" w14:textId="77777777" w:rsidR="00E94BB2" w:rsidRPr="001B4C3E" w:rsidRDefault="00E94BB2" w:rsidP="006C2827">
                                  <w:pPr>
                                    <w:spacing w:line="240" w:lineRule="exact"/>
                                    <w:ind w:leftChars="-45" w:left="-108" w:rightChars="-54" w:right="-130"/>
                                    <w:jc w:val="center"/>
                                    <w:rPr>
                                      <w:rFonts w:ascii="標楷體" w:eastAsia="標楷體" w:hAnsi="標楷體"/>
                                      <w:sz w:val="20"/>
                                    </w:rPr>
                                  </w:pPr>
                                  <w:r w:rsidRPr="001B4C3E">
                                    <w:rPr>
                                      <w:rFonts w:ascii="標楷體" w:eastAsia="標楷體" w:hAnsi="標楷體"/>
                                      <w:sz w:val="20"/>
                                    </w:rPr>
                                    <w:t>(D)</w:t>
                                  </w:r>
                                  <w:r w:rsidRPr="001B4C3E">
                                    <w:rPr>
                                      <w:rFonts w:ascii="標楷體" w:eastAsia="標楷體" w:hAnsi="標楷體" w:hint="eastAsia"/>
                                      <w:sz w:val="20"/>
                                    </w:rPr>
                                    <w:t>=</w:t>
                                  </w:r>
                                  <w:r w:rsidRPr="001B4C3E">
                                    <w:rPr>
                                      <w:rFonts w:ascii="標楷體" w:eastAsia="標楷體" w:hAnsi="標楷體"/>
                                      <w:sz w:val="20"/>
                                    </w:rPr>
                                    <w:t>(A)-</w:t>
                                  </w:r>
                                  <w:r w:rsidRPr="001B4C3E">
                                    <w:rPr>
                                      <w:rFonts w:ascii="標楷體" w:eastAsia="標楷體" w:hAnsi="標楷體" w:hint="eastAsia"/>
                                      <w:sz w:val="20"/>
                                    </w:rPr>
                                    <w:t>【(</w:t>
                                  </w:r>
                                  <w:r w:rsidRPr="001B4C3E">
                                    <w:rPr>
                                      <w:rFonts w:ascii="標楷體" w:eastAsia="標楷體" w:hAnsi="標楷體"/>
                                      <w:sz w:val="20"/>
                                    </w:rPr>
                                    <w:t>B)-(C)</w:t>
                                  </w:r>
                                  <w:r w:rsidRPr="001B4C3E">
                                    <w:rPr>
                                      <w:rFonts w:ascii="標楷體" w:eastAsia="標楷體" w:hAnsi="標楷體" w:hint="eastAsia"/>
                                      <w:sz w:val="20"/>
                                    </w:rPr>
                                    <w:t>】</w:t>
                                  </w:r>
                                </w:p>
                              </w:tc>
                              <w:tc>
                                <w:tcPr>
                                  <w:tcW w:w="1163" w:type="dxa"/>
                                  <w:tcBorders>
                                    <w:top w:val="single" w:sz="4" w:space="0" w:color="auto"/>
                                  </w:tcBorders>
                                  <w:vAlign w:val="center"/>
                                </w:tcPr>
                                <w:p w14:paraId="3A6F2C9A"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未補實</w:t>
                                  </w:r>
                                  <w:r w:rsidRPr="001B4C3E">
                                    <w:rPr>
                                      <w:rFonts w:ascii="標楷體" w:eastAsia="標楷體" w:hAnsi="標楷體"/>
                                      <w:sz w:val="20"/>
                                    </w:rPr>
                                    <w:t>比率</w:t>
                                  </w:r>
                                </w:p>
                                <w:p w14:paraId="560EDE9E"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r w:rsidRPr="001B4C3E">
                                    <w:rPr>
                                      <w:rFonts w:ascii="標楷體" w:eastAsia="標楷體" w:hAnsi="標楷體"/>
                                      <w:sz w:val="20"/>
                                    </w:rPr>
                                    <w:t>D/A</w:t>
                                  </w:r>
                                  <w:r w:rsidRPr="001B4C3E">
                                    <w:rPr>
                                      <w:rFonts w:ascii="標楷體" w:eastAsia="標楷體" w:hAnsi="標楷體" w:hint="eastAsia"/>
                                      <w:sz w:val="20"/>
                                    </w:rPr>
                                    <w:t>×1</w:t>
                                  </w:r>
                                  <w:r w:rsidRPr="001B4C3E">
                                    <w:rPr>
                                      <w:rFonts w:ascii="標楷體" w:eastAsia="標楷體" w:hAnsi="標楷體"/>
                                      <w:sz w:val="20"/>
                                    </w:rPr>
                                    <w:t>00)</w:t>
                                  </w:r>
                                </w:p>
                              </w:tc>
                            </w:tr>
                            <w:tr w:rsidR="00E94BB2" w:rsidRPr="001B4C3E" w14:paraId="00C30DDA" w14:textId="77777777" w:rsidTr="006C2827">
                              <w:trPr>
                                <w:trHeight w:val="20"/>
                                <w:jc w:val="center"/>
                              </w:trPr>
                              <w:tc>
                                <w:tcPr>
                                  <w:tcW w:w="863" w:type="dxa"/>
                                  <w:vAlign w:val="center"/>
                                </w:tcPr>
                                <w:p w14:paraId="151EDEFC"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平均</w:t>
                                  </w:r>
                                </w:p>
                              </w:tc>
                              <w:tc>
                                <w:tcPr>
                                  <w:tcW w:w="1162" w:type="dxa"/>
                                  <w:vAlign w:val="center"/>
                                </w:tcPr>
                                <w:p w14:paraId="5C5D265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,685</w:t>
                                  </w:r>
                                </w:p>
                              </w:tc>
                              <w:tc>
                                <w:tcPr>
                                  <w:tcW w:w="1163" w:type="dxa"/>
                                  <w:vAlign w:val="center"/>
                                </w:tcPr>
                                <w:p w14:paraId="7C93B0D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1,399</w:t>
                                  </w:r>
                                </w:p>
                              </w:tc>
                              <w:tc>
                                <w:tcPr>
                                  <w:tcW w:w="1163" w:type="dxa"/>
                                  <w:vAlign w:val="center"/>
                                </w:tcPr>
                                <w:p w14:paraId="48F30F07"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139</w:t>
                                  </w:r>
                                </w:p>
                              </w:tc>
                              <w:tc>
                                <w:tcPr>
                                  <w:tcW w:w="1163" w:type="dxa"/>
                                  <w:vAlign w:val="center"/>
                                </w:tcPr>
                                <w:p w14:paraId="2F9455F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42</w:t>
                                  </w:r>
                                  <w:r w:rsidRPr="001B4C3E">
                                    <w:rPr>
                                      <w:rFonts w:ascii="標楷體" w:eastAsia="標楷體" w:hAnsi="標楷體"/>
                                      <w:sz w:val="20"/>
                                    </w:rPr>
                                    <w:t>5</w:t>
                                  </w:r>
                                </w:p>
                              </w:tc>
                              <w:tc>
                                <w:tcPr>
                                  <w:tcW w:w="1163" w:type="dxa"/>
                                  <w:vAlign w:val="center"/>
                                </w:tcPr>
                                <w:p w14:paraId="68B19C38"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25.</w:t>
                                  </w:r>
                                  <w:r w:rsidRPr="001B4C3E">
                                    <w:rPr>
                                      <w:rFonts w:ascii="標楷體" w:eastAsia="標楷體" w:hAnsi="標楷體"/>
                                      <w:sz w:val="20"/>
                                    </w:rPr>
                                    <w:t>22</w:t>
                                  </w:r>
                                </w:p>
                              </w:tc>
                            </w:tr>
                            <w:tr w:rsidR="00E94BB2" w:rsidRPr="001B4C3E" w14:paraId="35F8231E" w14:textId="77777777" w:rsidTr="006C2827">
                              <w:trPr>
                                <w:trHeight w:val="20"/>
                                <w:jc w:val="center"/>
                              </w:trPr>
                              <w:tc>
                                <w:tcPr>
                                  <w:tcW w:w="863" w:type="dxa"/>
                                  <w:vAlign w:val="center"/>
                                </w:tcPr>
                                <w:p w14:paraId="55F72130"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13</w:t>
                                  </w:r>
                                </w:p>
                              </w:tc>
                              <w:tc>
                                <w:tcPr>
                                  <w:tcW w:w="1162" w:type="dxa"/>
                                  <w:vAlign w:val="center"/>
                                </w:tcPr>
                                <w:p w14:paraId="04C102BD"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2,174</w:t>
                                  </w:r>
                                </w:p>
                              </w:tc>
                              <w:tc>
                                <w:tcPr>
                                  <w:tcW w:w="1163" w:type="dxa"/>
                                  <w:vAlign w:val="center"/>
                                </w:tcPr>
                                <w:p w14:paraId="7B92B27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1,813</w:t>
                                  </w:r>
                                </w:p>
                              </w:tc>
                              <w:tc>
                                <w:tcPr>
                                  <w:tcW w:w="1163" w:type="dxa"/>
                                  <w:vAlign w:val="center"/>
                                </w:tcPr>
                                <w:p w14:paraId="45D6A7ED"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163</w:t>
                                  </w:r>
                                </w:p>
                              </w:tc>
                              <w:tc>
                                <w:tcPr>
                                  <w:tcW w:w="1163" w:type="dxa"/>
                                  <w:vAlign w:val="center"/>
                                </w:tcPr>
                                <w:p w14:paraId="56F4F741"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524</w:t>
                                  </w:r>
                                </w:p>
                              </w:tc>
                              <w:tc>
                                <w:tcPr>
                                  <w:tcW w:w="1163" w:type="dxa"/>
                                  <w:vAlign w:val="center"/>
                                </w:tcPr>
                                <w:p w14:paraId="0EBE4F62"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24.10</w:t>
                                  </w:r>
                                </w:p>
                              </w:tc>
                            </w:tr>
                            <w:tr w:rsidR="00E94BB2" w:rsidRPr="001B4C3E" w14:paraId="18C1B1AB" w14:textId="77777777" w:rsidTr="006C2827">
                              <w:trPr>
                                <w:trHeight w:val="20"/>
                                <w:jc w:val="center"/>
                              </w:trPr>
                              <w:tc>
                                <w:tcPr>
                                  <w:tcW w:w="863" w:type="dxa"/>
                                  <w:vAlign w:val="center"/>
                                </w:tcPr>
                                <w:p w14:paraId="0B67F870"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12</w:t>
                                  </w:r>
                                </w:p>
                              </w:tc>
                              <w:tc>
                                <w:tcPr>
                                  <w:tcW w:w="1162" w:type="dxa"/>
                                  <w:vAlign w:val="center"/>
                                </w:tcPr>
                                <w:p w14:paraId="2EB29F8E"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2,040</w:t>
                                  </w:r>
                                </w:p>
                              </w:tc>
                              <w:tc>
                                <w:tcPr>
                                  <w:tcW w:w="1163" w:type="dxa"/>
                                  <w:vAlign w:val="center"/>
                                </w:tcPr>
                                <w:p w14:paraId="159FCD46"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1,665</w:t>
                                  </w:r>
                                </w:p>
                              </w:tc>
                              <w:tc>
                                <w:tcPr>
                                  <w:tcW w:w="1163" w:type="dxa"/>
                                  <w:vAlign w:val="center"/>
                                </w:tcPr>
                                <w:p w14:paraId="2E92C33C"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140</w:t>
                                  </w:r>
                                </w:p>
                              </w:tc>
                              <w:tc>
                                <w:tcPr>
                                  <w:tcW w:w="1163" w:type="dxa"/>
                                  <w:vAlign w:val="center"/>
                                </w:tcPr>
                                <w:p w14:paraId="4F588F3E"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515</w:t>
                                  </w:r>
                                </w:p>
                              </w:tc>
                              <w:tc>
                                <w:tcPr>
                                  <w:tcW w:w="1163" w:type="dxa"/>
                                  <w:vAlign w:val="center"/>
                                </w:tcPr>
                                <w:p w14:paraId="137C0B14"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25.25</w:t>
                                  </w:r>
                                </w:p>
                              </w:tc>
                            </w:tr>
                            <w:tr w:rsidR="00E94BB2" w:rsidRPr="001B4C3E" w14:paraId="299DB712" w14:textId="77777777" w:rsidTr="006C2827">
                              <w:trPr>
                                <w:trHeight w:val="20"/>
                                <w:jc w:val="center"/>
                              </w:trPr>
                              <w:tc>
                                <w:tcPr>
                                  <w:tcW w:w="863" w:type="dxa"/>
                                  <w:vAlign w:val="center"/>
                                </w:tcPr>
                                <w:p w14:paraId="59C9B7D3"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sz w:val="20"/>
                                    </w:rPr>
                                    <w:t>111</w:t>
                                  </w:r>
                                </w:p>
                              </w:tc>
                              <w:tc>
                                <w:tcPr>
                                  <w:tcW w:w="1162" w:type="dxa"/>
                                  <w:vAlign w:val="center"/>
                                </w:tcPr>
                                <w:p w14:paraId="2A9DF72A"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1,158</w:t>
                                  </w:r>
                                </w:p>
                              </w:tc>
                              <w:tc>
                                <w:tcPr>
                                  <w:tcW w:w="1163" w:type="dxa"/>
                                  <w:vAlign w:val="center"/>
                                </w:tcPr>
                                <w:p w14:paraId="091FD41D"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995</w:t>
                                  </w:r>
                                </w:p>
                              </w:tc>
                              <w:tc>
                                <w:tcPr>
                                  <w:tcW w:w="1163" w:type="dxa"/>
                                  <w:vAlign w:val="center"/>
                                </w:tcPr>
                                <w:p w14:paraId="25190573"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102</w:t>
                                  </w:r>
                                </w:p>
                              </w:tc>
                              <w:tc>
                                <w:tcPr>
                                  <w:tcW w:w="1163" w:type="dxa"/>
                                  <w:vAlign w:val="center"/>
                                </w:tcPr>
                                <w:p w14:paraId="4BF2C6F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265</w:t>
                                  </w:r>
                                </w:p>
                              </w:tc>
                              <w:tc>
                                <w:tcPr>
                                  <w:tcW w:w="1163" w:type="dxa"/>
                                  <w:vAlign w:val="center"/>
                                </w:tcPr>
                                <w:p w14:paraId="3BC903A5"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22.88</w:t>
                                  </w:r>
                                </w:p>
                              </w:tc>
                            </w:tr>
                            <w:tr w:rsidR="00E94BB2" w:rsidRPr="001B4C3E" w14:paraId="6D9DAF46" w14:textId="77777777" w:rsidTr="006C2827">
                              <w:trPr>
                                <w:trHeight w:val="20"/>
                                <w:jc w:val="center"/>
                              </w:trPr>
                              <w:tc>
                                <w:tcPr>
                                  <w:tcW w:w="863" w:type="dxa"/>
                                  <w:vAlign w:val="center"/>
                                </w:tcPr>
                                <w:p w14:paraId="2284F71F"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10</w:t>
                                  </w:r>
                                </w:p>
                              </w:tc>
                              <w:tc>
                                <w:tcPr>
                                  <w:tcW w:w="1162" w:type="dxa"/>
                                  <w:vAlign w:val="center"/>
                                </w:tcPr>
                                <w:p w14:paraId="620921F9"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1,448</w:t>
                                  </w:r>
                                </w:p>
                              </w:tc>
                              <w:tc>
                                <w:tcPr>
                                  <w:tcW w:w="1163" w:type="dxa"/>
                                  <w:vAlign w:val="center"/>
                                </w:tcPr>
                                <w:p w14:paraId="136932C3"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1,174</w:t>
                                  </w:r>
                                </w:p>
                              </w:tc>
                              <w:tc>
                                <w:tcPr>
                                  <w:tcW w:w="1163" w:type="dxa"/>
                                  <w:vAlign w:val="center"/>
                                </w:tcPr>
                                <w:p w14:paraId="45CD2C7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176</w:t>
                                  </w:r>
                                </w:p>
                              </w:tc>
                              <w:tc>
                                <w:tcPr>
                                  <w:tcW w:w="1163" w:type="dxa"/>
                                  <w:vAlign w:val="center"/>
                                </w:tcPr>
                                <w:p w14:paraId="6B30CCD1"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450</w:t>
                                  </w:r>
                                </w:p>
                              </w:tc>
                              <w:tc>
                                <w:tcPr>
                                  <w:tcW w:w="1163" w:type="dxa"/>
                                  <w:vAlign w:val="center"/>
                                </w:tcPr>
                                <w:p w14:paraId="4A2E4F1C"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31.08</w:t>
                                  </w:r>
                                </w:p>
                              </w:tc>
                            </w:tr>
                            <w:tr w:rsidR="00E94BB2" w:rsidRPr="001B4C3E" w14:paraId="760F8C34" w14:textId="77777777" w:rsidTr="006C2827">
                              <w:trPr>
                                <w:trHeight w:val="20"/>
                                <w:jc w:val="center"/>
                              </w:trPr>
                              <w:tc>
                                <w:tcPr>
                                  <w:tcW w:w="863" w:type="dxa"/>
                                  <w:tcBorders>
                                    <w:bottom w:val="single" w:sz="4" w:space="0" w:color="auto"/>
                                  </w:tcBorders>
                                  <w:vAlign w:val="center"/>
                                </w:tcPr>
                                <w:p w14:paraId="555A02EB"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09</w:t>
                                  </w:r>
                                </w:p>
                              </w:tc>
                              <w:tc>
                                <w:tcPr>
                                  <w:tcW w:w="1162" w:type="dxa"/>
                                  <w:tcBorders>
                                    <w:bottom w:val="single" w:sz="4" w:space="0" w:color="auto"/>
                                  </w:tcBorders>
                                  <w:vAlign w:val="center"/>
                                </w:tcPr>
                                <w:p w14:paraId="792EE03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,605</w:t>
                                  </w:r>
                                </w:p>
                              </w:tc>
                              <w:tc>
                                <w:tcPr>
                                  <w:tcW w:w="1163" w:type="dxa"/>
                                  <w:tcBorders>
                                    <w:bottom w:val="single" w:sz="4" w:space="0" w:color="auto"/>
                                  </w:tcBorders>
                                  <w:vAlign w:val="center"/>
                                </w:tcPr>
                                <w:p w14:paraId="165B8415"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1,350</w:t>
                                  </w:r>
                                </w:p>
                              </w:tc>
                              <w:tc>
                                <w:tcPr>
                                  <w:tcW w:w="1163" w:type="dxa"/>
                                  <w:tcBorders>
                                    <w:bottom w:val="single" w:sz="4" w:space="0" w:color="auto"/>
                                  </w:tcBorders>
                                  <w:vAlign w:val="center"/>
                                </w:tcPr>
                                <w:p w14:paraId="4FE6C9C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113</w:t>
                                  </w:r>
                                </w:p>
                              </w:tc>
                              <w:tc>
                                <w:tcPr>
                                  <w:tcW w:w="1163" w:type="dxa"/>
                                  <w:tcBorders>
                                    <w:bottom w:val="single" w:sz="4" w:space="0" w:color="auto"/>
                                  </w:tcBorders>
                                  <w:vAlign w:val="center"/>
                                </w:tcPr>
                                <w:p w14:paraId="63D8DC2B"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368</w:t>
                                  </w:r>
                                </w:p>
                              </w:tc>
                              <w:tc>
                                <w:tcPr>
                                  <w:tcW w:w="1163" w:type="dxa"/>
                                  <w:tcBorders>
                                    <w:bottom w:val="single" w:sz="4" w:space="0" w:color="auto"/>
                                  </w:tcBorders>
                                  <w:vAlign w:val="center"/>
                                </w:tcPr>
                                <w:p w14:paraId="118352E3"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22.93</w:t>
                                  </w:r>
                                </w:p>
                              </w:tc>
                            </w:tr>
                            <w:tr w:rsidR="00E94BB2" w:rsidRPr="003135ED" w14:paraId="093F06E6" w14:textId="77777777" w:rsidTr="006C2827">
                              <w:trPr>
                                <w:trHeight w:val="227"/>
                                <w:jc w:val="center"/>
                              </w:trPr>
                              <w:tc>
                                <w:tcPr>
                                  <w:tcW w:w="6677" w:type="dxa"/>
                                  <w:gridSpan w:val="6"/>
                                  <w:tcBorders>
                                    <w:top w:val="single" w:sz="4" w:space="0" w:color="auto"/>
                                    <w:left w:val="nil"/>
                                    <w:bottom w:val="nil"/>
                                    <w:right w:val="nil"/>
                                  </w:tcBorders>
                                </w:tcPr>
                                <w:p w14:paraId="4D829A81" w14:textId="77777777" w:rsidR="00E94BB2" w:rsidRPr="008D3D67" w:rsidRDefault="00E94BB2" w:rsidP="00BC23F0">
                                  <w:pPr>
                                    <w:spacing w:line="200" w:lineRule="exact"/>
                                    <w:ind w:leftChars="-10" w:left="516" w:hangingChars="300" w:hanging="540"/>
                                    <w:jc w:val="both"/>
                                    <w:rPr>
                                      <w:rFonts w:ascii="標楷體" w:eastAsia="標楷體" w:hAnsi="標楷體"/>
                                      <w:sz w:val="18"/>
                                      <w:szCs w:val="18"/>
                                    </w:rPr>
                                  </w:pPr>
                                  <w:proofErr w:type="gramStart"/>
                                  <w:r w:rsidRPr="008D3D67">
                                    <w:rPr>
                                      <w:rFonts w:ascii="標楷體" w:eastAsia="標楷體" w:hAnsi="標楷體" w:hint="eastAsia"/>
                                      <w:sz w:val="18"/>
                                      <w:szCs w:val="18"/>
                                    </w:rPr>
                                    <w:t>註</w:t>
                                  </w:r>
                                  <w:proofErr w:type="gramEnd"/>
                                  <w:r w:rsidRPr="008D3D67">
                                    <w:rPr>
                                      <w:rFonts w:ascii="標楷體" w:eastAsia="標楷體" w:hAnsi="標楷體"/>
                                      <w:sz w:val="18"/>
                                      <w:szCs w:val="18"/>
                                    </w:rPr>
                                    <w:t>：1.獲分配人數</w:t>
                                  </w:r>
                                  <w:r w:rsidRPr="008D3D67">
                                    <w:rPr>
                                      <w:rFonts w:ascii="標楷體" w:eastAsia="標楷體" w:hAnsi="標楷體" w:hint="eastAsia"/>
                                      <w:sz w:val="18"/>
                                      <w:szCs w:val="18"/>
                                    </w:rPr>
                                    <w:t>，係指錄取並經志願分發作業後，實際分配至各機關單位受訓之人數。</w:t>
                                  </w:r>
                                </w:p>
                                <w:p w14:paraId="266E2B32" w14:textId="77777777" w:rsidR="00E94BB2" w:rsidRPr="008D3D67" w:rsidRDefault="00E94BB2" w:rsidP="00BC23F0">
                                  <w:pPr>
                                    <w:widowControl/>
                                    <w:shd w:val="clear" w:color="auto" w:fill="FFFFFF"/>
                                    <w:spacing w:line="200" w:lineRule="exact"/>
                                    <w:ind w:leftChars="130" w:left="494" w:hangingChars="101" w:hanging="182"/>
                                    <w:jc w:val="both"/>
                                    <w:rPr>
                                      <w:rFonts w:ascii="標楷體" w:eastAsia="標楷體" w:hAnsi="標楷體"/>
                                      <w:sz w:val="18"/>
                                      <w:szCs w:val="18"/>
                                    </w:rPr>
                                  </w:pPr>
                                  <w:r w:rsidRPr="008D3D67">
                                    <w:rPr>
                                      <w:rFonts w:ascii="標楷體" w:eastAsia="標楷體" w:hAnsi="標楷體" w:hint="eastAsia"/>
                                      <w:sz w:val="18"/>
                                      <w:szCs w:val="18"/>
                                    </w:rPr>
                                    <w:t>2</w:t>
                                  </w:r>
                                  <w:r w:rsidRPr="008D3D67">
                                    <w:rPr>
                                      <w:rFonts w:ascii="標楷體" w:eastAsia="標楷體" w:hAnsi="標楷體"/>
                                      <w:sz w:val="18"/>
                                      <w:szCs w:val="18"/>
                                    </w:rPr>
                                    <w:t>.</w:t>
                                  </w:r>
                                  <w:r w:rsidRPr="008D3D67">
                                    <w:rPr>
                                      <w:rFonts w:ascii="標楷體" w:eastAsia="標楷體" w:hAnsi="標楷體" w:hint="eastAsia"/>
                                      <w:sz w:val="18"/>
                                      <w:szCs w:val="18"/>
                                    </w:rPr>
                                    <w:t>放棄或未</w:t>
                                  </w:r>
                                  <w:r w:rsidRPr="008D3D67">
                                    <w:rPr>
                                      <w:rFonts w:ascii="標楷體" w:eastAsia="標楷體" w:hAnsi="標楷體"/>
                                      <w:sz w:val="18"/>
                                      <w:szCs w:val="18"/>
                                    </w:rPr>
                                    <w:t>報到</w:t>
                                  </w:r>
                                  <w:r w:rsidRPr="008D3D67">
                                    <w:rPr>
                                      <w:rFonts w:ascii="標楷體" w:eastAsia="標楷體" w:hAnsi="標楷體" w:hint="eastAsia"/>
                                      <w:sz w:val="18"/>
                                      <w:szCs w:val="18"/>
                                    </w:rPr>
                                    <w:t>人數</w:t>
                                  </w:r>
                                  <w:r w:rsidRPr="008D3D67">
                                    <w:rPr>
                                      <w:rFonts w:ascii="標楷體" w:eastAsia="標楷體" w:hAnsi="標楷體"/>
                                      <w:sz w:val="18"/>
                                      <w:szCs w:val="18"/>
                                    </w:rPr>
                                    <w:t>，係指經分配</w:t>
                                  </w:r>
                                  <w:r w:rsidRPr="008D3D67">
                                    <w:rPr>
                                      <w:rFonts w:ascii="標楷體" w:eastAsia="標楷體" w:hAnsi="標楷體" w:hint="eastAsia"/>
                                      <w:sz w:val="18"/>
                                      <w:szCs w:val="18"/>
                                    </w:rPr>
                                    <w:t>至各機關單位訓練</w:t>
                                  </w:r>
                                  <w:r w:rsidRPr="008D3D67">
                                    <w:rPr>
                                      <w:rFonts w:ascii="標楷體" w:eastAsia="標楷體" w:hAnsi="標楷體"/>
                                      <w:sz w:val="18"/>
                                      <w:szCs w:val="18"/>
                                    </w:rPr>
                                    <w:t>，惟</w:t>
                                  </w:r>
                                  <w:r w:rsidRPr="008D3D67">
                                    <w:rPr>
                                      <w:rFonts w:ascii="標楷體" w:eastAsia="標楷體" w:hAnsi="標楷體" w:hint="eastAsia"/>
                                      <w:sz w:val="18"/>
                                      <w:szCs w:val="18"/>
                                    </w:rPr>
                                    <w:t>申請</w:t>
                                  </w:r>
                                  <w:r w:rsidRPr="008D3D67">
                                    <w:rPr>
                                      <w:rFonts w:ascii="標楷體" w:eastAsia="標楷體" w:hAnsi="標楷體"/>
                                      <w:sz w:val="18"/>
                                      <w:szCs w:val="18"/>
                                    </w:rPr>
                                    <w:t>放棄或未</w:t>
                                  </w:r>
                                  <w:r w:rsidRPr="008D3D67">
                                    <w:rPr>
                                      <w:rFonts w:ascii="標楷體" w:eastAsia="標楷體" w:hAnsi="標楷體" w:hint="eastAsia"/>
                                      <w:sz w:val="18"/>
                                      <w:szCs w:val="18"/>
                                    </w:rPr>
                                    <w:t>於規定時間內向實施訓練機關</w:t>
                                  </w:r>
                                  <w:r w:rsidRPr="008D3D67">
                                    <w:rPr>
                                      <w:rFonts w:ascii="標楷體" w:eastAsia="標楷體" w:hAnsi="標楷體"/>
                                      <w:sz w:val="18"/>
                                      <w:szCs w:val="18"/>
                                    </w:rPr>
                                    <w:t>完成報到手續</w:t>
                                  </w:r>
                                  <w:r w:rsidRPr="008D3D67">
                                    <w:rPr>
                                      <w:rFonts w:ascii="標楷體" w:eastAsia="標楷體" w:hAnsi="標楷體" w:hint="eastAsia"/>
                                      <w:sz w:val="18"/>
                                      <w:szCs w:val="18"/>
                                    </w:rPr>
                                    <w:t>之人數</w:t>
                                  </w:r>
                                  <w:r w:rsidRPr="008D3D67">
                                    <w:rPr>
                                      <w:rFonts w:ascii="標楷體" w:eastAsia="標楷體" w:hAnsi="標楷體"/>
                                      <w:sz w:val="18"/>
                                      <w:szCs w:val="18"/>
                                    </w:rPr>
                                    <w:t>。</w:t>
                                  </w:r>
                                </w:p>
                                <w:p w14:paraId="6B7BD8F4" w14:textId="77777777" w:rsidR="00E94BB2" w:rsidRPr="003135ED" w:rsidRDefault="00E94BB2" w:rsidP="00BC23F0">
                                  <w:pPr>
                                    <w:spacing w:line="200" w:lineRule="exact"/>
                                    <w:ind w:leftChars="130" w:left="312"/>
                                    <w:jc w:val="both"/>
                                    <w:rPr>
                                      <w:rFonts w:ascii="標楷體" w:eastAsia="標楷體" w:hAnsi="標楷體"/>
                                    </w:rPr>
                                  </w:pPr>
                                  <w:r w:rsidRPr="008D3D67">
                                    <w:rPr>
                                      <w:rFonts w:ascii="標楷體" w:eastAsia="標楷體" w:hAnsi="標楷體" w:hint="eastAsia"/>
                                      <w:sz w:val="18"/>
                                      <w:szCs w:val="18"/>
                                    </w:rPr>
                                    <w:t>3</w:t>
                                  </w:r>
                                  <w:r w:rsidRPr="008D3D67">
                                    <w:rPr>
                                      <w:rFonts w:ascii="標楷體" w:eastAsia="標楷體" w:hAnsi="標楷體"/>
                                      <w:sz w:val="18"/>
                                      <w:szCs w:val="18"/>
                                    </w:rPr>
                                    <w:t>.</w:t>
                                  </w:r>
                                  <w:r w:rsidRPr="008D3D67">
                                    <w:rPr>
                                      <w:rFonts w:ascii="標楷體" w:eastAsia="標楷體" w:hAnsi="標楷體" w:hint="eastAsia"/>
                                      <w:sz w:val="18"/>
                                      <w:szCs w:val="18"/>
                                    </w:rPr>
                                    <w:t>資料來源</w:t>
                                  </w:r>
                                  <w:r w:rsidRPr="008D3D67">
                                    <w:rPr>
                                      <w:rFonts w:ascii="標楷體" w:eastAsia="標楷體" w:hAnsi="標楷體"/>
                                      <w:sz w:val="18"/>
                                      <w:szCs w:val="18"/>
                                    </w:rPr>
                                    <w:t>：</w:t>
                                  </w:r>
                                  <w:r w:rsidRPr="008D3D67">
                                    <w:rPr>
                                      <w:rFonts w:ascii="標楷體" w:eastAsia="標楷體" w:hAnsi="標楷體" w:hint="eastAsia"/>
                                      <w:sz w:val="18"/>
                                      <w:szCs w:val="18"/>
                                    </w:rPr>
                                    <w:t>整理自</w:t>
                                  </w:r>
                                  <w:r w:rsidRPr="008D3D67">
                                    <w:rPr>
                                      <w:rFonts w:ascii="標楷體" w:eastAsia="標楷體" w:hAnsi="標楷體"/>
                                      <w:sz w:val="18"/>
                                      <w:szCs w:val="18"/>
                                    </w:rPr>
                                    <w:t>行政院人事行政總處提供資料。</w:t>
                                  </w:r>
                                </w:p>
                              </w:tc>
                            </w:tr>
                          </w:tbl>
                          <w:p w14:paraId="51F85B94" w14:textId="77777777" w:rsidR="00E94BB2" w:rsidRPr="00193CC0" w:rsidRDefault="00E94BB2" w:rsidP="00E94BB2"/>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5DF6C70" id="_x0000_s1114" type="#_x0000_t202" style="position:absolute;left:0;text-align:left;margin-left:147.6pt;margin-top:504.85pt;width:344.4pt;height:200.1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" filled="f" stroked="f">
                <v:textbox>
                  <w:txbxContent>
                    <w:tbl>
                      <w:tblPr>
                        <w:tblStyle w:val="afff"/>
                        <w:tblW w:w="6677" w:type="dxa"/>
                        <w:jc w:val="center"/>
                        <w:tblLayout w:type="fixed"/>
                        <w:tblLook w:val="04A0" w:firstRow="1" w:lastRow="0" w:firstColumn="1" w:lastColumn="0" w:noHBand="0" w:noVBand="1"/>
                      </w:tblPr>
                      <w:tblGrid>
                        <w:gridCol w:w="863"/>
                        <w:gridCol w:w="1162"/>
                        <w:gridCol w:w="1163"/>
                        <w:gridCol w:w="1163"/>
                        <w:gridCol w:w="1163"/>
                        <w:gridCol w:w="1163"/>
                      </w:tblGrid>
                      <w:tr w:rsidR="00E94BB2" w:rsidRPr="003135ED" w14:paraId="1E1D049D" w14:textId="77777777" w:rsidTr="006C2827">
                        <w:trPr>
                          <w:trHeight w:val="340"/>
                          <w:jc w:val="center"/>
                        </w:trPr>
                        <w:tc>
                          <w:tcPr>
                            <w:tcW w:w="6677" w:type="dxa"/>
                            <w:gridSpan w:val="6"/>
                            <w:tcBorders>
                              <w:top w:val="nil"/>
                              <w:left w:val="nil"/>
                              <w:bottom w:val="nil"/>
                              <w:right w:val="nil"/>
                            </w:tcBorders>
                            <w:vAlign w:val="center"/>
                          </w:tcPr>
                          <w:p w14:paraId="144B0C21" w14:textId="77777777" w:rsidR="00E94BB2" w:rsidRPr="00134EEE" w:rsidRDefault="00E94BB2" w:rsidP="00193CC0">
                            <w:pPr>
                              <w:spacing w:line="240" w:lineRule="exact"/>
                              <w:ind w:left="608" w:hangingChars="253" w:hanging="608"/>
                              <w:jc w:val="center"/>
                              <w:rPr>
                                <w:rFonts w:ascii="標楷體" w:eastAsia="標楷體" w:hAnsi="標楷體"/>
                                <w:szCs w:val="24"/>
                              </w:rPr>
                            </w:pPr>
                            <w:r w:rsidRPr="00134EEE">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7</w:t>
                            </w:r>
                            <w:r w:rsidRPr="00134EEE">
                              <w:rPr>
                                <w:rFonts w:ascii="標楷體" w:eastAsia="標楷體" w:hAnsi="標楷體" w:hint="eastAsia"/>
                                <w:b/>
                                <w:szCs w:val="24"/>
                              </w:rPr>
                              <w:t xml:space="preserve">　</w:t>
                            </w:r>
                            <w:r w:rsidRPr="00134EEE">
                              <w:rPr>
                                <w:rFonts w:ascii="標楷體" w:eastAsia="標楷體" w:hAnsi="標楷體"/>
                                <w:b/>
                                <w:szCs w:val="24"/>
                              </w:rPr>
                              <w:t>中央政府機關</w:t>
                            </w:r>
                            <w:r w:rsidRPr="00134EEE">
                              <w:rPr>
                                <w:rFonts w:ascii="標楷體" w:eastAsia="標楷體" w:hAnsi="標楷體" w:hint="eastAsia"/>
                                <w:b/>
                                <w:szCs w:val="24"/>
                              </w:rPr>
                              <w:t>正職缺額未補實</w:t>
                            </w:r>
                            <w:r w:rsidRPr="00134EEE">
                              <w:rPr>
                                <w:rFonts w:ascii="標楷體" w:eastAsia="標楷體" w:hAnsi="標楷體"/>
                                <w:b/>
                                <w:szCs w:val="24"/>
                              </w:rPr>
                              <w:t>情形</w:t>
                            </w:r>
                          </w:p>
                        </w:tc>
                      </w:tr>
                      <w:tr w:rsidR="00E94BB2" w:rsidRPr="001B4C3E" w14:paraId="6705EDB7" w14:textId="77777777" w:rsidTr="006C2827">
                        <w:trPr>
                          <w:trHeight w:val="227"/>
                          <w:jc w:val="center"/>
                        </w:trPr>
                        <w:tc>
                          <w:tcPr>
                            <w:tcW w:w="6677" w:type="dxa"/>
                            <w:gridSpan w:val="6"/>
                            <w:tcBorders>
                              <w:top w:val="nil"/>
                              <w:left w:val="nil"/>
                              <w:bottom w:val="single" w:sz="4" w:space="0" w:color="auto"/>
                              <w:right w:val="nil"/>
                            </w:tcBorders>
                          </w:tcPr>
                          <w:p w14:paraId="5A46BE78" w14:textId="3FB25453" w:rsidR="00E94BB2" w:rsidRPr="001B4C3E" w:rsidRDefault="00E94BB2" w:rsidP="00193CC0">
                            <w:pPr>
                              <w:spacing w:line="220" w:lineRule="exact"/>
                              <w:jc w:val="right"/>
                              <w:rPr>
                                <w:rFonts w:ascii="標楷體" w:eastAsia="標楷體" w:hAnsi="標楷體"/>
                                <w:sz w:val="20"/>
                              </w:rPr>
                            </w:pPr>
                            <w:r w:rsidRPr="001B4C3E">
                              <w:rPr>
                                <w:rFonts w:ascii="標楷體" w:eastAsia="標楷體" w:hAnsi="標楷體" w:hint="eastAsia"/>
                                <w:sz w:val="20"/>
                              </w:rPr>
                              <w:t>單位</w:t>
                            </w:r>
                            <w:r w:rsidRPr="001B4C3E">
                              <w:rPr>
                                <w:rFonts w:ascii="標楷體" w:eastAsia="標楷體" w:hAnsi="標楷體"/>
                                <w:sz w:val="20"/>
                              </w:rPr>
                              <w:t>：</w:t>
                            </w:r>
                            <w:proofErr w:type="gramStart"/>
                            <w:r w:rsidR="00B9148F">
                              <w:rPr>
                                <w:rFonts w:ascii="標楷體" w:eastAsia="標楷體" w:hAnsi="標楷體" w:hint="eastAsia"/>
                                <w:sz w:val="20"/>
                              </w:rPr>
                              <w:t>個</w:t>
                            </w:r>
                            <w:proofErr w:type="gramEnd"/>
                            <w:r w:rsidR="00B9148F">
                              <w:rPr>
                                <w:rFonts w:ascii="標楷體" w:eastAsia="標楷體" w:hAnsi="標楷體" w:hint="eastAsia"/>
                                <w:sz w:val="20"/>
                              </w:rPr>
                              <w:t>、</w:t>
                            </w:r>
                            <w:r w:rsidRPr="001B4C3E">
                              <w:rPr>
                                <w:rFonts w:ascii="標楷體" w:eastAsia="標楷體" w:hAnsi="標楷體"/>
                                <w:sz w:val="20"/>
                              </w:rPr>
                              <w:t>人</w:t>
                            </w:r>
                            <w:r w:rsidR="00A37550">
                              <w:rPr>
                                <w:rFonts w:ascii="標楷體" w:eastAsia="標楷體" w:hAnsi="標楷體" w:hint="eastAsia"/>
                                <w:sz w:val="20"/>
                              </w:rPr>
                              <w:t>、％</w:t>
                            </w:r>
                          </w:p>
                        </w:tc>
                      </w:tr>
                      <w:tr w:rsidR="00E94BB2" w:rsidRPr="001B4C3E" w14:paraId="137F48F7" w14:textId="77777777" w:rsidTr="006C2827">
                        <w:trPr>
                          <w:trHeight w:val="20"/>
                          <w:jc w:val="center"/>
                        </w:trPr>
                        <w:tc>
                          <w:tcPr>
                            <w:tcW w:w="863" w:type="dxa"/>
                            <w:tcBorders>
                              <w:top w:val="single" w:sz="4" w:space="0" w:color="auto"/>
                            </w:tcBorders>
                            <w:vAlign w:val="center"/>
                          </w:tcPr>
                          <w:p w14:paraId="697D6370"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年度</w:t>
                            </w:r>
                          </w:p>
                        </w:tc>
                        <w:tc>
                          <w:tcPr>
                            <w:tcW w:w="1162" w:type="dxa"/>
                            <w:tcBorders>
                              <w:top w:val="single" w:sz="4" w:space="0" w:color="auto"/>
                            </w:tcBorders>
                            <w:vAlign w:val="center"/>
                          </w:tcPr>
                          <w:p w14:paraId="0A5CB75A" w14:textId="77777777" w:rsidR="00E94BB2" w:rsidRPr="001B4C3E" w:rsidRDefault="00E94BB2" w:rsidP="00193CC0">
                            <w:pPr>
                              <w:spacing w:line="240" w:lineRule="exact"/>
                              <w:ind w:leftChars="-20" w:left="-48" w:rightChars="-20" w:right="-48"/>
                              <w:jc w:val="center"/>
                              <w:rPr>
                                <w:rFonts w:ascii="標楷體" w:eastAsia="標楷體" w:hAnsi="標楷體"/>
                                <w:sz w:val="20"/>
                              </w:rPr>
                            </w:pPr>
                            <w:proofErr w:type="gramStart"/>
                            <w:r w:rsidRPr="001B4C3E">
                              <w:rPr>
                                <w:rFonts w:ascii="標楷體" w:eastAsia="標楷體" w:hAnsi="標楷體" w:hint="eastAsia"/>
                                <w:sz w:val="20"/>
                              </w:rPr>
                              <w:t>正額職缺</w:t>
                            </w:r>
                            <w:proofErr w:type="gramEnd"/>
                          </w:p>
                          <w:p w14:paraId="21F2AE3F"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r w:rsidRPr="001B4C3E">
                              <w:rPr>
                                <w:rFonts w:ascii="標楷體" w:eastAsia="標楷體" w:hAnsi="標楷體"/>
                                <w:sz w:val="20"/>
                              </w:rPr>
                              <w:t>A)</w:t>
                            </w:r>
                          </w:p>
                        </w:tc>
                        <w:tc>
                          <w:tcPr>
                            <w:tcW w:w="1163" w:type="dxa"/>
                            <w:tcBorders>
                              <w:top w:val="single" w:sz="4" w:space="0" w:color="auto"/>
                            </w:tcBorders>
                            <w:vAlign w:val="center"/>
                          </w:tcPr>
                          <w:p w14:paraId="7613635A"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獲分配人數</w:t>
                            </w:r>
                          </w:p>
                          <w:p w14:paraId="60D763F0"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r w:rsidRPr="001B4C3E">
                              <w:rPr>
                                <w:rFonts w:ascii="標楷體" w:eastAsia="標楷體" w:hAnsi="標楷體"/>
                                <w:sz w:val="20"/>
                              </w:rPr>
                              <w:t>B)</w:t>
                            </w:r>
                            <w:r w:rsidRPr="001B4C3E">
                              <w:rPr>
                                <w:rFonts w:ascii="標楷體" w:eastAsia="標楷體" w:hAnsi="標楷體" w:hint="eastAsia"/>
                                <w:sz w:val="20"/>
                              </w:rPr>
                              <w:t>(</w:t>
                            </w:r>
                            <w:proofErr w:type="gramStart"/>
                            <w:r w:rsidRPr="001B4C3E">
                              <w:rPr>
                                <w:rFonts w:ascii="標楷體" w:eastAsia="標楷體" w:hAnsi="標楷體" w:hint="eastAsia"/>
                                <w:sz w:val="20"/>
                              </w:rPr>
                              <w:t>註</w:t>
                            </w:r>
                            <w:proofErr w:type="gramEnd"/>
                            <w:r w:rsidRPr="001B4C3E">
                              <w:rPr>
                                <w:rFonts w:ascii="標楷體" w:eastAsia="標楷體" w:hAnsi="標楷體"/>
                                <w:sz w:val="20"/>
                              </w:rPr>
                              <w:t>1)</w:t>
                            </w:r>
                          </w:p>
                        </w:tc>
                        <w:tc>
                          <w:tcPr>
                            <w:tcW w:w="1163" w:type="dxa"/>
                            <w:tcBorders>
                              <w:top w:val="single" w:sz="4" w:space="0" w:color="auto"/>
                            </w:tcBorders>
                            <w:vAlign w:val="center"/>
                          </w:tcPr>
                          <w:p w14:paraId="4221CBEC"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放棄或未報到人數(</w:t>
                            </w:r>
                            <w:r w:rsidRPr="001B4C3E">
                              <w:rPr>
                                <w:rFonts w:ascii="標楷體" w:eastAsia="標楷體" w:hAnsi="標楷體"/>
                                <w:sz w:val="20"/>
                              </w:rPr>
                              <w:t>C)</w:t>
                            </w:r>
                          </w:p>
                          <w:p w14:paraId="2598FF7E"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proofErr w:type="gramStart"/>
                            <w:r w:rsidRPr="001B4C3E">
                              <w:rPr>
                                <w:rFonts w:ascii="標楷體" w:eastAsia="標楷體" w:hAnsi="標楷體" w:hint="eastAsia"/>
                                <w:sz w:val="20"/>
                              </w:rPr>
                              <w:t>註</w:t>
                            </w:r>
                            <w:proofErr w:type="gramEnd"/>
                            <w:r w:rsidRPr="001B4C3E">
                              <w:rPr>
                                <w:rFonts w:ascii="標楷體" w:eastAsia="標楷體" w:hAnsi="標楷體"/>
                                <w:sz w:val="20"/>
                              </w:rPr>
                              <w:t>2)</w:t>
                            </w:r>
                          </w:p>
                        </w:tc>
                        <w:tc>
                          <w:tcPr>
                            <w:tcW w:w="1163" w:type="dxa"/>
                            <w:tcBorders>
                              <w:top w:val="single" w:sz="4" w:space="0" w:color="auto"/>
                            </w:tcBorders>
                            <w:vAlign w:val="center"/>
                          </w:tcPr>
                          <w:p w14:paraId="798E47AE"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未補實職缺</w:t>
                            </w:r>
                          </w:p>
                          <w:p w14:paraId="6260E647" w14:textId="77777777" w:rsidR="00E94BB2" w:rsidRPr="001B4C3E" w:rsidRDefault="00E94BB2" w:rsidP="006C2827">
                            <w:pPr>
                              <w:spacing w:line="240" w:lineRule="exact"/>
                              <w:ind w:leftChars="-45" w:left="-108" w:rightChars="-54" w:right="-130"/>
                              <w:jc w:val="center"/>
                              <w:rPr>
                                <w:rFonts w:ascii="標楷體" w:eastAsia="標楷體" w:hAnsi="標楷體"/>
                                <w:sz w:val="20"/>
                              </w:rPr>
                            </w:pPr>
                            <w:r w:rsidRPr="001B4C3E">
                              <w:rPr>
                                <w:rFonts w:ascii="標楷體" w:eastAsia="標楷體" w:hAnsi="標楷體"/>
                                <w:sz w:val="20"/>
                              </w:rPr>
                              <w:t>(D)</w:t>
                            </w:r>
                            <w:r w:rsidRPr="001B4C3E">
                              <w:rPr>
                                <w:rFonts w:ascii="標楷體" w:eastAsia="標楷體" w:hAnsi="標楷體" w:hint="eastAsia"/>
                                <w:sz w:val="20"/>
                              </w:rPr>
                              <w:t>=</w:t>
                            </w:r>
                            <w:r w:rsidRPr="001B4C3E">
                              <w:rPr>
                                <w:rFonts w:ascii="標楷體" w:eastAsia="標楷體" w:hAnsi="標楷體"/>
                                <w:sz w:val="20"/>
                              </w:rPr>
                              <w:t>(A)-</w:t>
                            </w:r>
                            <w:r w:rsidRPr="001B4C3E">
                              <w:rPr>
                                <w:rFonts w:ascii="標楷體" w:eastAsia="標楷體" w:hAnsi="標楷體" w:hint="eastAsia"/>
                                <w:sz w:val="20"/>
                              </w:rPr>
                              <w:t>【(</w:t>
                            </w:r>
                            <w:r w:rsidRPr="001B4C3E">
                              <w:rPr>
                                <w:rFonts w:ascii="標楷體" w:eastAsia="標楷體" w:hAnsi="標楷體"/>
                                <w:sz w:val="20"/>
                              </w:rPr>
                              <w:t>B)-(C)</w:t>
                            </w:r>
                            <w:r w:rsidRPr="001B4C3E">
                              <w:rPr>
                                <w:rFonts w:ascii="標楷體" w:eastAsia="標楷體" w:hAnsi="標楷體" w:hint="eastAsia"/>
                                <w:sz w:val="20"/>
                              </w:rPr>
                              <w:t>】</w:t>
                            </w:r>
                          </w:p>
                        </w:tc>
                        <w:tc>
                          <w:tcPr>
                            <w:tcW w:w="1163" w:type="dxa"/>
                            <w:tcBorders>
                              <w:top w:val="single" w:sz="4" w:space="0" w:color="auto"/>
                            </w:tcBorders>
                            <w:vAlign w:val="center"/>
                          </w:tcPr>
                          <w:p w14:paraId="3A6F2C9A"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未補實</w:t>
                            </w:r>
                            <w:r w:rsidRPr="001B4C3E">
                              <w:rPr>
                                <w:rFonts w:ascii="標楷體" w:eastAsia="標楷體" w:hAnsi="標楷體"/>
                                <w:sz w:val="20"/>
                              </w:rPr>
                              <w:t>比率</w:t>
                            </w:r>
                          </w:p>
                          <w:p w14:paraId="560EDE9E" w14:textId="77777777" w:rsidR="00E94BB2" w:rsidRPr="001B4C3E" w:rsidRDefault="00E94BB2" w:rsidP="00193CC0">
                            <w:pPr>
                              <w:spacing w:line="240" w:lineRule="exact"/>
                              <w:ind w:leftChars="-20" w:left="-48" w:rightChars="-20" w:right="-48"/>
                              <w:jc w:val="center"/>
                              <w:rPr>
                                <w:rFonts w:ascii="標楷體" w:eastAsia="標楷體" w:hAnsi="標楷體"/>
                                <w:sz w:val="20"/>
                              </w:rPr>
                            </w:pPr>
                            <w:r w:rsidRPr="001B4C3E">
                              <w:rPr>
                                <w:rFonts w:ascii="標楷體" w:eastAsia="標楷體" w:hAnsi="標楷體" w:hint="eastAsia"/>
                                <w:sz w:val="20"/>
                              </w:rPr>
                              <w:t>(</w:t>
                            </w:r>
                            <w:r w:rsidRPr="001B4C3E">
                              <w:rPr>
                                <w:rFonts w:ascii="標楷體" w:eastAsia="標楷體" w:hAnsi="標楷體"/>
                                <w:sz w:val="20"/>
                              </w:rPr>
                              <w:t>D/A</w:t>
                            </w:r>
                            <w:r w:rsidRPr="001B4C3E">
                              <w:rPr>
                                <w:rFonts w:ascii="標楷體" w:eastAsia="標楷體" w:hAnsi="標楷體" w:hint="eastAsia"/>
                                <w:sz w:val="20"/>
                              </w:rPr>
                              <w:t>×1</w:t>
                            </w:r>
                            <w:r w:rsidRPr="001B4C3E">
                              <w:rPr>
                                <w:rFonts w:ascii="標楷體" w:eastAsia="標楷體" w:hAnsi="標楷體"/>
                                <w:sz w:val="20"/>
                              </w:rPr>
                              <w:t>00)</w:t>
                            </w:r>
                          </w:p>
                        </w:tc>
                      </w:tr>
                      <w:tr w:rsidR="00E94BB2" w:rsidRPr="001B4C3E" w14:paraId="00C30DDA" w14:textId="77777777" w:rsidTr="006C2827">
                        <w:trPr>
                          <w:trHeight w:val="20"/>
                          <w:jc w:val="center"/>
                        </w:trPr>
                        <w:tc>
                          <w:tcPr>
                            <w:tcW w:w="863" w:type="dxa"/>
                            <w:vAlign w:val="center"/>
                          </w:tcPr>
                          <w:p w14:paraId="151EDEFC"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平均</w:t>
                            </w:r>
                          </w:p>
                        </w:tc>
                        <w:tc>
                          <w:tcPr>
                            <w:tcW w:w="1162" w:type="dxa"/>
                            <w:vAlign w:val="center"/>
                          </w:tcPr>
                          <w:p w14:paraId="5C5D265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,685</w:t>
                            </w:r>
                          </w:p>
                        </w:tc>
                        <w:tc>
                          <w:tcPr>
                            <w:tcW w:w="1163" w:type="dxa"/>
                            <w:vAlign w:val="center"/>
                          </w:tcPr>
                          <w:p w14:paraId="7C93B0D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1,399</w:t>
                            </w:r>
                          </w:p>
                        </w:tc>
                        <w:tc>
                          <w:tcPr>
                            <w:tcW w:w="1163" w:type="dxa"/>
                            <w:vAlign w:val="center"/>
                          </w:tcPr>
                          <w:p w14:paraId="48F30F07"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139</w:t>
                            </w:r>
                          </w:p>
                        </w:tc>
                        <w:tc>
                          <w:tcPr>
                            <w:tcW w:w="1163" w:type="dxa"/>
                            <w:vAlign w:val="center"/>
                          </w:tcPr>
                          <w:p w14:paraId="2F9455F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42</w:t>
                            </w:r>
                            <w:r w:rsidRPr="001B4C3E">
                              <w:rPr>
                                <w:rFonts w:ascii="標楷體" w:eastAsia="標楷體" w:hAnsi="標楷體"/>
                                <w:sz w:val="20"/>
                              </w:rPr>
                              <w:t>5</w:t>
                            </w:r>
                          </w:p>
                        </w:tc>
                        <w:tc>
                          <w:tcPr>
                            <w:tcW w:w="1163" w:type="dxa"/>
                            <w:vAlign w:val="center"/>
                          </w:tcPr>
                          <w:p w14:paraId="68B19C38"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25.</w:t>
                            </w:r>
                            <w:r w:rsidRPr="001B4C3E">
                              <w:rPr>
                                <w:rFonts w:ascii="標楷體" w:eastAsia="標楷體" w:hAnsi="標楷體"/>
                                <w:sz w:val="20"/>
                              </w:rPr>
                              <w:t>22</w:t>
                            </w:r>
                          </w:p>
                        </w:tc>
                      </w:tr>
                      <w:tr w:rsidR="00E94BB2" w:rsidRPr="001B4C3E" w14:paraId="35F8231E" w14:textId="77777777" w:rsidTr="006C2827">
                        <w:trPr>
                          <w:trHeight w:val="20"/>
                          <w:jc w:val="center"/>
                        </w:trPr>
                        <w:tc>
                          <w:tcPr>
                            <w:tcW w:w="863" w:type="dxa"/>
                            <w:vAlign w:val="center"/>
                          </w:tcPr>
                          <w:p w14:paraId="55F72130"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13</w:t>
                            </w:r>
                          </w:p>
                        </w:tc>
                        <w:tc>
                          <w:tcPr>
                            <w:tcW w:w="1162" w:type="dxa"/>
                            <w:vAlign w:val="center"/>
                          </w:tcPr>
                          <w:p w14:paraId="04C102BD"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2,174</w:t>
                            </w:r>
                          </w:p>
                        </w:tc>
                        <w:tc>
                          <w:tcPr>
                            <w:tcW w:w="1163" w:type="dxa"/>
                            <w:vAlign w:val="center"/>
                          </w:tcPr>
                          <w:p w14:paraId="7B92B27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1,813</w:t>
                            </w:r>
                          </w:p>
                        </w:tc>
                        <w:tc>
                          <w:tcPr>
                            <w:tcW w:w="1163" w:type="dxa"/>
                            <w:vAlign w:val="center"/>
                          </w:tcPr>
                          <w:p w14:paraId="45D6A7ED"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163</w:t>
                            </w:r>
                          </w:p>
                        </w:tc>
                        <w:tc>
                          <w:tcPr>
                            <w:tcW w:w="1163" w:type="dxa"/>
                            <w:vAlign w:val="center"/>
                          </w:tcPr>
                          <w:p w14:paraId="56F4F741"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524</w:t>
                            </w:r>
                          </w:p>
                        </w:tc>
                        <w:tc>
                          <w:tcPr>
                            <w:tcW w:w="1163" w:type="dxa"/>
                            <w:vAlign w:val="center"/>
                          </w:tcPr>
                          <w:p w14:paraId="0EBE4F62"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24.10</w:t>
                            </w:r>
                          </w:p>
                        </w:tc>
                      </w:tr>
                      <w:tr w:rsidR="00E94BB2" w:rsidRPr="001B4C3E" w14:paraId="18C1B1AB" w14:textId="77777777" w:rsidTr="006C2827">
                        <w:trPr>
                          <w:trHeight w:val="20"/>
                          <w:jc w:val="center"/>
                        </w:trPr>
                        <w:tc>
                          <w:tcPr>
                            <w:tcW w:w="863" w:type="dxa"/>
                            <w:vAlign w:val="center"/>
                          </w:tcPr>
                          <w:p w14:paraId="0B67F870"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12</w:t>
                            </w:r>
                          </w:p>
                        </w:tc>
                        <w:tc>
                          <w:tcPr>
                            <w:tcW w:w="1162" w:type="dxa"/>
                            <w:vAlign w:val="center"/>
                          </w:tcPr>
                          <w:p w14:paraId="2EB29F8E"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2,040</w:t>
                            </w:r>
                          </w:p>
                        </w:tc>
                        <w:tc>
                          <w:tcPr>
                            <w:tcW w:w="1163" w:type="dxa"/>
                            <w:vAlign w:val="center"/>
                          </w:tcPr>
                          <w:p w14:paraId="159FCD46"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1,665</w:t>
                            </w:r>
                          </w:p>
                        </w:tc>
                        <w:tc>
                          <w:tcPr>
                            <w:tcW w:w="1163" w:type="dxa"/>
                            <w:vAlign w:val="center"/>
                          </w:tcPr>
                          <w:p w14:paraId="2E92C33C"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140</w:t>
                            </w:r>
                          </w:p>
                        </w:tc>
                        <w:tc>
                          <w:tcPr>
                            <w:tcW w:w="1163" w:type="dxa"/>
                            <w:vAlign w:val="center"/>
                          </w:tcPr>
                          <w:p w14:paraId="4F588F3E"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515</w:t>
                            </w:r>
                          </w:p>
                        </w:tc>
                        <w:tc>
                          <w:tcPr>
                            <w:tcW w:w="1163" w:type="dxa"/>
                            <w:vAlign w:val="center"/>
                          </w:tcPr>
                          <w:p w14:paraId="137C0B14"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25.25</w:t>
                            </w:r>
                          </w:p>
                        </w:tc>
                      </w:tr>
                      <w:tr w:rsidR="00E94BB2" w:rsidRPr="001B4C3E" w14:paraId="299DB712" w14:textId="77777777" w:rsidTr="006C2827">
                        <w:trPr>
                          <w:trHeight w:val="20"/>
                          <w:jc w:val="center"/>
                        </w:trPr>
                        <w:tc>
                          <w:tcPr>
                            <w:tcW w:w="863" w:type="dxa"/>
                            <w:vAlign w:val="center"/>
                          </w:tcPr>
                          <w:p w14:paraId="59C9B7D3"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sz w:val="20"/>
                              </w:rPr>
                              <w:t>111</w:t>
                            </w:r>
                          </w:p>
                        </w:tc>
                        <w:tc>
                          <w:tcPr>
                            <w:tcW w:w="1162" w:type="dxa"/>
                            <w:vAlign w:val="center"/>
                          </w:tcPr>
                          <w:p w14:paraId="2A9DF72A"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1,158</w:t>
                            </w:r>
                          </w:p>
                        </w:tc>
                        <w:tc>
                          <w:tcPr>
                            <w:tcW w:w="1163" w:type="dxa"/>
                            <w:vAlign w:val="center"/>
                          </w:tcPr>
                          <w:p w14:paraId="091FD41D"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995</w:t>
                            </w:r>
                          </w:p>
                        </w:tc>
                        <w:tc>
                          <w:tcPr>
                            <w:tcW w:w="1163" w:type="dxa"/>
                            <w:vAlign w:val="center"/>
                          </w:tcPr>
                          <w:p w14:paraId="25190573"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102</w:t>
                            </w:r>
                          </w:p>
                        </w:tc>
                        <w:tc>
                          <w:tcPr>
                            <w:tcW w:w="1163" w:type="dxa"/>
                            <w:vAlign w:val="center"/>
                          </w:tcPr>
                          <w:p w14:paraId="4BF2C6F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265</w:t>
                            </w:r>
                          </w:p>
                        </w:tc>
                        <w:tc>
                          <w:tcPr>
                            <w:tcW w:w="1163" w:type="dxa"/>
                            <w:vAlign w:val="center"/>
                          </w:tcPr>
                          <w:p w14:paraId="3BC903A5"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22.88</w:t>
                            </w:r>
                          </w:p>
                        </w:tc>
                      </w:tr>
                      <w:tr w:rsidR="00E94BB2" w:rsidRPr="001B4C3E" w14:paraId="6D9DAF46" w14:textId="77777777" w:rsidTr="006C2827">
                        <w:trPr>
                          <w:trHeight w:val="20"/>
                          <w:jc w:val="center"/>
                        </w:trPr>
                        <w:tc>
                          <w:tcPr>
                            <w:tcW w:w="863" w:type="dxa"/>
                            <w:vAlign w:val="center"/>
                          </w:tcPr>
                          <w:p w14:paraId="2284F71F"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10</w:t>
                            </w:r>
                          </w:p>
                        </w:tc>
                        <w:tc>
                          <w:tcPr>
                            <w:tcW w:w="1162" w:type="dxa"/>
                            <w:vAlign w:val="center"/>
                          </w:tcPr>
                          <w:p w14:paraId="620921F9"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1,448</w:t>
                            </w:r>
                          </w:p>
                        </w:tc>
                        <w:tc>
                          <w:tcPr>
                            <w:tcW w:w="1163" w:type="dxa"/>
                            <w:vAlign w:val="center"/>
                          </w:tcPr>
                          <w:p w14:paraId="136932C3"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1,174</w:t>
                            </w:r>
                          </w:p>
                        </w:tc>
                        <w:tc>
                          <w:tcPr>
                            <w:tcW w:w="1163" w:type="dxa"/>
                            <w:vAlign w:val="center"/>
                          </w:tcPr>
                          <w:p w14:paraId="45CD2C7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176</w:t>
                            </w:r>
                          </w:p>
                        </w:tc>
                        <w:tc>
                          <w:tcPr>
                            <w:tcW w:w="1163" w:type="dxa"/>
                            <w:vAlign w:val="center"/>
                          </w:tcPr>
                          <w:p w14:paraId="6B30CCD1"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450</w:t>
                            </w:r>
                          </w:p>
                        </w:tc>
                        <w:tc>
                          <w:tcPr>
                            <w:tcW w:w="1163" w:type="dxa"/>
                            <w:vAlign w:val="center"/>
                          </w:tcPr>
                          <w:p w14:paraId="4A2E4F1C"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31.08</w:t>
                            </w:r>
                          </w:p>
                        </w:tc>
                      </w:tr>
                      <w:tr w:rsidR="00E94BB2" w:rsidRPr="001B4C3E" w14:paraId="760F8C34" w14:textId="77777777" w:rsidTr="006C2827">
                        <w:trPr>
                          <w:trHeight w:val="20"/>
                          <w:jc w:val="center"/>
                        </w:trPr>
                        <w:tc>
                          <w:tcPr>
                            <w:tcW w:w="863" w:type="dxa"/>
                            <w:tcBorders>
                              <w:bottom w:val="single" w:sz="4" w:space="0" w:color="auto"/>
                            </w:tcBorders>
                            <w:vAlign w:val="center"/>
                          </w:tcPr>
                          <w:p w14:paraId="555A02EB" w14:textId="77777777" w:rsidR="00E94BB2" w:rsidRPr="001B4C3E" w:rsidRDefault="00E94BB2" w:rsidP="00193CC0">
                            <w:pPr>
                              <w:spacing w:line="240" w:lineRule="exact"/>
                              <w:jc w:val="center"/>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09</w:t>
                            </w:r>
                          </w:p>
                        </w:tc>
                        <w:tc>
                          <w:tcPr>
                            <w:tcW w:w="1162" w:type="dxa"/>
                            <w:tcBorders>
                              <w:bottom w:val="single" w:sz="4" w:space="0" w:color="auto"/>
                            </w:tcBorders>
                            <w:vAlign w:val="center"/>
                          </w:tcPr>
                          <w:p w14:paraId="792EE030"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w:t>
                            </w:r>
                            <w:r w:rsidRPr="001B4C3E">
                              <w:rPr>
                                <w:rFonts w:ascii="標楷體" w:eastAsia="標楷體" w:hAnsi="標楷體"/>
                                <w:sz w:val="20"/>
                              </w:rPr>
                              <w:t>,605</w:t>
                            </w:r>
                          </w:p>
                        </w:tc>
                        <w:tc>
                          <w:tcPr>
                            <w:tcW w:w="1163" w:type="dxa"/>
                            <w:tcBorders>
                              <w:bottom w:val="single" w:sz="4" w:space="0" w:color="auto"/>
                            </w:tcBorders>
                            <w:vAlign w:val="center"/>
                          </w:tcPr>
                          <w:p w14:paraId="165B8415"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1,350</w:t>
                            </w:r>
                          </w:p>
                        </w:tc>
                        <w:tc>
                          <w:tcPr>
                            <w:tcW w:w="1163" w:type="dxa"/>
                            <w:tcBorders>
                              <w:bottom w:val="single" w:sz="4" w:space="0" w:color="auto"/>
                            </w:tcBorders>
                            <w:vAlign w:val="center"/>
                          </w:tcPr>
                          <w:p w14:paraId="4FE6C9CF"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113</w:t>
                            </w:r>
                          </w:p>
                        </w:tc>
                        <w:tc>
                          <w:tcPr>
                            <w:tcW w:w="1163" w:type="dxa"/>
                            <w:tcBorders>
                              <w:bottom w:val="single" w:sz="4" w:space="0" w:color="auto"/>
                            </w:tcBorders>
                            <w:vAlign w:val="center"/>
                          </w:tcPr>
                          <w:p w14:paraId="63D8DC2B"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368</w:t>
                            </w:r>
                          </w:p>
                        </w:tc>
                        <w:tc>
                          <w:tcPr>
                            <w:tcW w:w="1163" w:type="dxa"/>
                            <w:tcBorders>
                              <w:bottom w:val="single" w:sz="4" w:space="0" w:color="auto"/>
                            </w:tcBorders>
                            <w:vAlign w:val="center"/>
                          </w:tcPr>
                          <w:p w14:paraId="118352E3" w14:textId="77777777" w:rsidR="00E94BB2" w:rsidRPr="001B4C3E" w:rsidRDefault="00E94BB2" w:rsidP="00193CC0">
                            <w:pPr>
                              <w:spacing w:line="240" w:lineRule="exact"/>
                              <w:jc w:val="right"/>
                              <w:rPr>
                                <w:rFonts w:ascii="標楷體" w:eastAsia="標楷體" w:hAnsi="標楷體"/>
                                <w:sz w:val="20"/>
                              </w:rPr>
                            </w:pPr>
                            <w:r w:rsidRPr="001B4C3E">
                              <w:rPr>
                                <w:rFonts w:ascii="標楷體" w:eastAsia="標楷體" w:hAnsi="標楷體" w:hint="eastAsia"/>
                                <w:sz w:val="20"/>
                              </w:rPr>
                              <w:t>22.93</w:t>
                            </w:r>
                          </w:p>
                        </w:tc>
                      </w:tr>
                      <w:tr w:rsidR="00E94BB2" w:rsidRPr="003135ED" w14:paraId="093F06E6" w14:textId="77777777" w:rsidTr="006C2827">
                        <w:trPr>
                          <w:trHeight w:val="227"/>
                          <w:jc w:val="center"/>
                        </w:trPr>
                        <w:tc>
                          <w:tcPr>
                            <w:tcW w:w="6677" w:type="dxa"/>
                            <w:gridSpan w:val="6"/>
                            <w:tcBorders>
                              <w:top w:val="single" w:sz="4" w:space="0" w:color="auto"/>
                              <w:left w:val="nil"/>
                              <w:bottom w:val="nil"/>
                              <w:right w:val="nil"/>
                            </w:tcBorders>
                          </w:tcPr>
                          <w:p w14:paraId="4D829A81" w14:textId="77777777" w:rsidR="00E94BB2" w:rsidRPr="008D3D67" w:rsidRDefault="00E94BB2" w:rsidP="00BC23F0">
                            <w:pPr>
                              <w:spacing w:line="200" w:lineRule="exact"/>
                              <w:ind w:leftChars="-10" w:left="516" w:hangingChars="300" w:hanging="540"/>
                              <w:jc w:val="both"/>
                              <w:rPr>
                                <w:rFonts w:ascii="標楷體" w:eastAsia="標楷體" w:hAnsi="標楷體"/>
                                <w:sz w:val="18"/>
                                <w:szCs w:val="18"/>
                              </w:rPr>
                            </w:pPr>
                            <w:proofErr w:type="gramStart"/>
                            <w:r w:rsidRPr="008D3D67">
                              <w:rPr>
                                <w:rFonts w:ascii="標楷體" w:eastAsia="標楷體" w:hAnsi="標楷體" w:hint="eastAsia"/>
                                <w:sz w:val="18"/>
                                <w:szCs w:val="18"/>
                              </w:rPr>
                              <w:t>註</w:t>
                            </w:r>
                            <w:proofErr w:type="gramEnd"/>
                            <w:r w:rsidRPr="008D3D67">
                              <w:rPr>
                                <w:rFonts w:ascii="標楷體" w:eastAsia="標楷體" w:hAnsi="標楷體"/>
                                <w:sz w:val="18"/>
                                <w:szCs w:val="18"/>
                              </w:rPr>
                              <w:t>：1.獲分配人數</w:t>
                            </w:r>
                            <w:r w:rsidRPr="008D3D67">
                              <w:rPr>
                                <w:rFonts w:ascii="標楷體" w:eastAsia="標楷體" w:hAnsi="標楷體" w:hint="eastAsia"/>
                                <w:sz w:val="18"/>
                                <w:szCs w:val="18"/>
                              </w:rPr>
                              <w:t>，係指錄取並經志願分發作業後，實際分配至各機關單位受訓之人數。</w:t>
                            </w:r>
                          </w:p>
                          <w:p w14:paraId="266E2B32" w14:textId="77777777" w:rsidR="00E94BB2" w:rsidRPr="008D3D67" w:rsidRDefault="00E94BB2" w:rsidP="00BC23F0">
                            <w:pPr>
                              <w:widowControl/>
                              <w:shd w:val="clear" w:color="auto" w:fill="FFFFFF"/>
                              <w:spacing w:line="200" w:lineRule="exact"/>
                              <w:ind w:leftChars="130" w:left="494" w:hangingChars="101" w:hanging="182"/>
                              <w:jc w:val="both"/>
                              <w:rPr>
                                <w:rFonts w:ascii="標楷體" w:eastAsia="標楷體" w:hAnsi="標楷體"/>
                                <w:sz w:val="18"/>
                                <w:szCs w:val="18"/>
                              </w:rPr>
                            </w:pPr>
                            <w:r w:rsidRPr="008D3D67">
                              <w:rPr>
                                <w:rFonts w:ascii="標楷體" w:eastAsia="標楷體" w:hAnsi="標楷體" w:hint="eastAsia"/>
                                <w:sz w:val="18"/>
                                <w:szCs w:val="18"/>
                              </w:rPr>
                              <w:t>2</w:t>
                            </w:r>
                            <w:r w:rsidRPr="008D3D67">
                              <w:rPr>
                                <w:rFonts w:ascii="標楷體" w:eastAsia="標楷體" w:hAnsi="標楷體"/>
                                <w:sz w:val="18"/>
                                <w:szCs w:val="18"/>
                              </w:rPr>
                              <w:t>.</w:t>
                            </w:r>
                            <w:r w:rsidRPr="008D3D67">
                              <w:rPr>
                                <w:rFonts w:ascii="標楷體" w:eastAsia="標楷體" w:hAnsi="標楷體" w:hint="eastAsia"/>
                                <w:sz w:val="18"/>
                                <w:szCs w:val="18"/>
                              </w:rPr>
                              <w:t>放棄或未</w:t>
                            </w:r>
                            <w:r w:rsidRPr="008D3D67">
                              <w:rPr>
                                <w:rFonts w:ascii="標楷體" w:eastAsia="標楷體" w:hAnsi="標楷體"/>
                                <w:sz w:val="18"/>
                                <w:szCs w:val="18"/>
                              </w:rPr>
                              <w:t>報到</w:t>
                            </w:r>
                            <w:r w:rsidRPr="008D3D67">
                              <w:rPr>
                                <w:rFonts w:ascii="標楷體" w:eastAsia="標楷體" w:hAnsi="標楷體" w:hint="eastAsia"/>
                                <w:sz w:val="18"/>
                                <w:szCs w:val="18"/>
                              </w:rPr>
                              <w:t>人數</w:t>
                            </w:r>
                            <w:r w:rsidRPr="008D3D67">
                              <w:rPr>
                                <w:rFonts w:ascii="標楷體" w:eastAsia="標楷體" w:hAnsi="標楷體"/>
                                <w:sz w:val="18"/>
                                <w:szCs w:val="18"/>
                              </w:rPr>
                              <w:t>，係指經分配</w:t>
                            </w:r>
                            <w:r w:rsidRPr="008D3D67">
                              <w:rPr>
                                <w:rFonts w:ascii="標楷體" w:eastAsia="標楷體" w:hAnsi="標楷體" w:hint="eastAsia"/>
                                <w:sz w:val="18"/>
                                <w:szCs w:val="18"/>
                              </w:rPr>
                              <w:t>至各機關單位訓練</w:t>
                            </w:r>
                            <w:r w:rsidRPr="008D3D67">
                              <w:rPr>
                                <w:rFonts w:ascii="標楷體" w:eastAsia="標楷體" w:hAnsi="標楷體"/>
                                <w:sz w:val="18"/>
                                <w:szCs w:val="18"/>
                              </w:rPr>
                              <w:t>，惟</w:t>
                            </w:r>
                            <w:r w:rsidRPr="008D3D67">
                              <w:rPr>
                                <w:rFonts w:ascii="標楷體" w:eastAsia="標楷體" w:hAnsi="標楷體" w:hint="eastAsia"/>
                                <w:sz w:val="18"/>
                                <w:szCs w:val="18"/>
                              </w:rPr>
                              <w:t>申請</w:t>
                            </w:r>
                            <w:r w:rsidRPr="008D3D67">
                              <w:rPr>
                                <w:rFonts w:ascii="標楷體" w:eastAsia="標楷體" w:hAnsi="標楷體"/>
                                <w:sz w:val="18"/>
                                <w:szCs w:val="18"/>
                              </w:rPr>
                              <w:t>放棄或未</w:t>
                            </w:r>
                            <w:r w:rsidRPr="008D3D67">
                              <w:rPr>
                                <w:rFonts w:ascii="標楷體" w:eastAsia="標楷體" w:hAnsi="標楷體" w:hint="eastAsia"/>
                                <w:sz w:val="18"/>
                                <w:szCs w:val="18"/>
                              </w:rPr>
                              <w:t>於規定時間內向實施訓練機關</w:t>
                            </w:r>
                            <w:r w:rsidRPr="008D3D67">
                              <w:rPr>
                                <w:rFonts w:ascii="標楷體" w:eastAsia="標楷體" w:hAnsi="標楷體"/>
                                <w:sz w:val="18"/>
                                <w:szCs w:val="18"/>
                              </w:rPr>
                              <w:t>完成報到手續</w:t>
                            </w:r>
                            <w:r w:rsidRPr="008D3D67">
                              <w:rPr>
                                <w:rFonts w:ascii="標楷體" w:eastAsia="標楷體" w:hAnsi="標楷體" w:hint="eastAsia"/>
                                <w:sz w:val="18"/>
                                <w:szCs w:val="18"/>
                              </w:rPr>
                              <w:t>之人數</w:t>
                            </w:r>
                            <w:r w:rsidRPr="008D3D67">
                              <w:rPr>
                                <w:rFonts w:ascii="標楷體" w:eastAsia="標楷體" w:hAnsi="標楷體"/>
                                <w:sz w:val="18"/>
                                <w:szCs w:val="18"/>
                              </w:rPr>
                              <w:t>。</w:t>
                            </w:r>
                          </w:p>
                          <w:p w14:paraId="6B7BD8F4" w14:textId="77777777" w:rsidR="00E94BB2" w:rsidRPr="003135ED" w:rsidRDefault="00E94BB2" w:rsidP="00BC23F0">
                            <w:pPr>
                              <w:spacing w:line="200" w:lineRule="exact"/>
                              <w:ind w:leftChars="130" w:left="312"/>
                              <w:jc w:val="both"/>
                              <w:rPr>
                                <w:rFonts w:ascii="標楷體" w:eastAsia="標楷體" w:hAnsi="標楷體"/>
                              </w:rPr>
                            </w:pPr>
                            <w:r w:rsidRPr="008D3D67">
                              <w:rPr>
                                <w:rFonts w:ascii="標楷體" w:eastAsia="標楷體" w:hAnsi="標楷體" w:hint="eastAsia"/>
                                <w:sz w:val="18"/>
                                <w:szCs w:val="18"/>
                              </w:rPr>
                              <w:t>3</w:t>
                            </w:r>
                            <w:r w:rsidRPr="008D3D67">
                              <w:rPr>
                                <w:rFonts w:ascii="標楷體" w:eastAsia="標楷體" w:hAnsi="標楷體"/>
                                <w:sz w:val="18"/>
                                <w:szCs w:val="18"/>
                              </w:rPr>
                              <w:t>.</w:t>
                            </w:r>
                            <w:r w:rsidRPr="008D3D67">
                              <w:rPr>
                                <w:rFonts w:ascii="標楷體" w:eastAsia="標楷體" w:hAnsi="標楷體" w:hint="eastAsia"/>
                                <w:sz w:val="18"/>
                                <w:szCs w:val="18"/>
                              </w:rPr>
                              <w:t>資料來源</w:t>
                            </w:r>
                            <w:r w:rsidRPr="008D3D67">
                              <w:rPr>
                                <w:rFonts w:ascii="標楷體" w:eastAsia="標楷體" w:hAnsi="標楷體"/>
                                <w:sz w:val="18"/>
                                <w:szCs w:val="18"/>
                              </w:rPr>
                              <w:t>：</w:t>
                            </w:r>
                            <w:r w:rsidRPr="008D3D67">
                              <w:rPr>
                                <w:rFonts w:ascii="標楷體" w:eastAsia="標楷體" w:hAnsi="標楷體" w:hint="eastAsia"/>
                                <w:sz w:val="18"/>
                                <w:szCs w:val="18"/>
                              </w:rPr>
                              <w:t>整理自</w:t>
                            </w:r>
                            <w:r w:rsidRPr="008D3D67">
                              <w:rPr>
                                <w:rFonts w:ascii="標楷體" w:eastAsia="標楷體" w:hAnsi="標楷體"/>
                                <w:sz w:val="18"/>
                                <w:szCs w:val="18"/>
                              </w:rPr>
                              <w:t>行政院人事行政總處提供資料。</w:t>
                            </w:r>
                          </w:p>
                        </w:tc>
                      </w:tr>
                    </w:tbl>
                    <w:p w14:paraId="51F85B94" w14:textId="77777777" w:rsidR="00E94BB2" w:rsidRPr="00193CC0" w:rsidRDefault="00E94BB2" w:rsidP="00E94BB2"/>
                  </w:txbxContent>
                </v:textbox>
                <w10:wrap type="square"/>
              </v:shape>
            </w:pict>
          </mc:Fallback>
        </mc:AlternateContent>
      </w:r>
      <w:proofErr w:type="gramStart"/>
      <w:r w:rsidRPr="00262D3D">
        <w:rPr>
          <w:rFonts w:hAnsi="標楷體" w:hint="eastAsia"/>
          <w:bCs/>
          <w:snapToGrid w:val="0"/>
          <w:sz w:val="24"/>
          <w:szCs w:val="24"/>
        </w:rPr>
        <w:t>個</w:t>
      </w:r>
      <w:proofErr w:type="gramEnd"/>
      <w:r w:rsidRPr="00262D3D">
        <w:rPr>
          <w:rFonts w:hAnsi="標楷體" w:hint="eastAsia"/>
          <w:bCs/>
          <w:snapToGrid w:val="0"/>
          <w:sz w:val="24"/>
          <w:szCs w:val="24"/>
        </w:rPr>
        <w:t>（表</w:t>
      </w:r>
      <w:r w:rsidR="00BE22AA" w:rsidRPr="00262D3D">
        <w:rPr>
          <w:rFonts w:hAnsi="標楷體" w:hint="eastAsia"/>
          <w:bCs/>
          <w:snapToGrid w:val="0"/>
          <w:sz w:val="24"/>
          <w:szCs w:val="24"/>
        </w:rPr>
        <w:t>3</w:t>
      </w:r>
      <w:r w:rsidR="00805124">
        <w:rPr>
          <w:rFonts w:hAnsi="標楷體" w:hint="eastAsia"/>
          <w:bCs/>
          <w:snapToGrid w:val="0"/>
          <w:sz w:val="24"/>
          <w:szCs w:val="24"/>
        </w:rPr>
        <w:t>7</w:t>
      </w:r>
      <w:r w:rsidRPr="00262D3D">
        <w:rPr>
          <w:rFonts w:hAnsi="標楷體" w:hint="eastAsia"/>
          <w:bCs/>
          <w:snapToGrid w:val="0"/>
          <w:sz w:val="24"/>
          <w:szCs w:val="24"/>
        </w:rPr>
        <w:t>），近</w:t>
      </w:r>
      <w:proofErr w:type="gramStart"/>
      <w:r w:rsidRPr="00262D3D">
        <w:rPr>
          <w:rFonts w:hAnsi="標楷體" w:hint="eastAsia"/>
          <w:bCs/>
          <w:snapToGrid w:val="0"/>
          <w:sz w:val="24"/>
          <w:szCs w:val="24"/>
        </w:rPr>
        <w:t>5</w:t>
      </w:r>
      <w:proofErr w:type="gramEnd"/>
      <w:r w:rsidRPr="00262D3D">
        <w:rPr>
          <w:rFonts w:hAnsi="標楷體" w:hint="eastAsia"/>
          <w:bCs/>
          <w:snapToGrid w:val="0"/>
          <w:sz w:val="24"/>
          <w:szCs w:val="24"/>
        </w:rPr>
        <w:t>年度</w:t>
      </w:r>
      <w:r w:rsidR="005E3886">
        <w:rPr>
          <w:rFonts w:hAnsi="標楷體" w:hint="eastAsia"/>
          <w:bCs/>
          <w:snapToGrid w:val="0"/>
          <w:sz w:val="24"/>
          <w:szCs w:val="24"/>
        </w:rPr>
        <w:t>（109至113年度）</w:t>
      </w:r>
      <w:r w:rsidRPr="00262D3D">
        <w:rPr>
          <w:rFonts w:hAnsi="標楷體" w:hint="eastAsia"/>
          <w:bCs/>
          <w:snapToGrid w:val="0"/>
          <w:sz w:val="24"/>
          <w:szCs w:val="24"/>
        </w:rPr>
        <w:t>平均</w:t>
      </w:r>
      <w:proofErr w:type="gramStart"/>
      <w:r w:rsidRPr="00262D3D">
        <w:rPr>
          <w:rFonts w:hAnsi="標楷體" w:hint="eastAsia"/>
          <w:bCs/>
          <w:snapToGrid w:val="0"/>
          <w:sz w:val="24"/>
          <w:szCs w:val="24"/>
        </w:rPr>
        <w:t>正額職缺</w:t>
      </w:r>
      <w:proofErr w:type="gramEnd"/>
      <w:r w:rsidRPr="00262D3D">
        <w:rPr>
          <w:rFonts w:hAnsi="標楷體" w:hint="eastAsia"/>
          <w:bCs/>
          <w:snapToGrid w:val="0"/>
          <w:sz w:val="24"/>
          <w:szCs w:val="24"/>
        </w:rPr>
        <w:t>未補實比率逾25％，且</w:t>
      </w:r>
      <w:proofErr w:type="gramStart"/>
      <w:r w:rsidRPr="00262D3D">
        <w:rPr>
          <w:rFonts w:hAnsi="標楷體" w:hint="eastAsia"/>
          <w:bCs/>
          <w:snapToGrid w:val="0"/>
          <w:sz w:val="24"/>
          <w:szCs w:val="24"/>
        </w:rPr>
        <w:t>113</w:t>
      </w:r>
      <w:proofErr w:type="gramEnd"/>
      <w:r w:rsidRPr="00262D3D">
        <w:rPr>
          <w:rFonts w:hAnsi="標楷體" w:hint="eastAsia"/>
          <w:bCs/>
          <w:snapToGrid w:val="0"/>
          <w:sz w:val="24"/>
          <w:szCs w:val="24"/>
        </w:rPr>
        <w:t>年度未補</w:t>
      </w:r>
      <w:proofErr w:type="gramStart"/>
      <w:r w:rsidRPr="00262D3D">
        <w:rPr>
          <w:rFonts w:hAnsi="標楷體" w:hint="eastAsia"/>
          <w:bCs/>
          <w:snapToGrid w:val="0"/>
          <w:sz w:val="24"/>
          <w:szCs w:val="24"/>
        </w:rPr>
        <w:t>實職缺數524個</w:t>
      </w:r>
      <w:proofErr w:type="gramEnd"/>
      <w:r w:rsidRPr="00262D3D">
        <w:rPr>
          <w:rFonts w:hAnsi="標楷體" w:hint="eastAsia"/>
          <w:bCs/>
          <w:snapToGrid w:val="0"/>
          <w:sz w:val="24"/>
          <w:szCs w:val="24"/>
        </w:rPr>
        <w:t>為近</w:t>
      </w:r>
      <w:proofErr w:type="gramStart"/>
      <w:r w:rsidRPr="00262D3D">
        <w:rPr>
          <w:rFonts w:hAnsi="標楷體" w:hint="eastAsia"/>
          <w:bCs/>
          <w:snapToGrid w:val="0"/>
          <w:sz w:val="24"/>
          <w:szCs w:val="24"/>
        </w:rPr>
        <w:t>5</w:t>
      </w:r>
      <w:proofErr w:type="gramEnd"/>
      <w:r w:rsidRPr="00262D3D">
        <w:rPr>
          <w:rFonts w:hAnsi="標楷體" w:hint="eastAsia"/>
          <w:bCs/>
          <w:snapToGrid w:val="0"/>
          <w:sz w:val="24"/>
          <w:szCs w:val="24"/>
        </w:rPr>
        <w:t>年度最高，潛藏考用供需失衡風險，允宜持續策進相關考試變革措施</w:t>
      </w:r>
      <w:r w:rsidRPr="00262D3D">
        <w:rPr>
          <w:rFonts w:hAnsi="標楷體"/>
          <w:bCs/>
          <w:snapToGrid w:val="0"/>
          <w:sz w:val="24"/>
          <w:szCs w:val="24"/>
        </w:rPr>
        <w:t>，</w:t>
      </w:r>
      <w:r w:rsidRPr="00262D3D">
        <w:rPr>
          <w:rFonts w:hAnsi="標楷體" w:hint="eastAsia"/>
          <w:bCs/>
          <w:snapToGrid w:val="0"/>
          <w:sz w:val="24"/>
          <w:szCs w:val="24"/>
        </w:rPr>
        <w:t>以持續</w:t>
      </w:r>
      <w:proofErr w:type="gramStart"/>
      <w:r w:rsidRPr="00262D3D">
        <w:rPr>
          <w:rFonts w:hAnsi="標楷體" w:hint="eastAsia"/>
          <w:bCs/>
          <w:snapToGrid w:val="0"/>
          <w:sz w:val="24"/>
          <w:szCs w:val="24"/>
        </w:rPr>
        <w:t>遴</w:t>
      </w:r>
      <w:proofErr w:type="gramEnd"/>
      <w:r w:rsidRPr="00262D3D">
        <w:rPr>
          <w:rFonts w:hAnsi="標楷體" w:hint="eastAsia"/>
          <w:bCs/>
          <w:snapToGrid w:val="0"/>
          <w:sz w:val="24"/>
          <w:szCs w:val="24"/>
        </w:rPr>
        <w:t>補優質公務人</w:t>
      </w:r>
    </w:p>
    <w:p w14:paraId="2FD20C9E" w14:textId="000730B7" w:rsidR="005D0F74" w:rsidRPr="005D0F74" w:rsidRDefault="008A1B45" w:rsidP="00286703">
      <w:pPr>
        <w:pStyle w:val="affb"/>
        <w:tabs>
          <w:tab w:val="left" w:pos="1560"/>
        </w:tabs>
        <w:overflowPunct w:val="0"/>
        <w:spacing w:line="450" w:lineRule="exact"/>
        <w:ind w:left="0" w:firstLine="0"/>
        <w:jc w:val="both"/>
        <w:rPr>
          <w:rFonts w:hAnsi="標楷體"/>
          <w:bCs/>
          <w:snapToGrid w:val="0"/>
          <w:sz w:val="24"/>
          <w:szCs w:val="24"/>
        </w:rPr>
      </w:pPr>
      <w:r w:rsidRPr="00262D3D">
        <w:rPr>
          <w:rFonts w:hAnsi="標楷體" w:hint="eastAsia"/>
          <w:bCs/>
          <w:snapToGrid w:val="0"/>
          <w:sz w:val="24"/>
          <w:szCs w:val="24"/>
        </w:rPr>
        <w:lastRenderedPageBreak/>
        <w:t>力；（3）近</w:t>
      </w:r>
      <w:proofErr w:type="gramStart"/>
      <w:r w:rsidRPr="00262D3D">
        <w:rPr>
          <w:rFonts w:hAnsi="標楷體" w:hint="eastAsia"/>
          <w:bCs/>
          <w:snapToGrid w:val="0"/>
          <w:sz w:val="24"/>
          <w:szCs w:val="24"/>
        </w:rPr>
        <w:t>5</w:t>
      </w:r>
      <w:proofErr w:type="gramEnd"/>
      <w:r w:rsidRPr="00262D3D">
        <w:rPr>
          <w:rFonts w:hAnsi="標楷體" w:hint="eastAsia"/>
          <w:bCs/>
          <w:snapToGrid w:val="0"/>
          <w:sz w:val="24"/>
          <w:szCs w:val="24"/>
        </w:rPr>
        <w:t>年度</w:t>
      </w:r>
      <w:r w:rsidR="00AB1059" w:rsidRPr="00AB1059">
        <w:rPr>
          <w:rFonts w:hAnsi="標楷體" w:hint="eastAsia"/>
          <w:bCs/>
          <w:snapToGrid w:val="0"/>
          <w:sz w:val="24"/>
          <w:szCs w:val="24"/>
        </w:rPr>
        <w:t>（109至113年度）中央政府</w:t>
      </w:r>
      <w:r w:rsidR="00286703" w:rsidRPr="00262D3D">
        <w:rPr>
          <w:rFonts w:hAnsi="標楷體"/>
          <w:noProof/>
          <w:szCs w:val="32"/>
        </w:rPr>
        <mc:AlternateContent>
          <mc:Choice Requires="wps">
            <w:drawing>
              <wp:anchor distT="45720" distB="45720" distL="114300" distR="114300" simplePos="0" relativeHeight="251681792" behindDoc="0" locked="0" layoutInCell="1" allowOverlap="1" wp14:anchorId="1ACA9DE4" wp14:editId="332430C1">
                <wp:simplePos x="0" y="0"/>
                <wp:positionH relativeFrom="margin">
                  <wp:posOffset>3825240</wp:posOffset>
                </wp:positionH>
                <wp:positionV relativeFrom="margin">
                  <wp:posOffset>71755</wp:posOffset>
                </wp:positionV>
                <wp:extent cx="2476500" cy="2407920"/>
                <wp:effectExtent l="0" t="0" r="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2407920"/>
                        </a:xfrm>
                        <a:prstGeom prst="rect">
                          <a:avLst/>
                        </a:prstGeom>
                        <a:solidFill>
                          <a:srgbClr val="FFFFFF"/>
                        </a:solidFill>
                        <a:ln w="9525">
                          <a:noFill/>
                          <a:miter lim="800000"/>
                          <a:headEnd/>
                          <a:tailEnd/>
                        </a:ln>
                      </wps:spPr>
                      <wps:txbx>
                        <w:txbxContent>
                          <w:tbl>
                            <w:tblPr>
                              <w:tblStyle w:val="afff"/>
                              <w:tblW w:w="0" w:type="auto"/>
                              <w:jc w:val="center"/>
                              <w:tblLook w:val="04A0" w:firstRow="1" w:lastRow="0" w:firstColumn="1" w:lastColumn="0" w:noHBand="0" w:noVBand="1"/>
                            </w:tblPr>
                            <w:tblGrid>
                              <w:gridCol w:w="670"/>
                              <w:gridCol w:w="748"/>
                              <w:gridCol w:w="748"/>
                              <w:gridCol w:w="707"/>
                              <w:gridCol w:w="725"/>
                            </w:tblGrid>
                            <w:tr w:rsidR="00286703" w:rsidRPr="0099272B" w14:paraId="01968E33" w14:textId="77777777" w:rsidTr="008D3D67">
                              <w:trPr>
                                <w:trHeight w:val="283"/>
                                <w:jc w:val="center"/>
                              </w:trPr>
                              <w:tc>
                                <w:tcPr>
                                  <w:tcW w:w="3598" w:type="dxa"/>
                                  <w:gridSpan w:val="5"/>
                                  <w:tcBorders>
                                    <w:top w:val="nil"/>
                                    <w:left w:val="nil"/>
                                    <w:bottom w:val="nil"/>
                                    <w:right w:val="nil"/>
                                  </w:tcBorders>
                                  <w:vAlign w:val="center"/>
                                </w:tcPr>
                                <w:p w14:paraId="4266ECC8" w14:textId="77777777" w:rsidR="00286703" w:rsidRPr="005C77C1" w:rsidRDefault="00286703" w:rsidP="00EB6BF5">
                                  <w:pPr>
                                    <w:spacing w:line="240" w:lineRule="exact"/>
                                    <w:jc w:val="center"/>
                                    <w:rPr>
                                      <w:rFonts w:ascii="標楷體" w:eastAsia="標楷體" w:hAnsi="標楷體"/>
                                      <w:szCs w:val="24"/>
                                    </w:rPr>
                                  </w:pPr>
                                  <w:r w:rsidRPr="006C2827">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8</w:t>
                                  </w:r>
                                  <w:r w:rsidRPr="005C77C1">
                                    <w:rPr>
                                      <w:rFonts w:ascii="標楷體" w:eastAsia="標楷體" w:hAnsi="標楷體" w:hint="eastAsia"/>
                                      <w:b/>
                                      <w:szCs w:val="24"/>
                                    </w:rPr>
                                    <w:t xml:space="preserve">　</w:t>
                                  </w:r>
                                  <w:r w:rsidRPr="005C77C1">
                                    <w:rPr>
                                      <w:rFonts w:ascii="標楷體" w:eastAsia="標楷體" w:hAnsi="標楷體"/>
                                      <w:b/>
                                      <w:szCs w:val="24"/>
                                    </w:rPr>
                                    <w:t>中央</w:t>
                                  </w:r>
                                  <w:r w:rsidRPr="00134EEE">
                                    <w:rPr>
                                      <w:rFonts w:ascii="標楷體" w:eastAsia="標楷體" w:hAnsi="標楷體"/>
                                      <w:b/>
                                      <w:szCs w:val="24"/>
                                    </w:rPr>
                                    <w:t>政府</w:t>
                                  </w:r>
                                  <w:r w:rsidRPr="005C77C1">
                                    <w:rPr>
                                      <w:rFonts w:ascii="標楷體" w:eastAsia="標楷體" w:hAnsi="標楷體"/>
                                      <w:b/>
                                      <w:szCs w:val="24"/>
                                    </w:rPr>
                                    <w:t>機關</w:t>
                                  </w:r>
                                  <w:r w:rsidRPr="005C77C1">
                                    <w:rPr>
                                      <w:rFonts w:ascii="標楷體" w:eastAsia="標楷體" w:hAnsi="標楷體" w:hint="eastAsia"/>
                                      <w:b/>
                                      <w:szCs w:val="24"/>
                                    </w:rPr>
                                    <w:t>辭職人數</w:t>
                                  </w:r>
                                </w:p>
                              </w:tc>
                            </w:tr>
                            <w:tr w:rsidR="00286703" w:rsidRPr="0099272B" w14:paraId="4EE58A07" w14:textId="77777777" w:rsidTr="008D3D67">
                              <w:trPr>
                                <w:trHeight w:val="283"/>
                                <w:jc w:val="center"/>
                              </w:trPr>
                              <w:tc>
                                <w:tcPr>
                                  <w:tcW w:w="3598" w:type="dxa"/>
                                  <w:gridSpan w:val="5"/>
                                  <w:tcBorders>
                                    <w:top w:val="nil"/>
                                    <w:left w:val="nil"/>
                                    <w:bottom w:val="single" w:sz="4" w:space="0" w:color="auto"/>
                                    <w:right w:val="nil"/>
                                  </w:tcBorders>
                                  <w:vAlign w:val="center"/>
                                </w:tcPr>
                                <w:p w14:paraId="07D9F054" w14:textId="77777777" w:rsidR="00286703" w:rsidRPr="00541C31" w:rsidRDefault="00286703" w:rsidP="005C77C1">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單位</w:t>
                                  </w:r>
                                  <w:r w:rsidRPr="00541C31">
                                    <w:rPr>
                                      <w:rFonts w:ascii="標楷體" w:eastAsia="標楷體" w:hAnsi="標楷體"/>
                                      <w:sz w:val="20"/>
                                      <w:szCs w:val="16"/>
                                    </w:rPr>
                                    <w:t>：人</w:t>
                                  </w:r>
                                </w:p>
                              </w:tc>
                            </w:tr>
                            <w:tr w:rsidR="00286703" w:rsidRPr="0099272B" w14:paraId="7A150435" w14:textId="77777777" w:rsidTr="008D3D67">
                              <w:trPr>
                                <w:trHeight w:val="283"/>
                                <w:jc w:val="center"/>
                              </w:trPr>
                              <w:tc>
                                <w:tcPr>
                                  <w:tcW w:w="670" w:type="dxa"/>
                                  <w:vMerge w:val="restart"/>
                                  <w:tcBorders>
                                    <w:top w:val="single" w:sz="4" w:space="0" w:color="auto"/>
                                    <w:right w:val="single" w:sz="4" w:space="0" w:color="auto"/>
                                  </w:tcBorders>
                                  <w:vAlign w:val="center"/>
                                </w:tcPr>
                                <w:p w14:paraId="56ED06C5"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年度</w:t>
                                  </w:r>
                                </w:p>
                              </w:tc>
                              <w:tc>
                                <w:tcPr>
                                  <w:tcW w:w="748" w:type="dxa"/>
                                  <w:vMerge w:val="restart"/>
                                  <w:tcBorders>
                                    <w:top w:val="single" w:sz="4" w:space="0" w:color="auto"/>
                                    <w:left w:val="single" w:sz="4" w:space="0" w:color="auto"/>
                                    <w:right w:val="single" w:sz="4" w:space="0" w:color="auto"/>
                                  </w:tcBorders>
                                  <w:vAlign w:val="center"/>
                                </w:tcPr>
                                <w:p w14:paraId="5E299C04" w14:textId="77777777" w:rsidR="00286703" w:rsidRPr="00541C31" w:rsidRDefault="00286703" w:rsidP="00CF228E">
                                  <w:pPr>
                                    <w:spacing w:line="240" w:lineRule="exact"/>
                                    <w:jc w:val="center"/>
                                    <w:rPr>
                                      <w:rFonts w:ascii="標楷體" w:eastAsia="標楷體" w:hAnsi="標楷體"/>
                                      <w:bCs/>
                                      <w:sz w:val="20"/>
                                      <w:szCs w:val="16"/>
                                    </w:rPr>
                                  </w:pPr>
                                  <w:r w:rsidRPr="00541C31">
                                    <w:rPr>
                                      <w:rFonts w:ascii="標楷體" w:eastAsia="標楷體" w:hAnsi="標楷體" w:hint="eastAsia"/>
                                      <w:bCs/>
                                      <w:sz w:val="20"/>
                                      <w:szCs w:val="16"/>
                                    </w:rPr>
                                    <w:t>合計</w:t>
                                  </w:r>
                                </w:p>
                              </w:tc>
                              <w:tc>
                                <w:tcPr>
                                  <w:tcW w:w="2180" w:type="dxa"/>
                                  <w:gridSpan w:val="3"/>
                                  <w:tcBorders>
                                    <w:top w:val="single" w:sz="4" w:space="0" w:color="auto"/>
                                    <w:left w:val="single" w:sz="4" w:space="0" w:color="auto"/>
                                  </w:tcBorders>
                                  <w:vAlign w:val="center"/>
                                </w:tcPr>
                                <w:p w14:paraId="7D53273B"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依機關(構)屬性</w:t>
                                  </w:r>
                                </w:p>
                              </w:tc>
                            </w:tr>
                            <w:tr w:rsidR="00286703" w:rsidRPr="0099272B" w14:paraId="0C0854C8" w14:textId="77777777" w:rsidTr="008D3D67">
                              <w:trPr>
                                <w:trHeight w:val="510"/>
                                <w:jc w:val="center"/>
                              </w:trPr>
                              <w:tc>
                                <w:tcPr>
                                  <w:tcW w:w="670" w:type="dxa"/>
                                  <w:vMerge/>
                                  <w:tcBorders>
                                    <w:right w:val="single" w:sz="4" w:space="0" w:color="auto"/>
                                  </w:tcBorders>
                                  <w:vAlign w:val="center"/>
                                </w:tcPr>
                                <w:p w14:paraId="134F562D" w14:textId="77777777" w:rsidR="00286703" w:rsidRPr="00541C31" w:rsidRDefault="00286703" w:rsidP="00CF228E">
                                  <w:pPr>
                                    <w:spacing w:line="240" w:lineRule="exact"/>
                                    <w:jc w:val="center"/>
                                    <w:rPr>
                                      <w:rFonts w:ascii="標楷體" w:eastAsia="標楷體" w:hAnsi="標楷體"/>
                                      <w:sz w:val="20"/>
                                      <w:szCs w:val="16"/>
                                    </w:rPr>
                                  </w:pPr>
                                </w:p>
                              </w:tc>
                              <w:tc>
                                <w:tcPr>
                                  <w:tcW w:w="748" w:type="dxa"/>
                                  <w:vMerge/>
                                  <w:tcBorders>
                                    <w:left w:val="single" w:sz="4" w:space="0" w:color="auto"/>
                                    <w:right w:val="single" w:sz="4" w:space="0" w:color="auto"/>
                                  </w:tcBorders>
                                  <w:vAlign w:val="center"/>
                                </w:tcPr>
                                <w:p w14:paraId="65A9A5A2" w14:textId="77777777" w:rsidR="00286703" w:rsidRPr="00541C31" w:rsidRDefault="00286703" w:rsidP="00CF228E">
                                  <w:pPr>
                                    <w:spacing w:line="240" w:lineRule="exact"/>
                                    <w:jc w:val="center"/>
                                    <w:rPr>
                                      <w:rFonts w:ascii="標楷體" w:eastAsia="標楷體" w:hAnsi="標楷體"/>
                                      <w:b/>
                                      <w:sz w:val="20"/>
                                      <w:szCs w:val="16"/>
                                    </w:rPr>
                                  </w:pPr>
                                </w:p>
                              </w:tc>
                              <w:tc>
                                <w:tcPr>
                                  <w:tcW w:w="748" w:type="dxa"/>
                                  <w:tcBorders>
                                    <w:top w:val="single" w:sz="4" w:space="0" w:color="auto"/>
                                    <w:left w:val="single" w:sz="4" w:space="0" w:color="auto"/>
                                    <w:right w:val="single" w:sz="4" w:space="0" w:color="auto"/>
                                  </w:tcBorders>
                                  <w:vAlign w:val="center"/>
                                </w:tcPr>
                                <w:p w14:paraId="384414EA"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公務機關</w:t>
                                  </w:r>
                                </w:p>
                              </w:tc>
                              <w:tc>
                                <w:tcPr>
                                  <w:tcW w:w="707" w:type="dxa"/>
                                  <w:tcBorders>
                                    <w:top w:val="single" w:sz="4" w:space="0" w:color="auto"/>
                                    <w:left w:val="single" w:sz="4" w:space="0" w:color="auto"/>
                                    <w:right w:val="single" w:sz="4" w:space="0" w:color="auto"/>
                                  </w:tcBorders>
                                  <w:vAlign w:val="center"/>
                                </w:tcPr>
                                <w:p w14:paraId="26E31F6A"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公立學校</w:t>
                                  </w:r>
                                </w:p>
                              </w:tc>
                              <w:tc>
                                <w:tcPr>
                                  <w:tcW w:w="725" w:type="dxa"/>
                                  <w:tcBorders>
                                    <w:top w:val="single" w:sz="4" w:space="0" w:color="auto"/>
                                    <w:left w:val="single" w:sz="4" w:space="0" w:color="auto"/>
                                  </w:tcBorders>
                                  <w:vAlign w:val="center"/>
                                </w:tcPr>
                                <w:p w14:paraId="7238E724"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公立醫療</w:t>
                                  </w:r>
                                  <w:r>
                                    <w:rPr>
                                      <w:rFonts w:ascii="標楷體" w:eastAsia="標楷體" w:hAnsi="標楷體" w:hint="eastAsia"/>
                                      <w:sz w:val="20"/>
                                      <w:szCs w:val="16"/>
                                    </w:rPr>
                                    <w:t>機構</w:t>
                                  </w:r>
                                </w:p>
                              </w:tc>
                            </w:tr>
                            <w:tr w:rsidR="00286703" w:rsidRPr="0099272B" w14:paraId="5088AB73" w14:textId="77777777" w:rsidTr="0008504B">
                              <w:trPr>
                                <w:trHeight w:val="283"/>
                                <w:jc w:val="center"/>
                              </w:trPr>
                              <w:tc>
                                <w:tcPr>
                                  <w:tcW w:w="670" w:type="dxa"/>
                                  <w:tcBorders>
                                    <w:right w:val="single" w:sz="4" w:space="0" w:color="auto"/>
                                  </w:tcBorders>
                                  <w:vAlign w:val="center"/>
                                </w:tcPr>
                                <w:p w14:paraId="36A92425" w14:textId="77777777" w:rsidR="00286703" w:rsidRPr="00541C31" w:rsidRDefault="00286703" w:rsidP="007A1821">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平均</w:t>
                                  </w:r>
                                </w:p>
                              </w:tc>
                              <w:tc>
                                <w:tcPr>
                                  <w:tcW w:w="748" w:type="dxa"/>
                                  <w:tcBorders>
                                    <w:left w:val="single" w:sz="4" w:space="0" w:color="auto"/>
                                    <w:right w:val="single" w:sz="4" w:space="0" w:color="auto"/>
                                  </w:tcBorders>
                                  <w:vAlign w:val="center"/>
                                </w:tcPr>
                                <w:p w14:paraId="11DC6EB8" w14:textId="77777777" w:rsidR="00286703" w:rsidRPr="00541C31" w:rsidRDefault="00286703" w:rsidP="007A1821">
                                  <w:pPr>
                                    <w:widowControl/>
                                    <w:spacing w:line="240" w:lineRule="exact"/>
                                    <w:jc w:val="right"/>
                                    <w:rPr>
                                      <w:rFonts w:ascii="標楷體" w:eastAsia="標楷體" w:hAnsi="標楷體"/>
                                      <w:b/>
                                      <w:bCs/>
                                      <w:color w:val="000000"/>
                                      <w:sz w:val="20"/>
                                      <w:szCs w:val="16"/>
                                    </w:rPr>
                                  </w:pPr>
                                  <w:r w:rsidRPr="00541C31">
                                    <w:rPr>
                                      <w:rFonts w:ascii="標楷體" w:eastAsia="標楷體" w:hAnsi="標楷體" w:hint="eastAsia"/>
                                      <w:b/>
                                      <w:bCs/>
                                      <w:color w:val="000000"/>
                                      <w:sz w:val="20"/>
                                      <w:szCs w:val="16"/>
                                    </w:rPr>
                                    <w:t>1</w:t>
                                  </w:r>
                                  <w:r w:rsidRPr="00541C31">
                                    <w:rPr>
                                      <w:rFonts w:ascii="標楷體" w:eastAsia="標楷體" w:hAnsi="標楷體"/>
                                      <w:b/>
                                      <w:bCs/>
                                      <w:color w:val="000000"/>
                                      <w:sz w:val="20"/>
                                      <w:szCs w:val="16"/>
                                    </w:rPr>
                                    <w:t>,</w:t>
                                  </w:r>
                                  <w:r w:rsidRPr="00541C31">
                                    <w:rPr>
                                      <w:rFonts w:ascii="標楷體" w:eastAsia="標楷體" w:hAnsi="標楷體" w:hint="eastAsia"/>
                                      <w:b/>
                                      <w:bCs/>
                                      <w:color w:val="000000"/>
                                      <w:sz w:val="20"/>
                                      <w:szCs w:val="16"/>
                                    </w:rPr>
                                    <w:t>113</w:t>
                                  </w:r>
                                </w:p>
                              </w:tc>
                              <w:tc>
                                <w:tcPr>
                                  <w:tcW w:w="748" w:type="dxa"/>
                                  <w:tcBorders>
                                    <w:left w:val="single" w:sz="4" w:space="0" w:color="auto"/>
                                    <w:right w:val="single" w:sz="4" w:space="0" w:color="auto"/>
                                  </w:tcBorders>
                                  <w:vAlign w:val="center"/>
                                </w:tcPr>
                                <w:p w14:paraId="50904310" w14:textId="77777777" w:rsidR="00286703" w:rsidRPr="00541C31" w:rsidRDefault="00286703" w:rsidP="007A1821">
                                  <w:pPr>
                                    <w:spacing w:line="240" w:lineRule="exact"/>
                                    <w:jc w:val="right"/>
                                    <w:rPr>
                                      <w:rFonts w:ascii="標楷體" w:eastAsia="標楷體" w:hAnsi="標楷體"/>
                                      <w:bCs/>
                                      <w:color w:val="000000"/>
                                      <w:sz w:val="20"/>
                                      <w:szCs w:val="16"/>
                                    </w:rPr>
                                  </w:pPr>
                                  <w:r w:rsidRPr="00541C31">
                                    <w:rPr>
                                      <w:rFonts w:ascii="標楷體" w:eastAsia="標楷體" w:hAnsi="標楷體" w:hint="eastAsia"/>
                                      <w:bCs/>
                                      <w:color w:val="000000"/>
                                      <w:sz w:val="20"/>
                                      <w:szCs w:val="16"/>
                                    </w:rPr>
                                    <w:t>801</w:t>
                                  </w:r>
                                </w:p>
                              </w:tc>
                              <w:tc>
                                <w:tcPr>
                                  <w:tcW w:w="707" w:type="dxa"/>
                                  <w:tcBorders>
                                    <w:left w:val="single" w:sz="4" w:space="0" w:color="auto"/>
                                    <w:right w:val="single" w:sz="4" w:space="0" w:color="auto"/>
                                  </w:tcBorders>
                                  <w:vAlign w:val="center"/>
                                </w:tcPr>
                                <w:p w14:paraId="49699BD2" w14:textId="77777777" w:rsidR="00286703" w:rsidRPr="00541C31" w:rsidRDefault="00286703" w:rsidP="007A1821">
                                  <w:pPr>
                                    <w:spacing w:line="240" w:lineRule="exact"/>
                                    <w:jc w:val="right"/>
                                    <w:rPr>
                                      <w:rFonts w:ascii="標楷體" w:eastAsia="標楷體" w:hAnsi="標楷體"/>
                                      <w:bCs/>
                                      <w:color w:val="000000"/>
                                      <w:sz w:val="20"/>
                                      <w:szCs w:val="16"/>
                                    </w:rPr>
                                  </w:pPr>
                                  <w:r w:rsidRPr="00541C31">
                                    <w:rPr>
                                      <w:rFonts w:ascii="標楷體" w:eastAsia="標楷體" w:hAnsi="標楷體" w:hint="eastAsia"/>
                                      <w:bCs/>
                                      <w:color w:val="000000"/>
                                      <w:sz w:val="20"/>
                                      <w:szCs w:val="16"/>
                                    </w:rPr>
                                    <w:t>43</w:t>
                                  </w:r>
                                </w:p>
                              </w:tc>
                              <w:tc>
                                <w:tcPr>
                                  <w:tcW w:w="725" w:type="dxa"/>
                                  <w:tcBorders>
                                    <w:left w:val="single" w:sz="4" w:space="0" w:color="auto"/>
                                  </w:tcBorders>
                                  <w:vAlign w:val="center"/>
                                </w:tcPr>
                                <w:p w14:paraId="738BAD6A" w14:textId="77777777" w:rsidR="00286703" w:rsidRPr="00541C31" w:rsidRDefault="00286703" w:rsidP="007A1821">
                                  <w:pPr>
                                    <w:spacing w:line="240" w:lineRule="exact"/>
                                    <w:jc w:val="right"/>
                                    <w:rPr>
                                      <w:rFonts w:ascii="標楷體" w:eastAsia="標楷體" w:hAnsi="標楷體"/>
                                      <w:bCs/>
                                      <w:color w:val="000000"/>
                                      <w:sz w:val="20"/>
                                      <w:szCs w:val="16"/>
                                    </w:rPr>
                                  </w:pPr>
                                  <w:r w:rsidRPr="00541C31">
                                    <w:rPr>
                                      <w:rFonts w:ascii="標楷體" w:eastAsia="標楷體" w:hAnsi="標楷體" w:hint="eastAsia"/>
                                      <w:bCs/>
                                      <w:color w:val="000000"/>
                                      <w:sz w:val="20"/>
                                      <w:szCs w:val="16"/>
                                    </w:rPr>
                                    <w:t>269</w:t>
                                  </w:r>
                                </w:p>
                              </w:tc>
                            </w:tr>
                            <w:tr w:rsidR="00286703" w:rsidRPr="0099272B" w14:paraId="6B74E150" w14:textId="77777777" w:rsidTr="0008504B">
                              <w:trPr>
                                <w:trHeight w:val="283"/>
                                <w:jc w:val="center"/>
                              </w:trPr>
                              <w:tc>
                                <w:tcPr>
                                  <w:tcW w:w="670" w:type="dxa"/>
                                  <w:tcBorders>
                                    <w:right w:val="single" w:sz="4" w:space="0" w:color="auto"/>
                                  </w:tcBorders>
                                  <w:vAlign w:val="center"/>
                                </w:tcPr>
                                <w:p w14:paraId="26264301"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13</w:t>
                                  </w:r>
                                </w:p>
                              </w:tc>
                              <w:tc>
                                <w:tcPr>
                                  <w:tcW w:w="748" w:type="dxa"/>
                                  <w:tcBorders>
                                    <w:left w:val="single" w:sz="4" w:space="0" w:color="auto"/>
                                    <w:right w:val="single" w:sz="4" w:space="0" w:color="auto"/>
                                  </w:tcBorders>
                                  <w:vAlign w:val="center"/>
                                </w:tcPr>
                                <w:p w14:paraId="24E54A3E"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1,361</w:t>
                                  </w:r>
                                </w:p>
                              </w:tc>
                              <w:tc>
                                <w:tcPr>
                                  <w:tcW w:w="748" w:type="dxa"/>
                                  <w:tcBorders>
                                    <w:left w:val="single" w:sz="4" w:space="0" w:color="auto"/>
                                    <w:right w:val="single" w:sz="4" w:space="0" w:color="auto"/>
                                  </w:tcBorders>
                                  <w:vAlign w:val="center"/>
                                </w:tcPr>
                                <w:p w14:paraId="0B5DEDF0"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,011</w:t>
                                  </w:r>
                                </w:p>
                              </w:tc>
                              <w:tc>
                                <w:tcPr>
                                  <w:tcW w:w="707" w:type="dxa"/>
                                  <w:tcBorders>
                                    <w:left w:val="single" w:sz="4" w:space="0" w:color="auto"/>
                                    <w:right w:val="single" w:sz="4" w:space="0" w:color="auto"/>
                                  </w:tcBorders>
                                  <w:vAlign w:val="center"/>
                                </w:tcPr>
                                <w:p w14:paraId="2D7DD99E"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55</w:t>
                                  </w:r>
                                </w:p>
                              </w:tc>
                              <w:tc>
                                <w:tcPr>
                                  <w:tcW w:w="725" w:type="dxa"/>
                                  <w:tcBorders>
                                    <w:left w:val="single" w:sz="4" w:space="0" w:color="auto"/>
                                  </w:tcBorders>
                                  <w:vAlign w:val="center"/>
                                </w:tcPr>
                                <w:p w14:paraId="50125C89" w14:textId="77777777" w:rsidR="00286703" w:rsidRPr="00541C31" w:rsidRDefault="00286703" w:rsidP="007821AD">
                                  <w:pPr>
                                    <w:spacing w:line="240" w:lineRule="exact"/>
                                    <w:jc w:val="right"/>
                                    <w:rPr>
                                      <w:rFonts w:ascii="標楷體" w:eastAsia="標楷體" w:hAnsi="標楷體"/>
                                      <w:b/>
                                      <w:sz w:val="20"/>
                                      <w:szCs w:val="16"/>
                                    </w:rPr>
                                  </w:pPr>
                                  <w:r w:rsidRPr="00541C31">
                                    <w:rPr>
                                      <w:rFonts w:ascii="標楷體" w:eastAsia="標楷體" w:hAnsi="標楷體" w:hint="eastAsia"/>
                                      <w:sz w:val="20"/>
                                      <w:szCs w:val="16"/>
                                    </w:rPr>
                                    <w:t>295</w:t>
                                  </w:r>
                                </w:p>
                              </w:tc>
                            </w:tr>
                            <w:tr w:rsidR="00286703" w:rsidRPr="0099272B" w14:paraId="2F946CAD" w14:textId="77777777" w:rsidTr="0008504B">
                              <w:trPr>
                                <w:trHeight w:val="283"/>
                                <w:jc w:val="center"/>
                              </w:trPr>
                              <w:tc>
                                <w:tcPr>
                                  <w:tcW w:w="670" w:type="dxa"/>
                                  <w:tcBorders>
                                    <w:right w:val="single" w:sz="4" w:space="0" w:color="auto"/>
                                  </w:tcBorders>
                                  <w:vAlign w:val="center"/>
                                </w:tcPr>
                                <w:p w14:paraId="7DF4A954"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12</w:t>
                                  </w:r>
                                </w:p>
                              </w:tc>
                              <w:tc>
                                <w:tcPr>
                                  <w:tcW w:w="748" w:type="dxa"/>
                                  <w:tcBorders>
                                    <w:left w:val="single" w:sz="4" w:space="0" w:color="auto"/>
                                    <w:right w:val="single" w:sz="4" w:space="0" w:color="auto"/>
                                  </w:tcBorders>
                                  <w:vAlign w:val="center"/>
                                </w:tcPr>
                                <w:p w14:paraId="2E10F1AE"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1,304</w:t>
                                  </w:r>
                                </w:p>
                              </w:tc>
                              <w:tc>
                                <w:tcPr>
                                  <w:tcW w:w="748" w:type="dxa"/>
                                  <w:tcBorders>
                                    <w:left w:val="single" w:sz="4" w:space="0" w:color="auto"/>
                                    <w:right w:val="single" w:sz="4" w:space="0" w:color="auto"/>
                                  </w:tcBorders>
                                  <w:vAlign w:val="center"/>
                                </w:tcPr>
                                <w:p w14:paraId="5B1464EB"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971</w:t>
                                  </w:r>
                                </w:p>
                              </w:tc>
                              <w:tc>
                                <w:tcPr>
                                  <w:tcW w:w="707" w:type="dxa"/>
                                  <w:tcBorders>
                                    <w:left w:val="single" w:sz="4" w:space="0" w:color="auto"/>
                                    <w:right w:val="single" w:sz="4" w:space="0" w:color="auto"/>
                                  </w:tcBorders>
                                  <w:vAlign w:val="center"/>
                                </w:tcPr>
                                <w:p w14:paraId="38707ADD"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42</w:t>
                                  </w:r>
                                </w:p>
                              </w:tc>
                              <w:tc>
                                <w:tcPr>
                                  <w:tcW w:w="725" w:type="dxa"/>
                                  <w:tcBorders>
                                    <w:left w:val="single" w:sz="4" w:space="0" w:color="auto"/>
                                  </w:tcBorders>
                                  <w:vAlign w:val="center"/>
                                </w:tcPr>
                                <w:p w14:paraId="4E2654EA"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291</w:t>
                                  </w:r>
                                </w:p>
                              </w:tc>
                            </w:tr>
                            <w:tr w:rsidR="00286703" w:rsidRPr="0099272B" w14:paraId="7CC566F4" w14:textId="77777777" w:rsidTr="0008504B">
                              <w:trPr>
                                <w:trHeight w:val="283"/>
                                <w:jc w:val="center"/>
                              </w:trPr>
                              <w:tc>
                                <w:tcPr>
                                  <w:tcW w:w="670" w:type="dxa"/>
                                  <w:tcBorders>
                                    <w:right w:val="single" w:sz="4" w:space="0" w:color="auto"/>
                                  </w:tcBorders>
                                  <w:vAlign w:val="center"/>
                                </w:tcPr>
                                <w:p w14:paraId="6C19F041"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11</w:t>
                                  </w:r>
                                </w:p>
                              </w:tc>
                              <w:tc>
                                <w:tcPr>
                                  <w:tcW w:w="748" w:type="dxa"/>
                                  <w:tcBorders>
                                    <w:left w:val="single" w:sz="4" w:space="0" w:color="auto"/>
                                    <w:right w:val="single" w:sz="4" w:space="0" w:color="auto"/>
                                  </w:tcBorders>
                                  <w:vAlign w:val="center"/>
                                </w:tcPr>
                                <w:p w14:paraId="3A22CB6D"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1</w:t>
                                  </w:r>
                                  <w:r w:rsidRPr="00541C31">
                                    <w:rPr>
                                      <w:rFonts w:ascii="標楷體" w:eastAsia="標楷體" w:hAnsi="標楷體"/>
                                      <w:b/>
                                      <w:sz w:val="20"/>
                                      <w:szCs w:val="16"/>
                                    </w:rPr>
                                    <w:t>,061</w:t>
                                  </w:r>
                                </w:p>
                              </w:tc>
                              <w:tc>
                                <w:tcPr>
                                  <w:tcW w:w="748" w:type="dxa"/>
                                  <w:tcBorders>
                                    <w:left w:val="single" w:sz="4" w:space="0" w:color="auto"/>
                                    <w:right w:val="single" w:sz="4" w:space="0" w:color="auto"/>
                                  </w:tcBorders>
                                  <w:vAlign w:val="center"/>
                                </w:tcPr>
                                <w:p w14:paraId="63E2D7F5"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761</w:t>
                                  </w:r>
                                </w:p>
                              </w:tc>
                              <w:tc>
                                <w:tcPr>
                                  <w:tcW w:w="707" w:type="dxa"/>
                                  <w:tcBorders>
                                    <w:left w:val="single" w:sz="4" w:space="0" w:color="auto"/>
                                    <w:right w:val="single" w:sz="4" w:space="0" w:color="auto"/>
                                  </w:tcBorders>
                                  <w:vAlign w:val="center"/>
                                </w:tcPr>
                                <w:p w14:paraId="1083B729"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46</w:t>
                                  </w:r>
                                </w:p>
                              </w:tc>
                              <w:tc>
                                <w:tcPr>
                                  <w:tcW w:w="725" w:type="dxa"/>
                                  <w:tcBorders>
                                    <w:left w:val="single" w:sz="4" w:space="0" w:color="auto"/>
                                  </w:tcBorders>
                                  <w:vAlign w:val="center"/>
                                </w:tcPr>
                                <w:p w14:paraId="28165B9D"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254</w:t>
                                  </w:r>
                                </w:p>
                              </w:tc>
                            </w:tr>
                            <w:tr w:rsidR="00286703" w:rsidRPr="0099272B" w14:paraId="355C7A1C" w14:textId="77777777" w:rsidTr="0008504B">
                              <w:trPr>
                                <w:trHeight w:val="283"/>
                                <w:jc w:val="center"/>
                              </w:trPr>
                              <w:tc>
                                <w:tcPr>
                                  <w:tcW w:w="670" w:type="dxa"/>
                                  <w:tcBorders>
                                    <w:bottom w:val="single" w:sz="4" w:space="0" w:color="auto"/>
                                    <w:right w:val="single" w:sz="4" w:space="0" w:color="auto"/>
                                  </w:tcBorders>
                                  <w:vAlign w:val="center"/>
                                </w:tcPr>
                                <w:p w14:paraId="3C0BA570"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10</w:t>
                                  </w:r>
                                </w:p>
                              </w:tc>
                              <w:tc>
                                <w:tcPr>
                                  <w:tcW w:w="748" w:type="dxa"/>
                                  <w:tcBorders>
                                    <w:left w:val="single" w:sz="4" w:space="0" w:color="auto"/>
                                    <w:bottom w:val="single" w:sz="4" w:space="0" w:color="auto"/>
                                    <w:right w:val="single" w:sz="4" w:space="0" w:color="auto"/>
                                  </w:tcBorders>
                                  <w:vAlign w:val="center"/>
                                </w:tcPr>
                                <w:p w14:paraId="25D68AD6"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9</w:t>
                                  </w:r>
                                  <w:r w:rsidRPr="00541C31">
                                    <w:rPr>
                                      <w:rFonts w:ascii="標楷體" w:eastAsia="標楷體" w:hAnsi="標楷體"/>
                                      <w:b/>
                                      <w:sz w:val="20"/>
                                      <w:szCs w:val="16"/>
                                    </w:rPr>
                                    <w:t>77</w:t>
                                  </w:r>
                                </w:p>
                              </w:tc>
                              <w:tc>
                                <w:tcPr>
                                  <w:tcW w:w="748" w:type="dxa"/>
                                  <w:tcBorders>
                                    <w:left w:val="single" w:sz="4" w:space="0" w:color="auto"/>
                                    <w:bottom w:val="single" w:sz="4" w:space="0" w:color="auto"/>
                                    <w:right w:val="single" w:sz="4" w:space="0" w:color="auto"/>
                                  </w:tcBorders>
                                  <w:vAlign w:val="center"/>
                                </w:tcPr>
                                <w:p w14:paraId="329902B8"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705</w:t>
                                  </w:r>
                                </w:p>
                              </w:tc>
                              <w:tc>
                                <w:tcPr>
                                  <w:tcW w:w="707" w:type="dxa"/>
                                  <w:tcBorders>
                                    <w:left w:val="single" w:sz="4" w:space="0" w:color="auto"/>
                                    <w:bottom w:val="single" w:sz="4" w:space="0" w:color="auto"/>
                                    <w:right w:val="single" w:sz="4" w:space="0" w:color="auto"/>
                                  </w:tcBorders>
                                  <w:vAlign w:val="center"/>
                                </w:tcPr>
                                <w:p w14:paraId="330A118E"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36</w:t>
                                  </w:r>
                                </w:p>
                              </w:tc>
                              <w:tc>
                                <w:tcPr>
                                  <w:tcW w:w="725" w:type="dxa"/>
                                  <w:tcBorders>
                                    <w:left w:val="single" w:sz="4" w:space="0" w:color="auto"/>
                                    <w:bottom w:val="single" w:sz="4" w:space="0" w:color="auto"/>
                                  </w:tcBorders>
                                  <w:vAlign w:val="center"/>
                                </w:tcPr>
                                <w:p w14:paraId="24503DB8"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236</w:t>
                                  </w:r>
                                </w:p>
                              </w:tc>
                            </w:tr>
                            <w:tr w:rsidR="00286703" w:rsidRPr="0099272B" w14:paraId="65929D7E" w14:textId="77777777" w:rsidTr="0008504B">
                              <w:trPr>
                                <w:trHeight w:val="283"/>
                                <w:jc w:val="center"/>
                              </w:trPr>
                              <w:tc>
                                <w:tcPr>
                                  <w:tcW w:w="670" w:type="dxa"/>
                                  <w:tcBorders>
                                    <w:bottom w:val="single" w:sz="4" w:space="0" w:color="auto"/>
                                    <w:right w:val="single" w:sz="4" w:space="0" w:color="auto"/>
                                  </w:tcBorders>
                                  <w:vAlign w:val="center"/>
                                </w:tcPr>
                                <w:p w14:paraId="37C55BD7"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09</w:t>
                                  </w:r>
                                </w:p>
                              </w:tc>
                              <w:tc>
                                <w:tcPr>
                                  <w:tcW w:w="748" w:type="dxa"/>
                                  <w:tcBorders>
                                    <w:left w:val="single" w:sz="4" w:space="0" w:color="auto"/>
                                    <w:bottom w:val="single" w:sz="4" w:space="0" w:color="auto"/>
                                    <w:right w:val="single" w:sz="4" w:space="0" w:color="auto"/>
                                  </w:tcBorders>
                                  <w:vAlign w:val="center"/>
                                </w:tcPr>
                                <w:p w14:paraId="29610E84"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8</w:t>
                                  </w:r>
                                  <w:r w:rsidRPr="00541C31">
                                    <w:rPr>
                                      <w:rFonts w:ascii="標楷體" w:eastAsia="標楷體" w:hAnsi="標楷體"/>
                                      <w:b/>
                                      <w:sz w:val="20"/>
                                      <w:szCs w:val="16"/>
                                    </w:rPr>
                                    <w:t>64</w:t>
                                  </w:r>
                                </w:p>
                              </w:tc>
                              <w:tc>
                                <w:tcPr>
                                  <w:tcW w:w="748" w:type="dxa"/>
                                  <w:tcBorders>
                                    <w:left w:val="single" w:sz="4" w:space="0" w:color="auto"/>
                                    <w:bottom w:val="single" w:sz="4" w:space="0" w:color="auto"/>
                                    <w:right w:val="single" w:sz="4" w:space="0" w:color="auto"/>
                                  </w:tcBorders>
                                  <w:vAlign w:val="center"/>
                                </w:tcPr>
                                <w:p w14:paraId="0B769567"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559</w:t>
                                  </w:r>
                                </w:p>
                              </w:tc>
                              <w:tc>
                                <w:tcPr>
                                  <w:tcW w:w="707" w:type="dxa"/>
                                  <w:tcBorders>
                                    <w:left w:val="single" w:sz="4" w:space="0" w:color="auto"/>
                                    <w:bottom w:val="single" w:sz="4" w:space="0" w:color="auto"/>
                                    <w:right w:val="single" w:sz="4" w:space="0" w:color="auto"/>
                                  </w:tcBorders>
                                  <w:vAlign w:val="center"/>
                                </w:tcPr>
                                <w:p w14:paraId="5F4E53C7"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36</w:t>
                                  </w:r>
                                </w:p>
                              </w:tc>
                              <w:tc>
                                <w:tcPr>
                                  <w:tcW w:w="725" w:type="dxa"/>
                                  <w:tcBorders>
                                    <w:left w:val="single" w:sz="4" w:space="0" w:color="auto"/>
                                    <w:bottom w:val="single" w:sz="4" w:space="0" w:color="auto"/>
                                  </w:tcBorders>
                                  <w:vAlign w:val="center"/>
                                </w:tcPr>
                                <w:p w14:paraId="5AF0DE72"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269</w:t>
                                  </w:r>
                                </w:p>
                              </w:tc>
                            </w:tr>
                            <w:tr w:rsidR="00286703" w:rsidRPr="0099272B" w14:paraId="50DD39E2" w14:textId="77777777" w:rsidTr="008D3D67">
                              <w:trPr>
                                <w:trHeight w:val="227"/>
                                <w:jc w:val="center"/>
                              </w:trPr>
                              <w:tc>
                                <w:tcPr>
                                  <w:tcW w:w="3598" w:type="dxa"/>
                                  <w:gridSpan w:val="5"/>
                                  <w:tcBorders>
                                    <w:top w:val="single" w:sz="4" w:space="0" w:color="auto"/>
                                    <w:left w:val="nil"/>
                                    <w:bottom w:val="nil"/>
                                    <w:right w:val="nil"/>
                                  </w:tcBorders>
                                  <w:vAlign w:val="center"/>
                                </w:tcPr>
                                <w:p w14:paraId="44B0E20F" w14:textId="77777777" w:rsidR="00286703" w:rsidRDefault="00286703" w:rsidP="00595FD0">
                                  <w:pPr>
                                    <w:spacing w:line="240" w:lineRule="exact"/>
                                    <w:ind w:leftChars="-20" w:left="-48"/>
                                    <w:jc w:val="both"/>
                                    <w:rPr>
                                      <w:rFonts w:ascii="標楷體" w:eastAsia="標楷體" w:hAnsi="標楷體"/>
                                    </w:rPr>
                                  </w:pPr>
                                  <w:r w:rsidRPr="0037577D">
                                    <w:rPr>
                                      <w:rFonts w:ascii="標楷體" w:eastAsia="標楷體" w:hAnsi="標楷體" w:hint="eastAsia"/>
                                      <w:sz w:val="18"/>
                                      <w:szCs w:val="18"/>
                                    </w:rPr>
                                    <w:t>資料來源</w:t>
                                  </w:r>
                                  <w:r w:rsidRPr="0037577D">
                                    <w:rPr>
                                      <w:rFonts w:ascii="標楷體" w:eastAsia="標楷體" w:hAnsi="標楷體"/>
                                      <w:sz w:val="18"/>
                                      <w:szCs w:val="18"/>
                                    </w:rPr>
                                    <w:t>：整理自銓敘部提供資料。</w:t>
                                  </w:r>
                                </w:p>
                              </w:tc>
                            </w:tr>
                          </w:tbl>
                          <w:p w14:paraId="5202642C" w14:textId="77777777" w:rsidR="00286703" w:rsidRDefault="00286703" w:rsidP="0028670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CA9DE4" id="_x0000_s1115" type="#_x0000_t202" style="position:absolute;left:0;text-align:left;margin-left:301.2pt;margin-top:5.65pt;width:195pt;height:189.6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" stroked="f">
                <v:textbox>
                  <w:txbxContent>
                    <w:tbl>
                      <w:tblPr>
                        <w:tblStyle w:val="afff"/>
                        <w:tblW w:w="0" w:type="auto"/>
                        <w:jc w:val="center"/>
                        <w:tblLook w:val="04A0" w:firstRow="1" w:lastRow="0" w:firstColumn="1" w:lastColumn="0" w:noHBand="0" w:noVBand="1"/>
                      </w:tblPr>
                      <w:tblGrid>
                        <w:gridCol w:w="670"/>
                        <w:gridCol w:w="748"/>
                        <w:gridCol w:w="748"/>
                        <w:gridCol w:w="707"/>
                        <w:gridCol w:w="725"/>
                      </w:tblGrid>
                      <w:tr w:rsidR="00286703" w:rsidRPr="0099272B" w14:paraId="01968E33" w14:textId="77777777" w:rsidTr="008D3D67">
                        <w:trPr>
                          <w:trHeight w:val="283"/>
                          <w:jc w:val="center"/>
                        </w:trPr>
                        <w:tc>
                          <w:tcPr>
                            <w:tcW w:w="3598" w:type="dxa"/>
                            <w:gridSpan w:val="5"/>
                            <w:tcBorders>
                              <w:top w:val="nil"/>
                              <w:left w:val="nil"/>
                              <w:bottom w:val="nil"/>
                              <w:right w:val="nil"/>
                            </w:tcBorders>
                            <w:vAlign w:val="center"/>
                          </w:tcPr>
                          <w:p w14:paraId="4266ECC8" w14:textId="77777777" w:rsidR="00286703" w:rsidRPr="005C77C1" w:rsidRDefault="00286703" w:rsidP="00EB6BF5">
                            <w:pPr>
                              <w:spacing w:line="240" w:lineRule="exact"/>
                              <w:jc w:val="center"/>
                              <w:rPr>
                                <w:rFonts w:ascii="標楷體" w:eastAsia="標楷體" w:hAnsi="標楷體"/>
                                <w:szCs w:val="24"/>
                              </w:rPr>
                            </w:pPr>
                            <w:r w:rsidRPr="006C2827">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8</w:t>
                            </w:r>
                            <w:r w:rsidRPr="005C77C1">
                              <w:rPr>
                                <w:rFonts w:ascii="標楷體" w:eastAsia="標楷體" w:hAnsi="標楷體" w:hint="eastAsia"/>
                                <w:b/>
                                <w:szCs w:val="24"/>
                              </w:rPr>
                              <w:t xml:space="preserve">　</w:t>
                            </w:r>
                            <w:r w:rsidRPr="005C77C1">
                              <w:rPr>
                                <w:rFonts w:ascii="標楷體" w:eastAsia="標楷體" w:hAnsi="標楷體"/>
                                <w:b/>
                                <w:szCs w:val="24"/>
                              </w:rPr>
                              <w:t>中央</w:t>
                            </w:r>
                            <w:r w:rsidRPr="00134EEE">
                              <w:rPr>
                                <w:rFonts w:ascii="標楷體" w:eastAsia="標楷體" w:hAnsi="標楷體"/>
                                <w:b/>
                                <w:szCs w:val="24"/>
                              </w:rPr>
                              <w:t>政府</w:t>
                            </w:r>
                            <w:r w:rsidRPr="005C77C1">
                              <w:rPr>
                                <w:rFonts w:ascii="標楷體" w:eastAsia="標楷體" w:hAnsi="標楷體"/>
                                <w:b/>
                                <w:szCs w:val="24"/>
                              </w:rPr>
                              <w:t>機關</w:t>
                            </w:r>
                            <w:r w:rsidRPr="005C77C1">
                              <w:rPr>
                                <w:rFonts w:ascii="標楷體" w:eastAsia="標楷體" w:hAnsi="標楷體" w:hint="eastAsia"/>
                                <w:b/>
                                <w:szCs w:val="24"/>
                              </w:rPr>
                              <w:t>辭職人數</w:t>
                            </w:r>
                          </w:p>
                        </w:tc>
                      </w:tr>
                      <w:tr w:rsidR="00286703" w:rsidRPr="0099272B" w14:paraId="4EE58A07" w14:textId="77777777" w:rsidTr="008D3D67">
                        <w:trPr>
                          <w:trHeight w:val="283"/>
                          <w:jc w:val="center"/>
                        </w:trPr>
                        <w:tc>
                          <w:tcPr>
                            <w:tcW w:w="3598" w:type="dxa"/>
                            <w:gridSpan w:val="5"/>
                            <w:tcBorders>
                              <w:top w:val="nil"/>
                              <w:left w:val="nil"/>
                              <w:bottom w:val="single" w:sz="4" w:space="0" w:color="auto"/>
                              <w:right w:val="nil"/>
                            </w:tcBorders>
                            <w:vAlign w:val="center"/>
                          </w:tcPr>
                          <w:p w14:paraId="07D9F054" w14:textId="77777777" w:rsidR="00286703" w:rsidRPr="00541C31" w:rsidRDefault="00286703" w:rsidP="005C77C1">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單位</w:t>
                            </w:r>
                            <w:r w:rsidRPr="00541C31">
                              <w:rPr>
                                <w:rFonts w:ascii="標楷體" w:eastAsia="標楷體" w:hAnsi="標楷體"/>
                                <w:sz w:val="20"/>
                                <w:szCs w:val="16"/>
                              </w:rPr>
                              <w:t>：人</w:t>
                            </w:r>
                          </w:p>
                        </w:tc>
                      </w:tr>
                      <w:tr w:rsidR="00286703" w:rsidRPr="0099272B" w14:paraId="7A150435" w14:textId="77777777" w:rsidTr="008D3D67">
                        <w:trPr>
                          <w:trHeight w:val="283"/>
                          <w:jc w:val="center"/>
                        </w:trPr>
                        <w:tc>
                          <w:tcPr>
                            <w:tcW w:w="670" w:type="dxa"/>
                            <w:vMerge w:val="restart"/>
                            <w:tcBorders>
                              <w:top w:val="single" w:sz="4" w:space="0" w:color="auto"/>
                              <w:right w:val="single" w:sz="4" w:space="0" w:color="auto"/>
                            </w:tcBorders>
                            <w:vAlign w:val="center"/>
                          </w:tcPr>
                          <w:p w14:paraId="56ED06C5"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年度</w:t>
                            </w:r>
                          </w:p>
                        </w:tc>
                        <w:tc>
                          <w:tcPr>
                            <w:tcW w:w="748" w:type="dxa"/>
                            <w:vMerge w:val="restart"/>
                            <w:tcBorders>
                              <w:top w:val="single" w:sz="4" w:space="0" w:color="auto"/>
                              <w:left w:val="single" w:sz="4" w:space="0" w:color="auto"/>
                              <w:right w:val="single" w:sz="4" w:space="0" w:color="auto"/>
                            </w:tcBorders>
                            <w:vAlign w:val="center"/>
                          </w:tcPr>
                          <w:p w14:paraId="5E299C04" w14:textId="77777777" w:rsidR="00286703" w:rsidRPr="00541C31" w:rsidRDefault="00286703" w:rsidP="00CF228E">
                            <w:pPr>
                              <w:spacing w:line="240" w:lineRule="exact"/>
                              <w:jc w:val="center"/>
                              <w:rPr>
                                <w:rFonts w:ascii="標楷體" w:eastAsia="標楷體" w:hAnsi="標楷體"/>
                                <w:bCs/>
                                <w:sz w:val="20"/>
                                <w:szCs w:val="16"/>
                              </w:rPr>
                            </w:pPr>
                            <w:r w:rsidRPr="00541C31">
                              <w:rPr>
                                <w:rFonts w:ascii="標楷體" w:eastAsia="標楷體" w:hAnsi="標楷體" w:hint="eastAsia"/>
                                <w:bCs/>
                                <w:sz w:val="20"/>
                                <w:szCs w:val="16"/>
                              </w:rPr>
                              <w:t>合計</w:t>
                            </w:r>
                          </w:p>
                        </w:tc>
                        <w:tc>
                          <w:tcPr>
                            <w:tcW w:w="2180" w:type="dxa"/>
                            <w:gridSpan w:val="3"/>
                            <w:tcBorders>
                              <w:top w:val="single" w:sz="4" w:space="0" w:color="auto"/>
                              <w:left w:val="single" w:sz="4" w:space="0" w:color="auto"/>
                            </w:tcBorders>
                            <w:vAlign w:val="center"/>
                          </w:tcPr>
                          <w:p w14:paraId="7D53273B"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依機關(構)屬性</w:t>
                            </w:r>
                          </w:p>
                        </w:tc>
                      </w:tr>
                      <w:tr w:rsidR="00286703" w:rsidRPr="0099272B" w14:paraId="0C0854C8" w14:textId="77777777" w:rsidTr="008D3D67">
                        <w:trPr>
                          <w:trHeight w:val="510"/>
                          <w:jc w:val="center"/>
                        </w:trPr>
                        <w:tc>
                          <w:tcPr>
                            <w:tcW w:w="670" w:type="dxa"/>
                            <w:vMerge/>
                            <w:tcBorders>
                              <w:right w:val="single" w:sz="4" w:space="0" w:color="auto"/>
                            </w:tcBorders>
                            <w:vAlign w:val="center"/>
                          </w:tcPr>
                          <w:p w14:paraId="134F562D" w14:textId="77777777" w:rsidR="00286703" w:rsidRPr="00541C31" w:rsidRDefault="00286703" w:rsidP="00CF228E">
                            <w:pPr>
                              <w:spacing w:line="240" w:lineRule="exact"/>
                              <w:jc w:val="center"/>
                              <w:rPr>
                                <w:rFonts w:ascii="標楷體" w:eastAsia="標楷體" w:hAnsi="標楷體"/>
                                <w:sz w:val="20"/>
                                <w:szCs w:val="16"/>
                              </w:rPr>
                            </w:pPr>
                          </w:p>
                        </w:tc>
                        <w:tc>
                          <w:tcPr>
                            <w:tcW w:w="748" w:type="dxa"/>
                            <w:vMerge/>
                            <w:tcBorders>
                              <w:left w:val="single" w:sz="4" w:space="0" w:color="auto"/>
                              <w:right w:val="single" w:sz="4" w:space="0" w:color="auto"/>
                            </w:tcBorders>
                            <w:vAlign w:val="center"/>
                          </w:tcPr>
                          <w:p w14:paraId="65A9A5A2" w14:textId="77777777" w:rsidR="00286703" w:rsidRPr="00541C31" w:rsidRDefault="00286703" w:rsidP="00CF228E">
                            <w:pPr>
                              <w:spacing w:line="240" w:lineRule="exact"/>
                              <w:jc w:val="center"/>
                              <w:rPr>
                                <w:rFonts w:ascii="標楷體" w:eastAsia="標楷體" w:hAnsi="標楷體"/>
                                <w:b/>
                                <w:sz w:val="20"/>
                                <w:szCs w:val="16"/>
                              </w:rPr>
                            </w:pPr>
                          </w:p>
                        </w:tc>
                        <w:tc>
                          <w:tcPr>
                            <w:tcW w:w="748" w:type="dxa"/>
                            <w:tcBorders>
                              <w:top w:val="single" w:sz="4" w:space="0" w:color="auto"/>
                              <w:left w:val="single" w:sz="4" w:space="0" w:color="auto"/>
                              <w:right w:val="single" w:sz="4" w:space="0" w:color="auto"/>
                            </w:tcBorders>
                            <w:vAlign w:val="center"/>
                          </w:tcPr>
                          <w:p w14:paraId="384414EA"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公務機關</w:t>
                            </w:r>
                          </w:p>
                        </w:tc>
                        <w:tc>
                          <w:tcPr>
                            <w:tcW w:w="707" w:type="dxa"/>
                            <w:tcBorders>
                              <w:top w:val="single" w:sz="4" w:space="0" w:color="auto"/>
                              <w:left w:val="single" w:sz="4" w:space="0" w:color="auto"/>
                              <w:right w:val="single" w:sz="4" w:space="0" w:color="auto"/>
                            </w:tcBorders>
                            <w:vAlign w:val="center"/>
                          </w:tcPr>
                          <w:p w14:paraId="26E31F6A"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公立學校</w:t>
                            </w:r>
                          </w:p>
                        </w:tc>
                        <w:tc>
                          <w:tcPr>
                            <w:tcW w:w="725" w:type="dxa"/>
                            <w:tcBorders>
                              <w:top w:val="single" w:sz="4" w:space="0" w:color="auto"/>
                              <w:left w:val="single" w:sz="4" w:space="0" w:color="auto"/>
                            </w:tcBorders>
                            <w:vAlign w:val="center"/>
                          </w:tcPr>
                          <w:p w14:paraId="7238E724" w14:textId="77777777" w:rsidR="00286703" w:rsidRPr="00541C31" w:rsidRDefault="00286703" w:rsidP="00EB6BF5">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公立醫療</w:t>
                            </w:r>
                            <w:r>
                              <w:rPr>
                                <w:rFonts w:ascii="標楷體" w:eastAsia="標楷體" w:hAnsi="標楷體" w:hint="eastAsia"/>
                                <w:sz w:val="20"/>
                                <w:szCs w:val="16"/>
                              </w:rPr>
                              <w:t>機構</w:t>
                            </w:r>
                          </w:p>
                        </w:tc>
                      </w:tr>
                      <w:tr w:rsidR="00286703" w:rsidRPr="0099272B" w14:paraId="5088AB73" w14:textId="77777777" w:rsidTr="0008504B">
                        <w:trPr>
                          <w:trHeight w:val="283"/>
                          <w:jc w:val="center"/>
                        </w:trPr>
                        <w:tc>
                          <w:tcPr>
                            <w:tcW w:w="670" w:type="dxa"/>
                            <w:tcBorders>
                              <w:right w:val="single" w:sz="4" w:space="0" w:color="auto"/>
                            </w:tcBorders>
                            <w:vAlign w:val="center"/>
                          </w:tcPr>
                          <w:p w14:paraId="36A92425" w14:textId="77777777" w:rsidR="00286703" w:rsidRPr="00541C31" w:rsidRDefault="00286703" w:rsidP="007A1821">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平均</w:t>
                            </w:r>
                          </w:p>
                        </w:tc>
                        <w:tc>
                          <w:tcPr>
                            <w:tcW w:w="748" w:type="dxa"/>
                            <w:tcBorders>
                              <w:left w:val="single" w:sz="4" w:space="0" w:color="auto"/>
                              <w:right w:val="single" w:sz="4" w:space="0" w:color="auto"/>
                            </w:tcBorders>
                            <w:vAlign w:val="center"/>
                          </w:tcPr>
                          <w:p w14:paraId="11DC6EB8" w14:textId="77777777" w:rsidR="00286703" w:rsidRPr="00541C31" w:rsidRDefault="00286703" w:rsidP="007A1821">
                            <w:pPr>
                              <w:widowControl/>
                              <w:spacing w:line="240" w:lineRule="exact"/>
                              <w:jc w:val="right"/>
                              <w:rPr>
                                <w:rFonts w:ascii="標楷體" w:eastAsia="標楷體" w:hAnsi="標楷體"/>
                                <w:b/>
                                <w:bCs/>
                                <w:color w:val="000000"/>
                                <w:sz w:val="20"/>
                                <w:szCs w:val="16"/>
                              </w:rPr>
                            </w:pPr>
                            <w:r w:rsidRPr="00541C31">
                              <w:rPr>
                                <w:rFonts w:ascii="標楷體" w:eastAsia="標楷體" w:hAnsi="標楷體" w:hint="eastAsia"/>
                                <w:b/>
                                <w:bCs/>
                                <w:color w:val="000000"/>
                                <w:sz w:val="20"/>
                                <w:szCs w:val="16"/>
                              </w:rPr>
                              <w:t>1</w:t>
                            </w:r>
                            <w:r w:rsidRPr="00541C31">
                              <w:rPr>
                                <w:rFonts w:ascii="標楷體" w:eastAsia="標楷體" w:hAnsi="標楷體"/>
                                <w:b/>
                                <w:bCs/>
                                <w:color w:val="000000"/>
                                <w:sz w:val="20"/>
                                <w:szCs w:val="16"/>
                              </w:rPr>
                              <w:t>,</w:t>
                            </w:r>
                            <w:r w:rsidRPr="00541C31">
                              <w:rPr>
                                <w:rFonts w:ascii="標楷體" w:eastAsia="標楷體" w:hAnsi="標楷體" w:hint="eastAsia"/>
                                <w:b/>
                                <w:bCs/>
                                <w:color w:val="000000"/>
                                <w:sz w:val="20"/>
                                <w:szCs w:val="16"/>
                              </w:rPr>
                              <w:t>113</w:t>
                            </w:r>
                          </w:p>
                        </w:tc>
                        <w:tc>
                          <w:tcPr>
                            <w:tcW w:w="748" w:type="dxa"/>
                            <w:tcBorders>
                              <w:left w:val="single" w:sz="4" w:space="0" w:color="auto"/>
                              <w:right w:val="single" w:sz="4" w:space="0" w:color="auto"/>
                            </w:tcBorders>
                            <w:vAlign w:val="center"/>
                          </w:tcPr>
                          <w:p w14:paraId="50904310" w14:textId="77777777" w:rsidR="00286703" w:rsidRPr="00541C31" w:rsidRDefault="00286703" w:rsidP="007A1821">
                            <w:pPr>
                              <w:spacing w:line="240" w:lineRule="exact"/>
                              <w:jc w:val="right"/>
                              <w:rPr>
                                <w:rFonts w:ascii="標楷體" w:eastAsia="標楷體" w:hAnsi="標楷體"/>
                                <w:bCs/>
                                <w:color w:val="000000"/>
                                <w:sz w:val="20"/>
                                <w:szCs w:val="16"/>
                              </w:rPr>
                            </w:pPr>
                            <w:r w:rsidRPr="00541C31">
                              <w:rPr>
                                <w:rFonts w:ascii="標楷體" w:eastAsia="標楷體" w:hAnsi="標楷體" w:hint="eastAsia"/>
                                <w:bCs/>
                                <w:color w:val="000000"/>
                                <w:sz w:val="20"/>
                                <w:szCs w:val="16"/>
                              </w:rPr>
                              <w:t>801</w:t>
                            </w:r>
                          </w:p>
                        </w:tc>
                        <w:tc>
                          <w:tcPr>
                            <w:tcW w:w="707" w:type="dxa"/>
                            <w:tcBorders>
                              <w:left w:val="single" w:sz="4" w:space="0" w:color="auto"/>
                              <w:right w:val="single" w:sz="4" w:space="0" w:color="auto"/>
                            </w:tcBorders>
                            <w:vAlign w:val="center"/>
                          </w:tcPr>
                          <w:p w14:paraId="49699BD2" w14:textId="77777777" w:rsidR="00286703" w:rsidRPr="00541C31" w:rsidRDefault="00286703" w:rsidP="007A1821">
                            <w:pPr>
                              <w:spacing w:line="240" w:lineRule="exact"/>
                              <w:jc w:val="right"/>
                              <w:rPr>
                                <w:rFonts w:ascii="標楷體" w:eastAsia="標楷體" w:hAnsi="標楷體"/>
                                <w:bCs/>
                                <w:color w:val="000000"/>
                                <w:sz w:val="20"/>
                                <w:szCs w:val="16"/>
                              </w:rPr>
                            </w:pPr>
                            <w:r w:rsidRPr="00541C31">
                              <w:rPr>
                                <w:rFonts w:ascii="標楷體" w:eastAsia="標楷體" w:hAnsi="標楷體" w:hint="eastAsia"/>
                                <w:bCs/>
                                <w:color w:val="000000"/>
                                <w:sz w:val="20"/>
                                <w:szCs w:val="16"/>
                              </w:rPr>
                              <w:t>43</w:t>
                            </w:r>
                          </w:p>
                        </w:tc>
                        <w:tc>
                          <w:tcPr>
                            <w:tcW w:w="725" w:type="dxa"/>
                            <w:tcBorders>
                              <w:left w:val="single" w:sz="4" w:space="0" w:color="auto"/>
                            </w:tcBorders>
                            <w:vAlign w:val="center"/>
                          </w:tcPr>
                          <w:p w14:paraId="738BAD6A" w14:textId="77777777" w:rsidR="00286703" w:rsidRPr="00541C31" w:rsidRDefault="00286703" w:rsidP="007A1821">
                            <w:pPr>
                              <w:spacing w:line="240" w:lineRule="exact"/>
                              <w:jc w:val="right"/>
                              <w:rPr>
                                <w:rFonts w:ascii="標楷體" w:eastAsia="標楷體" w:hAnsi="標楷體"/>
                                <w:bCs/>
                                <w:color w:val="000000"/>
                                <w:sz w:val="20"/>
                                <w:szCs w:val="16"/>
                              </w:rPr>
                            </w:pPr>
                            <w:r w:rsidRPr="00541C31">
                              <w:rPr>
                                <w:rFonts w:ascii="標楷體" w:eastAsia="標楷體" w:hAnsi="標楷體" w:hint="eastAsia"/>
                                <w:bCs/>
                                <w:color w:val="000000"/>
                                <w:sz w:val="20"/>
                                <w:szCs w:val="16"/>
                              </w:rPr>
                              <w:t>269</w:t>
                            </w:r>
                          </w:p>
                        </w:tc>
                      </w:tr>
                      <w:tr w:rsidR="00286703" w:rsidRPr="0099272B" w14:paraId="6B74E150" w14:textId="77777777" w:rsidTr="0008504B">
                        <w:trPr>
                          <w:trHeight w:val="283"/>
                          <w:jc w:val="center"/>
                        </w:trPr>
                        <w:tc>
                          <w:tcPr>
                            <w:tcW w:w="670" w:type="dxa"/>
                            <w:tcBorders>
                              <w:right w:val="single" w:sz="4" w:space="0" w:color="auto"/>
                            </w:tcBorders>
                            <w:vAlign w:val="center"/>
                          </w:tcPr>
                          <w:p w14:paraId="26264301"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13</w:t>
                            </w:r>
                          </w:p>
                        </w:tc>
                        <w:tc>
                          <w:tcPr>
                            <w:tcW w:w="748" w:type="dxa"/>
                            <w:tcBorders>
                              <w:left w:val="single" w:sz="4" w:space="0" w:color="auto"/>
                              <w:right w:val="single" w:sz="4" w:space="0" w:color="auto"/>
                            </w:tcBorders>
                            <w:vAlign w:val="center"/>
                          </w:tcPr>
                          <w:p w14:paraId="24E54A3E"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1,361</w:t>
                            </w:r>
                          </w:p>
                        </w:tc>
                        <w:tc>
                          <w:tcPr>
                            <w:tcW w:w="748" w:type="dxa"/>
                            <w:tcBorders>
                              <w:left w:val="single" w:sz="4" w:space="0" w:color="auto"/>
                              <w:right w:val="single" w:sz="4" w:space="0" w:color="auto"/>
                            </w:tcBorders>
                            <w:vAlign w:val="center"/>
                          </w:tcPr>
                          <w:p w14:paraId="0B5DEDF0"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,011</w:t>
                            </w:r>
                          </w:p>
                        </w:tc>
                        <w:tc>
                          <w:tcPr>
                            <w:tcW w:w="707" w:type="dxa"/>
                            <w:tcBorders>
                              <w:left w:val="single" w:sz="4" w:space="0" w:color="auto"/>
                              <w:right w:val="single" w:sz="4" w:space="0" w:color="auto"/>
                            </w:tcBorders>
                            <w:vAlign w:val="center"/>
                          </w:tcPr>
                          <w:p w14:paraId="2D7DD99E"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55</w:t>
                            </w:r>
                          </w:p>
                        </w:tc>
                        <w:tc>
                          <w:tcPr>
                            <w:tcW w:w="725" w:type="dxa"/>
                            <w:tcBorders>
                              <w:left w:val="single" w:sz="4" w:space="0" w:color="auto"/>
                            </w:tcBorders>
                            <w:vAlign w:val="center"/>
                          </w:tcPr>
                          <w:p w14:paraId="50125C89" w14:textId="77777777" w:rsidR="00286703" w:rsidRPr="00541C31" w:rsidRDefault="00286703" w:rsidP="007821AD">
                            <w:pPr>
                              <w:spacing w:line="240" w:lineRule="exact"/>
                              <w:jc w:val="right"/>
                              <w:rPr>
                                <w:rFonts w:ascii="標楷體" w:eastAsia="標楷體" w:hAnsi="標楷體"/>
                                <w:b/>
                                <w:sz w:val="20"/>
                                <w:szCs w:val="16"/>
                              </w:rPr>
                            </w:pPr>
                            <w:r w:rsidRPr="00541C31">
                              <w:rPr>
                                <w:rFonts w:ascii="標楷體" w:eastAsia="標楷體" w:hAnsi="標楷體" w:hint="eastAsia"/>
                                <w:sz w:val="20"/>
                                <w:szCs w:val="16"/>
                              </w:rPr>
                              <w:t>295</w:t>
                            </w:r>
                          </w:p>
                        </w:tc>
                      </w:tr>
                      <w:tr w:rsidR="00286703" w:rsidRPr="0099272B" w14:paraId="2F946CAD" w14:textId="77777777" w:rsidTr="0008504B">
                        <w:trPr>
                          <w:trHeight w:val="283"/>
                          <w:jc w:val="center"/>
                        </w:trPr>
                        <w:tc>
                          <w:tcPr>
                            <w:tcW w:w="670" w:type="dxa"/>
                            <w:tcBorders>
                              <w:right w:val="single" w:sz="4" w:space="0" w:color="auto"/>
                            </w:tcBorders>
                            <w:vAlign w:val="center"/>
                          </w:tcPr>
                          <w:p w14:paraId="7DF4A954"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12</w:t>
                            </w:r>
                          </w:p>
                        </w:tc>
                        <w:tc>
                          <w:tcPr>
                            <w:tcW w:w="748" w:type="dxa"/>
                            <w:tcBorders>
                              <w:left w:val="single" w:sz="4" w:space="0" w:color="auto"/>
                              <w:right w:val="single" w:sz="4" w:space="0" w:color="auto"/>
                            </w:tcBorders>
                            <w:vAlign w:val="center"/>
                          </w:tcPr>
                          <w:p w14:paraId="2E10F1AE"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1,304</w:t>
                            </w:r>
                          </w:p>
                        </w:tc>
                        <w:tc>
                          <w:tcPr>
                            <w:tcW w:w="748" w:type="dxa"/>
                            <w:tcBorders>
                              <w:left w:val="single" w:sz="4" w:space="0" w:color="auto"/>
                              <w:right w:val="single" w:sz="4" w:space="0" w:color="auto"/>
                            </w:tcBorders>
                            <w:vAlign w:val="center"/>
                          </w:tcPr>
                          <w:p w14:paraId="5B1464EB"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971</w:t>
                            </w:r>
                          </w:p>
                        </w:tc>
                        <w:tc>
                          <w:tcPr>
                            <w:tcW w:w="707" w:type="dxa"/>
                            <w:tcBorders>
                              <w:left w:val="single" w:sz="4" w:space="0" w:color="auto"/>
                              <w:right w:val="single" w:sz="4" w:space="0" w:color="auto"/>
                            </w:tcBorders>
                            <w:vAlign w:val="center"/>
                          </w:tcPr>
                          <w:p w14:paraId="38707ADD"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42</w:t>
                            </w:r>
                          </w:p>
                        </w:tc>
                        <w:tc>
                          <w:tcPr>
                            <w:tcW w:w="725" w:type="dxa"/>
                            <w:tcBorders>
                              <w:left w:val="single" w:sz="4" w:space="0" w:color="auto"/>
                            </w:tcBorders>
                            <w:vAlign w:val="center"/>
                          </w:tcPr>
                          <w:p w14:paraId="4E2654EA"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291</w:t>
                            </w:r>
                          </w:p>
                        </w:tc>
                      </w:tr>
                      <w:tr w:rsidR="00286703" w:rsidRPr="0099272B" w14:paraId="7CC566F4" w14:textId="77777777" w:rsidTr="0008504B">
                        <w:trPr>
                          <w:trHeight w:val="283"/>
                          <w:jc w:val="center"/>
                        </w:trPr>
                        <w:tc>
                          <w:tcPr>
                            <w:tcW w:w="670" w:type="dxa"/>
                            <w:tcBorders>
                              <w:right w:val="single" w:sz="4" w:space="0" w:color="auto"/>
                            </w:tcBorders>
                            <w:vAlign w:val="center"/>
                          </w:tcPr>
                          <w:p w14:paraId="6C19F041"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11</w:t>
                            </w:r>
                          </w:p>
                        </w:tc>
                        <w:tc>
                          <w:tcPr>
                            <w:tcW w:w="748" w:type="dxa"/>
                            <w:tcBorders>
                              <w:left w:val="single" w:sz="4" w:space="0" w:color="auto"/>
                              <w:right w:val="single" w:sz="4" w:space="0" w:color="auto"/>
                            </w:tcBorders>
                            <w:vAlign w:val="center"/>
                          </w:tcPr>
                          <w:p w14:paraId="3A22CB6D"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1</w:t>
                            </w:r>
                            <w:r w:rsidRPr="00541C31">
                              <w:rPr>
                                <w:rFonts w:ascii="標楷體" w:eastAsia="標楷體" w:hAnsi="標楷體"/>
                                <w:b/>
                                <w:sz w:val="20"/>
                                <w:szCs w:val="16"/>
                              </w:rPr>
                              <w:t>,061</w:t>
                            </w:r>
                          </w:p>
                        </w:tc>
                        <w:tc>
                          <w:tcPr>
                            <w:tcW w:w="748" w:type="dxa"/>
                            <w:tcBorders>
                              <w:left w:val="single" w:sz="4" w:space="0" w:color="auto"/>
                              <w:right w:val="single" w:sz="4" w:space="0" w:color="auto"/>
                            </w:tcBorders>
                            <w:vAlign w:val="center"/>
                          </w:tcPr>
                          <w:p w14:paraId="63E2D7F5"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761</w:t>
                            </w:r>
                          </w:p>
                        </w:tc>
                        <w:tc>
                          <w:tcPr>
                            <w:tcW w:w="707" w:type="dxa"/>
                            <w:tcBorders>
                              <w:left w:val="single" w:sz="4" w:space="0" w:color="auto"/>
                              <w:right w:val="single" w:sz="4" w:space="0" w:color="auto"/>
                            </w:tcBorders>
                            <w:vAlign w:val="center"/>
                          </w:tcPr>
                          <w:p w14:paraId="1083B729"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46</w:t>
                            </w:r>
                          </w:p>
                        </w:tc>
                        <w:tc>
                          <w:tcPr>
                            <w:tcW w:w="725" w:type="dxa"/>
                            <w:tcBorders>
                              <w:left w:val="single" w:sz="4" w:space="0" w:color="auto"/>
                            </w:tcBorders>
                            <w:vAlign w:val="center"/>
                          </w:tcPr>
                          <w:p w14:paraId="28165B9D"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254</w:t>
                            </w:r>
                          </w:p>
                        </w:tc>
                      </w:tr>
                      <w:tr w:rsidR="00286703" w:rsidRPr="0099272B" w14:paraId="355C7A1C" w14:textId="77777777" w:rsidTr="0008504B">
                        <w:trPr>
                          <w:trHeight w:val="283"/>
                          <w:jc w:val="center"/>
                        </w:trPr>
                        <w:tc>
                          <w:tcPr>
                            <w:tcW w:w="670" w:type="dxa"/>
                            <w:tcBorders>
                              <w:bottom w:val="single" w:sz="4" w:space="0" w:color="auto"/>
                              <w:right w:val="single" w:sz="4" w:space="0" w:color="auto"/>
                            </w:tcBorders>
                            <w:vAlign w:val="center"/>
                          </w:tcPr>
                          <w:p w14:paraId="3C0BA570"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10</w:t>
                            </w:r>
                          </w:p>
                        </w:tc>
                        <w:tc>
                          <w:tcPr>
                            <w:tcW w:w="748" w:type="dxa"/>
                            <w:tcBorders>
                              <w:left w:val="single" w:sz="4" w:space="0" w:color="auto"/>
                              <w:bottom w:val="single" w:sz="4" w:space="0" w:color="auto"/>
                              <w:right w:val="single" w:sz="4" w:space="0" w:color="auto"/>
                            </w:tcBorders>
                            <w:vAlign w:val="center"/>
                          </w:tcPr>
                          <w:p w14:paraId="25D68AD6"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9</w:t>
                            </w:r>
                            <w:r w:rsidRPr="00541C31">
                              <w:rPr>
                                <w:rFonts w:ascii="標楷體" w:eastAsia="標楷體" w:hAnsi="標楷體"/>
                                <w:b/>
                                <w:sz w:val="20"/>
                                <w:szCs w:val="16"/>
                              </w:rPr>
                              <w:t>77</w:t>
                            </w:r>
                          </w:p>
                        </w:tc>
                        <w:tc>
                          <w:tcPr>
                            <w:tcW w:w="748" w:type="dxa"/>
                            <w:tcBorders>
                              <w:left w:val="single" w:sz="4" w:space="0" w:color="auto"/>
                              <w:bottom w:val="single" w:sz="4" w:space="0" w:color="auto"/>
                              <w:right w:val="single" w:sz="4" w:space="0" w:color="auto"/>
                            </w:tcBorders>
                            <w:vAlign w:val="center"/>
                          </w:tcPr>
                          <w:p w14:paraId="329902B8"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705</w:t>
                            </w:r>
                          </w:p>
                        </w:tc>
                        <w:tc>
                          <w:tcPr>
                            <w:tcW w:w="707" w:type="dxa"/>
                            <w:tcBorders>
                              <w:left w:val="single" w:sz="4" w:space="0" w:color="auto"/>
                              <w:bottom w:val="single" w:sz="4" w:space="0" w:color="auto"/>
                              <w:right w:val="single" w:sz="4" w:space="0" w:color="auto"/>
                            </w:tcBorders>
                            <w:vAlign w:val="center"/>
                          </w:tcPr>
                          <w:p w14:paraId="330A118E"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36</w:t>
                            </w:r>
                          </w:p>
                        </w:tc>
                        <w:tc>
                          <w:tcPr>
                            <w:tcW w:w="725" w:type="dxa"/>
                            <w:tcBorders>
                              <w:left w:val="single" w:sz="4" w:space="0" w:color="auto"/>
                              <w:bottom w:val="single" w:sz="4" w:space="0" w:color="auto"/>
                            </w:tcBorders>
                            <w:vAlign w:val="center"/>
                          </w:tcPr>
                          <w:p w14:paraId="24503DB8"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236</w:t>
                            </w:r>
                          </w:p>
                        </w:tc>
                      </w:tr>
                      <w:tr w:rsidR="00286703" w:rsidRPr="0099272B" w14:paraId="65929D7E" w14:textId="77777777" w:rsidTr="0008504B">
                        <w:trPr>
                          <w:trHeight w:val="283"/>
                          <w:jc w:val="center"/>
                        </w:trPr>
                        <w:tc>
                          <w:tcPr>
                            <w:tcW w:w="670" w:type="dxa"/>
                            <w:tcBorders>
                              <w:bottom w:val="single" w:sz="4" w:space="0" w:color="auto"/>
                              <w:right w:val="single" w:sz="4" w:space="0" w:color="auto"/>
                            </w:tcBorders>
                            <w:vAlign w:val="center"/>
                          </w:tcPr>
                          <w:p w14:paraId="37C55BD7" w14:textId="77777777" w:rsidR="00286703" w:rsidRPr="00541C31" w:rsidRDefault="00286703" w:rsidP="00CF228E">
                            <w:pPr>
                              <w:spacing w:line="240" w:lineRule="exact"/>
                              <w:jc w:val="center"/>
                              <w:rPr>
                                <w:rFonts w:ascii="標楷體" w:eastAsia="標楷體" w:hAnsi="標楷體"/>
                                <w:sz w:val="20"/>
                                <w:szCs w:val="16"/>
                              </w:rPr>
                            </w:pPr>
                            <w:r w:rsidRPr="00541C31">
                              <w:rPr>
                                <w:rFonts w:ascii="標楷體" w:eastAsia="標楷體" w:hAnsi="標楷體" w:hint="eastAsia"/>
                                <w:sz w:val="20"/>
                                <w:szCs w:val="16"/>
                              </w:rPr>
                              <w:t>1</w:t>
                            </w:r>
                            <w:r w:rsidRPr="00541C31">
                              <w:rPr>
                                <w:rFonts w:ascii="標楷體" w:eastAsia="標楷體" w:hAnsi="標楷體"/>
                                <w:sz w:val="20"/>
                                <w:szCs w:val="16"/>
                              </w:rPr>
                              <w:t>09</w:t>
                            </w:r>
                          </w:p>
                        </w:tc>
                        <w:tc>
                          <w:tcPr>
                            <w:tcW w:w="748" w:type="dxa"/>
                            <w:tcBorders>
                              <w:left w:val="single" w:sz="4" w:space="0" w:color="auto"/>
                              <w:bottom w:val="single" w:sz="4" w:space="0" w:color="auto"/>
                              <w:right w:val="single" w:sz="4" w:space="0" w:color="auto"/>
                            </w:tcBorders>
                            <w:vAlign w:val="center"/>
                          </w:tcPr>
                          <w:p w14:paraId="29610E84" w14:textId="77777777" w:rsidR="00286703" w:rsidRPr="00541C31" w:rsidRDefault="00286703" w:rsidP="00CF228E">
                            <w:pPr>
                              <w:spacing w:line="240" w:lineRule="exact"/>
                              <w:jc w:val="right"/>
                              <w:rPr>
                                <w:rFonts w:ascii="標楷體" w:eastAsia="標楷體" w:hAnsi="標楷體"/>
                                <w:b/>
                                <w:sz w:val="20"/>
                                <w:szCs w:val="16"/>
                              </w:rPr>
                            </w:pPr>
                            <w:r w:rsidRPr="00541C31">
                              <w:rPr>
                                <w:rFonts w:ascii="標楷體" w:eastAsia="標楷體" w:hAnsi="標楷體" w:hint="eastAsia"/>
                                <w:b/>
                                <w:sz w:val="20"/>
                                <w:szCs w:val="16"/>
                              </w:rPr>
                              <w:t>8</w:t>
                            </w:r>
                            <w:r w:rsidRPr="00541C31">
                              <w:rPr>
                                <w:rFonts w:ascii="標楷體" w:eastAsia="標楷體" w:hAnsi="標楷體"/>
                                <w:b/>
                                <w:sz w:val="20"/>
                                <w:szCs w:val="16"/>
                              </w:rPr>
                              <w:t>64</w:t>
                            </w:r>
                          </w:p>
                        </w:tc>
                        <w:tc>
                          <w:tcPr>
                            <w:tcW w:w="748" w:type="dxa"/>
                            <w:tcBorders>
                              <w:left w:val="single" w:sz="4" w:space="0" w:color="auto"/>
                              <w:bottom w:val="single" w:sz="4" w:space="0" w:color="auto"/>
                              <w:right w:val="single" w:sz="4" w:space="0" w:color="auto"/>
                            </w:tcBorders>
                            <w:vAlign w:val="center"/>
                          </w:tcPr>
                          <w:p w14:paraId="0B769567"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559</w:t>
                            </w:r>
                          </w:p>
                        </w:tc>
                        <w:tc>
                          <w:tcPr>
                            <w:tcW w:w="707" w:type="dxa"/>
                            <w:tcBorders>
                              <w:left w:val="single" w:sz="4" w:space="0" w:color="auto"/>
                              <w:bottom w:val="single" w:sz="4" w:space="0" w:color="auto"/>
                              <w:right w:val="single" w:sz="4" w:space="0" w:color="auto"/>
                            </w:tcBorders>
                            <w:vAlign w:val="center"/>
                          </w:tcPr>
                          <w:p w14:paraId="5F4E53C7"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36</w:t>
                            </w:r>
                          </w:p>
                        </w:tc>
                        <w:tc>
                          <w:tcPr>
                            <w:tcW w:w="725" w:type="dxa"/>
                            <w:tcBorders>
                              <w:left w:val="single" w:sz="4" w:space="0" w:color="auto"/>
                              <w:bottom w:val="single" w:sz="4" w:space="0" w:color="auto"/>
                            </w:tcBorders>
                            <w:vAlign w:val="center"/>
                          </w:tcPr>
                          <w:p w14:paraId="5AF0DE72" w14:textId="77777777" w:rsidR="00286703" w:rsidRPr="00541C31" w:rsidRDefault="00286703" w:rsidP="007821AD">
                            <w:pPr>
                              <w:spacing w:line="240" w:lineRule="exact"/>
                              <w:jc w:val="right"/>
                              <w:rPr>
                                <w:rFonts w:ascii="標楷體" w:eastAsia="標楷體" w:hAnsi="標楷體"/>
                                <w:sz w:val="20"/>
                                <w:szCs w:val="16"/>
                              </w:rPr>
                            </w:pPr>
                            <w:r w:rsidRPr="00541C31">
                              <w:rPr>
                                <w:rFonts w:ascii="標楷體" w:eastAsia="標楷體" w:hAnsi="標楷體" w:hint="eastAsia"/>
                                <w:sz w:val="20"/>
                                <w:szCs w:val="16"/>
                              </w:rPr>
                              <w:t>269</w:t>
                            </w:r>
                          </w:p>
                        </w:tc>
                      </w:tr>
                      <w:tr w:rsidR="00286703" w:rsidRPr="0099272B" w14:paraId="50DD39E2" w14:textId="77777777" w:rsidTr="008D3D67">
                        <w:trPr>
                          <w:trHeight w:val="227"/>
                          <w:jc w:val="center"/>
                        </w:trPr>
                        <w:tc>
                          <w:tcPr>
                            <w:tcW w:w="3598" w:type="dxa"/>
                            <w:gridSpan w:val="5"/>
                            <w:tcBorders>
                              <w:top w:val="single" w:sz="4" w:space="0" w:color="auto"/>
                              <w:left w:val="nil"/>
                              <w:bottom w:val="nil"/>
                              <w:right w:val="nil"/>
                            </w:tcBorders>
                            <w:vAlign w:val="center"/>
                          </w:tcPr>
                          <w:p w14:paraId="44B0E20F" w14:textId="77777777" w:rsidR="00286703" w:rsidRDefault="00286703" w:rsidP="00595FD0">
                            <w:pPr>
                              <w:spacing w:line="240" w:lineRule="exact"/>
                              <w:ind w:leftChars="-20" w:left="-48"/>
                              <w:jc w:val="both"/>
                              <w:rPr>
                                <w:rFonts w:ascii="標楷體" w:eastAsia="標楷體" w:hAnsi="標楷體"/>
                              </w:rPr>
                            </w:pPr>
                            <w:r w:rsidRPr="0037577D">
                              <w:rPr>
                                <w:rFonts w:ascii="標楷體" w:eastAsia="標楷體" w:hAnsi="標楷體" w:hint="eastAsia"/>
                                <w:sz w:val="18"/>
                                <w:szCs w:val="18"/>
                              </w:rPr>
                              <w:t>資料來源</w:t>
                            </w:r>
                            <w:r w:rsidRPr="0037577D">
                              <w:rPr>
                                <w:rFonts w:ascii="標楷體" w:eastAsia="標楷體" w:hAnsi="標楷體"/>
                                <w:sz w:val="18"/>
                                <w:szCs w:val="18"/>
                              </w:rPr>
                              <w:t>：整理自銓敘部提供資料。</w:t>
                            </w:r>
                          </w:p>
                        </w:tc>
                      </w:tr>
                    </w:tbl>
                    <w:p w14:paraId="5202642C" w14:textId="77777777" w:rsidR="00286703" w:rsidRDefault="00286703" w:rsidP="00286703"/>
                  </w:txbxContent>
                </v:textbox>
                <w10:wrap type="square" anchorx="margin" anchory="margin"/>
              </v:shape>
            </w:pict>
          </mc:Fallback>
        </mc:AlternateContent>
      </w:r>
      <w:r w:rsidR="005D0F74" w:rsidRPr="00262D3D">
        <w:rPr>
          <w:rFonts w:hAnsi="標楷體" w:hint="eastAsia"/>
          <w:bCs/>
          <w:snapToGrid w:val="0"/>
          <w:sz w:val="24"/>
          <w:szCs w:val="24"/>
        </w:rPr>
        <w:t>各機關公務人員辭職人數，由</w:t>
      </w:r>
      <w:proofErr w:type="gramStart"/>
      <w:r w:rsidR="005D0F74" w:rsidRPr="00262D3D">
        <w:rPr>
          <w:rFonts w:hAnsi="標楷體" w:hint="eastAsia"/>
          <w:bCs/>
          <w:snapToGrid w:val="0"/>
          <w:sz w:val="24"/>
          <w:szCs w:val="24"/>
        </w:rPr>
        <w:t>109</w:t>
      </w:r>
      <w:proofErr w:type="gramEnd"/>
      <w:r w:rsidR="005D0F74" w:rsidRPr="00262D3D">
        <w:rPr>
          <w:rFonts w:hAnsi="標楷體" w:hint="eastAsia"/>
          <w:bCs/>
          <w:snapToGrid w:val="0"/>
          <w:sz w:val="24"/>
          <w:szCs w:val="24"/>
        </w:rPr>
        <w:t>年度之864人，增加至</w:t>
      </w:r>
      <w:proofErr w:type="gramStart"/>
      <w:r w:rsidR="005D0F74" w:rsidRPr="00262D3D">
        <w:rPr>
          <w:rFonts w:hAnsi="標楷體" w:hint="eastAsia"/>
          <w:bCs/>
          <w:snapToGrid w:val="0"/>
          <w:sz w:val="24"/>
          <w:szCs w:val="24"/>
        </w:rPr>
        <w:t>113</w:t>
      </w:r>
      <w:proofErr w:type="gramEnd"/>
      <w:r w:rsidR="005D0F74" w:rsidRPr="00262D3D">
        <w:rPr>
          <w:rFonts w:hAnsi="標楷體" w:hint="eastAsia"/>
          <w:bCs/>
          <w:snapToGrid w:val="0"/>
          <w:sz w:val="24"/>
          <w:szCs w:val="24"/>
        </w:rPr>
        <w:t>年度之1</w:t>
      </w:r>
      <w:r w:rsidR="005D0F74" w:rsidRPr="00262D3D">
        <w:rPr>
          <w:rFonts w:hAnsi="標楷體"/>
          <w:bCs/>
          <w:snapToGrid w:val="0"/>
          <w:sz w:val="24"/>
          <w:szCs w:val="24"/>
        </w:rPr>
        <w:t>,361</w:t>
      </w:r>
      <w:r w:rsidR="005D0F74" w:rsidRPr="00262D3D">
        <w:rPr>
          <w:rFonts w:hAnsi="標楷體" w:hint="eastAsia"/>
          <w:bCs/>
          <w:snapToGrid w:val="0"/>
          <w:sz w:val="24"/>
          <w:szCs w:val="24"/>
        </w:rPr>
        <w:t>人</w:t>
      </w:r>
      <w:proofErr w:type="gramStart"/>
      <w:r w:rsidR="005D0F74" w:rsidRPr="00262D3D">
        <w:rPr>
          <w:rFonts w:hAnsi="標楷體" w:hint="eastAsia"/>
          <w:bCs/>
          <w:snapToGrid w:val="0"/>
          <w:sz w:val="24"/>
          <w:szCs w:val="24"/>
        </w:rPr>
        <w:t>（</w:t>
      </w:r>
      <w:proofErr w:type="gramEnd"/>
      <w:r w:rsidR="005D0F74" w:rsidRPr="00262D3D">
        <w:rPr>
          <w:rFonts w:hAnsi="標楷體" w:hint="eastAsia"/>
          <w:bCs/>
          <w:snapToGrid w:val="0"/>
          <w:sz w:val="24"/>
          <w:szCs w:val="24"/>
        </w:rPr>
        <w:t>增幅57.52％；表</w:t>
      </w:r>
      <w:r w:rsidR="00BE22AA" w:rsidRPr="00262D3D">
        <w:rPr>
          <w:rFonts w:hAnsi="標楷體" w:hint="eastAsia"/>
          <w:bCs/>
          <w:snapToGrid w:val="0"/>
          <w:sz w:val="24"/>
          <w:szCs w:val="24"/>
        </w:rPr>
        <w:t>3</w:t>
      </w:r>
      <w:r w:rsidR="00805124">
        <w:rPr>
          <w:rFonts w:hAnsi="標楷體" w:hint="eastAsia"/>
          <w:bCs/>
          <w:snapToGrid w:val="0"/>
          <w:sz w:val="24"/>
          <w:szCs w:val="24"/>
        </w:rPr>
        <w:t>8</w:t>
      </w:r>
      <w:proofErr w:type="gramStart"/>
      <w:r w:rsidR="005D0F74" w:rsidRPr="00262D3D">
        <w:rPr>
          <w:rFonts w:hAnsi="標楷體" w:hint="eastAsia"/>
          <w:bCs/>
          <w:snapToGrid w:val="0"/>
          <w:sz w:val="24"/>
          <w:szCs w:val="24"/>
        </w:rPr>
        <w:t>）</w:t>
      </w:r>
      <w:proofErr w:type="gramEnd"/>
      <w:r w:rsidR="005D0F74" w:rsidRPr="00262D3D">
        <w:rPr>
          <w:rFonts w:hAnsi="標楷體" w:hint="eastAsia"/>
          <w:bCs/>
          <w:snapToGrid w:val="0"/>
          <w:sz w:val="24"/>
          <w:szCs w:val="24"/>
        </w:rPr>
        <w:t>，其中公立學校及公立醫療機構歷年辭職人數變化尚屬</w:t>
      </w:r>
      <w:proofErr w:type="gramStart"/>
      <w:r w:rsidR="005D0F74" w:rsidRPr="005D0F74">
        <w:rPr>
          <w:rFonts w:hAnsi="標楷體" w:hint="eastAsia"/>
          <w:bCs/>
          <w:snapToGrid w:val="0"/>
          <w:sz w:val="24"/>
          <w:szCs w:val="24"/>
        </w:rPr>
        <w:t>平穩，</w:t>
      </w:r>
      <w:proofErr w:type="gramEnd"/>
      <w:r w:rsidR="005D0F74" w:rsidRPr="005D0F74">
        <w:rPr>
          <w:rFonts w:hAnsi="標楷體" w:hint="eastAsia"/>
          <w:bCs/>
          <w:snapToGrid w:val="0"/>
          <w:sz w:val="24"/>
          <w:szCs w:val="24"/>
        </w:rPr>
        <w:t>惟公務機關部分，</w:t>
      </w:r>
      <w:proofErr w:type="gramStart"/>
      <w:r w:rsidR="005D0F74" w:rsidRPr="005D0F74">
        <w:rPr>
          <w:rFonts w:hAnsi="標楷體" w:hint="eastAsia"/>
          <w:bCs/>
          <w:snapToGrid w:val="0"/>
          <w:sz w:val="24"/>
          <w:szCs w:val="24"/>
        </w:rPr>
        <w:t>113</w:t>
      </w:r>
      <w:proofErr w:type="gramEnd"/>
      <w:r w:rsidR="005D0F74" w:rsidRPr="005D0F74">
        <w:rPr>
          <w:rFonts w:hAnsi="標楷體" w:hint="eastAsia"/>
          <w:bCs/>
          <w:snapToGrid w:val="0"/>
          <w:sz w:val="24"/>
          <w:szCs w:val="24"/>
        </w:rPr>
        <w:t>年度辭職人數1</w:t>
      </w:r>
      <w:r w:rsidR="005D0F74" w:rsidRPr="005D0F74">
        <w:rPr>
          <w:rFonts w:hAnsi="標楷體"/>
          <w:bCs/>
          <w:snapToGrid w:val="0"/>
          <w:sz w:val="24"/>
          <w:szCs w:val="24"/>
        </w:rPr>
        <w:t>,011</w:t>
      </w:r>
      <w:r w:rsidR="005D0F74" w:rsidRPr="005D0F74">
        <w:rPr>
          <w:rFonts w:hAnsi="標楷體" w:hint="eastAsia"/>
          <w:bCs/>
          <w:snapToGrid w:val="0"/>
          <w:sz w:val="24"/>
          <w:szCs w:val="24"/>
        </w:rPr>
        <w:t>人，較</w:t>
      </w:r>
      <w:proofErr w:type="gramStart"/>
      <w:r w:rsidR="005D0F74" w:rsidRPr="005D0F74">
        <w:rPr>
          <w:rFonts w:hAnsi="標楷體" w:hint="eastAsia"/>
          <w:bCs/>
          <w:snapToGrid w:val="0"/>
          <w:sz w:val="24"/>
          <w:szCs w:val="24"/>
        </w:rPr>
        <w:t>109</w:t>
      </w:r>
      <w:proofErr w:type="gramEnd"/>
      <w:r w:rsidR="005D0F74" w:rsidRPr="005D0F74">
        <w:rPr>
          <w:rFonts w:hAnsi="標楷體" w:hint="eastAsia"/>
          <w:bCs/>
          <w:snapToGrid w:val="0"/>
          <w:sz w:val="24"/>
          <w:szCs w:val="24"/>
        </w:rPr>
        <w:t>年度之559人增加452人，</w:t>
      </w:r>
      <w:proofErr w:type="gramStart"/>
      <w:r w:rsidR="005D0F74" w:rsidRPr="005D0F74">
        <w:rPr>
          <w:rFonts w:hAnsi="標楷體" w:hint="eastAsia"/>
          <w:bCs/>
          <w:snapToGrid w:val="0"/>
          <w:sz w:val="24"/>
          <w:szCs w:val="24"/>
        </w:rPr>
        <w:t>增幅超逾8成</w:t>
      </w:r>
      <w:proofErr w:type="gramEnd"/>
      <w:r w:rsidR="005D0F74" w:rsidRPr="005D0F74">
        <w:rPr>
          <w:rFonts w:hAnsi="標楷體"/>
          <w:bCs/>
          <w:snapToGrid w:val="0"/>
          <w:sz w:val="24"/>
          <w:szCs w:val="24"/>
        </w:rPr>
        <w:t>，</w:t>
      </w:r>
      <w:r w:rsidR="005D0F74" w:rsidRPr="005D0F74">
        <w:rPr>
          <w:rFonts w:hAnsi="標楷體" w:hint="eastAsia"/>
          <w:bCs/>
          <w:snapToGrid w:val="0"/>
          <w:sz w:val="24"/>
          <w:szCs w:val="24"/>
        </w:rPr>
        <w:t>人力流失情形較醫療及教育體系更加顯著</w:t>
      </w:r>
      <w:r w:rsidR="005D0F74" w:rsidRPr="005D0F74">
        <w:rPr>
          <w:rFonts w:hAnsi="標楷體"/>
          <w:bCs/>
          <w:snapToGrid w:val="0"/>
          <w:sz w:val="24"/>
          <w:szCs w:val="24"/>
        </w:rPr>
        <w:t>，</w:t>
      </w:r>
      <w:r w:rsidR="0049509D">
        <w:rPr>
          <w:rFonts w:hAnsi="標楷體" w:hint="eastAsia"/>
          <w:bCs/>
          <w:snapToGrid w:val="0"/>
          <w:sz w:val="24"/>
          <w:szCs w:val="24"/>
        </w:rPr>
        <w:t>有待</w:t>
      </w:r>
      <w:r w:rsidR="005D0F74" w:rsidRPr="005D0F74">
        <w:rPr>
          <w:rFonts w:hAnsi="標楷體" w:hint="eastAsia"/>
          <w:bCs/>
          <w:snapToGrid w:val="0"/>
          <w:sz w:val="24"/>
          <w:szCs w:val="24"/>
        </w:rPr>
        <w:t>探究問題癥結</w:t>
      </w:r>
      <w:r w:rsidR="005D0F74" w:rsidRPr="005D0F74">
        <w:rPr>
          <w:rFonts w:hAnsi="標楷體"/>
          <w:bCs/>
          <w:snapToGrid w:val="0"/>
          <w:sz w:val="24"/>
          <w:szCs w:val="24"/>
        </w:rPr>
        <w:t>，</w:t>
      </w:r>
      <w:r w:rsidR="005D0F74" w:rsidRPr="005D0F74">
        <w:rPr>
          <w:rFonts w:hAnsi="標楷體" w:hint="eastAsia"/>
          <w:bCs/>
          <w:snapToGrid w:val="0"/>
          <w:sz w:val="24"/>
          <w:szCs w:val="24"/>
        </w:rPr>
        <w:t>並持續優化多元管理策略及留才措施</w:t>
      </w:r>
      <w:r w:rsidR="005D0F74" w:rsidRPr="005D0F74">
        <w:rPr>
          <w:rFonts w:hAnsi="標楷體"/>
          <w:bCs/>
          <w:snapToGrid w:val="0"/>
          <w:sz w:val="24"/>
          <w:szCs w:val="24"/>
        </w:rPr>
        <w:t>，</w:t>
      </w:r>
      <w:r w:rsidR="005D0F74" w:rsidRPr="005D0F74">
        <w:rPr>
          <w:rFonts w:hAnsi="標楷體" w:hint="eastAsia"/>
          <w:bCs/>
          <w:snapToGrid w:val="0"/>
          <w:sz w:val="24"/>
          <w:szCs w:val="24"/>
        </w:rPr>
        <w:t>以穩定公務人力運作等情事，</w:t>
      </w:r>
      <w:r w:rsidR="0049509D">
        <w:rPr>
          <w:rFonts w:hAnsi="標楷體" w:hint="eastAsia"/>
          <w:bCs/>
          <w:snapToGrid w:val="0"/>
          <w:sz w:val="24"/>
          <w:szCs w:val="24"/>
        </w:rPr>
        <w:t>允宜</w:t>
      </w:r>
      <w:r w:rsidR="005D0F74" w:rsidRPr="005D0F74">
        <w:rPr>
          <w:rFonts w:hAnsi="標楷體"/>
          <w:bCs/>
          <w:snapToGrid w:val="0"/>
          <w:sz w:val="24"/>
          <w:szCs w:val="24"/>
        </w:rPr>
        <w:t>通盤掌握各機關未及時規劃缺額</w:t>
      </w:r>
      <w:proofErr w:type="gramStart"/>
      <w:r w:rsidR="005D0F74" w:rsidRPr="005D0F74">
        <w:rPr>
          <w:rFonts w:hAnsi="標楷體"/>
          <w:bCs/>
          <w:snapToGrid w:val="0"/>
          <w:sz w:val="24"/>
          <w:szCs w:val="24"/>
        </w:rPr>
        <w:t>遴</w:t>
      </w:r>
      <w:proofErr w:type="gramEnd"/>
      <w:r w:rsidR="005D0F74" w:rsidRPr="005D0F74">
        <w:rPr>
          <w:rFonts w:hAnsi="標楷體"/>
          <w:bCs/>
          <w:snapToGrid w:val="0"/>
          <w:sz w:val="24"/>
          <w:szCs w:val="24"/>
        </w:rPr>
        <w:t>補方式致缺額數逐年增加之原因，督促加速規劃補實</w:t>
      </w:r>
      <w:r w:rsidR="005D0F74" w:rsidRPr="005D0F74">
        <w:rPr>
          <w:rFonts w:hAnsi="標楷體" w:hint="eastAsia"/>
          <w:bCs/>
          <w:snapToGrid w:val="0"/>
          <w:sz w:val="24"/>
          <w:szCs w:val="24"/>
        </w:rPr>
        <w:t>或予以</w:t>
      </w:r>
      <w:r w:rsidR="005D0F74" w:rsidRPr="005D0F74">
        <w:rPr>
          <w:rFonts w:hAnsi="標楷體"/>
          <w:bCs/>
          <w:snapToGrid w:val="0"/>
          <w:sz w:val="24"/>
          <w:szCs w:val="24"/>
        </w:rPr>
        <w:t>彈性調整</w:t>
      </w:r>
      <w:r w:rsidR="005D0F74" w:rsidRPr="005D0F74">
        <w:rPr>
          <w:rFonts w:hAnsi="標楷體" w:hint="eastAsia"/>
          <w:bCs/>
          <w:snapToGrid w:val="0"/>
          <w:sz w:val="24"/>
          <w:szCs w:val="24"/>
        </w:rPr>
        <w:t>，另</w:t>
      </w:r>
      <w:r w:rsidR="005D0F74" w:rsidRPr="005D0F74">
        <w:rPr>
          <w:rFonts w:hAnsi="標楷體"/>
          <w:bCs/>
          <w:snapToGrid w:val="0"/>
          <w:sz w:val="24"/>
          <w:szCs w:val="24"/>
        </w:rPr>
        <w:t>會同考試院評估檢討中央機關高普考試缺額</w:t>
      </w:r>
      <w:proofErr w:type="gramStart"/>
      <w:r w:rsidR="005D0F74" w:rsidRPr="005D0F74">
        <w:rPr>
          <w:rFonts w:hAnsi="標楷體"/>
          <w:bCs/>
          <w:snapToGrid w:val="0"/>
          <w:sz w:val="24"/>
          <w:szCs w:val="24"/>
        </w:rPr>
        <w:t>遴</w:t>
      </w:r>
      <w:proofErr w:type="gramEnd"/>
      <w:r w:rsidR="005D0F74" w:rsidRPr="005D0F74">
        <w:rPr>
          <w:rFonts w:hAnsi="標楷體"/>
          <w:bCs/>
          <w:snapToGrid w:val="0"/>
          <w:sz w:val="24"/>
          <w:szCs w:val="24"/>
        </w:rPr>
        <w:t>補成效，</w:t>
      </w:r>
      <w:proofErr w:type="gramStart"/>
      <w:r w:rsidR="005D0F74" w:rsidRPr="005D0F74">
        <w:rPr>
          <w:rFonts w:hAnsi="標楷體"/>
          <w:bCs/>
          <w:snapToGrid w:val="0"/>
          <w:sz w:val="24"/>
          <w:szCs w:val="24"/>
        </w:rPr>
        <w:t>研謀精</w:t>
      </w:r>
      <w:proofErr w:type="gramEnd"/>
      <w:r w:rsidR="005D0F74" w:rsidRPr="005D0F74">
        <w:rPr>
          <w:rFonts w:hAnsi="標楷體"/>
          <w:bCs/>
          <w:snapToGrid w:val="0"/>
          <w:sz w:val="24"/>
          <w:szCs w:val="24"/>
        </w:rPr>
        <w:t>進考選效能，</w:t>
      </w:r>
      <w:r w:rsidR="005D0F74" w:rsidRPr="005D0F74">
        <w:rPr>
          <w:rFonts w:hAnsi="標楷體" w:hint="eastAsia"/>
          <w:bCs/>
          <w:snapToGrid w:val="0"/>
          <w:sz w:val="24"/>
          <w:szCs w:val="24"/>
        </w:rPr>
        <w:t>並</w:t>
      </w:r>
      <w:r w:rsidR="005D0F74" w:rsidRPr="005D0F74">
        <w:rPr>
          <w:rFonts w:hAnsi="標楷體"/>
          <w:bCs/>
          <w:snapToGrid w:val="0"/>
          <w:sz w:val="24"/>
          <w:szCs w:val="24"/>
        </w:rPr>
        <w:t>建立公務人力</w:t>
      </w:r>
      <w:r w:rsidR="005D0F74" w:rsidRPr="005D0F74">
        <w:rPr>
          <w:rFonts w:hAnsi="標楷體" w:hint="eastAsia"/>
          <w:bCs/>
          <w:snapToGrid w:val="0"/>
          <w:sz w:val="24"/>
          <w:szCs w:val="24"/>
        </w:rPr>
        <w:t>辭</w:t>
      </w:r>
      <w:r w:rsidR="005D0F74" w:rsidRPr="005D0F74">
        <w:rPr>
          <w:rFonts w:hAnsi="標楷體"/>
          <w:bCs/>
          <w:snapToGrid w:val="0"/>
          <w:sz w:val="24"/>
          <w:szCs w:val="24"/>
        </w:rPr>
        <w:t>職原因資料共享機制，持續優化留才措施，以穩定公務體系人力運作，減緩缺額擴大情形</w:t>
      </w:r>
      <w:r w:rsidR="005D0F74" w:rsidRPr="005D0F74">
        <w:rPr>
          <w:rFonts w:hAnsi="標楷體" w:hint="eastAsia"/>
          <w:bCs/>
          <w:snapToGrid w:val="0"/>
          <w:sz w:val="24"/>
          <w:szCs w:val="24"/>
        </w:rPr>
        <w:t>。</w:t>
      </w:r>
    </w:p>
    <w:p w14:paraId="22403528" w14:textId="39DDD4D6" w:rsidR="00A15E84" w:rsidRPr="005D0F74" w:rsidRDefault="005D0F74" w:rsidP="00027341">
      <w:pPr>
        <w:widowControl/>
        <w:overflowPunct w:val="0"/>
        <w:spacing w:line="450" w:lineRule="exact"/>
        <w:ind w:firstLineChars="450" w:firstLine="1081"/>
        <w:jc w:val="both"/>
        <w:rPr>
          <w:rFonts w:ascii="標楷體" w:eastAsia="標楷體" w:hAnsi="標楷體"/>
          <w:color w:val="000000" w:themeColor="text1"/>
          <w:szCs w:val="24"/>
        </w:rPr>
      </w:pPr>
      <w:bookmarkStart w:id="30" w:name="_Hlk201925431"/>
      <w:r w:rsidRPr="005D0F74">
        <w:rPr>
          <w:rFonts w:ascii="標楷體" w:eastAsia="標楷體" w:hAnsi="標楷體" w:hint="eastAsia"/>
          <w:b/>
          <w:color w:val="000000" w:themeColor="text1"/>
          <w:szCs w:val="28"/>
        </w:rPr>
        <w:t xml:space="preserve">4.　</w:t>
      </w:r>
      <w:r w:rsidRPr="005D0F74">
        <w:rPr>
          <w:rFonts w:ascii="標楷體" w:eastAsia="標楷體" w:hAnsi="標楷體" w:hint="eastAsia"/>
          <w:b/>
          <w:szCs w:val="24"/>
        </w:rPr>
        <w:t>政府為應機關用人彈性及跨機關調度需要，已透過立（修）法確立</w:t>
      </w:r>
      <w:bookmarkStart w:id="31" w:name="_Hlk201917184"/>
      <w:r w:rsidRPr="005D0F74">
        <w:rPr>
          <w:rFonts w:ascii="標楷體" w:eastAsia="標楷體" w:hAnsi="標楷體" w:hint="eastAsia"/>
          <w:b/>
          <w:szCs w:val="24"/>
        </w:rPr>
        <w:t>彈性鬆綁員額管理相關配套機制</w:t>
      </w:r>
      <w:bookmarkEnd w:id="31"/>
      <w:r w:rsidRPr="005D0F74">
        <w:rPr>
          <w:rFonts w:ascii="標楷體" w:eastAsia="標楷體" w:hAnsi="標楷體" w:hint="eastAsia"/>
          <w:b/>
          <w:szCs w:val="24"/>
        </w:rPr>
        <w:t>之法制基礎，惟現行跨機關員額總量管理之授權</w:t>
      </w:r>
      <w:r w:rsidR="0074155C">
        <w:rPr>
          <w:rFonts w:ascii="標楷體" w:eastAsia="標楷體" w:hAnsi="標楷體" w:hint="eastAsia"/>
          <w:b/>
          <w:szCs w:val="24"/>
        </w:rPr>
        <w:t>，</w:t>
      </w:r>
      <w:r w:rsidRPr="005D0F74">
        <w:rPr>
          <w:rFonts w:ascii="標楷體" w:eastAsia="標楷體" w:hAnsi="標楷體" w:hint="eastAsia"/>
          <w:b/>
          <w:szCs w:val="24"/>
        </w:rPr>
        <w:t>尚未擴及至不同主管機關及不同類型預算員額之調度作業，又共用編制表實施</w:t>
      </w:r>
      <w:proofErr w:type="gramStart"/>
      <w:r w:rsidRPr="005D0F74">
        <w:rPr>
          <w:rFonts w:ascii="標楷體" w:eastAsia="標楷體" w:hAnsi="標楷體" w:hint="eastAsia"/>
          <w:b/>
          <w:szCs w:val="24"/>
        </w:rPr>
        <w:t>案例仍少</w:t>
      </w:r>
      <w:proofErr w:type="gramEnd"/>
      <w:r w:rsidRPr="005D0F74">
        <w:rPr>
          <w:rFonts w:ascii="標楷體" w:eastAsia="標楷體" w:hAnsi="標楷體" w:hint="eastAsia"/>
          <w:b/>
          <w:szCs w:val="24"/>
        </w:rPr>
        <w:t>，允宜</w:t>
      </w:r>
      <w:proofErr w:type="gramStart"/>
      <w:r w:rsidRPr="005D0F74">
        <w:rPr>
          <w:rFonts w:ascii="標楷體" w:eastAsia="標楷體" w:hAnsi="標楷體" w:hint="eastAsia"/>
          <w:b/>
          <w:szCs w:val="24"/>
        </w:rPr>
        <w:t>研</w:t>
      </w:r>
      <w:proofErr w:type="gramEnd"/>
      <w:r w:rsidRPr="005D0F74">
        <w:rPr>
          <w:rFonts w:ascii="標楷體" w:eastAsia="標楷體" w:hAnsi="標楷體" w:hint="eastAsia"/>
          <w:b/>
          <w:szCs w:val="24"/>
        </w:rPr>
        <w:t>謀擴大授權空間及實施範圍，發揮組織與員額適切搭配之綜效：</w:t>
      </w:r>
      <w:bookmarkEnd w:id="30"/>
      <w:r w:rsidRPr="005D0F74">
        <w:rPr>
          <w:rFonts w:ascii="標楷體" w:eastAsia="標楷體" w:hAnsi="標楷體" w:hint="eastAsia"/>
          <w:bCs/>
          <w:szCs w:val="24"/>
        </w:rPr>
        <w:t>政府為緩解組織僵化、用人缺乏彈性困境，歷來透過立（修）法，確立各機關編制員額原則以編制表訂定，符合一定條件機關得報准實施跨機關員額總量管理，及合併所屬機關訂定共用編制表之法制基礎。</w:t>
      </w:r>
      <w:proofErr w:type="gramStart"/>
      <w:r w:rsidRPr="005D0F74">
        <w:rPr>
          <w:rFonts w:ascii="標楷體" w:eastAsia="標楷體" w:hAnsi="標楷體" w:hint="eastAsia"/>
          <w:bCs/>
          <w:szCs w:val="24"/>
        </w:rPr>
        <w:t>惟查</w:t>
      </w:r>
      <w:proofErr w:type="gramEnd"/>
      <w:r w:rsidR="00564F8C">
        <w:rPr>
          <w:rFonts w:ascii="標楷體" w:eastAsia="標楷體" w:hAnsi="標楷體" w:hint="eastAsia"/>
          <w:bCs/>
          <w:szCs w:val="24"/>
        </w:rPr>
        <w:t>，</w:t>
      </w:r>
      <w:r w:rsidRPr="005D0F74">
        <w:rPr>
          <w:rFonts w:ascii="標楷體" w:eastAsia="標楷體" w:hAnsi="標楷體" w:hint="eastAsia"/>
          <w:bCs/>
          <w:szCs w:val="24"/>
        </w:rPr>
        <w:t>現行跨機關員額總量管理機制之適用範圍，以及年度中調整配置不同類型預算員額之授權，相較於總員額法施行前適用之「行政院及所屬中央各級機關員額管理要點」（於99年4月1日停止適用）規定均相對限縮，</w:t>
      </w:r>
      <w:proofErr w:type="gramStart"/>
      <w:r w:rsidRPr="005D0F74">
        <w:rPr>
          <w:rFonts w:ascii="標楷體" w:eastAsia="標楷體" w:hAnsi="標楷體" w:hint="eastAsia"/>
          <w:bCs/>
          <w:szCs w:val="24"/>
        </w:rPr>
        <w:t>恐抑減跨</w:t>
      </w:r>
      <w:proofErr w:type="gramEnd"/>
      <w:r w:rsidRPr="005D0F74">
        <w:rPr>
          <w:rFonts w:ascii="標楷體" w:eastAsia="標楷體" w:hAnsi="標楷體" w:hint="eastAsia"/>
          <w:bCs/>
          <w:szCs w:val="24"/>
        </w:rPr>
        <w:t>機關員額總量管理機制彈性調度及降低管理成本之效果；</w:t>
      </w:r>
      <w:proofErr w:type="gramStart"/>
      <w:r w:rsidRPr="005D0F74">
        <w:rPr>
          <w:rFonts w:ascii="標楷體" w:eastAsia="標楷體" w:hAnsi="標楷體" w:hint="eastAsia"/>
          <w:bCs/>
          <w:szCs w:val="24"/>
        </w:rPr>
        <w:t>又除已</w:t>
      </w:r>
      <w:proofErr w:type="gramEnd"/>
      <w:r w:rsidRPr="005D0F74">
        <w:rPr>
          <w:rFonts w:ascii="標楷體" w:eastAsia="標楷體" w:hAnsi="標楷體" w:hint="eastAsia"/>
          <w:bCs/>
          <w:szCs w:val="24"/>
        </w:rPr>
        <w:t>實施跨機關員額總量管理之33個預算員額機關外，行政院所屬機關中，尚有諸多具潛力</w:t>
      </w:r>
      <w:proofErr w:type="gramStart"/>
      <w:r w:rsidRPr="005D0F74">
        <w:rPr>
          <w:rFonts w:ascii="標楷體" w:eastAsia="標楷體" w:hAnsi="標楷體" w:hint="eastAsia"/>
          <w:bCs/>
          <w:szCs w:val="24"/>
        </w:rPr>
        <w:t>惟</w:t>
      </w:r>
      <w:proofErr w:type="gramEnd"/>
      <w:r w:rsidRPr="005D0F74">
        <w:rPr>
          <w:rFonts w:ascii="標楷體" w:eastAsia="標楷體" w:hAnsi="標楷體" w:hint="eastAsia"/>
          <w:bCs/>
          <w:szCs w:val="24"/>
        </w:rPr>
        <w:t>尚未實施者；另自公務員任用法111年5月25日修正增訂共用編制表之法源依據以來，截至114年4月底止，已歷時近3年僅核定地方政府1案，中央政府機關尚無實際案例，加以部分中央機關就編制表任用人員彈性提出建言等。為充分發揮總員額法「總量管理、彈性調整」之立法意旨，並擴展跨機關員額總量管理及共用編制表制度效益，</w:t>
      </w:r>
      <w:r w:rsidR="00E759DC">
        <w:rPr>
          <w:rFonts w:ascii="標楷體" w:eastAsia="標楷體" w:hAnsi="標楷體" w:hint="eastAsia"/>
          <w:bCs/>
          <w:spacing w:val="-2"/>
          <w:szCs w:val="24"/>
        </w:rPr>
        <w:t>允宜</w:t>
      </w:r>
      <w:r w:rsidRPr="00B96C3B">
        <w:rPr>
          <w:rFonts w:ascii="標楷體" w:eastAsia="標楷體" w:hAnsi="標楷體" w:hint="eastAsia"/>
          <w:bCs/>
          <w:spacing w:val="-2"/>
          <w:szCs w:val="24"/>
        </w:rPr>
        <w:t>偕同相關權責機關通盤檢視預算員額彈性調度及組織編制相關規範</w:t>
      </w:r>
      <w:r w:rsidR="00060831" w:rsidRPr="00B96C3B">
        <w:rPr>
          <w:rFonts w:ascii="標楷體" w:eastAsia="標楷體" w:hAnsi="標楷體" w:hint="eastAsia"/>
          <w:bCs/>
          <w:spacing w:val="-2"/>
          <w:szCs w:val="24"/>
        </w:rPr>
        <w:t>，</w:t>
      </w:r>
      <w:r w:rsidRPr="00B96C3B">
        <w:rPr>
          <w:rFonts w:ascii="標楷體" w:eastAsia="標楷體" w:hAnsi="標楷體" w:hint="eastAsia"/>
          <w:bCs/>
          <w:spacing w:val="-2"/>
          <w:szCs w:val="24"/>
        </w:rPr>
        <w:t>依機關實務需求適度放寬之可行性，並強化宣導跨機關員額總量管理及共用編制表相關措施，藉由組織及員額二者適切搭配，於快速變動之施政環境中促進政府用人彈性。</w:t>
      </w:r>
    </w:p>
    <w:p w14:paraId="11A6EAEB" w14:textId="56704230" w:rsidR="000554CC" w:rsidRPr="008B44E3" w:rsidRDefault="000554CC" w:rsidP="00027341">
      <w:pPr>
        <w:pStyle w:val="affb"/>
        <w:overflowPunct w:val="0"/>
        <w:spacing w:beforeLines="20" w:before="72" w:afterLines="20" w:after="72" w:line="440" w:lineRule="exact"/>
        <w:ind w:left="0" w:firstLineChars="200" w:firstLine="561"/>
        <w:jc w:val="both"/>
        <w:outlineLvl w:val="1"/>
        <w:rPr>
          <w:rFonts w:hAnsi="標楷體"/>
          <w:b/>
          <w:bCs/>
          <w:sz w:val="28"/>
          <w:szCs w:val="28"/>
        </w:rPr>
      </w:pPr>
      <w:r w:rsidRPr="00D86A27">
        <w:rPr>
          <w:rFonts w:hAnsi="標楷體" w:hint="eastAsia"/>
          <w:b/>
          <w:bCs/>
          <w:sz w:val="28"/>
          <w:szCs w:val="28"/>
        </w:rPr>
        <w:t>（二十</w:t>
      </w:r>
      <w:r w:rsidR="00781889" w:rsidRPr="00D86A27">
        <w:rPr>
          <w:rFonts w:hAnsi="標楷體" w:hint="eastAsia"/>
          <w:b/>
          <w:bCs/>
          <w:sz w:val="28"/>
          <w:szCs w:val="28"/>
        </w:rPr>
        <w:t>三</w:t>
      </w:r>
      <w:r w:rsidRPr="00D86A27">
        <w:rPr>
          <w:rFonts w:hAnsi="標楷體" w:hint="eastAsia"/>
          <w:b/>
          <w:bCs/>
          <w:sz w:val="28"/>
          <w:szCs w:val="28"/>
        </w:rPr>
        <w:t xml:space="preserve">）　</w:t>
      </w:r>
      <w:r w:rsidR="00D86A27" w:rsidRPr="00D86A27">
        <w:rPr>
          <w:rFonts w:hAnsi="標楷體" w:hint="eastAsia"/>
          <w:b/>
          <w:bCs/>
          <w:sz w:val="28"/>
          <w:szCs w:val="28"/>
        </w:rPr>
        <w:t>政府致力透由辦理員額評鑑、合理運用多元人力等員額管理配套機制協助各機關提升業務與組設人力契合度，</w:t>
      </w:r>
      <w:proofErr w:type="gramStart"/>
      <w:r w:rsidR="00D86A27" w:rsidRPr="00D86A27">
        <w:rPr>
          <w:rFonts w:hAnsi="標楷體" w:hint="eastAsia"/>
          <w:b/>
          <w:bCs/>
          <w:sz w:val="28"/>
          <w:szCs w:val="28"/>
        </w:rPr>
        <w:t>並精進</w:t>
      </w:r>
      <w:proofErr w:type="gramEnd"/>
      <w:r w:rsidR="00D86A27" w:rsidRPr="00D86A27">
        <w:rPr>
          <w:rFonts w:hAnsi="標楷體" w:hint="eastAsia"/>
          <w:b/>
          <w:bCs/>
          <w:sz w:val="28"/>
          <w:szCs w:val="28"/>
        </w:rPr>
        <w:t>人力資源運用效能，惟近年辦理員額評鑑結果未盡顯現預期效益，又多元人力</w:t>
      </w:r>
      <w:r w:rsidR="00F32B66">
        <w:rPr>
          <w:rFonts w:hAnsi="標楷體" w:hint="eastAsia"/>
          <w:b/>
          <w:bCs/>
          <w:sz w:val="28"/>
          <w:szCs w:val="28"/>
        </w:rPr>
        <w:t>管理運用及相關</w:t>
      </w:r>
      <w:r w:rsidR="00D86A27" w:rsidRPr="00D86A27">
        <w:rPr>
          <w:rFonts w:hAnsi="標楷體" w:hint="eastAsia"/>
          <w:b/>
          <w:bCs/>
          <w:sz w:val="28"/>
          <w:szCs w:val="28"/>
        </w:rPr>
        <w:t>資訊</w:t>
      </w:r>
      <w:r w:rsidR="00F32B66">
        <w:rPr>
          <w:rFonts w:hAnsi="標楷體" w:hint="eastAsia"/>
          <w:b/>
          <w:bCs/>
          <w:sz w:val="28"/>
          <w:szCs w:val="28"/>
        </w:rPr>
        <w:t>揭露作</w:t>
      </w:r>
      <w:r w:rsidR="00F32B66">
        <w:rPr>
          <w:rFonts w:hAnsi="標楷體" w:hint="eastAsia"/>
          <w:b/>
          <w:bCs/>
          <w:sz w:val="28"/>
          <w:szCs w:val="28"/>
        </w:rPr>
        <w:lastRenderedPageBreak/>
        <w:t>業欠周，委外專案小組功能尚待強化等</w:t>
      </w:r>
      <w:r w:rsidR="00D86A27" w:rsidRPr="00D86A27">
        <w:rPr>
          <w:rFonts w:hAnsi="標楷體" w:hint="eastAsia"/>
          <w:b/>
          <w:bCs/>
          <w:sz w:val="28"/>
          <w:szCs w:val="28"/>
        </w:rPr>
        <w:t>，允宜</w:t>
      </w:r>
      <w:proofErr w:type="gramStart"/>
      <w:r w:rsidR="00D86A27" w:rsidRPr="00D86A27">
        <w:rPr>
          <w:rFonts w:hAnsi="標楷體" w:hint="eastAsia"/>
          <w:b/>
          <w:bCs/>
          <w:sz w:val="28"/>
          <w:szCs w:val="28"/>
        </w:rPr>
        <w:t>研</w:t>
      </w:r>
      <w:proofErr w:type="gramEnd"/>
      <w:r w:rsidR="00D86A27" w:rsidRPr="00D86A27">
        <w:rPr>
          <w:rFonts w:hAnsi="標楷體" w:hint="eastAsia"/>
          <w:b/>
          <w:bCs/>
          <w:sz w:val="28"/>
          <w:szCs w:val="28"/>
        </w:rPr>
        <w:t>謀改善，</w:t>
      </w:r>
      <w:proofErr w:type="gramStart"/>
      <w:r w:rsidR="00D86A27" w:rsidRPr="00D86A27">
        <w:rPr>
          <w:rFonts w:hAnsi="標楷體" w:hint="eastAsia"/>
          <w:b/>
          <w:bCs/>
          <w:sz w:val="28"/>
          <w:szCs w:val="28"/>
        </w:rPr>
        <w:t>俾</w:t>
      </w:r>
      <w:proofErr w:type="gramEnd"/>
      <w:r w:rsidR="00D86A27" w:rsidRPr="00D86A27">
        <w:rPr>
          <w:rFonts w:hAnsi="標楷體" w:hint="eastAsia"/>
          <w:b/>
          <w:bCs/>
          <w:sz w:val="28"/>
          <w:szCs w:val="28"/>
        </w:rPr>
        <w:t>利有效及合理運用員額管理配套機制提升人力資源運用效能，及增進政府資訊公開透明。</w:t>
      </w:r>
    </w:p>
    <w:p w14:paraId="198C5E23" w14:textId="2887AB79" w:rsidR="00D86A27" w:rsidRPr="001E52E3" w:rsidRDefault="00D86A27" w:rsidP="00B33231">
      <w:pPr>
        <w:pStyle w:val="affb"/>
        <w:overflowPunct w:val="0"/>
        <w:spacing w:line="400" w:lineRule="exact"/>
        <w:ind w:left="0" w:firstLineChars="200" w:firstLine="480"/>
        <w:jc w:val="both"/>
        <w:rPr>
          <w:rFonts w:hAnsi="標楷體"/>
          <w:b/>
          <w:bCs/>
          <w:sz w:val="28"/>
          <w:szCs w:val="28"/>
        </w:rPr>
      </w:pPr>
      <w:r w:rsidRPr="001E52E3">
        <w:rPr>
          <w:rFonts w:hAnsi="標楷體" w:hint="eastAsia"/>
          <w:color w:val="000000" w:themeColor="text1"/>
          <w:sz w:val="24"/>
          <w:szCs w:val="28"/>
        </w:rPr>
        <w:t>行政院人事行政</w:t>
      </w:r>
      <w:proofErr w:type="gramStart"/>
      <w:r w:rsidRPr="001E52E3">
        <w:rPr>
          <w:rFonts w:hAnsi="標楷體" w:hint="eastAsia"/>
          <w:color w:val="000000" w:themeColor="text1"/>
          <w:sz w:val="24"/>
          <w:szCs w:val="28"/>
        </w:rPr>
        <w:t>總處掌理</w:t>
      </w:r>
      <w:proofErr w:type="gramEnd"/>
      <w:r w:rsidRPr="001E52E3">
        <w:rPr>
          <w:rFonts w:hAnsi="標楷體" w:hint="eastAsia"/>
          <w:color w:val="000000" w:themeColor="text1"/>
          <w:sz w:val="24"/>
          <w:szCs w:val="28"/>
        </w:rPr>
        <w:t>中央政府員額管理之規劃、調整、監督、員額評鑑等事項，為提升員額運用效益及合理</w:t>
      </w:r>
      <w:proofErr w:type="gramStart"/>
      <w:r w:rsidRPr="001E52E3">
        <w:rPr>
          <w:rFonts w:hAnsi="標楷體" w:hint="eastAsia"/>
          <w:color w:val="000000" w:themeColor="text1"/>
          <w:sz w:val="24"/>
          <w:szCs w:val="28"/>
        </w:rPr>
        <w:t>管控總員額</w:t>
      </w:r>
      <w:proofErr w:type="gramEnd"/>
      <w:r w:rsidRPr="001E52E3">
        <w:rPr>
          <w:rFonts w:hAnsi="標楷體" w:hint="eastAsia"/>
          <w:color w:val="000000" w:themeColor="text1"/>
          <w:sz w:val="24"/>
          <w:szCs w:val="28"/>
        </w:rPr>
        <w:t>規模，持續督導各機關辦理員額評鑑、推動業務委外及依業務性質合理運用多元人力等配套機制。經查員額管理相關配套機制推動情形，核有下列事項，經函請行政院</w:t>
      </w:r>
      <w:proofErr w:type="gramStart"/>
      <w:r w:rsidRPr="001E52E3">
        <w:rPr>
          <w:rFonts w:hAnsi="標楷體" w:hint="eastAsia"/>
          <w:color w:val="000000" w:themeColor="text1"/>
          <w:sz w:val="24"/>
          <w:szCs w:val="28"/>
        </w:rPr>
        <w:t>研謀並</w:t>
      </w:r>
      <w:proofErr w:type="gramEnd"/>
      <w:r w:rsidRPr="001E52E3">
        <w:rPr>
          <w:rFonts w:hAnsi="標楷體" w:hint="eastAsia"/>
          <w:color w:val="000000" w:themeColor="text1"/>
          <w:sz w:val="24"/>
          <w:szCs w:val="28"/>
        </w:rPr>
        <w:t>督促改善。據復：已於114年6月20日交由行政院人事行政總處會商有關機關</w:t>
      </w:r>
      <w:proofErr w:type="gramStart"/>
      <w:r w:rsidRPr="001E52E3">
        <w:rPr>
          <w:rFonts w:hAnsi="標楷體" w:hint="eastAsia"/>
          <w:color w:val="000000" w:themeColor="text1"/>
          <w:sz w:val="24"/>
          <w:szCs w:val="28"/>
        </w:rPr>
        <w:t>研</w:t>
      </w:r>
      <w:proofErr w:type="gramEnd"/>
      <w:r w:rsidRPr="001E52E3">
        <w:rPr>
          <w:rFonts w:hAnsi="標楷體" w:hint="eastAsia"/>
          <w:color w:val="000000" w:themeColor="text1"/>
          <w:sz w:val="24"/>
          <w:szCs w:val="28"/>
        </w:rPr>
        <w:t>處。</w:t>
      </w:r>
    </w:p>
    <w:p w14:paraId="39041CC3" w14:textId="77CA0E0E" w:rsidR="00D86A27" w:rsidRPr="001E52E3" w:rsidRDefault="0025346B" w:rsidP="001F4E34">
      <w:pPr>
        <w:pStyle w:val="affb"/>
        <w:spacing w:line="408" w:lineRule="exact"/>
        <w:ind w:left="0" w:firstLineChars="450" w:firstLine="1080"/>
        <w:jc w:val="both"/>
        <w:rPr>
          <w:rFonts w:hAnsi="標楷體"/>
          <w:b/>
          <w:kern w:val="2"/>
          <w:sz w:val="24"/>
          <w:szCs w:val="24"/>
        </w:rPr>
      </w:pPr>
      <w:r w:rsidRPr="001E52E3">
        <w:rPr>
          <w:rFonts w:hAnsi="標楷體" w:hint="eastAsia"/>
          <w:bCs/>
          <w:noProof/>
          <w:kern w:val="2"/>
          <w:sz w:val="24"/>
          <w:szCs w:val="24"/>
          <w:lang w:val="zh-TW"/>
        </w:rPr>
        <mc:AlternateContent>
          <mc:Choice Requires="wpg">
            <w:drawing>
              <wp:anchor distT="0" distB="0" distL="114300" distR="114300" simplePos="0" relativeHeight="251634688" behindDoc="0" locked="0" layoutInCell="1" allowOverlap="1" wp14:anchorId="5B962EE1" wp14:editId="14BB2034">
                <wp:simplePos x="0" y="0"/>
                <wp:positionH relativeFrom="margin">
                  <wp:posOffset>2244725</wp:posOffset>
                </wp:positionH>
                <wp:positionV relativeFrom="margin">
                  <wp:posOffset>1965325</wp:posOffset>
                </wp:positionV>
                <wp:extent cx="4055745" cy="6903720"/>
                <wp:effectExtent l="0" t="0" r="1905" b="11430"/>
                <wp:wrapSquare wrapText="bothSides"/>
                <wp:docPr id="36" name="群組 36"/>
                <wp:cNvGraphicFramePr/>
                <a:graphic xmlns:a="http://schemas.openxmlformats.org/drawingml/2006/main">
                  <a:graphicData uri="http://schemas.microsoft.com/office/word/2010/wordprocessingGroup">
                    <wpg:wgp>
                      <wpg:cNvGrpSpPr/>
                      <wpg:grpSpPr>
                        <a:xfrm>
                          <a:off x="0" y="0"/>
                          <a:ext cx="4055745" cy="6903720"/>
                          <a:chOff x="0" y="0"/>
                          <a:chExt cx="4055745" cy="7015843"/>
                        </a:xfrm>
                      </wpg:grpSpPr>
                      <pic:pic xmlns:pic="http://schemas.openxmlformats.org/drawingml/2006/picture">
                        <pic:nvPicPr>
                          <pic:cNvPr id="37" name="table"/>
                          <pic:cNvPicPr>
                            <a:picLocks noChangeAspect="1"/>
                          </pic:cNvPicPr>
                        </pic:nvPicPr>
                        <pic:blipFill>
                          <a:blip r:embed="rId34">
                            <a:extLst>
                              <a:ext uri="{BEBA8EAE-BF5A-486C-A8C5-ECC9F3942E4B}">
                                <a14:imgProps xmlns:a14="http://schemas.microsoft.com/office/drawing/2010/main">
                                  <a14:imgLayer r:embed="rId35">
                                    <a14:imgEffect>
                                      <a14:saturation sat="0"/>
                                    </a14:imgEffect>
                                  </a14:imgLayer>
                                </a14:imgProps>
                              </a:ext>
                            </a:extLst>
                          </a:blip>
                          <a:stretch>
                            <a:fillRect/>
                          </a:stretch>
                        </pic:blipFill>
                        <pic:spPr>
                          <a:xfrm>
                            <a:off x="0" y="294640"/>
                            <a:ext cx="4055745" cy="6395085"/>
                          </a:xfrm>
                          <a:prstGeom prst="rect">
                            <a:avLst/>
                          </a:prstGeom>
                        </pic:spPr>
                      </pic:pic>
                      <wpg:grpSp>
                        <wpg:cNvPr id="41" name="群組 63"/>
                        <wpg:cNvGrpSpPr/>
                        <wpg:grpSpPr>
                          <a:xfrm>
                            <a:off x="154940" y="1158240"/>
                            <a:ext cx="3210560" cy="5056505"/>
                            <a:chOff x="483364" y="869930"/>
                            <a:chExt cx="3212697" cy="5057251"/>
                          </a:xfrm>
                        </wpg:grpSpPr>
                        <wps:wsp>
                          <wps:cNvPr id="42" name="接點: 肘形 42"/>
                          <wps:cNvCnPr>
                            <a:cxnSpLocks/>
                          </wps:cNvCnPr>
                          <wps:spPr>
                            <a:xfrm rot="5400000">
                              <a:off x="2949667" y="1050038"/>
                              <a:ext cx="473014" cy="976750"/>
                            </a:xfrm>
                            <a:prstGeom prst="bentConnector2">
                              <a:avLst/>
                            </a:prstGeom>
                            <a:noFill/>
                            <a:ln w="12700" cap="flat" cmpd="sng" algn="ctr">
                              <a:solidFill>
                                <a:sysClr val="windowText" lastClr="000000">
                                  <a:lumMod val="85000"/>
                                  <a:lumOff val="15000"/>
                                </a:sysClr>
                              </a:solidFill>
                              <a:prstDash val="solid"/>
                            </a:ln>
                            <a:effectLst/>
                          </wps:spPr>
                          <wps:bodyPr/>
                        </wps:wsp>
                        <wps:wsp>
                          <wps:cNvPr id="43" name="接點: 肘形 43"/>
                          <wps:cNvCnPr/>
                          <wps:spPr>
                            <a:xfrm rot="5400000">
                              <a:off x="1667979" y="1792541"/>
                              <a:ext cx="378452" cy="970366"/>
                            </a:xfrm>
                            <a:prstGeom prst="bentConnector2">
                              <a:avLst/>
                            </a:prstGeom>
                            <a:noFill/>
                            <a:ln w="12700" cap="flat" cmpd="sng" algn="ctr">
                              <a:solidFill>
                                <a:sysClr val="windowText" lastClr="000000">
                                  <a:lumMod val="85000"/>
                                  <a:lumOff val="15000"/>
                                </a:sysClr>
                              </a:solidFill>
                              <a:prstDash val="solid"/>
                            </a:ln>
                            <a:effectLst/>
                          </wps:spPr>
                          <wps:bodyPr/>
                        </wps:wsp>
                        <wps:wsp>
                          <wps:cNvPr id="44" name="接點: 肘形 44"/>
                          <wps:cNvCnPr>
                            <a:cxnSpLocks/>
                          </wps:cNvCnPr>
                          <wps:spPr>
                            <a:xfrm rot="16200000" flipH="1">
                              <a:off x="289318" y="3249820"/>
                              <a:ext cx="2772409" cy="1332887"/>
                            </a:xfrm>
                            <a:prstGeom prst="bentConnector3">
                              <a:avLst>
                                <a:gd name="adj1" fmla="val 18336"/>
                              </a:avLst>
                            </a:prstGeom>
                            <a:noFill/>
                            <a:ln w="12700" cap="flat" cmpd="sng" algn="ctr">
                              <a:solidFill>
                                <a:sysClr val="windowText" lastClr="000000">
                                  <a:lumMod val="85000"/>
                                  <a:lumOff val="15000"/>
                                </a:sysClr>
                              </a:solidFill>
                              <a:prstDash val="solid"/>
                            </a:ln>
                            <a:effectLst/>
                          </wps:spPr>
                          <wps:bodyPr/>
                        </wps:wsp>
                        <wps:wsp>
                          <wps:cNvPr id="45" name="接點: 肘形 45"/>
                          <wps:cNvCnPr/>
                          <wps:spPr>
                            <a:xfrm rot="10800000" flipH="1" flipV="1">
                              <a:off x="483364" y="2440139"/>
                              <a:ext cx="1559514" cy="2052301"/>
                            </a:xfrm>
                            <a:prstGeom prst="bentConnector3">
                              <a:avLst>
                                <a:gd name="adj1" fmla="val -6514"/>
                              </a:avLst>
                            </a:prstGeom>
                            <a:noFill/>
                            <a:ln w="12700" cap="flat" cmpd="sng" algn="ctr">
                              <a:solidFill>
                                <a:sysClr val="windowText" lastClr="000000">
                                  <a:lumMod val="85000"/>
                                  <a:lumOff val="15000"/>
                                </a:sysClr>
                              </a:solidFill>
                              <a:prstDash val="solid"/>
                            </a:ln>
                            <a:effectLst/>
                          </wps:spPr>
                          <wps:bodyPr/>
                        </wps:wsp>
                        <wps:wsp>
                          <wps:cNvPr id="46" name="接點: 肘形 46"/>
                          <wps:cNvCnPr/>
                          <wps:spPr>
                            <a:xfrm>
                              <a:off x="2903599" y="5240862"/>
                              <a:ext cx="792462" cy="365259"/>
                            </a:xfrm>
                            <a:prstGeom prst="bentConnector2">
                              <a:avLst/>
                            </a:prstGeom>
                            <a:noFill/>
                            <a:ln w="12700" cap="flat" cmpd="sng" algn="ctr">
                              <a:solidFill>
                                <a:sysClr val="windowText" lastClr="000000">
                                  <a:lumMod val="85000"/>
                                  <a:lumOff val="15000"/>
                                </a:sysClr>
                              </a:solidFill>
                              <a:prstDash val="solid"/>
                            </a:ln>
                            <a:effectLst/>
                          </wps:spPr>
                          <wps:bodyPr/>
                        </wps:wsp>
                        <wps:wsp>
                          <wps:cNvPr id="47" name="直線接點 47"/>
                          <wps:cNvCnPr>
                            <a:cxnSpLocks/>
                          </wps:cNvCnPr>
                          <wps:spPr>
                            <a:xfrm flipH="1">
                              <a:off x="2745740" y="5927181"/>
                              <a:ext cx="573398" cy="0"/>
                            </a:xfrm>
                            <a:prstGeom prst="line">
                              <a:avLst/>
                            </a:prstGeom>
                            <a:noFill/>
                            <a:ln w="12700" cap="flat" cmpd="sng" algn="ctr">
                              <a:solidFill>
                                <a:sysClr val="windowText" lastClr="000000">
                                  <a:lumMod val="85000"/>
                                  <a:lumOff val="15000"/>
                                </a:sysClr>
                              </a:solidFill>
                              <a:prstDash val="solid"/>
                            </a:ln>
                            <a:effectLst/>
                          </wps:spPr>
                          <wps:bodyPr/>
                        </wps:wsp>
                        <wps:wsp>
                          <wps:cNvPr id="48" name="接點: 肘形 48"/>
                          <wps:cNvCnPr>
                            <a:cxnSpLocks/>
                          </wps:cNvCnPr>
                          <wps:spPr>
                            <a:xfrm rot="16200000" flipH="1">
                              <a:off x="2668621" y="543697"/>
                              <a:ext cx="324284" cy="976750"/>
                            </a:xfrm>
                            <a:prstGeom prst="bentConnector2">
                              <a:avLst/>
                            </a:prstGeom>
                            <a:noFill/>
                            <a:ln w="12700" cap="flat" cmpd="sng" algn="ctr">
                              <a:solidFill>
                                <a:sysClr val="windowText" lastClr="000000">
                                  <a:lumMod val="85000"/>
                                  <a:lumOff val="15000"/>
                                </a:sysClr>
                              </a:solidFill>
                              <a:prstDash val="solid"/>
                            </a:ln>
                            <a:effectLst/>
                          </wps:spPr>
                          <wps:bodyPr/>
                        </wps:wsp>
                      </wpg:grpSp>
                      <wpg:grpSp>
                        <wpg:cNvPr id="49" name="群組 20"/>
                        <wpg:cNvGrpSpPr/>
                        <wpg:grpSpPr>
                          <a:xfrm>
                            <a:off x="101600" y="645160"/>
                            <a:ext cx="3832225" cy="5975985"/>
                            <a:chOff x="427478" y="386737"/>
                            <a:chExt cx="3833813" cy="6123910"/>
                          </a:xfrm>
                        </wpg:grpSpPr>
                        <wps:wsp>
                          <wps:cNvPr id="51" name="矩形: 圓角 51"/>
                          <wps:cNvSpPr/>
                          <wps:spPr>
                            <a:xfrm>
                              <a:off x="1763400" y="386737"/>
                              <a:ext cx="1157976" cy="533400"/>
                            </a:xfrm>
                            <a:prstGeom prst="roundRect">
                              <a:avLst/>
                            </a:prstGeom>
                            <a:solidFill>
                              <a:sysClr val="window" lastClr="FFFFFF"/>
                            </a:solidFill>
                            <a:ln w="6350" cap="flat" cmpd="sng" algn="ctr">
                              <a:solidFill>
                                <a:srgbClr val="4F81BD">
                                  <a:shade val="50000"/>
                                </a:srgbClr>
                              </a:solidFill>
                              <a:prstDash val="solid"/>
                            </a:ln>
                            <a:effectLst/>
                          </wps:spPr>
                          <wps:txbx>
                            <w:txbxContent>
                              <w:p w14:paraId="3EE5F654" w14:textId="77777777" w:rsidR="00DF458C" w:rsidRDefault="00DF458C" w:rsidP="00DF458C">
                                <w:pPr>
                                  <w:spacing w:line="220" w:lineRule="exact"/>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1.組成評鑑小組</w:t>
                                </w:r>
                                <w:r>
                                  <w:rPr>
                                    <w:rFonts w:ascii="標楷體" w:eastAsia="標楷體" w:hAnsi="標楷體" w:cstheme="minorBidi" w:hint="eastAsia"/>
                                    <w:color w:val="000000" w:themeColor="text1"/>
                                    <w:kern w:val="24"/>
                                    <w:sz w:val="16"/>
                                    <w:szCs w:val="16"/>
                                  </w:rPr>
                                  <w:t>(專家學者不少於1/3)</w:t>
                                </w:r>
                              </w:p>
                              <w:p w14:paraId="1727C7D7"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2.擬定評鑑計畫</w:t>
                                </w:r>
                                <w:r>
                                  <w:rPr>
                                    <w:rFonts w:ascii="標楷體" w:eastAsia="標楷體" w:hAnsi="標楷體" w:cstheme="minorBidi" w:hint="eastAsia"/>
                                    <w:color w:val="FFFFFF" w:themeColor="light1"/>
                                    <w:kern w:val="24"/>
                                    <w:sz w:val="20"/>
                                  </w:rPr>
                                  <w:t>.</w:t>
                                </w:r>
                              </w:p>
                            </w:txbxContent>
                          </wps:txbx>
                          <wps:bodyPr lIns="36000" tIns="0" rIns="36000" bIns="0" rtlCol="0" anchor="ctr"/>
                        </wps:wsp>
                        <wps:wsp>
                          <wps:cNvPr id="52" name="矩形: 圓角 52"/>
                          <wps:cNvSpPr/>
                          <wps:spPr>
                            <a:xfrm>
                              <a:off x="1763400" y="983637"/>
                              <a:ext cx="1157976" cy="421153"/>
                            </a:xfrm>
                            <a:prstGeom prst="roundRect">
                              <a:avLst/>
                            </a:prstGeom>
                            <a:solidFill>
                              <a:sysClr val="window" lastClr="FFFFFF"/>
                            </a:solidFill>
                            <a:ln w="6350" cap="flat" cmpd="sng" algn="ctr">
                              <a:solidFill>
                                <a:srgbClr val="4F81BD">
                                  <a:shade val="50000"/>
                                </a:srgbClr>
                              </a:solidFill>
                              <a:prstDash val="solid"/>
                            </a:ln>
                            <a:effectLst/>
                          </wps:spPr>
                          <wps:txbx>
                            <w:txbxContent>
                              <w:p w14:paraId="6C2A35FB"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函送評鑑計畫予受評機關</w:t>
                                </w:r>
                                <w:r>
                                  <w:rPr>
                                    <w:rFonts w:ascii="標楷體" w:eastAsia="標楷體" w:hAnsi="標楷體" w:cstheme="minorBidi" w:hint="eastAsia"/>
                                    <w:color w:val="FFFFFF" w:themeColor="light1"/>
                                    <w:kern w:val="24"/>
                                    <w:sz w:val="20"/>
                                  </w:rPr>
                                  <w:t>.</w:t>
                                </w:r>
                              </w:p>
                            </w:txbxContent>
                          </wps:txbx>
                          <wps:bodyPr lIns="36000" tIns="36000" rIns="36000" bIns="36000" rtlCol="0" anchor="ctr"/>
                        </wps:wsp>
                        <wps:wsp>
                          <wps:cNvPr id="53" name="矩形: 圓角 53"/>
                          <wps:cNvSpPr/>
                          <wps:spPr>
                            <a:xfrm>
                              <a:off x="3097115" y="983637"/>
                              <a:ext cx="1157976" cy="421153"/>
                            </a:xfrm>
                            <a:prstGeom prst="roundRect">
                              <a:avLst/>
                            </a:prstGeom>
                            <a:solidFill>
                              <a:sysClr val="window" lastClr="FFFFFF"/>
                            </a:solidFill>
                            <a:ln w="6350" cap="flat" cmpd="sng" algn="ctr">
                              <a:solidFill>
                                <a:srgbClr val="4F81BD">
                                  <a:shade val="50000"/>
                                </a:srgbClr>
                              </a:solidFill>
                              <a:prstDash val="solid"/>
                            </a:ln>
                            <a:effectLst/>
                          </wps:spPr>
                          <wps:txbx>
                            <w:txbxContent>
                              <w:p w14:paraId="2A65C4D6"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依評鑑計畫</w:t>
                                </w:r>
                                <w:proofErr w:type="gramStart"/>
                                <w:r>
                                  <w:rPr>
                                    <w:rFonts w:ascii="標楷體" w:eastAsia="標楷體" w:hAnsi="標楷體" w:cstheme="minorBidi" w:hint="eastAsia"/>
                                    <w:color w:val="000000" w:themeColor="text1"/>
                                    <w:kern w:val="24"/>
                                    <w:sz w:val="20"/>
                                  </w:rPr>
                                  <w:t>研</w:t>
                                </w:r>
                                <w:proofErr w:type="gramEnd"/>
                                <w:r>
                                  <w:rPr>
                                    <w:rFonts w:ascii="標楷體" w:eastAsia="標楷體" w:hAnsi="標楷體" w:cstheme="minorBidi" w:hint="eastAsia"/>
                                    <w:color w:val="000000" w:themeColor="text1"/>
                                    <w:kern w:val="24"/>
                                    <w:sz w:val="20"/>
                                  </w:rPr>
                                  <w:t>提書面資料</w:t>
                                </w:r>
                                <w:r>
                                  <w:rPr>
                                    <w:rFonts w:ascii="標楷體" w:eastAsia="標楷體" w:hAnsi="標楷體" w:cstheme="minorBidi" w:hint="eastAsia"/>
                                    <w:color w:val="FFFFFF" w:themeColor="light1"/>
                                    <w:kern w:val="24"/>
                                    <w:sz w:val="20"/>
                                  </w:rPr>
                                  <w:t>.</w:t>
                                </w:r>
                              </w:p>
                            </w:txbxContent>
                          </wps:txbx>
                          <wps:bodyPr lIns="36000" tIns="36000" rIns="36000" bIns="36000" rtlCol="0" anchor="ctr"/>
                        </wps:wsp>
                        <wps:wsp>
                          <wps:cNvPr id="57" name="矩形: 圓角 57"/>
                          <wps:cNvSpPr/>
                          <wps:spPr>
                            <a:xfrm>
                              <a:off x="3097115" y="1647649"/>
                              <a:ext cx="1157976" cy="396240"/>
                            </a:xfrm>
                            <a:prstGeom prst="roundRect">
                              <a:avLst/>
                            </a:prstGeom>
                            <a:solidFill>
                              <a:sysClr val="window" lastClr="FFFFFF"/>
                            </a:solidFill>
                            <a:ln w="6350" cap="flat" cmpd="sng" algn="ctr">
                              <a:solidFill>
                                <a:srgbClr val="4F81BD">
                                  <a:shade val="50000"/>
                                </a:srgbClr>
                              </a:solidFill>
                              <a:prstDash val="solid"/>
                            </a:ln>
                            <a:effectLst/>
                          </wps:spPr>
                          <wps:txbx>
                            <w:txbxContent>
                              <w:p w14:paraId="1D3D19E4"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函送書面資料予評鑑機關</w:t>
                                </w:r>
                                <w:r>
                                  <w:rPr>
                                    <w:rFonts w:ascii="標楷體" w:eastAsia="標楷體" w:hAnsi="標楷體" w:cstheme="minorBidi" w:hint="eastAsia"/>
                                    <w:color w:val="FFFFFF" w:themeColor="light1"/>
                                    <w:kern w:val="24"/>
                                    <w:sz w:val="20"/>
                                  </w:rPr>
                                  <w:t>.</w:t>
                                </w:r>
                              </w:p>
                            </w:txbxContent>
                          </wps:txbx>
                          <wps:bodyPr lIns="36000" tIns="36000" rIns="36000" bIns="36000" rtlCol="0" anchor="ctr"/>
                        </wps:wsp>
                        <wps:wsp>
                          <wps:cNvPr id="61" name="矩形: 圓角 61"/>
                          <wps:cNvSpPr/>
                          <wps:spPr>
                            <a:xfrm>
                              <a:off x="1763400" y="2250676"/>
                              <a:ext cx="1157976" cy="574452"/>
                            </a:xfrm>
                            <a:prstGeom prst="roundRect">
                              <a:avLst/>
                            </a:prstGeom>
                            <a:solidFill>
                              <a:sysClr val="window" lastClr="FFFFFF"/>
                            </a:solidFill>
                            <a:ln w="6350" cap="flat" cmpd="sng" algn="ctr">
                              <a:solidFill>
                                <a:srgbClr val="4F81BD">
                                  <a:shade val="50000"/>
                                </a:srgbClr>
                              </a:solidFill>
                              <a:prstDash val="solid"/>
                            </a:ln>
                            <a:effectLst/>
                          </wps:spPr>
                          <wps:txbx>
                            <w:txbxContent>
                              <w:p w14:paraId="4C16F2A1" w14:textId="77777777" w:rsidR="00DF458C" w:rsidRPr="00B461AC" w:rsidRDefault="00DF458C" w:rsidP="00DF458C">
                                <w:pPr>
                                  <w:spacing w:line="220" w:lineRule="exact"/>
                                  <w:jc w:val="both"/>
                                  <w:rPr>
                                    <w:rFonts w:ascii="標楷體" w:eastAsia="標楷體" w:hAnsi="標楷體" w:cstheme="minorBidi"/>
                                    <w:color w:val="000000" w:themeColor="text1"/>
                                    <w:kern w:val="24"/>
                                    <w:sz w:val="20"/>
                                  </w:rPr>
                                </w:pPr>
                                <w:r w:rsidRPr="00B461AC">
                                  <w:rPr>
                                    <w:rFonts w:ascii="標楷體" w:eastAsia="標楷體" w:hAnsi="標楷體" w:cstheme="minorBidi" w:hint="eastAsia"/>
                                    <w:color w:val="000000" w:themeColor="text1"/>
                                    <w:kern w:val="24"/>
                                    <w:sz w:val="20"/>
                                  </w:rPr>
                                  <w:t>函送評鑑計畫、受評機關書面資料予評鑑小組成員</w:t>
                                </w:r>
                                <w:r w:rsidRPr="00B461AC">
                                  <w:rPr>
                                    <w:rFonts w:ascii="標楷體" w:eastAsia="標楷體" w:hAnsi="標楷體" w:cstheme="minorBidi" w:hint="eastAsia"/>
                                    <w:color w:val="FFFFFF" w:themeColor="light1"/>
                                    <w:kern w:val="24"/>
                                    <w:sz w:val="20"/>
                                  </w:rPr>
                                  <w:t>.</w:t>
                                </w:r>
                              </w:p>
                            </w:txbxContent>
                          </wps:txbx>
                          <wps:bodyPr lIns="36000" tIns="36000" rIns="36000" bIns="36000" rtlCol="0" anchor="ctr"/>
                        </wps:wsp>
                        <wps:wsp>
                          <wps:cNvPr id="2008327043" name="矩形: 圓角 2008327043"/>
                          <wps:cNvSpPr/>
                          <wps:spPr>
                            <a:xfrm>
                              <a:off x="1763400" y="1468963"/>
                              <a:ext cx="1157976" cy="718613"/>
                            </a:xfrm>
                            <a:prstGeom prst="roundRect">
                              <a:avLst/>
                            </a:prstGeom>
                            <a:solidFill>
                              <a:sysClr val="window" lastClr="FFFFFF"/>
                            </a:solidFill>
                            <a:ln w="6350" cap="flat" cmpd="sng" algn="ctr">
                              <a:solidFill>
                                <a:srgbClr val="4F81BD">
                                  <a:shade val="50000"/>
                                </a:srgbClr>
                              </a:solidFill>
                              <a:prstDash val="solid"/>
                            </a:ln>
                            <a:effectLst/>
                          </wps:spPr>
                          <wps:txbx>
                            <w:txbxContent>
                              <w:p w14:paraId="2766EA2C" w14:textId="77777777" w:rsidR="00DF458C" w:rsidRPr="007D5E9F" w:rsidRDefault="00DF458C" w:rsidP="00DF458C">
                                <w:pPr>
                                  <w:spacing w:line="220" w:lineRule="exact"/>
                                  <w:jc w:val="both"/>
                                  <w:rPr>
                                    <w:rFonts w:ascii="標楷體" w:eastAsia="標楷體" w:hAnsi="標楷體" w:cstheme="minorBidi"/>
                                    <w:color w:val="000000" w:themeColor="text1"/>
                                    <w:kern w:val="24"/>
                                    <w:sz w:val="20"/>
                                  </w:rPr>
                                </w:pPr>
                                <w:r w:rsidRPr="007D5E9F">
                                  <w:rPr>
                                    <w:rFonts w:ascii="標楷體" w:eastAsia="標楷體" w:hAnsi="標楷體" w:cstheme="minorBidi" w:hint="eastAsia"/>
                                    <w:color w:val="000000" w:themeColor="text1"/>
                                    <w:kern w:val="24"/>
                                    <w:sz w:val="20"/>
                                  </w:rPr>
                                  <w:t>檢視受評機關</w:t>
                                </w:r>
                                <w:proofErr w:type="gramStart"/>
                                <w:r w:rsidRPr="007D5E9F">
                                  <w:rPr>
                                    <w:rFonts w:ascii="標楷體" w:eastAsia="標楷體" w:hAnsi="標楷體" w:cstheme="minorBidi" w:hint="eastAsia"/>
                                    <w:color w:val="000000" w:themeColor="text1"/>
                                    <w:kern w:val="24"/>
                                    <w:sz w:val="20"/>
                                  </w:rPr>
                                  <w:t>研</w:t>
                                </w:r>
                                <w:proofErr w:type="gramEnd"/>
                                <w:r w:rsidRPr="007D5E9F">
                                  <w:rPr>
                                    <w:rFonts w:ascii="標楷體" w:eastAsia="標楷體" w:hAnsi="標楷體" w:cstheme="minorBidi" w:hint="eastAsia"/>
                                    <w:color w:val="000000" w:themeColor="text1"/>
                                    <w:kern w:val="24"/>
                                    <w:sz w:val="20"/>
                                  </w:rPr>
                                  <w:t>提書面資料完整性，如有缺漏，應請受評機關補正</w:t>
                                </w:r>
                              </w:p>
                            </w:txbxContent>
                          </wps:txbx>
                          <wps:bodyPr lIns="36000" tIns="36000" rIns="36000" bIns="36000" rtlCol="0" anchor="ctr"/>
                        </wps:wsp>
                        <wps:wsp>
                          <wps:cNvPr id="2008327049" name="矩形: 圓角 2008327049"/>
                          <wps:cNvSpPr/>
                          <wps:spPr>
                            <a:xfrm>
                              <a:off x="427478" y="2244328"/>
                              <a:ext cx="1157976" cy="574452"/>
                            </a:xfrm>
                            <a:prstGeom prst="roundRect">
                              <a:avLst/>
                            </a:prstGeom>
                            <a:solidFill>
                              <a:sysClr val="window" lastClr="FFFFFF"/>
                            </a:solidFill>
                            <a:ln w="6350" cap="flat" cmpd="sng" algn="ctr">
                              <a:solidFill>
                                <a:srgbClr val="4F81BD">
                                  <a:shade val="50000"/>
                                </a:srgbClr>
                              </a:solidFill>
                              <a:prstDash val="solid"/>
                            </a:ln>
                            <a:effectLst/>
                          </wps:spPr>
                          <wps:txbx>
                            <w:txbxContent>
                              <w:p w14:paraId="3232721A" w14:textId="77777777" w:rsidR="00DF458C" w:rsidRPr="00B461AC" w:rsidRDefault="00DF458C" w:rsidP="00DF458C">
                                <w:pPr>
                                  <w:spacing w:line="220" w:lineRule="exact"/>
                                  <w:jc w:val="both"/>
                                  <w:rPr>
                                    <w:rFonts w:ascii="標楷體" w:eastAsia="標楷體" w:hAnsi="標楷體" w:cstheme="minorBidi"/>
                                    <w:color w:val="000000" w:themeColor="text1"/>
                                    <w:kern w:val="24"/>
                                    <w:sz w:val="20"/>
                                  </w:rPr>
                                </w:pPr>
                                <w:r w:rsidRPr="00B461AC">
                                  <w:rPr>
                                    <w:rFonts w:ascii="標楷體" w:eastAsia="標楷體" w:hAnsi="標楷體" w:cstheme="minorBidi" w:hint="eastAsia"/>
                                    <w:color w:val="000000" w:themeColor="text1"/>
                                    <w:kern w:val="24"/>
                                    <w:sz w:val="20"/>
                                  </w:rPr>
                                  <w:t>就受評機關書面資料進行書面審查，並提出審查意見</w:t>
                                </w:r>
                              </w:p>
                            </w:txbxContent>
                          </wps:txbx>
                          <wps:bodyPr lIns="36000" tIns="36000" rIns="36000" bIns="36000" rtlCol="0" anchor="ctr"/>
                        </wps:wsp>
                        <wps:wsp>
                          <wps:cNvPr id="2008327075" name="矩形: 圓角 2008327075"/>
                          <wps:cNvSpPr/>
                          <wps:spPr>
                            <a:xfrm>
                              <a:off x="427478" y="2868042"/>
                              <a:ext cx="2504058" cy="761903"/>
                            </a:xfrm>
                            <a:prstGeom prst="roundRect">
                              <a:avLst/>
                            </a:prstGeom>
                            <a:solidFill>
                              <a:sysClr val="window" lastClr="FFFFFF"/>
                            </a:solidFill>
                            <a:ln w="6350" cap="flat" cmpd="sng" algn="ctr">
                              <a:solidFill>
                                <a:srgbClr val="4F81BD">
                                  <a:shade val="50000"/>
                                </a:srgbClr>
                              </a:solidFill>
                              <a:prstDash val="solid"/>
                            </a:ln>
                            <a:effectLst/>
                          </wps:spPr>
                          <wps:txbx>
                            <w:txbxContent>
                              <w:p w14:paraId="54501A4C" w14:textId="77777777" w:rsidR="00DF458C" w:rsidRPr="00356E96" w:rsidRDefault="00DF458C" w:rsidP="0025346B">
                                <w:pPr>
                                  <w:spacing w:line="180" w:lineRule="exact"/>
                                  <w:jc w:val="both"/>
                                  <w:rPr>
                                    <w:rFonts w:ascii="標楷體" w:eastAsia="標楷體" w:hAnsi="標楷體" w:cstheme="minorBidi"/>
                                    <w:color w:val="000000" w:themeColor="text1"/>
                                    <w:spacing w:val="-4"/>
                                    <w:kern w:val="24"/>
                                    <w:sz w:val="20"/>
                                  </w:rPr>
                                </w:pPr>
                                <w:r w:rsidRPr="00356E96">
                                  <w:rPr>
                                    <w:rFonts w:ascii="標楷體" w:eastAsia="標楷體" w:hAnsi="標楷體" w:cstheme="minorBidi" w:hint="eastAsia"/>
                                    <w:color w:val="000000" w:themeColor="text1"/>
                                    <w:spacing w:val="-4"/>
                                    <w:kern w:val="24"/>
                                    <w:sz w:val="20"/>
                                  </w:rPr>
                                  <w:t>評鑑機關得邀集評鑑小組成員召開評鑑小組會議，說明受評機關業務屬性、評鑑目的、作業程序等，另如評估須辦理實地訪視時，應確認訪視時程、訪視重點業務項目、訪視對象等</w:t>
                                </w:r>
                              </w:p>
                            </w:txbxContent>
                          </wps:txbx>
                          <wps:bodyPr lIns="36000" tIns="36000" rIns="36000" bIns="36000" rtlCol="0" anchor="ctr"/>
                        </wps:wsp>
                        <wps:wsp>
                          <wps:cNvPr id="2008327076" name="矩形: 圓角 2008327076"/>
                          <wps:cNvSpPr/>
                          <wps:spPr>
                            <a:xfrm>
                              <a:off x="1761012" y="3672529"/>
                              <a:ext cx="1157976" cy="421153"/>
                            </a:xfrm>
                            <a:prstGeom prst="roundRect">
                              <a:avLst/>
                            </a:prstGeom>
                            <a:solidFill>
                              <a:sysClr val="window" lastClr="FFFFFF"/>
                            </a:solidFill>
                            <a:ln w="6350" cap="flat" cmpd="sng" algn="ctr">
                              <a:solidFill>
                                <a:srgbClr val="4F81BD">
                                  <a:shade val="50000"/>
                                </a:srgbClr>
                              </a:solidFill>
                              <a:prstDash val="solid"/>
                            </a:ln>
                            <a:effectLst/>
                          </wps:spPr>
                          <wps:txbx>
                            <w:txbxContent>
                              <w:p w14:paraId="200DC10F"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擬定訪視計畫，並</w:t>
                                </w:r>
                                <w:proofErr w:type="gramStart"/>
                                <w:r>
                                  <w:rPr>
                                    <w:rFonts w:ascii="標楷體" w:eastAsia="標楷體" w:hAnsi="標楷體" w:cstheme="minorBidi" w:hint="eastAsia"/>
                                    <w:color w:val="000000" w:themeColor="text1"/>
                                    <w:kern w:val="24"/>
                                    <w:sz w:val="20"/>
                                  </w:rPr>
                                  <w:t>函送受評</w:t>
                                </w:r>
                                <w:proofErr w:type="gramEnd"/>
                                <w:r>
                                  <w:rPr>
                                    <w:rFonts w:ascii="標楷體" w:eastAsia="標楷體" w:hAnsi="標楷體" w:cstheme="minorBidi" w:hint="eastAsia"/>
                                    <w:color w:val="000000" w:themeColor="text1"/>
                                    <w:kern w:val="24"/>
                                    <w:sz w:val="20"/>
                                  </w:rPr>
                                  <w:t>機關</w:t>
                                </w:r>
                                <w:r>
                                  <w:rPr>
                                    <w:rFonts w:ascii="標楷體" w:eastAsia="標楷體" w:hAnsi="標楷體" w:cstheme="minorBidi" w:hint="eastAsia"/>
                                    <w:color w:val="FFFFFF" w:themeColor="light1"/>
                                    <w:kern w:val="24"/>
                                    <w:sz w:val="20"/>
                                  </w:rPr>
                                  <w:t>.</w:t>
                                </w:r>
                              </w:p>
                            </w:txbxContent>
                          </wps:txbx>
                          <wps:bodyPr lIns="36000" tIns="36000" rIns="36000" bIns="36000" rtlCol="0" anchor="ctr"/>
                        </wps:wsp>
                        <wps:wsp>
                          <wps:cNvPr id="2008327084" name="矩形: 圓角 2008327084"/>
                          <wps:cNvSpPr/>
                          <wps:spPr>
                            <a:xfrm>
                              <a:off x="427478" y="4166543"/>
                              <a:ext cx="3833813" cy="262311"/>
                            </a:xfrm>
                            <a:prstGeom prst="roundRect">
                              <a:avLst/>
                            </a:prstGeom>
                            <a:solidFill>
                              <a:sysClr val="window" lastClr="FFFFFF"/>
                            </a:solidFill>
                            <a:ln w="6350" cap="flat" cmpd="sng" algn="ctr">
                              <a:solidFill>
                                <a:srgbClr val="4F81BD">
                                  <a:shade val="50000"/>
                                </a:srgbClr>
                              </a:solidFill>
                              <a:prstDash val="solid"/>
                            </a:ln>
                            <a:effectLst/>
                          </wps:spPr>
                          <wps:txbx>
                            <w:txbxContent>
                              <w:p w14:paraId="4AB4220F" w14:textId="77777777" w:rsidR="00DF458C" w:rsidRDefault="00DF458C" w:rsidP="00DF458C">
                                <w:pPr>
                                  <w:spacing w:line="220" w:lineRule="exact"/>
                                  <w:jc w:val="cente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進行實地訪視</w:t>
                                </w:r>
                              </w:p>
                            </w:txbxContent>
                          </wps:txbx>
                          <wps:bodyPr lIns="36000" tIns="36000" rIns="36000" bIns="36000" rtlCol="0" anchor="ctr"/>
                        </wps:wsp>
                        <wps:wsp>
                          <wps:cNvPr id="2008327085" name="矩形: 圓角 2008327085"/>
                          <wps:cNvSpPr/>
                          <wps:spPr>
                            <a:xfrm>
                              <a:off x="1773560" y="4503546"/>
                              <a:ext cx="1157976" cy="262312"/>
                            </a:xfrm>
                            <a:prstGeom prst="roundRect">
                              <a:avLst/>
                            </a:prstGeom>
                            <a:solidFill>
                              <a:sysClr val="window" lastClr="FFFFFF"/>
                            </a:solidFill>
                            <a:ln w="6350" cap="flat" cmpd="sng" algn="ctr">
                              <a:solidFill>
                                <a:srgbClr val="4F81BD">
                                  <a:shade val="50000"/>
                                </a:srgbClr>
                              </a:solidFill>
                              <a:prstDash val="solid"/>
                            </a:ln>
                            <a:effectLst/>
                          </wps:spPr>
                          <wps:txbx>
                            <w:txbxContent>
                              <w:p w14:paraId="7B8B6978" w14:textId="77777777" w:rsidR="00DF458C" w:rsidRPr="008E0463" w:rsidRDefault="00DF458C" w:rsidP="008E0463">
                                <w:pPr>
                                  <w:spacing w:line="220" w:lineRule="exact"/>
                                  <w:ind w:rightChars="-20" w:right="-48"/>
                                  <w:jc w:val="distribute"/>
                                  <w:rPr>
                                    <w:rFonts w:ascii="標楷體" w:eastAsia="標楷體" w:hAnsi="標楷體" w:cstheme="minorBidi"/>
                                    <w:color w:val="000000" w:themeColor="text1"/>
                                    <w:spacing w:val="-10"/>
                                    <w:kern w:val="24"/>
                                    <w:sz w:val="20"/>
                                  </w:rPr>
                                </w:pPr>
                                <w:r w:rsidRPr="008E0463">
                                  <w:rPr>
                                    <w:rFonts w:ascii="標楷體" w:eastAsia="標楷體" w:hAnsi="標楷體" w:cstheme="minorBidi" w:hint="eastAsia"/>
                                    <w:color w:val="000000" w:themeColor="text1"/>
                                    <w:spacing w:val="-10"/>
                                    <w:kern w:val="24"/>
                                    <w:sz w:val="20"/>
                                  </w:rPr>
                                  <w:t>作成評鑑結論初稿</w:t>
                                </w:r>
                                <w:r w:rsidRPr="008E0463">
                                  <w:rPr>
                                    <w:rFonts w:ascii="標楷體" w:eastAsia="標楷體" w:hAnsi="標楷體" w:cstheme="minorBidi" w:hint="eastAsia"/>
                                    <w:color w:val="FFFFFF" w:themeColor="light1"/>
                                    <w:spacing w:val="-10"/>
                                    <w:kern w:val="24"/>
                                    <w:sz w:val="20"/>
                                  </w:rPr>
                                  <w:t>.</w:t>
                                </w:r>
                              </w:p>
                            </w:txbxContent>
                          </wps:txbx>
                          <wps:bodyPr lIns="36000" tIns="36000" rIns="36000" bIns="36000" rtlCol="0" anchor="ctr"/>
                        </wps:wsp>
                        <wps:wsp>
                          <wps:cNvPr id="2008327086" name="矩形: 圓角 2008327086"/>
                          <wps:cNvSpPr/>
                          <wps:spPr>
                            <a:xfrm>
                              <a:off x="427479" y="4843275"/>
                              <a:ext cx="3833812" cy="262311"/>
                            </a:xfrm>
                            <a:prstGeom prst="roundRect">
                              <a:avLst/>
                            </a:prstGeom>
                            <a:solidFill>
                              <a:sysClr val="window" lastClr="FFFFFF"/>
                            </a:solidFill>
                            <a:ln w="6350" cap="flat" cmpd="sng" algn="ctr">
                              <a:solidFill>
                                <a:srgbClr val="4F81BD">
                                  <a:shade val="50000"/>
                                </a:srgbClr>
                              </a:solidFill>
                              <a:prstDash val="solid"/>
                            </a:ln>
                            <a:effectLst/>
                          </wps:spPr>
                          <wps:txbx>
                            <w:txbxContent>
                              <w:p w14:paraId="2E5A207F" w14:textId="77777777" w:rsidR="00DF458C" w:rsidRDefault="00DF458C" w:rsidP="00DF458C">
                                <w:pPr>
                                  <w:spacing w:line="220" w:lineRule="exact"/>
                                  <w:jc w:val="cente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就評鑑結論初稿內容以書面或會議方式進行會商</w:t>
                                </w:r>
                              </w:p>
                            </w:txbxContent>
                          </wps:txbx>
                          <wps:bodyPr lIns="36000" tIns="36000" rIns="36000" bIns="36000" rtlCol="0" anchor="ctr"/>
                        </wps:wsp>
                        <wps:wsp>
                          <wps:cNvPr id="2008327087" name="矩形: 圓角 2008327087"/>
                          <wps:cNvSpPr/>
                          <wps:spPr>
                            <a:xfrm>
                              <a:off x="1773560" y="5177651"/>
                              <a:ext cx="1157976" cy="421153"/>
                            </a:xfrm>
                            <a:prstGeom prst="roundRect">
                              <a:avLst/>
                            </a:prstGeom>
                            <a:solidFill>
                              <a:sysClr val="window" lastClr="FFFFFF"/>
                            </a:solidFill>
                            <a:ln w="6350" cap="flat" cmpd="sng" algn="ctr">
                              <a:solidFill>
                                <a:srgbClr val="4F81BD">
                                  <a:shade val="50000"/>
                                </a:srgbClr>
                              </a:solidFill>
                              <a:prstDash val="solid"/>
                            </a:ln>
                            <a:effectLst/>
                          </wps:spPr>
                          <wps:txbx>
                            <w:txbxContent>
                              <w:p w14:paraId="529D845F"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核定評鑑結論並</w:t>
                                </w:r>
                                <w:proofErr w:type="gramStart"/>
                                <w:r>
                                  <w:rPr>
                                    <w:rFonts w:ascii="標楷體" w:eastAsia="標楷體" w:hAnsi="標楷體" w:cstheme="minorBidi" w:hint="eastAsia"/>
                                    <w:color w:val="000000" w:themeColor="text1"/>
                                    <w:kern w:val="24"/>
                                    <w:sz w:val="20"/>
                                  </w:rPr>
                                  <w:t>函送受評</w:t>
                                </w:r>
                                <w:proofErr w:type="gramEnd"/>
                                <w:r>
                                  <w:rPr>
                                    <w:rFonts w:ascii="標楷體" w:eastAsia="標楷體" w:hAnsi="標楷體" w:cstheme="minorBidi" w:hint="eastAsia"/>
                                    <w:color w:val="000000" w:themeColor="text1"/>
                                    <w:kern w:val="24"/>
                                    <w:sz w:val="20"/>
                                  </w:rPr>
                                  <w:t>機關</w:t>
                                </w:r>
                                <w:r>
                                  <w:rPr>
                                    <w:rFonts w:ascii="標楷體" w:eastAsia="標楷體" w:hAnsi="標楷體" w:cstheme="minorBidi" w:hint="eastAsia"/>
                                    <w:color w:val="FFFFFF" w:themeColor="light1"/>
                                    <w:kern w:val="24"/>
                                    <w:sz w:val="20"/>
                                  </w:rPr>
                                  <w:t>.</w:t>
                                </w:r>
                              </w:p>
                            </w:txbxContent>
                          </wps:txbx>
                          <wps:bodyPr lIns="36000" tIns="36000" rIns="36000" bIns="36000" rtlCol="0" anchor="ctr"/>
                        </wps:wsp>
                        <wps:wsp>
                          <wps:cNvPr id="2008327088" name="矩形: 圓角 2008327088"/>
                          <wps:cNvSpPr/>
                          <wps:spPr>
                            <a:xfrm>
                              <a:off x="3103315" y="5701333"/>
                              <a:ext cx="1157976" cy="782557"/>
                            </a:xfrm>
                            <a:prstGeom prst="roundRect">
                              <a:avLst/>
                            </a:prstGeom>
                            <a:solidFill>
                              <a:sysClr val="window" lastClr="FFFFFF"/>
                            </a:solidFill>
                            <a:ln w="6350" cap="flat" cmpd="sng" algn="ctr">
                              <a:solidFill>
                                <a:srgbClr val="4F81BD">
                                  <a:shade val="50000"/>
                                </a:srgbClr>
                              </a:solidFill>
                              <a:prstDash val="solid"/>
                            </a:ln>
                            <a:effectLst/>
                          </wps:spPr>
                          <wps:txbx>
                            <w:txbxContent>
                              <w:p w14:paraId="7FEC215A" w14:textId="77777777" w:rsidR="00DF458C" w:rsidRPr="007D5E9F" w:rsidRDefault="00DF458C" w:rsidP="00DF458C">
                                <w:pPr>
                                  <w:spacing w:line="220" w:lineRule="exact"/>
                                  <w:jc w:val="both"/>
                                  <w:rPr>
                                    <w:rFonts w:ascii="標楷體" w:eastAsia="標楷體" w:hAnsi="標楷體" w:cstheme="minorBidi"/>
                                    <w:color w:val="000000" w:themeColor="text1"/>
                                    <w:spacing w:val="-2"/>
                                    <w:kern w:val="24"/>
                                    <w:sz w:val="20"/>
                                  </w:rPr>
                                </w:pPr>
                                <w:r w:rsidRPr="007D5E9F">
                                  <w:rPr>
                                    <w:rFonts w:ascii="標楷體" w:eastAsia="標楷體" w:hAnsi="標楷體" w:cstheme="minorBidi" w:hint="eastAsia"/>
                                    <w:color w:val="000000" w:themeColor="text1"/>
                                    <w:spacing w:val="-2"/>
                                    <w:kern w:val="24"/>
                                    <w:sz w:val="20"/>
                                  </w:rPr>
                                  <w:t>依評鑑結論建議事項據以執行，並每半年將執行情形送評鑑機關管考</w:t>
                                </w:r>
                                <w:r w:rsidRPr="007D5E9F">
                                  <w:rPr>
                                    <w:rFonts w:ascii="標楷體" w:eastAsia="標楷體" w:hAnsi="標楷體" w:cstheme="minorBidi" w:hint="eastAsia"/>
                                    <w:color w:val="FFFFFF" w:themeColor="light1"/>
                                    <w:spacing w:val="-2"/>
                                    <w:kern w:val="24"/>
                                    <w:sz w:val="20"/>
                                  </w:rPr>
                                  <w:t>.</w:t>
                                </w:r>
                              </w:p>
                            </w:txbxContent>
                          </wps:txbx>
                          <wps:bodyPr lIns="36000" tIns="0" rIns="36000" bIns="0" rtlCol="0" anchor="ctr"/>
                        </wps:wsp>
                        <wps:wsp>
                          <wps:cNvPr id="2008327089" name="矩形: 圓角 2008327089"/>
                          <wps:cNvSpPr/>
                          <wps:spPr>
                            <a:xfrm>
                              <a:off x="1773445" y="5662287"/>
                              <a:ext cx="1157976" cy="848360"/>
                            </a:xfrm>
                            <a:prstGeom prst="roundRect">
                              <a:avLst/>
                            </a:prstGeom>
                            <a:solidFill>
                              <a:sysClr val="window" lastClr="FFFFFF"/>
                            </a:solidFill>
                            <a:ln w="6350" cap="flat" cmpd="sng" algn="ctr">
                              <a:solidFill>
                                <a:srgbClr val="4F81BD">
                                  <a:shade val="50000"/>
                                </a:srgbClr>
                              </a:solidFill>
                              <a:prstDash val="solid"/>
                            </a:ln>
                            <a:effectLst/>
                          </wps:spPr>
                          <wps:txbx>
                            <w:txbxContent>
                              <w:p w14:paraId="20C868AB" w14:textId="77777777" w:rsidR="00DF458C" w:rsidRPr="007D5E9F" w:rsidRDefault="00DF458C" w:rsidP="00DF458C">
                                <w:pPr>
                                  <w:overflowPunct w:val="0"/>
                                  <w:spacing w:line="220" w:lineRule="exact"/>
                                  <w:jc w:val="both"/>
                                  <w:rPr>
                                    <w:rFonts w:ascii="標楷體" w:eastAsia="標楷體" w:hAnsi="標楷體" w:cstheme="minorBidi"/>
                                    <w:color w:val="000000" w:themeColor="text1"/>
                                    <w:spacing w:val="-4"/>
                                    <w:kern w:val="24"/>
                                    <w:sz w:val="20"/>
                                  </w:rPr>
                                </w:pPr>
                                <w:r w:rsidRPr="007D5E9F">
                                  <w:rPr>
                                    <w:rFonts w:ascii="標楷體" w:eastAsia="標楷體" w:hAnsi="標楷體" w:cstheme="minorBidi" w:hint="eastAsia"/>
                                    <w:color w:val="000000" w:themeColor="text1"/>
                                    <w:spacing w:val="-4"/>
                                    <w:kern w:val="24"/>
                                    <w:sz w:val="20"/>
                                  </w:rPr>
                                  <w:t>審查受評機關填報執行情形，決定各建議事項同意解除列管、自行列管或繼續追蹤列管</w:t>
                                </w:r>
                                <w:r w:rsidRPr="007D5E9F">
                                  <w:rPr>
                                    <w:rFonts w:ascii="標楷體" w:eastAsia="標楷體" w:hAnsi="標楷體" w:cstheme="minorBidi" w:hint="eastAsia"/>
                                    <w:color w:val="FFFFFF" w:themeColor="light1"/>
                                    <w:spacing w:val="-4"/>
                                    <w:kern w:val="24"/>
                                    <w:sz w:val="20"/>
                                  </w:rPr>
                                  <w:t>.</w:t>
                                </w:r>
                              </w:p>
                            </w:txbxContent>
                          </wps:txbx>
                          <wps:bodyPr lIns="36000" tIns="0" rIns="36000" bIns="0" rtlCol="0" anchor="ctr"/>
                        </wps:wsp>
                      </wpg:grpSp>
                      <wps:wsp>
                        <wps:cNvPr id="2008327090" name="文字方塊 2008327090"/>
                        <wps:cNvSpPr txBox="1"/>
                        <wps:spPr>
                          <a:xfrm>
                            <a:off x="0" y="6690360"/>
                            <a:ext cx="4028440" cy="325483"/>
                          </a:xfrm>
                          <a:prstGeom prst="rect">
                            <a:avLst/>
                          </a:prstGeom>
                          <a:noFill/>
                          <a:ln w="6350">
                            <a:noFill/>
                          </a:ln>
                        </wps:spPr>
                        <wps:txbx>
                          <w:txbxContent>
                            <w:p w14:paraId="43641C0C" w14:textId="77777777" w:rsidR="00DF458C" w:rsidRPr="002E7394" w:rsidRDefault="00DF458C" w:rsidP="00DF458C">
                              <w:pPr>
                                <w:spacing w:line="220" w:lineRule="exact"/>
                                <w:ind w:leftChars="-59" w:left="769" w:rightChars="-23" w:right="-55" w:hangingChars="506" w:hanging="911"/>
                                <w:jc w:val="both"/>
                                <w:rPr>
                                  <w:rFonts w:ascii="標楷體" w:eastAsia="標楷體" w:hAnsi="標楷體"/>
                                  <w:sz w:val="18"/>
                                  <w:szCs w:val="18"/>
                                </w:rPr>
                              </w:pPr>
                              <w:r w:rsidRPr="002E7394">
                                <w:rPr>
                                  <w:rFonts w:ascii="標楷體" w:eastAsia="標楷體" w:hAnsi="標楷體" w:hint="eastAsia"/>
                                  <w:sz w:val="18"/>
                                  <w:szCs w:val="18"/>
                                </w:rPr>
                                <w:t>資料來源：整理自行政院人事行政總處1</w:t>
                              </w:r>
                              <w:r w:rsidRPr="002E7394">
                                <w:rPr>
                                  <w:rFonts w:ascii="標楷體" w:eastAsia="標楷體" w:hAnsi="標楷體"/>
                                  <w:sz w:val="18"/>
                                  <w:szCs w:val="18"/>
                                </w:rPr>
                                <w:t>12</w:t>
                              </w:r>
                              <w:r w:rsidRPr="002E7394">
                                <w:rPr>
                                  <w:rFonts w:ascii="標楷體" w:eastAsia="標楷體" w:hAnsi="標楷體" w:hint="eastAsia"/>
                                  <w:sz w:val="18"/>
                                  <w:szCs w:val="18"/>
                                </w:rPr>
                                <w:t>年10月5日公布之中央政府機關辦理員額評鑑作業流程圖</w:t>
                              </w:r>
                              <w:r>
                                <w:rPr>
                                  <w:rFonts w:ascii="標楷體" w:eastAsia="標楷體" w:hAnsi="標楷體" w:hint="eastAsia"/>
                                  <w:sz w:val="18"/>
                                  <w:szCs w:val="18"/>
                                </w:rPr>
                                <w:t>。</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s:wsp>
                        <wps:cNvPr id="2008327091" name="文字方塊 2008327091"/>
                        <wps:cNvSpPr txBox="1"/>
                        <wps:spPr>
                          <a:xfrm>
                            <a:off x="40640" y="0"/>
                            <a:ext cx="3952240" cy="248920"/>
                          </a:xfrm>
                          <a:prstGeom prst="rect">
                            <a:avLst/>
                          </a:prstGeom>
                          <a:noFill/>
                          <a:ln w="6350">
                            <a:noFill/>
                          </a:ln>
                        </wps:spPr>
                        <wps:txbx>
                          <w:txbxContent>
                            <w:p w14:paraId="7294CD7A" w14:textId="00AA8629" w:rsidR="00DF458C" w:rsidRPr="002E7394" w:rsidRDefault="00DF458C" w:rsidP="00DF458C">
                              <w:pPr>
                                <w:spacing w:line="220" w:lineRule="exact"/>
                                <w:jc w:val="center"/>
                                <w:rPr>
                                  <w:rFonts w:ascii="標楷體" w:eastAsia="標楷體" w:hAnsi="標楷體"/>
                                  <w:b/>
                                  <w:bCs/>
                                </w:rPr>
                              </w:pPr>
                              <w:r w:rsidRPr="002E7394">
                                <w:rPr>
                                  <w:rFonts w:ascii="標楷體" w:eastAsia="標楷體" w:hAnsi="標楷體" w:hint="eastAsia"/>
                                  <w:b/>
                                  <w:bCs/>
                                </w:rPr>
                                <w:t>圖</w:t>
                              </w:r>
                              <w:r>
                                <w:rPr>
                                  <w:rFonts w:ascii="標楷體" w:eastAsia="標楷體" w:hAnsi="標楷體"/>
                                  <w:b/>
                                  <w:bCs/>
                                </w:rPr>
                                <w:t>1</w:t>
                              </w:r>
                              <w:r w:rsidR="00CD224D">
                                <w:rPr>
                                  <w:rFonts w:ascii="標楷體" w:eastAsia="標楷體" w:hAnsi="標楷體"/>
                                  <w:b/>
                                  <w:bCs/>
                                </w:rPr>
                                <w:t>5</w:t>
                              </w:r>
                              <w:r w:rsidRPr="002E7394">
                                <w:rPr>
                                  <w:rFonts w:ascii="標楷體" w:eastAsia="標楷體" w:hAnsi="標楷體"/>
                                  <w:b/>
                                  <w:bCs/>
                                </w:rPr>
                                <w:t xml:space="preserve">  </w:t>
                              </w:r>
                              <w:r w:rsidRPr="002E7394">
                                <w:rPr>
                                  <w:rFonts w:ascii="標楷體" w:eastAsia="標楷體" w:hAnsi="標楷體" w:hint="eastAsia"/>
                                  <w:b/>
                                  <w:bCs/>
                                </w:rPr>
                                <w:t>中央政府機關辦理員額評鑑作業流程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962EE1" id="群組 36" o:spid="_x0000_s1116" style="position:absolute;left:0;text-align:left;margin-left:176.75pt;margin-top:154.75pt;width:319.35pt;height:543.6pt;z-index:251634688;mso-position-horizontal-relative:margin;mso-position-vertical-relative:margin;mso-width-relative:margin;mso-height-relative:margin" coordsize="40557,70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">
                <v:shape id="table" o:spid="_x0000_s1117" type="#_x0000_t75" style="position:absolute;top:2946;width:40557;height:63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">
                  <v:imagedata r:id="rId36" o:title=""/>
                </v:shape>
                <v:group id="群組 63" o:spid="_x0000_s1118" style="position:absolute;left:1549;top:11582;width:32106;height:50565" coordorigin="4833,8699" coordsize="32126,5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type id="_x0000_t33" coordsize="21600,21600" o:spt="33" o:oned="t" path="m,l21600,r,21600e" filled="f">
                    <v:stroke joinstyle="miter"/>
                    <v:path arrowok="t" fillok="f" o:connecttype="none"/>
                    <o:lock v:ext="edit" shapetype="t"/>
                  </v:shapetype>
                  <v:shape id="接點: 肘形 42" o:spid="_x0000_s1119" type="#_x0000_t33" style="position:absolute;left:29496;top:10500;width:4730;height:976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" strokecolor="#262626" strokeweight="1pt">
                    <o:lock v:ext="edit" shapetype="f"/>
                  </v:shape>
                  <v:shape id="接點: 肘形 43" o:spid="_x0000_s1120" type="#_x0000_t33" style="position:absolute;left:16679;top:17925;width:3785;height:970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" strokecolor="#262626"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44" o:spid="_x0000_s1121" type="#_x0000_t34" style="position:absolute;left:2893;top:32497;width:27724;height:1332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" adj="3961" strokecolor="#262626" strokeweight="1pt">
                    <o:lock v:ext="edit" shapetype="f"/>
                  </v:shape>
                  <v:shape id="接點: 肘形 45" o:spid="_x0000_s1122" type="#_x0000_t34" style="position:absolute;left:4833;top:24401;width:15595;height:20523;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" adj="-1407" strokecolor="#262626" strokeweight="1pt"/>
                  <v:shape id="接點: 肘形 46" o:spid="_x0000_s1123" type="#_x0000_t33" style="position:absolute;left:29035;top:52408;width:7925;height:365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" strokecolor="#262626" strokeweight="1pt"/>
                  <v:line id="直線接點 47" o:spid="_x0000_s1124" style="position:absolute;flip:x;visibility:visible;mso-wrap-style:square" from="27457,59271" to="33191,59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" strokecolor="#262626" strokeweight="1pt">
                    <o:lock v:ext="edit" shapetype="f"/>
                  </v:line>
                  <v:shape id="接點: 肘形 48" o:spid="_x0000_s1125" type="#_x0000_t33" style="position:absolute;left:26685;top:5437;width:3243;height:97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" strokecolor="#262626" strokeweight="1pt">
                    <o:lock v:ext="edit" shapetype="f"/>
                  </v:shape>
                </v:group>
                <v:group id="群組 20" o:spid="_x0000_s1126" style="position:absolute;left:1016;top:6451;width:38322;height:59760" coordorigin="4274,3867" coordsize="38338,6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oundrect id="矩形: 圓角 51" o:spid="_x0000_s1127" style="position:absolute;left:17634;top:3867;width:11579;height:5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" fillcolor="window" strokecolor="#385d8a" strokeweight=".5pt">
                    <v:textbox inset="1mm,0,1mm,0">
                      <w:txbxContent>
                        <w:p w14:paraId="3EE5F654" w14:textId="77777777" w:rsidR="00DF458C" w:rsidRDefault="00DF458C" w:rsidP="00DF458C">
                          <w:pPr>
                            <w:spacing w:line="220" w:lineRule="exact"/>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1.組成評鑑小組</w:t>
                          </w:r>
                          <w:r>
                            <w:rPr>
                              <w:rFonts w:ascii="標楷體" w:eastAsia="標楷體" w:hAnsi="標楷體" w:cstheme="minorBidi" w:hint="eastAsia"/>
                              <w:color w:val="000000" w:themeColor="text1"/>
                              <w:kern w:val="24"/>
                              <w:sz w:val="16"/>
                              <w:szCs w:val="16"/>
                            </w:rPr>
                            <w:t>(專家學者不少於1/3)</w:t>
                          </w:r>
                        </w:p>
                        <w:p w14:paraId="1727C7D7"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2.擬定評鑑計畫</w:t>
                          </w:r>
                          <w:r>
                            <w:rPr>
                              <w:rFonts w:ascii="標楷體" w:eastAsia="標楷體" w:hAnsi="標楷體" w:cstheme="minorBidi" w:hint="eastAsia"/>
                              <w:color w:val="FFFFFF" w:themeColor="light1"/>
                              <w:kern w:val="24"/>
                              <w:sz w:val="20"/>
                            </w:rPr>
                            <w:t>.</w:t>
                          </w:r>
                        </w:p>
                      </w:txbxContent>
                    </v:textbox>
                  </v:roundrect>
                  <v:roundrect id="矩形: 圓角 52" o:spid="_x0000_s1128" style="position:absolute;left:17634;top:9836;width:11579;height:421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" fillcolor="window" strokecolor="#385d8a" strokeweight=".5pt">
                    <v:textbox inset="1mm,1mm,1mm,1mm">
                      <w:txbxContent>
                        <w:p w14:paraId="6C2A35FB"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函送評鑑計畫予受評機關</w:t>
                          </w:r>
                          <w:r>
                            <w:rPr>
                              <w:rFonts w:ascii="標楷體" w:eastAsia="標楷體" w:hAnsi="標楷體" w:cstheme="minorBidi" w:hint="eastAsia"/>
                              <w:color w:val="FFFFFF" w:themeColor="light1"/>
                              <w:kern w:val="24"/>
                              <w:sz w:val="20"/>
                            </w:rPr>
                            <w:t>.</w:t>
                          </w:r>
                        </w:p>
                      </w:txbxContent>
                    </v:textbox>
                  </v:roundrect>
                  <v:roundrect id="矩形: 圓角 53" o:spid="_x0000_s1129" style="position:absolute;left:30971;top:9836;width:11579;height:421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" fillcolor="window" strokecolor="#385d8a" strokeweight=".5pt">
                    <v:textbox inset="1mm,1mm,1mm,1mm">
                      <w:txbxContent>
                        <w:p w14:paraId="2A65C4D6"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依評鑑計畫</w:t>
                          </w:r>
                          <w:proofErr w:type="gramStart"/>
                          <w:r>
                            <w:rPr>
                              <w:rFonts w:ascii="標楷體" w:eastAsia="標楷體" w:hAnsi="標楷體" w:cstheme="minorBidi" w:hint="eastAsia"/>
                              <w:color w:val="000000" w:themeColor="text1"/>
                              <w:kern w:val="24"/>
                              <w:sz w:val="20"/>
                            </w:rPr>
                            <w:t>研</w:t>
                          </w:r>
                          <w:proofErr w:type="gramEnd"/>
                          <w:r>
                            <w:rPr>
                              <w:rFonts w:ascii="標楷體" w:eastAsia="標楷體" w:hAnsi="標楷體" w:cstheme="minorBidi" w:hint="eastAsia"/>
                              <w:color w:val="000000" w:themeColor="text1"/>
                              <w:kern w:val="24"/>
                              <w:sz w:val="20"/>
                            </w:rPr>
                            <w:t>提書面資料</w:t>
                          </w:r>
                          <w:r>
                            <w:rPr>
                              <w:rFonts w:ascii="標楷體" w:eastAsia="標楷體" w:hAnsi="標楷體" w:cstheme="minorBidi" w:hint="eastAsia"/>
                              <w:color w:val="FFFFFF" w:themeColor="light1"/>
                              <w:kern w:val="24"/>
                              <w:sz w:val="20"/>
                            </w:rPr>
                            <w:t>.</w:t>
                          </w:r>
                        </w:p>
                      </w:txbxContent>
                    </v:textbox>
                  </v:roundrect>
                  <v:roundrect id="矩形: 圓角 57" o:spid="_x0000_s1130" style="position:absolute;left:30971;top:16476;width:11579;height:39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" fillcolor="window" strokecolor="#385d8a" strokeweight=".5pt">
                    <v:textbox inset="1mm,1mm,1mm,1mm">
                      <w:txbxContent>
                        <w:p w14:paraId="1D3D19E4"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函送書面資料予評鑑機關</w:t>
                          </w:r>
                          <w:r>
                            <w:rPr>
                              <w:rFonts w:ascii="標楷體" w:eastAsia="標楷體" w:hAnsi="標楷體" w:cstheme="minorBidi" w:hint="eastAsia"/>
                              <w:color w:val="FFFFFF" w:themeColor="light1"/>
                              <w:kern w:val="24"/>
                              <w:sz w:val="20"/>
                            </w:rPr>
                            <w:t>.</w:t>
                          </w:r>
                        </w:p>
                      </w:txbxContent>
                    </v:textbox>
                  </v:roundrect>
                  <v:roundrect id="矩形: 圓角 61" o:spid="_x0000_s1131" style="position:absolute;left:17634;top:22506;width:11579;height:57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" fillcolor="window" strokecolor="#385d8a" strokeweight=".5pt">
                    <v:textbox inset="1mm,1mm,1mm,1mm">
                      <w:txbxContent>
                        <w:p w14:paraId="4C16F2A1" w14:textId="77777777" w:rsidR="00DF458C" w:rsidRPr="00B461AC" w:rsidRDefault="00DF458C" w:rsidP="00DF458C">
                          <w:pPr>
                            <w:spacing w:line="220" w:lineRule="exact"/>
                            <w:jc w:val="both"/>
                            <w:rPr>
                              <w:rFonts w:ascii="標楷體" w:eastAsia="標楷體" w:hAnsi="標楷體" w:cstheme="minorBidi"/>
                              <w:color w:val="000000" w:themeColor="text1"/>
                              <w:kern w:val="24"/>
                              <w:sz w:val="20"/>
                            </w:rPr>
                          </w:pPr>
                          <w:r w:rsidRPr="00B461AC">
                            <w:rPr>
                              <w:rFonts w:ascii="標楷體" w:eastAsia="標楷體" w:hAnsi="標楷體" w:cstheme="minorBidi" w:hint="eastAsia"/>
                              <w:color w:val="000000" w:themeColor="text1"/>
                              <w:kern w:val="24"/>
                              <w:sz w:val="20"/>
                            </w:rPr>
                            <w:t>函送評鑑計畫、受評機關書面資料予評鑑小組成員</w:t>
                          </w:r>
                          <w:r w:rsidRPr="00B461AC">
                            <w:rPr>
                              <w:rFonts w:ascii="標楷體" w:eastAsia="標楷體" w:hAnsi="標楷體" w:cstheme="minorBidi" w:hint="eastAsia"/>
                              <w:color w:val="FFFFFF" w:themeColor="light1"/>
                              <w:kern w:val="24"/>
                              <w:sz w:val="20"/>
                            </w:rPr>
                            <w:t>.</w:t>
                          </w:r>
                        </w:p>
                      </w:txbxContent>
                    </v:textbox>
                  </v:roundrect>
                  <v:roundrect id="矩形: 圓角 2008327043" o:spid="_x0000_s1132" style="position:absolute;left:17634;top:14689;width:11579;height:71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" fillcolor="window" strokecolor="#385d8a" strokeweight=".5pt">
                    <v:textbox inset="1mm,1mm,1mm,1mm">
                      <w:txbxContent>
                        <w:p w14:paraId="2766EA2C" w14:textId="77777777" w:rsidR="00DF458C" w:rsidRPr="007D5E9F" w:rsidRDefault="00DF458C" w:rsidP="00DF458C">
                          <w:pPr>
                            <w:spacing w:line="220" w:lineRule="exact"/>
                            <w:jc w:val="both"/>
                            <w:rPr>
                              <w:rFonts w:ascii="標楷體" w:eastAsia="標楷體" w:hAnsi="標楷體" w:cstheme="minorBidi"/>
                              <w:color w:val="000000" w:themeColor="text1"/>
                              <w:kern w:val="24"/>
                              <w:sz w:val="20"/>
                            </w:rPr>
                          </w:pPr>
                          <w:r w:rsidRPr="007D5E9F">
                            <w:rPr>
                              <w:rFonts w:ascii="標楷體" w:eastAsia="標楷體" w:hAnsi="標楷體" w:cstheme="minorBidi" w:hint="eastAsia"/>
                              <w:color w:val="000000" w:themeColor="text1"/>
                              <w:kern w:val="24"/>
                              <w:sz w:val="20"/>
                            </w:rPr>
                            <w:t>檢視受評機關</w:t>
                          </w:r>
                          <w:proofErr w:type="gramStart"/>
                          <w:r w:rsidRPr="007D5E9F">
                            <w:rPr>
                              <w:rFonts w:ascii="標楷體" w:eastAsia="標楷體" w:hAnsi="標楷體" w:cstheme="minorBidi" w:hint="eastAsia"/>
                              <w:color w:val="000000" w:themeColor="text1"/>
                              <w:kern w:val="24"/>
                              <w:sz w:val="20"/>
                            </w:rPr>
                            <w:t>研</w:t>
                          </w:r>
                          <w:proofErr w:type="gramEnd"/>
                          <w:r w:rsidRPr="007D5E9F">
                            <w:rPr>
                              <w:rFonts w:ascii="標楷體" w:eastAsia="標楷體" w:hAnsi="標楷體" w:cstheme="minorBidi" w:hint="eastAsia"/>
                              <w:color w:val="000000" w:themeColor="text1"/>
                              <w:kern w:val="24"/>
                              <w:sz w:val="20"/>
                            </w:rPr>
                            <w:t>提書面資料完整性，如有缺漏，應請受評機關補正</w:t>
                          </w:r>
                        </w:p>
                      </w:txbxContent>
                    </v:textbox>
                  </v:roundrect>
                  <v:roundrect id="矩形: 圓角 2008327049" o:spid="_x0000_s1133" style="position:absolute;left:4274;top:22443;width:11580;height:57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" fillcolor="window" strokecolor="#385d8a" strokeweight=".5pt">
                    <v:textbox inset="1mm,1mm,1mm,1mm">
                      <w:txbxContent>
                        <w:p w14:paraId="3232721A" w14:textId="77777777" w:rsidR="00DF458C" w:rsidRPr="00B461AC" w:rsidRDefault="00DF458C" w:rsidP="00DF458C">
                          <w:pPr>
                            <w:spacing w:line="220" w:lineRule="exact"/>
                            <w:jc w:val="both"/>
                            <w:rPr>
                              <w:rFonts w:ascii="標楷體" w:eastAsia="標楷體" w:hAnsi="標楷體" w:cstheme="minorBidi"/>
                              <w:color w:val="000000" w:themeColor="text1"/>
                              <w:kern w:val="24"/>
                              <w:sz w:val="20"/>
                            </w:rPr>
                          </w:pPr>
                          <w:r w:rsidRPr="00B461AC">
                            <w:rPr>
                              <w:rFonts w:ascii="標楷體" w:eastAsia="標楷體" w:hAnsi="標楷體" w:cstheme="minorBidi" w:hint="eastAsia"/>
                              <w:color w:val="000000" w:themeColor="text1"/>
                              <w:kern w:val="24"/>
                              <w:sz w:val="20"/>
                            </w:rPr>
                            <w:t>就受評機關書面資料進行書面審查，並提出審查意見</w:t>
                          </w:r>
                        </w:p>
                      </w:txbxContent>
                    </v:textbox>
                  </v:roundrect>
                  <v:roundrect id="矩形: 圓角 2008327075" o:spid="_x0000_s1134" style="position:absolute;left:4274;top:28680;width:25041;height:76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" fillcolor="window" strokecolor="#385d8a" strokeweight=".5pt">
                    <v:textbox inset="1mm,1mm,1mm,1mm">
                      <w:txbxContent>
                        <w:p w14:paraId="54501A4C" w14:textId="77777777" w:rsidR="00DF458C" w:rsidRPr="00356E96" w:rsidRDefault="00DF458C" w:rsidP="0025346B">
                          <w:pPr>
                            <w:spacing w:line="180" w:lineRule="exact"/>
                            <w:jc w:val="both"/>
                            <w:rPr>
                              <w:rFonts w:ascii="標楷體" w:eastAsia="標楷體" w:hAnsi="標楷體" w:cstheme="minorBidi"/>
                              <w:color w:val="000000" w:themeColor="text1"/>
                              <w:spacing w:val="-4"/>
                              <w:kern w:val="24"/>
                              <w:sz w:val="20"/>
                            </w:rPr>
                          </w:pPr>
                          <w:r w:rsidRPr="00356E96">
                            <w:rPr>
                              <w:rFonts w:ascii="標楷體" w:eastAsia="標楷體" w:hAnsi="標楷體" w:cstheme="minorBidi" w:hint="eastAsia"/>
                              <w:color w:val="000000" w:themeColor="text1"/>
                              <w:spacing w:val="-4"/>
                              <w:kern w:val="24"/>
                              <w:sz w:val="20"/>
                            </w:rPr>
                            <w:t>評鑑機關得邀集評鑑小組成員召開評鑑小組會議，說明受評機關業務屬性、評鑑目的、作業程序等，另如評估須辦理實地訪視時，應確認訪視時程、訪視重點業務項目、訪視對象等</w:t>
                          </w:r>
                        </w:p>
                      </w:txbxContent>
                    </v:textbox>
                  </v:roundrect>
                  <v:roundrect id="矩形: 圓角 2008327076" o:spid="_x0000_s1135" style="position:absolute;left:17610;top:36725;width:11579;height:421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" fillcolor="window" strokecolor="#385d8a" strokeweight=".5pt">
                    <v:textbox inset="1mm,1mm,1mm,1mm">
                      <w:txbxContent>
                        <w:p w14:paraId="200DC10F"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擬定訪視計畫，並</w:t>
                          </w:r>
                          <w:proofErr w:type="gramStart"/>
                          <w:r>
                            <w:rPr>
                              <w:rFonts w:ascii="標楷體" w:eastAsia="標楷體" w:hAnsi="標楷體" w:cstheme="minorBidi" w:hint="eastAsia"/>
                              <w:color w:val="000000" w:themeColor="text1"/>
                              <w:kern w:val="24"/>
                              <w:sz w:val="20"/>
                            </w:rPr>
                            <w:t>函送受評</w:t>
                          </w:r>
                          <w:proofErr w:type="gramEnd"/>
                          <w:r>
                            <w:rPr>
                              <w:rFonts w:ascii="標楷體" w:eastAsia="標楷體" w:hAnsi="標楷體" w:cstheme="minorBidi" w:hint="eastAsia"/>
                              <w:color w:val="000000" w:themeColor="text1"/>
                              <w:kern w:val="24"/>
                              <w:sz w:val="20"/>
                            </w:rPr>
                            <w:t>機關</w:t>
                          </w:r>
                          <w:r>
                            <w:rPr>
                              <w:rFonts w:ascii="標楷體" w:eastAsia="標楷體" w:hAnsi="標楷體" w:cstheme="minorBidi" w:hint="eastAsia"/>
                              <w:color w:val="FFFFFF" w:themeColor="light1"/>
                              <w:kern w:val="24"/>
                              <w:sz w:val="20"/>
                            </w:rPr>
                            <w:t>.</w:t>
                          </w:r>
                        </w:p>
                      </w:txbxContent>
                    </v:textbox>
                  </v:roundrect>
                  <v:roundrect id="矩形: 圓角 2008327084" o:spid="_x0000_s1136" style="position:absolute;left:4274;top:41665;width:38338;height:26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" fillcolor="window" strokecolor="#385d8a" strokeweight=".5pt">
                    <v:textbox inset="1mm,1mm,1mm,1mm">
                      <w:txbxContent>
                        <w:p w14:paraId="4AB4220F" w14:textId="77777777" w:rsidR="00DF458C" w:rsidRDefault="00DF458C" w:rsidP="00DF458C">
                          <w:pPr>
                            <w:spacing w:line="220" w:lineRule="exact"/>
                            <w:jc w:val="cente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進行實地訪視</w:t>
                          </w:r>
                        </w:p>
                      </w:txbxContent>
                    </v:textbox>
                  </v:roundrect>
                  <v:roundrect id="矩形: 圓角 2008327085" o:spid="_x0000_s1137" style="position:absolute;left:17735;top:45035;width:11580;height:26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" fillcolor="window" strokecolor="#385d8a" strokeweight=".5pt">
                    <v:textbox inset="1mm,1mm,1mm,1mm">
                      <w:txbxContent>
                        <w:p w14:paraId="7B8B6978" w14:textId="77777777" w:rsidR="00DF458C" w:rsidRPr="008E0463" w:rsidRDefault="00DF458C" w:rsidP="008E0463">
                          <w:pPr>
                            <w:spacing w:line="220" w:lineRule="exact"/>
                            <w:ind w:rightChars="-20" w:right="-48"/>
                            <w:jc w:val="distribute"/>
                            <w:rPr>
                              <w:rFonts w:ascii="標楷體" w:eastAsia="標楷體" w:hAnsi="標楷體" w:cstheme="minorBidi"/>
                              <w:color w:val="000000" w:themeColor="text1"/>
                              <w:spacing w:val="-10"/>
                              <w:kern w:val="24"/>
                              <w:sz w:val="20"/>
                            </w:rPr>
                          </w:pPr>
                          <w:r w:rsidRPr="008E0463">
                            <w:rPr>
                              <w:rFonts w:ascii="標楷體" w:eastAsia="標楷體" w:hAnsi="標楷體" w:cstheme="minorBidi" w:hint="eastAsia"/>
                              <w:color w:val="000000" w:themeColor="text1"/>
                              <w:spacing w:val="-10"/>
                              <w:kern w:val="24"/>
                              <w:sz w:val="20"/>
                            </w:rPr>
                            <w:t>作成評鑑結論初稿</w:t>
                          </w:r>
                          <w:r w:rsidRPr="008E0463">
                            <w:rPr>
                              <w:rFonts w:ascii="標楷體" w:eastAsia="標楷體" w:hAnsi="標楷體" w:cstheme="minorBidi" w:hint="eastAsia"/>
                              <w:color w:val="FFFFFF" w:themeColor="light1"/>
                              <w:spacing w:val="-10"/>
                              <w:kern w:val="24"/>
                              <w:sz w:val="20"/>
                            </w:rPr>
                            <w:t>.</w:t>
                          </w:r>
                        </w:p>
                      </w:txbxContent>
                    </v:textbox>
                  </v:roundrect>
                  <v:roundrect id="矩形: 圓角 2008327086" o:spid="_x0000_s1138" style="position:absolute;left:4274;top:48432;width:38338;height:26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" fillcolor="window" strokecolor="#385d8a" strokeweight=".5pt">
                    <v:textbox inset="1mm,1mm,1mm,1mm">
                      <w:txbxContent>
                        <w:p w14:paraId="2E5A207F" w14:textId="77777777" w:rsidR="00DF458C" w:rsidRDefault="00DF458C" w:rsidP="00DF458C">
                          <w:pPr>
                            <w:spacing w:line="220" w:lineRule="exact"/>
                            <w:jc w:val="cente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就評鑑結論初稿內容以書面或會議方式進行會商</w:t>
                          </w:r>
                        </w:p>
                      </w:txbxContent>
                    </v:textbox>
                  </v:roundrect>
                  <v:roundrect id="矩形: 圓角 2008327087" o:spid="_x0000_s1139" style="position:absolute;left:17735;top:51776;width:11580;height:42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" fillcolor="window" strokecolor="#385d8a" strokeweight=".5pt">
                    <v:textbox inset="1mm,1mm,1mm,1mm">
                      <w:txbxContent>
                        <w:p w14:paraId="529D845F" w14:textId="77777777" w:rsidR="00DF458C" w:rsidRDefault="00DF458C" w:rsidP="00DF458C">
                          <w:pPr>
                            <w:spacing w:line="220" w:lineRule="exact"/>
                            <w:jc w:val="both"/>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核定評鑑結論並</w:t>
                          </w:r>
                          <w:proofErr w:type="gramStart"/>
                          <w:r>
                            <w:rPr>
                              <w:rFonts w:ascii="標楷體" w:eastAsia="標楷體" w:hAnsi="標楷體" w:cstheme="minorBidi" w:hint="eastAsia"/>
                              <w:color w:val="000000" w:themeColor="text1"/>
                              <w:kern w:val="24"/>
                              <w:sz w:val="20"/>
                            </w:rPr>
                            <w:t>函送受評</w:t>
                          </w:r>
                          <w:proofErr w:type="gramEnd"/>
                          <w:r>
                            <w:rPr>
                              <w:rFonts w:ascii="標楷體" w:eastAsia="標楷體" w:hAnsi="標楷體" w:cstheme="minorBidi" w:hint="eastAsia"/>
                              <w:color w:val="000000" w:themeColor="text1"/>
                              <w:kern w:val="24"/>
                              <w:sz w:val="20"/>
                            </w:rPr>
                            <w:t>機關</w:t>
                          </w:r>
                          <w:r>
                            <w:rPr>
                              <w:rFonts w:ascii="標楷體" w:eastAsia="標楷體" w:hAnsi="標楷體" w:cstheme="minorBidi" w:hint="eastAsia"/>
                              <w:color w:val="FFFFFF" w:themeColor="light1"/>
                              <w:kern w:val="24"/>
                              <w:sz w:val="20"/>
                            </w:rPr>
                            <w:t>.</w:t>
                          </w:r>
                        </w:p>
                      </w:txbxContent>
                    </v:textbox>
                  </v:roundrect>
                  <v:roundrect id="矩形: 圓角 2008327088" o:spid="_x0000_s1140" style="position:absolute;left:31033;top:57013;width:11579;height:78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" fillcolor="window" strokecolor="#385d8a" strokeweight=".5pt">
                    <v:textbox inset="1mm,0,1mm,0">
                      <w:txbxContent>
                        <w:p w14:paraId="7FEC215A" w14:textId="77777777" w:rsidR="00DF458C" w:rsidRPr="007D5E9F" w:rsidRDefault="00DF458C" w:rsidP="00DF458C">
                          <w:pPr>
                            <w:spacing w:line="220" w:lineRule="exact"/>
                            <w:jc w:val="both"/>
                            <w:rPr>
                              <w:rFonts w:ascii="標楷體" w:eastAsia="標楷體" w:hAnsi="標楷體" w:cstheme="minorBidi"/>
                              <w:color w:val="000000" w:themeColor="text1"/>
                              <w:spacing w:val="-2"/>
                              <w:kern w:val="24"/>
                              <w:sz w:val="20"/>
                            </w:rPr>
                          </w:pPr>
                          <w:r w:rsidRPr="007D5E9F">
                            <w:rPr>
                              <w:rFonts w:ascii="標楷體" w:eastAsia="標楷體" w:hAnsi="標楷體" w:cstheme="minorBidi" w:hint="eastAsia"/>
                              <w:color w:val="000000" w:themeColor="text1"/>
                              <w:spacing w:val="-2"/>
                              <w:kern w:val="24"/>
                              <w:sz w:val="20"/>
                            </w:rPr>
                            <w:t>依評鑑結論建議事項據以執行，並每半年將執行情形送評鑑機關管考</w:t>
                          </w:r>
                          <w:r w:rsidRPr="007D5E9F">
                            <w:rPr>
                              <w:rFonts w:ascii="標楷體" w:eastAsia="標楷體" w:hAnsi="標楷體" w:cstheme="minorBidi" w:hint="eastAsia"/>
                              <w:color w:val="FFFFFF" w:themeColor="light1"/>
                              <w:spacing w:val="-2"/>
                              <w:kern w:val="24"/>
                              <w:sz w:val="20"/>
                            </w:rPr>
                            <w:t>.</w:t>
                          </w:r>
                        </w:p>
                      </w:txbxContent>
                    </v:textbox>
                  </v:roundrect>
                  <v:roundrect id="矩形: 圓角 2008327089" o:spid="_x0000_s1141" style="position:absolute;left:17734;top:56622;width:11580;height:84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" fillcolor="window" strokecolor="#385d8a" strokeweight=".5pt">
                    <v:textbox inset="1mm,0,1mm,0">
                      <w:txbxContent>
                        <w:p w14:paraId="20C868AB" w14:textId="77777777" w:rsidR="00DF458C" w:rsidRPr="007D5E9F" w:rsidRDefault="00DF458C" w:rsidP="00DF458C">
                          <w:pPr>
                            <w:overflowPunct w:val="0"/>
                            <w:spacing w:line="220" w:lineRule="exact"/>
                            <w:jc w:val="both"/>
                            <w:rPr>
                              <w:rFonts w:ascii="標楷體" w:eastAsia="標楷體" w:hAnsi="標楷體" w:cstheme="minorBidi"/>
                              <w:color w:val="000000" w:themeColor="text1"/>
                              <w:spacing w:val="-4"/>
                              <w:kern w:val="24"/>
                              <w:sz w:val="20"/>
                            </w:rPr>
                          </w:pPr>
                          <w:r w:rsidRPr="007D5E9F">
                            <w:rPr>
                              <w:rFonts w:ascii="標楷體" w:eastAsia="標楷體" w:hAnsi="標楷體" w:cstheme="minorBidi" w:hint="eastAsia"/>
                              <w:color w:val="000000" w:themeColor="text1"/>
                              <w:spacing w:val="-4"/>
                              <w:kern w:val="24"/>
                              <w:sz w:val="20"/>
                            </w:rPr>
                            <w:t>審查受評機關填報執行情形，決定各建議事項同意解除列管、自行列管或繼續追蹤列管</w:t>
                          </w:r>
                          <w:r w:rsidRPr="007D5E9F">
                            <w:rPr>
                              <w:rFonts w:ascii="標楷體" w:eastAsia="標楷體" w:hAnsi="標楷體" w:cstheme="minorBidi" w:hint="eastAsia"/>
                              <w:color w:val="FFFFFF" w:themeColor="light1"/>
                              <w:spacing w:val="-4"/>
                              <w:kern w:val="24"/>
                              <w:sz w:val="20"/>
                            </w:rPr>
                            <w:t>.</w:t>
                          </w:r>
                        </w:p>
                      </w:txbxContent>
                    </v:textbox>
                  </v:roundrect>
                </v:group>
                <v:shape id="文字方塊 2008327090" o:spid="_x0000_s1142" type="#_x0000_t202" style="position:absolute;top:66903;width:40284;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" filled="f" stroked="f" strokeweight=".5pt">
                  <v:textbox inset=",0,,0">
                    <w:txbxContent>
                      <w:p w14:paraId="43641C0C" w14:textId="77777777" w:rsidR="00DF458C" w:rsidRPr="002E7394" w:rsidRDefault="00DF458C" w:rsidP="00DF458C">
                        <w:pPr>
                          <w:spacing w:line="220" w:lineRule="exact"/>
                          <w:ind w:leftChars="-59" w:left="769" w:rightChars="-23" w:right="-55" w:hangingChars="506" w:hanging="911"/>
                          <w:jc w:val="both"/>
                          <w:rPr>
                            <w:rFonts w:ascii="標楷體" w:eastAsia="標楷體" w:hAnsi="標楷體"/>
                            <w:sz w:val="18"/>
                            <w:szCs w:val="18"/>
                          </w:rPr>
                        </w:pPr>
                        <w:r w:rsidRPr="002E7394">
                          <w:rPr>
                            <w:rFonts w:ascii="標楷體" w:eastAsia="標楷體" w:hAnsi="標楷體" w:hint="eastAsia"/>
                            <w:sz w:val="18"/>
                            <w:szCs w:val="18"/>
                          </w:rPr>
                          <w:t>資料來源：整理自行政院人事行政總處1</w:t>
                        </w:r>
                        <w:r w:rsidRPr="002E7394">
                          <w:rPr>
                            <w:rFonts w:ascii="標楷體" w:eastAsia="標楷體" w:hAnsi="標楷體"/>
                            <w:sz w:val="18"/>
                            <w:szCs w:val="18"/>
                          </w:rPr>
                          <w:t>12</w:t>
                        </w:r>
                        <w:r w:rsidRPr="002E7394">
                          <w:rPr>
                            <w:rFonts w:ascii="標楷體" w:eastAsia="標楷體" w:hAnsi="標楷體" w:hint="eastAsia"/>
                            <w:sz w:val="18"/>
                            <w:szCs w:val="18"/>
                          </w:rPr>
                          <w:t>年10月5日公布之中央政府機關辦理員額評鑑作業流程圖</w:t>
                        </w:r>
                        <w:r>
                          <w:rPr>
                            <w:rFonts w:ascii="標楷體" w:eastAsia="標楷體" w:hAnsi="標楷體" w:hint="eastAsia"/>
                            <w:sz w:val="18"/>
                            <w:szCs w:val="18"/>
                          </w:rPr>
                          <w:t>。</w:t>
                        </w:r>
                      </w:p>
                    </w:txbxContent>
                  </v:textbox>
                </v:shape>
                <v:shape id="文字方塊 2008327091" o:spid="_x0000_s1143" type="#_x0000_t202" style="position:absolute;left:406;width:39522;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" filled="f" stroked="f" strokeweight=".5pt">
                  <v:textbox>
                    <w:txbxContent>
                      <w:p w14:paraId="7294CD7A" w14:textId="00AA8629" w:rsidR="00DF458C" w:rsidRPr="002E7394" w:rsidRDefault="00DF458C" w:rsidP="00DF458C">
                        <w:pPr>
                          <w:spacing w:line="220" w:lineRule="exact"/>
                          <w:jc w:val="center"/>
                          <w:rPr>
                            <w:rFonts w:ascii="標楷體" w:eastAsia="標楷體" w:hAnsi="標楷體"/>
                            <w:b/>
                            <w:bCs/>
                          </w:rPr>
                        </w:pPr>
                        <w:r w:rsidRPr="002E7394">
                          <w:rPr>
                            <w:rFonts w:ascii="標楷體" w:eastAsia="標楷體" w:hAnsi="標楷體" w:hint="eastAsia"/>
                            <w:b/>
                            <w:bCs/>
                          </w:rPr>
                          <w:t>圖</w:t>
                        </w:r>
                        <w:r>
                          <w:rPr>
                            <w:rFonts w:ascii="標楷體" w:eastAsia="標楷體" w:hAnsi="標楷體"/>
                            <w:b/>
                            <w:bCs/>
                          </w:rPr>
                          <w:t>1</w:t>
                        </w:r>
                        <w:r w:rsidR="00CD224D">
                          <w:rPr>
                            <w:rFonts w:ascii="標楷體" w:eastAsia="標楷體" w:hAnsi="標楷體"/>
                            <w:b/>
                            <w:bCs/>
                          </w:rPr>
                          <w:t>5</w:t>
                        </w:r>
                        <w:r w:rsidRPr="002E7394">
                          <w:rPr>
                            <w:rFonts w:ascii="標楷體" w:eastAsia="標楷體" w:hAnsi="標楷體"/>
                            <w:b/>
                            <w:bCs/>
                          </w:rPr>
                          <w:t xml:space="preserve">  </w:t>
                        </w:r>
                        <w:r w:rsidRPr="002E7394">
                          <w:rPr>
                            <w:rFonts w:ascii="標楷體" w:eastAsia="標楷體" w:hAnsi="標楷體" w:hint="eastAsia"/>
                            <w:b/>
                            <w:bCs/>
                          </w:rPr>
                          <w:t>中央政府機關辦理員額評鑑作業流程</w:t>
                        </w:r>
                      </w:p>
                    </w:txbxContent>
                  </v:textbox>
                </v:shape>
                <w10:wrap type="square" anchorx="margin" anchory="margin"/>
              </v:group>
            </w:pict>
          </mc:Fallback>
        </mc:AlternateContent>
      </w:r>
      <w:r w:rsidR="00D86A27" w:rsidRPr="001E52E3">
        <w:rPr>
          <w:rFonts w:hAnsi="標楷體" w:hint="eastAsia"/>
          <w:b/>
          <w:color w:val="000000" w:themeColor="text1"/>
          <w:sz w:val="24"/>
          <w:szCs w:val="28"/>
        </w:rPr>
        <w:t xml:space="preserve">1.　</w:t>
      </w:r>
      <w:r w:rsidR="00D86A27" w:rsidRPr="001E52E3">
        <w:rPr>
          <w:rFonts w:hAnsi="標楷體" w:hint="eastAsia"/>
          <w:b/>
          <w:kern w:val="2"/>
          <w:sz w:val="24"/>
          <w:szCs w:val="24"/>
        </w:rPr>
        <w:t>中央各主管機關每兩年定期辦理所屬機關員額評鑑情形，</w:t>
      </w:r>
      <w:proofErr w:type="gramStart"/>
      <w:r w:rsidR="00D86A27" w:rsidRPr="001E52E3">
        <w:rPr>
          <w:rFonts w:hAnsi="標楷體" w:hint="eastAsia"/>
          <w:b/>
          <w:kern w:val="2"/>
          <w:sz w:val="24"/>
          <w:szCs w:val="24"/>
        </w:rPr>
        <w:t>間有評鑑</w:t>
      </w:r>
      <w:proofErr w:type="gramEnd"/>
      <w:r w:rsidR="00D86A27" w:rsidRPr="001E52E3">
        <w:rPr>
          <w:rFonts w:hAnsi="標楷體" w:hint="eastAsia"/>
          <w:b/>
          <w:kern w:val="2"/>
          <w:sz w:val="24"/>
          <w:szCs w:val="24"/>
        </w:rPr>
        <w:t>範圍未全面涵蓋所屬四級機關、未完整追蹤員額評鑑結論建議執行情形、連年出具相似度高之評鑑建議，評鑑結果未盡發揮調整員額成效等情，允宜</w:t>
      </w:r>
      <w:proofErr w:type="gramStart"/>
      <w:r w:rsidR="00D86A27" w:rsidRPr="001E52E3">
        <w:rPr>
          <w:rFonts w:hAnsi="標楷體" w:hint="eastAsia"/>
          <w:b/>
          <w:kern w:val="2"/>
          <w:sz w:val="24"/>
          <w:szCs w:val="24"/>
        </w:rPr>
        <w:t>研謀妥處，俾</w:t>
      </w:r>
      <w:proofErr w:type="gramEnd"/>
      <w:r w:rsidR="00D86A27" w:rsidRPr="001E52E3">
        <w:rPr>
          <w:rFonts w:hAnsi="標楷體" w:hint="eastAsia"/>
          <w:b/>
          <w:kern w:val="2"/>
          <w:sz w:val="24"/>
          <w:szCs w:val="24"/>
        </w:rPr>
        <w:t>利員額評鑑</w:t>
      </w:r>
      <w:r w:rsidR="00D86A27">
        <w:rPr>
          <w:rFonts w:hAnsi="標楷體" w:hint="eastAsia"/>
          <w:b/>
          <w:kern w:val="2"/>
          <w:sz w:val="24"/>
          <w:szCs w:val="24"/>
        </w:rPr>
        <w:t>發揮</w:t>
      </w:r>
      <w:r w:rsidR="00D86A27" w:rsidRPr="001E52E3">
        <w:rPr>
          <w:rFonts w:hAnsi="標楷體" w:hint="eastAsia"/>
          <w:b/>
          <w:kern w:val="2"/>
          <w:sz w:val="24"/>
          <w:szCs w:val="24"/>
        </w:rPr>
        <w:t>協助機關精進人力資源運用效能：</w:t>
      </w:r>
      <w:r w:rsidR="00D86A27" w:rsidRPr="001E52E3">
        <w:rPr>
          <w:rFonts w:hAnsi="標楷體" w:hint="eastAsia"/>
          <w:bCs/>
          <w:kern w:val="2"/>
          <w:sz w:val="24"/>
          <w:szCs w:val="24"/>
        </w:rPr>
        <w:t>依據</w:t>
      </w:r>
      <w:r w:rsidR="00D86A27" w:rsidRPr="001E52E3">
        <w:rPr>
          <w:rFonts w:hAnsi="標楷體" w:hint="eastAsia"/>
          <w:color w:val="000000" w:themeColor="text1"/>
          <w:sz w:val="24"/>
          <w:szCs w:val="28"/>
        </w:rPr>
        <w:t>中央政府機關總員額法</w:t>
      </w:r>
      <w:r w:rsidR="00D86A27" w:rsidRPr="001E52E3">
        <w:rPr>
          <w:rFonts w:hAnsi="標楷體" w:hint="eastAsia"/>
          <w:bCs/>
          <w:kern w:val="2"/>
          <w:sz w:val="24"/>
          <w:szCs w:val="24"/>
        </w:rPr>
        <w:t>第8條第3項、中央政府機關員額管理辦法第15條及第19條第1項規定，</w:t>
      </w:r>
      <w:r w:rsidR="00D86A27" w:rsidRPr="00A4690A">
        <w:rPr>
          <w:rFonts w:hAnsi="標楷體" w:hint="eastAsia"/>
          <w:bCs/>
          <w:spacing w:val="-2"/>
          <w:kern w:val="2"/>
          <w:sz w:val="24"/>
          <w:szCs w:val="24"/>
        </w:rPr>
        <w:t>一、二級機關應每兩年評鑑所屬機關員額總數合理性，以確保機關整體策略、未來業務發展狀況及員額合理配置目的之達成，受評機關應依評鑑結論所定執行期間內完成各項建議事項，每半年並將執行情形送評鑑機關核定，並作為員額調整之依據。行政院人事行政總處為提升評鑑機制可操作性，已訂定員額評鑑作業流程</w:t>
      </w:r>
      <w:r w:rsidR="007E6014" w:rsidRPr="00A4690A">
        <w:rPr>
          <w:rFonts w:hAnsi="標楷體" w:hint="eastAsia"/>
          <w:bCs/>
          <w:spacing w:val="-2"/>
          <w:kern w:val="2"/>
          <w:sz w:val="24"/>
          <w:szCs w:val="24"/>
        </w:rPr>
        <w:t>（</w:t>
      </w:r>
      <w:r w:rsidR="00D86A27" w:rsidRPr="00A4690A">
        <w:rPr>
          <w:rFonts w:hAnsi="標楷體" w:hint="eastAsia"/>
          <w:bCs/>
          <w:spacing w:val="-2"/>
          <w:kern w:val="2"/>
          <w:sz w:val="24"/>
          <w:szCs w:val="24"/>
        </w:rPr>
        <w:t>圖1</w:t>
      </w:r>
      <w:r w:rsidR="00CD224D" w:rsidRPr="00A4690A">
        <w:rPr>
          <w:rFonts w:hAnsi="標楷體" w:hint="eastAsia"/>
          <w:bCs/>
          <w:spacing w:val="-2"/>
          <w:kern w:val="2"/>
          <w:sz w:val="24"/>
          <w:szCs w:val="24"/>
        </w:rPr>
        <w:t>5</w:t>
      </w:r>
      <w:r w:rsidR="00D86A27" w:rsidRPr="00A4690A">
        <w:rPr>
          <w:rFonts w:hAnsi="標楷體" w:hint="eastAsia"/>
          <w:bCs/>
          <w:spacing w:val="-2"/>
          <w:kern w:val="2"/>
          <w:sz w:val="24"/>
          <w:szCs w:val="24"/>
        </w:rPr>
        <w:t>）</w:t>
      </w:r>
      <w:r w:rsidR="00D86A27" w:rsidRPr="001E52E3">
        <w:rPr>
          <w:rFonts w:hAnsi="標楷體" w:hint="eastAsia"/>
          <w:bCs/>
          <w:kern w:val="2"/>
          <w:sz w:val="24"/>
          <w:szCs w:val="24"/>
        </w:rPr>
        <w:t>及各類書面資料標準化格式，提供各級評鑑機關及受評機關運用。經查中央政府公務機關近年辦理員額評鑑情形，核有：</w:t>
      </w:r>
      <w:bookmarkStart w:id="32" w:name="_Hlk201929552"/>
      <w:r w:rsidR="00D86A27" w:rsidRPr="001E52E3">
        <w:rPr>
          <w:rFonts w:hAnsi="標楷體" w:hint="eastAsia"/>
          <w:bCs/>
          <w:kern w:val="2"/>
          <w:sz w:val="24"/>
          <w:szCs w:val="24"/>
        </w:rPr>
        <w:t>（1）</w:t>
      </w:r>
      <w:bookmarkEnd w:id="32"/>
      <w:r w:rsidR="00D86A27" w:rsidRPr="001E52E3">
        <w:rPr>
          <w:rFonts w:hAnsi="標楷體" w:hint="eastAsia"/>
          <w:bCs/>
          <w:kern w:val="2"/>
          <w:sz w:val="24"/>
          <w:szCs w:val="24"/>
        </w:rPr>
        <w:t>法</w:t>
      </w:r>
      <w:r w:rsidR="00D86A27" w:rsidRPr="001E52E3">
        <w:rPr>
          <w:rFonts w:hAnsi="標楷體" w:hint="eastAsia"/>
          <w:bCs/>
          <w:kern w:val="2"/>
          <w:sz w:val="24"/>
          <w:szCs w:val="24"/>
        </w:rPr>
        <w:lastRenderedPageBreak/>
        <w:t>務部所屬矯</w:t>
      </w:r>
      <w:bookmarkStart w:id="33" w:name="_Hlk201929884"/>
      <w:r w:rsidR="00D86A27" w:rsidRPr="001E52E3">
        <w:rPr>
          <w:rFonts w:hAnsi="標楷體" w:hint="eastAsia"/>
          <w:bCs/>
          <w:kern w:val="2"/>
          <w:sz w:val="24"/>
          <w:szCs w:val="24"/>
        </w:rPr>
        <w:t>正機關及執行分署等</w:t>
      </w:r>
      <w:bookmarkEnd w:id="33"/>
      <w:r w:rsidR="00D86A27" w:rsidRPr="001E52E3">
        <w:rPr>
          <w:rFonts w:hAnsi="標楷體" w:hint="eastAsia"/>
          <w:bCs/>
          <w:kern w:val="2"/>
          <w:sz w:val="24"/>
          <w:szCs w:val="24"/>
        </w:rPr>
        <w:t>四級機關多存有人力不足問題，惟該部辦理</w:t>
      </w:r>
      <w:proofErr w:type="gramStart"/>
      <w:r w:rsidR="00D86A27" w:rsidRPr="001E52E3">
        <w:rPr>
          <w:rFonts w:hAnsi="標楷體" w:hint="eastAsia"/>
          <w:bCs/>
          <w:kern w:val="2"/>
          <w:sz w:val="24"/>
          <w:szCs w:val="24"/>
        </w:rPr>
        <w:t>113</w:t>
      </w:r>
      <w:proofErr w:type="gramEnd"/>
      <w:r w:rsidR="00D86A27" w:rsidRPr="001E52E3">
        <w:rPr>
          <w:rFonts w:hAnsi="標楷體" w:hint="eastAsia"/>
          <w:bCs/>
          <w:kern w:val="2"/>
          <w:sz w:val="24"/>
          <w:szCs w:val="24"/>
        </w:rPr>
        <w:t>年度所屬機關員額評鑑，僅以矯正署、行政執行署等直屬三級機關及四級機關作為受評對象，未妥善運用員額評鑑作為管理工具，全面瞭解所屬矯正機關及執行分署等四級機關員額管理、人力運用情形，不利透由定期檢視優化所屬機關人力配置；（2）部分中央主管機關未依規定完整追</w:t>
      </w:r>
      <w:r w:rsidR="009B5057" w:rsidRPr="001E52E3">
        <w:rPr>
          <w:rFonts w:hAnsi="標楷體" w:hint="eastAsia"/>
          <w:bCs/>
          <w:kern w:val="2"/>
          <w:sz w:val="24"/>
          <w:szCs w:val="24"/>
        </w:rPr>
        <w:t>蹤所屬</w:t>
      </w:r>
      <w:r w:rsidR="00D86A27" w:rsidRPr="001E52E3">
        <w:rPr>
          <w:rFonts w:hAnsi="標楷體" w:hint="eastAsia"/>
          <w:bCs/>
          <w:kern w:val="2"/>
          <w:sz w:val="24"/>
          <w:szCs w:val="24"/>
        </w:rPr>
        <w:t>機關111年評鑑建議事項之後續執行情形；（3）部分中央主管機關111及113年辦理員額評鑑結果，在相同員額評鑑重點下，連年出具相似度高之評鑑建議，又近5年依據評鑑結果調整員額數量偏低，</w:t>
      </w:r>
      <w:proofErr w:type="gramStart"/>
      <w:r w:rsidR="00D86A27">
        <w:rPr>
          <w:rFonts w:hAnsi="標楷體" w:hint="eastAsia"/>
          <w:bCs/>
          <w:kern w:val="2"/>
          <w:sz w:val="24"/>
          <w:szCs w:val="24"/>
        </w:rPr>
        <w:t>間有</w:t>
      </w:r>
      <w:r w:rsidR="00D86A27" w:rsidRPr="001E52E3">
        <w:rPr>
          <w:rFonts w:hAnsi="標楷體" w:hint="eastAsia"/>
          <w:bCs/>
          <w:kern w:val="2"/>
          <w:sz w:val="24"/>
          <w:szCs w:val="24"/>
        </w:rPr>
        <w:t>受</w:t>
      </w:r>
      <w:proofErr w:type="gramEnd"/>
      <w:r w:rsidR="00D86A27" w:rsidRPr="001E52E3">
        <w:rPr>
          <w:rFonts w:hAnsi="標楷體" w:hint="eastAsia"/>
          <w:bCs/>
          <w:kern w:val="2"/>
          <w:sz w:val="24"/>
          <w:szCs w:val="24"/>
        </w:rPr>
        <w:t>評機關於兩次評鑑</w:t>
      </w:r>
      <w:proofErr w:type="gramStart"/>
      <w:r w:rsidR="00D86A27" w:rsidRPr="001E52E3">
        <w:rPr>
          <w:rFonts w:hAnsi="標楷體" w:hint="eastAsia"/>
          <w:bCs/>
          <w:kern w:val="2"/>
          <w:sz w:val="24"/>
          <w:szCs w:val="24"/>
        </w:rPr>
        <w:t>結論均被明確</w:t>
      </w:r>
      <w:proofErr w:type="gramEnd"/>
      <w:r w:rsidR="00D86A27" w:rsidRPr="001E52E3">
        <w:rPr>
          <w:rFonts w:hAnsi="標楷體" w:hint="eastAsia"/>
          <w:bCs/>
          <w:kern w:val="2"/>
          <w:sz w:val="24"/>
          <w:szCs w:val="24"/>
        </w:rPr>
        <w:t>提出宜以自動化方式取代人工收費、或降低事務性人力配置等建議，實際卻未依相關評鑑結論調整人力</w:t>
      </w:r>
      <w:r w:rsidR="00D86A27">
        <w:rPr>
          <w:rFonts w:hAnsi="標楷體" w:hint="eastAsia"/>
          <w:bCs/>
          <w:kern w:val="2"/>
          <w:sz w:val="24"/>
          <w:szCs w:val="24"/>
        </w:rPr>
        <w:t>等情</w:t>
      </w:r>
      <w:r w:rsidR="00D86A27" w:rsidRPr="001E52E3">
        <w:rPr>
          <w:rFonts w:hAnsi="標楷體" w:hint="eastAsia"/>
          <w:bCs/>
          <w:kern w:val="2"/>
          <w:sz w:val="24"/>
          <w:szCs w:val="24"/>
        </w:rPr>
        <w:t>；（4）部分中央主管機關針對現行員額評鑑機制，提出調整評鑑及後續管考頻率，或檢修評鑑表單設計等建議，顯示員額評鑑相關制度仍有精進空間等情事，</w:t>
      </w:r>
      <w:r w:rsidR="00B522A7">
        <w:rPr>
          <w:rFonts w:hAnsi="標楷體" w:hint="eastAsia"/>
          <w:bCs/>
          <w:kern w:val="2"/>
          <w:sz w:val="24"/>
          <w:szCs w:val="24"/>
        </w:rPr>
        <w:t>允宜</w:t>
      </w:r>
      <w:r w:rsidR="00D86A27" w:rsidRPr="001E52E3">
        <w:rPr>
          <w:rFonts w:hAnsi="標楷體" w:hint="eastAsia"/>
          <w:bCs/>
          <w:kern w:val="2"/>
          <w:sz w:val="24"/>
          <w:szCs w:val="24"/>
        </w:rPr>
        <w:t>督促有關部會落實辦理，</w:t>
      </w:r>
      <w:proofErr w:type="gramStart"/>
      <w:r w:rsidR="00D86A27" w:rsidRPr="001E52E3">
        <w:rPr>
          <w:rFonts w:hAnsi="標楷體" w:hint="eastAsia"/>
          <w:bCs/>
          <w:kern w:val="2"/>
          <w:sz w:val="24"/>
          <w:szCs w:val="24"/>
        </w:rPr>
        <w:t>並審酌</w:t>
      </w:r>
      <w:proofErr w:type="gramEnd"/>
      <w:r w:rsidR="00D86A27" w:rsidRPr="001E52E3">
        <w:rPr>
          <w:rFonts w:hAnsi="標楷體" w:hint="eastAsia"/>
          <w:bCs/>
          <w:kern w:val="2"/>
          <w:sz w:val="24"/>
          <w:szCs w:val="24"/>
        </w:rPr>
        <w:t>部會建言及評鑑成本與效益，</w:t>
      </w:r>
      <w:proofErr w:type="gramStart"/>
      <w:r w:rsidR="00D86A27" w:rsidRPr="001E52E3">
        <w:rPr>
          <w:rFonts w:hAnsi="標楷體" w:hint="eastAsia"/>
          <w:bCs/>
          <w:kern w:val="2"/>
          <w:sz w:val="24"/>
          <w:szCs w:val="24"/>
        </w:rPr>
        <w:t>研議朝</w:t>
      </w:r>
      <w:proofErr w:type="gramEnd"/>
      <w:r w:rsidR="00D86A27" w:rsidRPr="001E52E3">
        <w:rPr>
          <w:rFonts w:hAnsi="標楷體" w:hint="eastAsia"/>
          <w:bCs/>
          <w:kern w:val="2"/>
          <w:sz w:val="24"/>
          <w:szCs w:val="24"/>
        </w:rPr>
        <w:t>策略性聚焦方向調整評鑑機制之可行性，</w:t>
      </w:r>
      <w:proofErr w:type="gramStart"/>
      <w:r w:rsidR="00D86A27" w:rsidRPr="001E52E3">
        <w:rPr>
          <w:rFonts w:hAnsi="標楷體" w:hint="eastAsia"/>
          <w:bCs/>
          <w:kern w:val="2"/>
          <w:sz w:val="24"/>
          <w:szCs w:val="24"/>
        </w:rPr>
        <w:t>俾</w:t>
      </w:r>
      <w:proofErr w:type="gramEnd"/>
      <w:r w:rsidR="00D86A27" w:rsidRPr="001E52E3">
        <w:rPr>
          <w:rFonts w:hAnsi="標楷體" w:hint="eastAsia"/>
          <w:bCs/>
          <w:kern w:val="2"/>
          <w:sz w:val="24"/>
          <w:szCs w:val="24"/>
        </w:rPr>
        <w:t>利員額評鑑</w:t>
      </w:r>
      <w:r w:rsidR="00D86A27">
        <w:rPr>
          <w:rFonts w:hAnsi="標楷體" w:hint="eastAsia"/>
          <w:bCs/>
          <w:kern w:val="2"/>
          <w:sz w:val="24"/>
          <w:szCs w:val="24"/>
        </w:rPr>
        <w:t>發揮</w:t>
      </w:r>
      <w:r w:rsidR="00D86A27" w:rsidRPr="001E52E3">
        <w:rPr>
          <w:rFonts w:hAnsi="標楷體" w:hint="eastAsia"/>
          <w:bCs/>
          <w:kern w:val="2"/>
          <w:sz w:val="24"/>
          <w:szCs w:val="24"/>
        </w:rPr>
        <w:t>協助機關精進人力資源運用</w:t>
      </w:r>
      <w:r w:rsidR="00D86A27">
        <w:rPr>
          <w:rFonts w:hAnsi="標楷體" w:hint="eastAsia"/>
          <w:bCs/>
          <w:kern w:val="2"/>
          <w:sz w:val="24"/>
          <w:szCs w:val="24"/>
        </w:rPr>
        <w:t>之</w:t>
      </w:r>
      <w:r w:rsidR="00D86A27" w:rsidRPr="001E52E3">
        <w:rPr>
          <w:rFonts w:hAnsi="標楷體" w:hint="eastAsia"/>
          <w:bCs/>
          <w:kern w:val="2"/>
          <w:sz w:val="24"/>
          <w:szCs w:val="24"/>
        </w:rPr>
        <w:t>效能。</w:t>
      </w:r>
    </w:p>
    <w:p w14:paraId="6DD03995" w14:textId="15480985" w:rsidR="00D86A27" w:rsidRPr="001E52E3" w:rsidRDefault="0095160A" w:rsidP="005A7E81">
      <w:pPr>
        <w:pStyle w:val="affb"/>
        <w:spacing w:line="432" w:lineRule="exact"/>
        <w:ind w:left="0" w:firstLineChars="350" w:firstLine="1120"/>
        <w:jc w:val="both"/>
        <w:rPr>
          <w:rFonts w:hAnsi="標楷體"/>
          <w:b/>
          <w:kern w:val="2"/>
          <w:sz w:val="24"/>
          <w:szCs w:val="24"/>
        </w:rPr>
      </w:pPr>
      <w:r w:rsidRPr="005A7E81">
        <w:rPr>
          <w:rFonts w:hAnsi="標楷體"/>
          <w:noProof/>
          <w:kern w:val="2"/>
          <w:szCs w:val="32"/>
        </w:rPr>
        <mc:AlternateContent>
          <mc:Choice Requires="wps">
            <w:drawing>
              <wp:anchor distT="45720" distB="45720" distL="114300" distR="114300" simplePos="0" relativeHeight="251659264" behindDoc="0" locked="0" layoutInCell="1" allowOverlap="1" wp14:anchorId="53B984F3" wp14:editId="0AE2B394">
                <wp:simplePos x="0" y="0"/>
                <wp:positionH relativeFrom="margin">
                  <wp:posOffset>2706370</wp:posOffset>
                </wp:positionH>
                <wp:positionV relativeFrom="margin">
                  <wp:posOffset>5201285</wp:posOffset>
                </wp:positionV>
                <wp:extent cx="3474720" cy="3716020"/>
                <wp:effectExtent l="0" t="0" r="0" b="0"/>
                <wp:wrapSquare wrapText="bothSides"/>
                <wp:docPr id="20083270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3716020"/>
                        </a:xfrm>
                        <a:prstGeom prst="rect">
                          <a:avLst/>
                        </a:prstGeom>
                        <a:noFill/>
                        <a:ln w="9525">
                          <a:noFill/>
                          <a:miter lim="800000"/>
                          <a:headEnd/>
                          <a:tailEnd/>
                        </a:ln>
                      </wps:spPr>
                      <wps:txbx>
                        <w:txbxContent>
                          <w:tbl>
                            <w:tblPr>
                              <w:tblW w:w="5245" w:type="dxa"/>
                              <w:tblCellMar>
                                <w:left w:w="28" w:type="dxa"/>
                                <w:right w:w="28" w:type="dxa"/>
                              </w:tblCellMar>
                              <w:tblLook w:val="04A0" w:firstRow="1" w:lastRow="0" w:firstColumn="1" w:lastColumn="0" w:noHBand="0" w:noVBand="1"/>
                            </w:tblPr>
                            <w:tblGrid>
                              <w:gridCol w:w="1134"/>
                              <w:gridCol w:w="1701"/>
                              <w:gridCol w:w="993"/>
                              <w:gridCol w:w="708"/>
                              <w:gridCol w:w="709"/>
                            </w:tblGrid>
                            <w:tr w:rsidR="009F1A82" w:rsidRPr="00AE5894" w14:paraId="4E37EBB2" w14:textId="77777777" w:rsidTr="00A52690">
                              <w:trPr>
                                <w:trHeight w:val="20"/>
                              </w:trPr>
                              <w:tc>
                                <w:tcPr>
                                  <w:tcW w:w="5245" w:type="dxa"/>
                                  <w:gridSpan w:val="5"/>
                                  <w:tcBorders>
                                    <w:top w:val="nil"/>
                                    <w:left w:val="nil"/>
                                    <w:bottom w:val="nil"/>
                                    <w:right w:val="nil"/>
                                  </w:tcBorders>
                                  <w:shd w:val="clear" w:color="auto" w:fill="auto"/>
                                  <w:vAlign w:val="center"/>
                                  <w:hideMark/>
                                </w:tcPr>
                                <w:p w14:paraId="4254E73D" w14:textId="77777777" w:rsidR="009F1A82" w:rsidRPr="00AE5894" w:rsidRDefault="009F1A82" w:rsidP="00C51502">
                                  <w:pPr>
                                    <w:widowControl/>
                                    <w:snapToGrid w:val="0"/>
                                    <w:spacing w:line="280" w:lineRule="exact"/>
                                    <w:ind w:leftChars="23" w:left="841" w:hangingChars="327" w:hanging="786"/>
                                    <w:jc w:val="both"/>
                                    <w:rPr>
                                      <w:rFonts w:ascii="標楷體" w:eastAsia="標楷體" w:hAnsi="標楷體" w:cs="新細明體"/>
                                      <w:b/>
                                      <w:bCs/>
                                      <w:color w:val="000000"/>
                                      <w:kern w:val="0"/>
                                    </w:rPr>
                                  </w:pPr>
                                  <w:r w:rsidRPr="00AE589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Pr>
                                      <w:rFonts w:ascii="標楷體" w:eastAsia="標楷體" w:hAnsi="標楷體" w:cs="新細明體"/>
                                      <w:b/>
                                      <w:bCs/>
                                      <w:color w:val="000000"/>
                                      <w:kern w:val="0"/>
                                    </w:rPr>
                                    <w:t>9</w:t>
                                  </w:r>
                                  <w:r w:rsidRPr="002F0B36">
                                    <w:rPr>
                                      <w:rFonts w:ascii="標楷體" w:eastAsia="標楷體" w:hAnsi="標楷體" w:cs="新細明體" w:hint="eastAsia"/>
                                      <w:b/>
                                      <w:bCs/>
                                      <w:kern w:val="0"/>
                                    </w:rPr>
                                    <w:t xml:space="preserve">  </w:t>
                                  </w:r>
                                  <w:proofErr w:type="gramStart"/>
                                  <w:r w:rsidRPr="002F0B36">
                                    <w:rPr>
                                      <w:rFonts w:ascii="標楷體" w:eastAsia="標楷體" w:hAnsi="標楷體" w:cs="新細明體" w:hint="eastAsia"/>
                                      <w:b/>
                                      <w:bCs/>
                                      <w:kern w:val="0"/>
                                    </w:rPr>
                                    <w:t>本部抽核行政院</w:t>
                                  </w:r>
                                  <w:proofErr w:type="gramEnd"/>
                                  <w:r w:rsidRPr="002F0B36">
                                    <w:rPr>
                                      <w:rFonts w:ascii="標楷體" w:eastAsia="標楷體" w:hAnsi="標楷體" w:cs="新細明體" w:hint="eastAsia"/>
                                      <w:b/>
                                      <w:bCs/>
                                      <w:kern w:val="0"/>
                                    </w:rPr>
                                    <w:t>所屬機關</w:t>
                                  </w:r>
                                  <w:proofErr w:type="gramStart"/>
                                  <w:r w:rsidRPr="002F0B36">
                                    <w:rPr>
                                      <w:rFonts w:ascii="標楷體" w:eastAsia="標楷體" w:hAnsi="標楷體" w:cs="新細明體" w:hint="eastAsia"/>
                                      <w:b/>
                                      <w:bCs/>
                                      <w:kern w:val="0"/>
                                    </w:rPr>
                                    <w:t>113</w:t>
                                  </w:r>
                                  <w:proofErr w:type="gramEnd"/>
                                  <w:r w:rsidRPr="002F0B36">
                                    <w:rPr>
                                      <w:rFonts w:ascii="標楷體" w:eastAsia="標楷體" w:hAnsi="標楷體" w:cs="新細明體" w:hint="eastAsia"/>
                                      <w:b/>
                                      <w:bCs/>
                                      <w:kern w:val="0"/>
                                    </w:rPr>
                                    <w:t>年度員額評鑑業務盤點情形</w:t>
                                  </w:r>
                                </w:p>
                              </w:tc>
                            </w:tr>
                            <w:tr w:rsidR="009F1A82" w:rsidRPr="00AE5894" w14:paraId="0D080FE7" w14:textId="77777777" w:rsidTr="00A52690">
                              <w:trPr>
                                <w:trHeight w:val="20"/>
                              </w:trPr>
                              <w:tc>
                                <w:tcPr>
                                  <w:tcW w:w="1134" w:type="dxa"/>
                                  <w:tcBorders>
                                    <w:top w:val="nil"/>
                                    <w:left w:val="nil"/>
                                    <w:bottom w:val="nil"/>
                                    <w:right w:val="nil"/>
                                  </w:tcBorders>
                                  <w:shd w:val="clear" w:color="auto" w:fill="auto"/>
                                  <w:noWrap/>
                                  <w:vAlign w:val="bottom"/>
                                  <w:hideMark/>
                                </w:tcPr>
                                <w:p w14:paraId="5259F204" w14:textId="77777777" w:rsidR="009F1A82" w:rsidRPr="00AE5894" w:rsidRDefault="009F1A82" w:rsidP="00AE5894">
                                  <w:pPr>
                                    <w:widowControl/>
                                    <w:snapToGrid w:val="0"/>
                                    <w:spacing w:line="240" w:lineRule="atLeast"/>
                                    <w:rPr>
                                      <w:rFonts w:ascii="標楷體" w:eastAsia="標楷體" w:hAnsi="標楷體" w:cs="新細明體"/>
                                      <w:b/>
                                      <w:bCs/>
                                      <w:color w:val="000000"/>
                                      <w:kern w:val="0"/>
                                    </w:rPr>
                                  </w:pPr>
                                </w:p>
                              </w:tc>
                              <w:tc>
                                <w:tcPr>
                                  <w:tcW w:w="4111" w:type="dxa"/>
                                  <w:gridSpan w:val="4"/>
                                  <w:tcBorders>
                                    <w:top w:val="nil"/>
                                    <w:left w:val="nil"/>
                                    <w:bottom w:val="nil"/>
                                    <w:right w:val="nil"/>
                                  </w:tcBorders>
                                  <w:shd w:val="clear" w:color="auto" w:fill="auto"/>
                                  <w:noWrap/>
                                  <w:vAlign w:val="center"/>
                                  <w:hideMark/>
                                </w:tcPr>
                                <w:p w14:paraId="5FA661F0"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單位：項、％</w:t>
                                  </w:r>
                                </w:p>
                              </w:tc>
                            </w:tr>
                            <w:tr w:rsidR="009F1A82" w:rsidRPr="00AE5894" w14:paraId="5FABDACA" w14:textId="77777777" w:rsidTr="00A52690">
                              <w:trPr>
                                <w:trHeight w:val="2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56D0FC" w14:textId="77777777" w:rsidR="009F1A82" w:rsidRPr="00AE5894" w:rsidRDefault="009F1A82" w:rsidP="00F35D95">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主管機關別</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C12A2"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機關名稱</w:t>
                                  </w:r>
                                </w:p>
                              </w:tc>
                              <w:tc>
                                <w:tcPr>
                                  <w:tcW w:w="993" w:type="dxa"/>
                                  <w:vMerge w:val="restart"/>
                                  <w:tcBorders>
                                    <w:top w:val="single" w:sz="4" w:space="0" w:color="auto"/>
                                    <w:left w:val="single" w:sz="4" w:space="0" w:color="auto"/>
                                    <w:bottom w:val="single" w:sz="4" w:space="0" w:color="000000"/>
                                    <w:right w:val="nil"/>
                                  </w:tcBorders>
                                  <w:shd w:val="clear" w:color="auto" w:fill="auto"/>
                                  <w:vAlign w:val="center"/>
                                  <w:hideMark/>
                                </w:tcPr>
                                <w:p w14:paraId="1883CECF"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盤點業務總項數</w:t>
                                  </w:r>
                                </w:p>
                              </w:tc>
                              <w:tc>
                                <w:tcPr>
                                  <w:tcW w:w="708" w:type="dxa"/>
                                  <w:tcBorders>
                                    <w:top w:val="single" w:sz="4" w:space="0" w:color="auto"/>
                                    <w:left w:val="nil"/>
                                    <w:bottom w:val="single" w:sz="4" w:space="0" w:color="auto"/>
                                    <w:right w:val="nil"/>
                                  </w:tcBorders>
                                  <w:shd w:val="clear" w:color="auto" w:fill="auto"/>
                                  <w:vAlign w:val="center"/>
                                  <w:hideMark/>
                                </w:tcPr>
                                <w:p w14:paraId="13A19BA4" w14:textId="77777777" w:rsidR="009F1A82" w:rsidRPr="00AE5894" w:rsidRDefault="009F1A82" w:rsidP="00AE5894">
                                  <w:pPr>
                                    <w:widowControl/>
                                    <w:snapToGrid w:val="0"/>
                                    <w:spacing w:line="240" w:lineRule="atLeast"/>
                                    <w:jc w:val="center"/>
                                    <w:rPr>
                                      <w:rFonts w:ascii="新細明體" w:hAnsi="新細明體" w:cs="新細明體"/>
                                      <w:color w:val="000000"/>
                                      <w:kern w:val="0"/>
                                      <w:sz w:val="22"/>
                                    </w:rPr>
                                  </w:pPr>
                                  <w:r w:rsidRPr="00AE5894">
                                    <w:rPr>
                                      <w:rFonts w:ascii="新細明體" w:hAnsi="新細明體" w:cs="新細明體" w:hint="eastAsia"/>
                                      <w:color w:val="000000"/>
                                      <w:kern w:val="0"/>
                                      <w:sz w:val="22"/>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9DC9E26" w14:textId="77777777" w:rsidR="009F1A82" w:rsidRPr="00AE5894" w:rsidRDefault="009F1A82" w:rsidP="00AE5894">
                                  <w:pPr>
                                    <w:widowControl/>
                                    <w:snapToGrid w:val="0"/>
                                    <w:spacing w:line="240" w:lineRule="atLeast"/>
                                    <w:jc w:val="center"/>
                                    <w:rPr>
                                      <w:rFonts w:ascii="新細明體" w:hAnsi="新細明體" w:cs="新細明體"/>
                                      <w:color w:val="000000"/>
                                      <w:kern w:val="0"/>
                                      <w:sz w:val="22"/>
                                    </w:rPr>
                                  </w:pPr>
                                  <w:r w:rsidRPr="00AE5894">
                                    <w:rPr>
                                      <w:rFonts w:ascii="新細明體" w:hAnsi="新細明體" w:cs="新細明體" w:hint="eastAsia"/>
                                      <w:color w:val="000000"/>
                                      <w:kern w:val="0"/>
                                      <w:sz w:val="22"/>
                                    </w:rPr>
                                    <w:t xml:space="preserve">　</w:t>
                                  </w:r>
                                </w:p>
                              </w:tc>
                            </w:tr>
                            <w:tr w:rsidR="009F1A82" w:rsidRPr="00AE5894" w14:paraId="1650204D" w14:textId="77777777" w:rsidTr="00A52690">
                              <w:trPr>
                                <w:trHeight w:val="20"/>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5EF5600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672EFC7"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993" w:type="dxa"/>
                                  <w:vMerge/>
                                  <w:tcBorders>
                                    <w:top w:val="single" w:sz="4" w:space="0" w:color="auto"/>
                                    <w:left w:val="single" w:sz="4" w:space="0" w:color="auto"/>
                                    <w:bottom w:val="single" w:sz="4" w:space="0" w:color="000000"/>
                                    <w:right w:val="nil"/>
                                  </w:tcBorders>
                                  <w:vAlign w:val="center"/>
                                  <w:hideMark/>
                                </w:tcPr>
                                <w:p w14:paraId="02654DFC"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6D61DD" w14:textId="77777777" w:rsidR="009F1A82" w:rsidRPr="00AE5894" w:rsidRDefault="009F1A82" w:rsidP="00F35D95">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具委外或檢討空間</w:t>
                                  </w:r>
                                  <w:r w:rsidRPr="00CD739F">
                                    <w:rPr>
                                      <w:rFonts w:ascii="標楷體" w:eastAsia="標楷體" w:hAnsi="標楷體" w:cs="新細明體" w:hint="eastAsia"/>
                                      <w:kern w:val="0"/>
                                      <w:sz w:val="20"/>
                                    </w:rPr>
                                    <w:t>（</w:t>
                                  </w:r>
                                  <w:proofErr w:type="gramStart"/>
                                  <w:r w:rsidRPr="00CD739F">
                                    <w:rPr>
                                      <w:rFonts w:ascii="標楷體" w:eastAsia="標楷體" w:hAnsi="標楷體" w:cs="新細明體" w:hint="eastAsia"/>
                                      <w:kern w:val="0"/>
                                      <w:sz w:val="20"/>
                                    </w:rPr>
                                    <w:t>註</w:t>
                                  </w:r>
                                  <w:proofErr w:type="gramEnd"/>
                                  <w:r w:rsidRPr="00CD739F">
                                    <w:rPr>
                                      <w:rFonts w:ascii="標楷體" w:eastAsia="標楷體" w:hAnsi="標楷體" w:cs="新細明體" w:hint="eastAsia"/>
                                      <w:kern w:val="0"/>
                                      <w:sz w:val="20"/>
                                    </w:rPr>
                                    <w:t>1）</w:t>
                                  </w:r>
                                </w:p>
                              </w:tc>
                            </w:tr>
                            <w:tr w:rsidR="009F1A82" w:rsidRPr="00AE5894" w14:paraId="00548C35" w14:textId="77777777" w:rsidTr="00A52690">
                              <w:trPr>
                                <w:trHeight w:val="20"/>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1AF3D93F"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7E201B8"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993" w:type="dxa"/>
                                  <w:vMerge/>
                                  <w:tcBorders>
                                    <w:top w:val="single" w:sz="4" w:space="0" w:color="auto"/>
                                    <w:left w:val="single" w:sz="4" w:space="0" w:color="auto"/>
                                    <w:bottom w:val="single" w:sz="4" w:space="0" w:color="000000"/>
                                    <w:right w:val="nil"/>
                                  </w:tcBorders>
                                  <w:vAlign w:val="center"/>
                                  <w:hideMark/>
                                </w:tcPr>
                                <w:p w14:paraId="5468B809"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50691EB4"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項數</w:t>
                                  </w:r>
                                </w:p>
                              </w:tc>
                              <w:tc>
                                <w:tcPr>
                                  <w:tcW w:w="709" w:type="dxa"/>
                                  <w:tcBorders>
                                    <w:top w:val="nil"/>
                                    <w:left w:val="nil"/>
                                    <w:bottom w:val="single" w:sz="4" w:space="0" w:color="auto"/>
                                    <w:right w:val="single" w:sz="4" w:space="0" w:color="auto"/>
                                  </w:tcBorders>
                                  <w:shd w:val="clear" w:color="auto" w:fill="auto"/>
                                  <w:vAlign w:val="center"/>
                                  <w:hideMark/>
                                </w:tcPr>
                                <w:p w14:paraId="6BCBB10F"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占比</w:t>
                                  </w:r>
                                </w:p>
                              </w:tc>
                            </w:tr>
                            <w:tr w:rsidR="009F1A82" w:rsidRPr="00AE5894" w14:paraId="6C457477"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937531"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勞動部</w:t>
                                  </w:r>
                                </w:p>
                              </w:tc>
                              <w:tc>
                                <w:tcPr>
                                  <w:tcW w:w="1701" w:type="dxa"/>
                                  <w:tcBorders>
                                    <w:top w:val="nil"/>
                                    <w:left w:val="nil"/>
                                    <w:bottom w:val="single" w:sz="4" w:space="0" w:color="auto"/>
                                    <w:right w:val="single" w:sz="4" w:space="0" w:color="auto"/>
                                  </w:tcBorders>
                                  <w:shd w:val="clear" w:color="auto" w:fill="auto"/>
                                  <w:noWrap/>
                                  <w:vAlign w:val="center"/>
                                  <w:hideMark/>
                                </w:tcPr>
                                <w:p w14:paraId="2203AB8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勞動部</w:t>
                                  </w:r>
                                </w:p>
                              </w:tc>
                              <w:tc>
                                <w:tcPr>
                                  <w:tcW w:w="993" w:type="dxa"/>
                                  <w:tcBorders>
                                    <w:top w:val="nil"/>
                                    <w:left w:val="nil"/>
                                    <w:bottom w:val="single" w:sz="4" w:space="0" w:color="auto"/>
                                    <w:right w:val="single" w:sz="4" w:space="0" w:color="auto"/>
                                  </w:tcBorders>
                                  <w:shd w:val="clear" w:color="auto" w:fill="auto"/>
                                  <w:noWrap/>
                                  <w:vAlign w:val="center"/>
                                  <w:hideMark/>
                                </w:tcPr>
                                <w:p w14:paraId="01D809E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319</w:t>
                                  </w:r>
                                </w:p>
                              </w:tc>
                              <w:tc>
                                <w:tcPr>
                                  <w:tcW w:w="708" w:type="dxa"/>
                                  <w:tcBorders>
                                    <w:top w:val="nil"/>
                                    <w:left w:val="nil"/>
                                    <w:bottom w:val="single" w:sz="4" w:space="0" w:color="auto"/>
                                    <w:right w:val="single" w:sz="4" w:space="0" w:color="auto"/>
                                  </w:tcBorders>
                                  <w:shd w:val="clear" w:color="auto" w:fill="auto"/>
                                  <w:noWrap/>
                                  <w:vAlign w:val="center"/>
                                  <w:hideMark/>
                                </w:tcPr>
                                <w:p w14:paraId="58017F3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172</w:t>
                                  </w:r>
                                </w:p>
                              </w:tc>
                              <w:tc>
                                <w:tcPr>
                                  <w:tcW w:w="709" w:type="dxa"/>
                                  <w:tcBorders>
                                    <w:top w:val="nil"/>
                                    <w:left w:val="nil"/>
                                    <w:bottom w:val="single" w:sz="4" w:space="0" w:color="auto"/>
                                    <w:right w:val="single" w:sz="4" w:space="0" w:color="auto"/>
                                  </w:tcBorders>
                                  <w:shd w:val="clear" w:color="auto" w:fill="auto"/>
                                  <w:noWrap/>
                                  <w:vAlign w:val="center"/>
                                  <w:hideMark/>
                                </w:tcPr>
                                <w:p w14:paraId="4C79808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53.92</w:t>
                                  </w:r>
                                </w:p>
                              </w:tc>
                            </w:tr>
                            <w:tr w:rsidR="009F1A82" w:rsidRPr="00AE5894" w14:paraId="2008ADF5"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3F91F1D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5CF89635"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勞動力發展署</w:t>
                                  </w:r>
                                </w:p>
                              </w:tc>
                              <w:tc>
                                <w:tcPr>
                                  <w:tcW w:w="993" w:type="dxa"/>
                                  <w:tcBorders>
                                    <w:top w:val="nil"/>
                                    <w:left w:val="nil"/>
                                    <w:bottom w:val="single" w:sz="4" w:space="0" w:color="auto"/>
                                    <w:right w:val="single" w:sz="4" w:space="0" w:color="auto"/>
                                  </w:tcBorders>
                                  <w:shd w:val="clear" w:color="auto" w:fill="auto"/>
                                  <w:noWrap/>
                                  <w:vAlign w:val="center"/>
                                  <w:hideMark/>
                                </w:tcPr>
                                <w:p w14:paraId="47A750CF"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333</w:t>
                                  </w:r>
                                </w:p>
                              </w:tc>
                              <w:tc>
                                <w:tcPr>
                                  <w:tcW w:w="708" w:type="dxa"/>
                                  <w:tcBorders>
                                    <w:top w:val="nil"/>
                                    <w:left w:val="nil"/>
                                    <w:bottom w:val="single" w:sz="4" w:space="0" w:color="auto"/>
                                    <w:right w:val="single" w:sz="4" w:space="0" w:color="auto"/>
                                  </w:tcBorders>
                                  <w:shd w:val="clear" w:color="auto" w:fill="auto"/>
                                  <w:noWrap/>
                                  <w:vAlign w:val="center"/>
                                  <w:hideMark/>
                                </w:tcPr>
                                <w:p w14:paraId="78D40211"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177</w:t>
                                  </w:r>
                                </w:p>
                              </w:tc>
                              <w:tc>
                                <w:tcPr>
                                  <w:tcW w:w="709" w:type="dxa"/>
                                  <w:tcBorders>
                                    <w:top w:val="nil"/>
                                    <w:left w:val="nil"/>
                                    <w:bottom w:val="single" w:sz="4" w:space="0" w:color="auto"/>
                                    <w:right w:val="single" w:sz="4" w:space="0" w:color="auto"/>
                                  </w:tcBorders>
                                  <w:shd w:val="clear" w:color="auto" w:fill="auto"/>
                                  <w:noWrap/>
                                  <w:vAlign w:val="center"/>
                                  <w:hideMark/>
                                </w:tcPr>
                                <w:p w14:paraId="78604374"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53.15</w:t>
                                  </w:r>
                                </w:p>
                              </w:tc>
                            </w:tr>
                            <w:tr w:rsidR="009F1A82" w:rsidRPr="00AE5894" w14:paraId="70573728"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08064A6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74600B74"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勞工保險局</w:t>
                                  </w:r>
                                </w:p>
                              </w:tc>
                              <w:tc>
                                <w:tcPr>
                                  <w:tcW w:w="993" w:type="dxa"/>
                                  <w:tcBorders>
                                    <w:top w:val="nil"/>
                                    <w:left w:val="nil"/>
                                    <w:bottom w:val="single" w:sz="4" w:space="0" w:color="auto"/>
                                    <w:right w:val="single" w:sz="4" w:space="0" w:color="auto"/>
                                  </w:tcBorders>
                                  <w:shd w:val="clear" w:color="auto" w:fill="auto"/>
                                  <w:noWrap/>
                                  <w:vAlign w:val="center"/>
                                  <w:hideMark/>
                                </w:tcPr>
                                <w:p w14:paraId="23A46564"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316</w:t>
                                  </w:r>
                                </w:p>
                              </w:tc>
                              <w:tc>
                                <w:tcPr>
                                  <w:tcW w:w="708" w:type="dxa"/>
                                  <w:tcBorders>
                                    <w:top w:val="nil"/>
                                    <w:left w:val="nil"/>
                                    <w:bottom w:val="single" w:sz="4" w:space="0" w:color="auto"/>
                                    <w:right w:val="single" w:sz="4" w:space="0" w:color="auto"/>
                                  </w:tcBorders>
                                  <w:shd w:val="clear" w:color="auto" w:fill="auto"/>
                                  <w:noWrap/>
                                  <w:vAlign w:val="center"/>
                                  <w:hideMark/>
                                </w:tcPr>
                                <w:p w14:paraId="74D277BB"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270</w:t>
                                  </w:r>
                                </w:p>
                              </w:tc>
                              <w:tc>
                                <w:tcPr>
                                  <w:tcW w:w="709" w:type="dxa"/>
                                  <w:tcBorders>
                                    <w:top w:val="nil"/>
                                    <w:left w:val="nil"/>
                                    <w:bottom w:val="single" w:sz="4" w:space="0" w:color="auto"/>
                                    <w:right w:val="single" w:sz="4" w:space="0" w:color="auto"/>
                                  </w:tcBorders>
                                  <w:shd w:val="clear" w:color="auto" w:fill="auto"/>
                                  <w:noWrap/>
                                  <w:vAlign w:val="center"/>
                                  <w:hideMark/>
                                </w:tcPr>
                                <w:p w14:paraId="494828EF"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85.44</w:t>
                                  </w:r>
                                </w:p>
                              </w:tc>
                            </w:tr>
                            <w:tr w:rsidR="009F1A82" w:rsidRPr="00AE5894" w14:paraId="2DF1D2DB"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EBEDAB"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交通部</w:t>
                                  </w:r>
                                </w:p>
                              </w:tc>
                              <w:tc>
                                <w:tcPr>
                                  <w:tcW w:w="1701" w:type="dxa"/>
                                  <w:tcBorders>
                                    <w:top w:val="nil"/>
                                    <w:left w:val="nil"/>
                                    <w:bottom w:val="single" w:sz="4" w:space="0" w:color="auto"/>
                                    <w:right w:val="single" w:sz="4" w:space="0" w:color="auto"/>
                                  </w:tcBorders>
                                  <w:shd w:val="clear" w:color="auto" w:fill="auto"/>
                                  <w:noWrap/>
                                  <w:vAlign w:val="center"/>
                                  <w:hideMark/>
                                </w:tcPr>
                                <w:p w14:paraId="6209A7F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交通部</w:t>
                                  </w:r>
                                </w:p>
                              </w:tc>
                              <w:tc>
                                <w:tcPr>
                                  <w:tcW w:w="993" w:type="dxa"/>
                                  <w:tcBorders>
                                    <w:top w:val="nil"/>
                                    <w:left w:val="nil"/>
                                    <w:bottom w:val="single" w:sz="4" w:space="0" w:color="auto"/>
                                    <w:right w:val="single" w:sz="4" w:space="0" w:color="auto"/>
                                  </w:tcBorders>
                                  <w:shd w:val="clear" w:color="auto" w:fill="auto"/>
                                  <w:noWrap/>
                                  <w:vAlign w:val="center"/>
                                  <w:hideMark/>
                                </w:tcPr>
                                <w:p w14:paraId="277C94D4"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322</w:t>
                                  </w:r>
                                </w:p>
                              </w:tc>
                              <w:tc>
                                <w:tcPr>
                                  <w:tcW w:w="708" w:type="dxa"/>
                                  <w:tcBorders>
                                    <w:top w:val="nil"/>
                                    <w:left w:val="nil"/>
                                    <w:bottom w:val="single" w:sz="4" w:space="0" w:color="auto"/>
                                    <w:right w:val="single" w:sz="4" w:space="0" w:color="auto"/>
                                  </w:tcBorders>
                                  <w:shd w:val="clear" w:color="auto" w:fill="auto"/>
                                  <w:noWrap/>
                                  <w:vAlign w:val="center"/>
                                  <w:hideMark/>
                                </w:tcPr>
                                <w:p w14:paraId="71665F68"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173</w:t>
                                  </w:r>
                                </w:p>
                              </w:tc>
                              <w:tc>
                                <w:tcPr>
                                  <w:tcW w:w="709" w:type="dxa"/>
                                  <w:tcBorders>
                                    <w:top w:val="nil"/>
                                    <w:left w:val="nil"/>
                                    <w:bottom w:val="single" w:sz="4" w:space="0" w:color="auto"/>
                                    <w:right w:val="single" w:sz="4" w:space="0" w:color="auto"/>
                                  </w:tcBorders>
                                  <w:shd w:val="clear" w:color="auto" w:fill="auto"/>
                                  <w:noWrap/>
                                  <w:vAlign w:val="center"/>
                                  <w:hideMark/>
                                </w:tcPr>
                                <w:p w14:paraId="7F67032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53.73</w:t>
                                  </w:r>
                                </w:p>
                              </w:tc>
                            </w:tr>
                            <w:tr w:rsidR="009F1A82" w:rsidRPr="00AE5894" w14:paraId="6DAFB05C"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3132D8A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06AD4D64"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公路局</w:t>
                                  </w:r>
                                </w:p>
                              </w:tc>
                              <w:tc>
                                <w:tcPr>
                                  <w:tcW w:w="993" w:type="dxa"/>
                                  <w:tcBorders>
                                    <w:top w:val="nil"/>
                                    <w:left w:val="nil"/>
                                    <w:bottom w:val="single" w:sz="4" w:space="0" w:color="auto"/>
                                    <w:right w:val="single" w:sz="4" w:space="0" w:color="auto"/>
                                  </w:tcBorders>
                                  <w:shd w:val="clear" w:color="auto" w:fill="auto"/>
                                  <w:noWrap/>
                                  <w:vAlign w:val="center"/>
                                  <w:hideMark/>
                                </w:tcPr>
                                <w:p w14:paraId="417EB1F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294</w:t>
                                  </w:r>
                                </w:p>
                              </w:tc>
                              <w:tc>
                                <w:tcPr>
                                  <w:tcW w:w="708" w:type="dxa"/>
                                  <w:tcBorders>
                                    <w:top w:val="nil"/>
                                    <w:left w:val="nil"/>
                                    <w:bottom w:val="single" w:sz="4" w:space="0" w:color="auto"/>
                                    <w:right w:val="single" w:sz="4" w:space="0" w:color="auto"/>
                                  </w:tcBorders>
                                  <w:shd w:val="clear" w:color="auto" w:fill="auto"/>
                                  <w:noWrap/>
                                  <w:vAlign w:val="center"/>
                                  <w:hideMark/>
                                </w:tcPr>
                                <w:p w14:paraId="347D68BB"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213</w:t>
                                  </w:r>
                                </w:p>
                              </w:tc>
                              <w:tc>
                                <w:tcPr>
                                  <w:tcW w:w="709" w:type="dxa"/>
                                  <w:tcBorders>
                                    <w:top w:val="nil"/>
                                    <w:left w:val="nil"/>
                                    <w:bottom w:val="single" w:sz="4" w:space="0" w:color="auto"/>
                                    <w:right w:val="single" w:sz="4" w:space="0" w:color="auto"/>
                                  </w:tcBorders>
                                  <w:shd w:val="clear" w:color="auto" w:fill="auto"/>
                                  <w:noWrap/>
                                  <w:vAlign w:val="center"/>
                                  <w:hideMark/>
                                </w:tcPr>
                                <w:p w14:paraId="4A27A347"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72.45</w:t>
                                  </w:r>
                                </w:p>
                              </w:tc>
                            </w:tr>
                            <w:tr w:rsidR="009F1A82" w:rsidRPr="00AE5894" w14:paraId="33EE3A81"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0DA3E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農業部</w:t>
                                  </w:r>
                                </w:p>
                              </w:tc>
                              <w:tc>
                                <w:tcPr>
                                  <w:tcW w:w="1701" w:type="dxa"/>
                                  <w:tcBorders>
                                    <w:top w:val="nil"/>
                                    <w:left w:val="nil"/>
                                    <w:bottom w:val="single" w:sz="4" w:space="0" w:color="auto"/>
                                    <w:right w:val="single" w:sz="4" w:space="0" w:color="auto"/>
                                  </w:tcBorders>
                                  <w:shd w:val="clear" w:color="auto" w:fill="auto"/>
                                  <w:noWrap/>
                                  <w:vAlign w:val="center"/>
                                  <w:hideMark/>
                                </w:tcPr>
                                <w:p w14:paraId="0E556661"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農業部</w:t>
                                  </w:r>
                                </w:p>
                              </w:tc>
                              <w:tc>
                                <w:tcPr>
                                  <w:tcW w:w="993" w:type="dxa"/>
                                  <w:tcBorders>
                                    <w:top w:val="nil"/>
                                    <w:left w:val="nil"/>
                                    <w:bottom w:val="single" w:sz="4" w:space="0" w:color="auto"/>
                                    <w:right w:val="single" w:sz="4" w:space="0" w:color="auto"/>
                                  </w:tcBorders>
                                  <w:shd w:val="clear" w:color="auto" w:fill="auto"/>
                                  <w:noWrap/>
                                  <w:vAlign w:val="center"/>
                                  <w:hideMark/>
                                </w:tcPr>
                                <w:p w14:paraId="7D455713"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307</w:t>
                                  </w:r>
                                </w:p>
                              </w:tc>
                              <w:tc>
                                <w:tcPr>
                                  <w:tcW w:w="708" w:type="dxa"/>
                                  <w:tcBorders>
                                    <w:top w:val="nil"/>
                                    <w:left w:val="nil"/>
                                    <w:bottom w:val="single" w:sz="4" w:space="0" w:color="auto"/>
                                    <w:right w:val="single" w:sz="4" w:space="0" w:color="auto"/>
                                  </w:tcBorders>
                                  <w:shd w:val="clear" w:color="auto" w:fill="auto"/>
                                  <w:noWrap/>
                                  <w:vAlign w:val="center"/>
                                  <w:hideMark/>
                                </w:tcPr>
                                <w:p w14:paraId="682A6AD0"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213</w:t>
                                  </w:r>
                                </w:p>
                              </w:tc>
                              <w:tc>
                                <w:tcPr>
                                  <w:tcW w:w="709" w:type="dxa"/>
                                  <w:tcBorders>
                                    <w:top w:val="nil"/>
                                    <w:left w:val="nil"/>
                                    <w:bottom w:val="single" w:sz="4" w:space="0" w:color="auto"/>
                                    <w:right w:val="single" w:sz="4" w:space="0" w:color="auto"/>
                                  </w:tcBorders>
                                  <w:shd w:val="clear" w:color="auto" w:fill="auto"/>
                                  <w:noWrap/>
                                  <w:vAlign w:val="center"/>
                                  <w:hideMark/>
                                </w:tcPr>
                                <w:p w14:paraId="3E509198"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69.38</w:t>
                                  </w:r>
                                </w:p>
                              </w:tc>
                            </w:tr>
                            <w:tr w:rsidR="009F1A82" w:rsidRPr="00AE5894" w14:paraId="6327EF65"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554728E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25F7F431"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動植物防疫檢疫署</w:t>
                                  </w:r>
                                </w:p>
                              </w:tc>
                              <w:tc>
                                <w:tcPr>
                                  <w:tcW w:w="993" w:type="dxa"/>
                                  <w:tcBorders>
                                    <w:top w:val="nil"/>
                                    <w:left w:val="nil"/>
                                    <w:bottom w:val="single" w:sz="4" w:space="0" w:color="auto"/>
                                    <w:right w:val="single" w:sz="4" w:space="0" w:color="auto"/>
                                  </w:tcBorders>
                                  <w:shd w:val="clear" w:color="auto" w:fill="auto"/>
                                  <w:noWrap/>
                                  <w:vAlign w:val="center"/>
                                  <w:hideMark/>
                                </w:tcPr>
                                <w:p w14:paraId="345FB4F9"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164</w:t>
                                  </w:r>
                                </w:p>
                              </w:tc>
                              <w:tc>
                                <w:tcPr>
                                  <w:tcW w:w="708" w:type="dxa"/>
                                  <w:tcBorders>
                                    <w:top w:val="nil"/>
                                    <w:left w:val="nil"/>
                                    <w:bottom w:val="single" w:sz="4" w:space="0" w:color="auto"/>
                                    <w:right w:val="single" w:sz="4" w:space="0" w:color="auto"/>
                                  </w:tcBorders>
                                  <w:shd w:val="clear" w:color="auto" w:fill="auto"/>
                                  <w:noWrap/>
                                  <w:vAlign w:val="center"/>
                                  <w:hideMark/>
                                </w:tcPr>
                                <w:p w14:paraId="56AE7EA3"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13</w:t>
                                  </w:r>
                                </w:p>
                              </w:tc>
                              <w:tc>
                                <w:tcPr>
                                  <w:tcW w:w="709" w:type="dxa"/>
                                  <w:tcBorders>
                                    <w:top w:val="nil"/>
                                    <w:left w:val="nil"/>
                                    <w:bottom w:val="single" w:sz="4" w:space="0" w:color="auto"/>
                                    <w:right w:val="single" w:sz="4" w:space="0" w:color="auto"/>
                                  </w:tcBorders>
                                  <w:shd w:val="clear" w:color="auto" w:fill="auto"/>
                                  <w:noWrap/>
                                  <w:vAlign w:val="center"/>
                                  <w:hideMark/>
                                </w:tcPr>
                                <w:p w14:paraId="7F3D064F"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7.93</w:t>
                                  </w:r>
                                </w:p>
                              </w:tc>
                            </w:tr>
                            <w:tr w:rsidR="009F1A82" w:rsidRPr="00AE5894" w14:paraId="0276C68E"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E17E8B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衛生福利部</w:t>
                                  </w:r>
                                </w:p>
                              </w:tc>
                              <w:tc>
                                <w:tcPr>
                                  <w:tcW w:w="1701" w:type="dxa"/>
                                  <w:tcBorders>
                                    <w:top w:val="nil"/>
                                    <w:left w:val="nil"/>
                                    <w:bottom w:val="single" w:sz="4" w:space="0" w:color="auto"/>
                                    <w:right w:val="single" w:sz="4" w:space="0" w:color="auto"/>
                                  </w:tcBorders>
                                  <w:shd w:val="clear" w:color="auto" w:fill="auto"/>
                                  <w:noWrap/>
                                  <w:vAlign w:val="center"/>
                                  <w:hideMark/>
                                </w:tcPr>
                                <w:p w14:paraId="46473AA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衛生福利部</w:t>
                                  </w:r>
                                </w:p>
                              </w:tc>
                              <w:tc>
                                <w:tcPr>
                                  <w:tcW w:w="993" w:type="dxa"/>
                                  <w:tcBorders>
                                    <w:top w:val="nil"/>
                                    <w:left w:val="nil"/>
                                    <w:bottom w:val="single" w:sz="4" w:space="0" w:color="auto"/>
                                    <w:right w:val="single" w:sz="4" w:space="0" w:color="auto"/>
                                  </w:tcBorders>
                                  <w:shd w:val="clear" w:color="auto" w:fill="auto"/>
                                  <w:noWrap/>
                                  <w:vAlign w:val="center"/>
                                  <w:hideMark/>
                                </w:tcPr>
                                <w:p w14:paraId="35A0E1EB"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621</w:t>
                                  </w:r>
                                </w:p>
                              </w:tc>
                              <w:tc>
                                <w:tcPr>
                                  <w:tcW w:w="708" w:type="dxa"/>
                                  <w:tcBorders>
                                    <w:top w:val="nil"/>
                                    <w:left w:val="nil"/>
                                    <w:bottom w:val="single" w:sz="4" w:space="0" w:color="auto"/>
                                    <w:right w:val="single" w:sz="4" w:space="0" w:color="auto"/>
                                  </w:tcBorders>
                                  <w:shd w:val="clear" w:color="auto" w:fill="auto"/>
                                  <w:noWrap/>
                                  <w:vAlign w:val="center"/>
                                  <w:hideMark/>
                                </w:tcPr>
                                <w:p w14:paraId="7807CD6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454</w:t>
                                  </w:r>
                                </w:p>
                              </w:tc>
                              <w:tc>
                                <w:tcPr>
                                  <w:tcW w:w="709" w:type="dxa"/>
                                  <w:tcBorders>
                                    <w:top w:val="nil"/>
                                    <w:left w:val="nil"/>
                                    <w:bottom w:val="single" w:sz="4" w:space="0" w:color="auto"/>
                                    <w:right w:val="single" w:sz="4" w:space="0" w:color="auto"/>
                                  </w:tcBorders>
                                  <w:shd w:val="clear" w:color="auto" w:fill="auto"/>
                                  <w:noWrap/>
                                  <w:vAlign w:val="center"/>
                                  <w:hideMark/>
                                </w:tcPr>
                                <w:p w14:paraId="5E5F20B6"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73.11</w:t>
                                  </w:r>
                                </w:p>
                              </w:tc>
                            </w:tr>
                            <w:tr w:rsidR="009F1A82" w:rsidRPr="00AE5894" w14:paraId="1F57D2C2"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21ABE04C"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59C88B9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食品及藥物管理署</w:t>
                                  </w:r>
                                </w:p>
                              </w:tc>
                              <w:tc>
                                <w:tcPr>
                                  <w:tcW w:w="993" w:type="dxa"/>
                                  <w:tcBorders>
                                    <w:top w:val="nil"/>
                                    <w:left w:val="nil"/>
                                    <w:bottom w:val="single" w:sz="4" w:space="0" w:color="auto"/>
                                    <w:right w:val="single" w:sz="4" w:space="0" w:color="auto"/>
                                  </w:tcBorders>
                                  <w:shd w:val="clear" w:color="auto" w:fill="auto"/>
                                  <w:noWrap/>
                                  <w:vAlign w:val="center"/>
                                  <w:hideMark/>
                                </w:tcPr>
                                <w:p w14:paraId="7DA10C3A"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379</w:t>
                                  </w:r>
                                </w:p>
                              </w:tc>
                              <w:tc>
                                <w:tcPr>
                                  <w:tcW w:w="708" w:type="dxa"/>
                                  <w:tcBorders>
                                    <w:top w:val="nil"/>
                                    <w:left w:val="nil"/>
                                    <w:bottom w:val="single" w:sz="4" w:space="0" w:color="auto"/>
                                    <w:right w:val="single" w:sz="4" w:space="0" w:color="auto"/>
                                  </w:tcBorders>
                                  <w:shd w:val="clear" w:color="auto" w:fill="auto"/>
                                  <w:noWrap/>
                                  <w:vAlign w:val="center"/>
                                  <w:hideMark/>
                                </w:tcPr>
                                <w:p w14:paraId="265F197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354</w:t>
                                  </w:r>
                                </w:p>
                              </w:tc>
                              <w:tc>
                                <w:tcPr>
                                  <w:tcW w:w="709" w:type="dxa"/>
                                  <w:tcBorders>
                                    <w:top w:val="nil"/>
                                    <w:left w:val="nil"/>
                                    <w:bottom w:val="single" w:sz="4" w:space="0" w:color="auto"/>
                                    <w:right w:val="single" w:sz="4" w:space="0" w:color="auto"/>
                                  </w:tcBorders>
                                  <w:shd w:val="clear" w:color="auto" w:fill="auto"/>
                                  <w:noWrap/>
                                  <w:vAlign w:val="center"/>
                                  <w:hideMark/>
                                </w:tcPr>
                                <w:p w14:paraId="2961932C" w14:textId="31077563"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93.4</w:t>
                                  </w:r>
                                  <w:r w:rsidR="004823D4">
                                    <w:rPr>
                                      <w:rFonts w:ascii="標楷體" w:eastAsia="標楷體" w:hAnsi="標楷體" w:cs="新細明體"/>
                                      <w:color w:val="000000"/>
                                      <w:kern w:val="0"/>
                                      <w:sz w:val="20"/>
                                    </w:rPr>
                                    <w:t>0</w:t>
                                  </w:r>
                                </w:p>
                              </w:tc>
                            </w:tr>
                            <w:tr w:rsidR="009F1A82" w:rsidRPr="00AE5894" w14:paraId="73A0D856"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073D12C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4D07106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社會及家庭署</w:t>
                                  </w:r>
                                </w:p>
                              </w:tc>
                              <w:tc>
                                <w:tcPr>
                                  <w:tcW w:w="993" w:type="dxa"/>
                                  <w:tcBorders>
                                    <w:top w:val="nil"/>
                                    <w:left w:val="nil"/>
                                    <w:bottom w:val="single" w:sz="4" w:space="0" w:color="auto"/>
                                    <w:right w:val="single" w:sz="4" w:space="0" w:color="auto"/>
                                  </w:tcBorders>
                                  <w:shd w:val="clear" w:color="auto" w:fill="auto"/>
                                  <w:noWrap/>
                                  <w:vAlign w:val="center"/>
                                  <w:hideMark/>
                                </w:tcPr>
                                <w:p w14:paraId="230CEF4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194</w:t>
                                  </w:r>
                                </w:p>
                              </w:tc>
                              <w:tc>
                                <w:tcPr>
                                  <w:tcW w:w="708" w:type="dxa"/>
                                  <w:tcBorders>
                                    <w:top w:val="nil"/>
                                    <w:left w:val="nil"/>
                                    <w:bottom w:val="single" w:sz="4" w:space="0" w:color="auto"/>
                                    <w:right w:val="single" w:sz="4" w:space="0" w:color="auto"/>
                                  </w:tcBorders>
                                  <w:shd w:val="clear" w:color="auto" w:fill="auto"/>
                                  <w:noWrap/>
                                  <w:vAlign w:val="center"/>
                                  <w:hideMark/>
                                </w:tcPr>
                                <w:p w14:paraId="4245131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142</w:t>
                                  </w:r>
                                </w:p>
                              </w:tc>
                              <w:tc>
                                <w:tcPr>
                                  <w:tcW w:w="709" w:type="dxa"/>
                                  <w:tcBorders>
                                    <w:top w:val="nil"/>
                                    <w:left w:val="nil"/>
                                    <w:bottom w:val="single" w:sz="4" w:space="0" w:color="auto"/>
                                    <w:right w:val="single" w:sz="4" w:space="0" w:color="auto"/>
                                  </w:tcBorders>
                                  <w:shd w:val="clear" w:color="auto" w:fill="auto"/>
                                  <w:noWrap/>
                                  <w:vAlign w:val="center"/>
                                  <w:hideMark/>
                                </w:tcPr>
                                <w:p w14:paraId="6EF978EC" w14:textId="062F1B74"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73.2</w:t>
                                  </w:r>
                                  <w:r w:rsidR="004823D4">
                                    <w:rPr>
                                      <w:rFonts w:ascii="標楷體" w:eastAsia="標楷體" w:hAnsi="標楷體" w:cs="新細明體"/>
                                      <w:color w:val="000000"/>
                                      <w:kern w:val="0"/>
                                      <w:sz w:val="20"/>
                                    </w:rPr>
                                    <w:t>0</w:t>
                                  </w:r>
                                </w:p>
                              </w:tc>
                            </w:tr>
                            <w:tr w:rsidR="009F1A82" w:rsidRPr="00AE5894" w14:paraId="7C327392" w14:textId="77777777" w:rsidTr="00A52690">
                              <w:trPr>
                                <w:trHeight w:val="20"/>
                              </w:trPr>
                              <w:tc>
                                <w:tcPr>
                                  <w:tcW w:w="5245" w:type="dxa"/>
                                  <w:gridSpan w:val="5"/>
                                  <w:tcBorders>
                                    <w:top w:val="single" w:sz="4" w:space="0" w:color="auto"/>
                                    <w:left w:val="nil"/>
                                    <w:bottom w:val="nil"/>
                                    <w:right w:val="nil"/>
                                  </w:tcBorders>
                                  <w:shd w:val="clear" w:color="auto" w:fill="auto"/>
                                  <w:noWrap/>
                                  <w:vAlign w:val="center"/>
                                  <w:hideMark/>
                                </w:tcPr>
                                <w:p w14:paraId="7C985CF1" w14:textId="77777777" w:rsidR="009F1A82" w:rsidRPr="00AE5894" w:rsidRDefault="009F1A82" w:rsidP="003643DC">
                                  <w:pPr>
                                    <w:widowControl/>
                                    <w:snapToGrid w:val="0"/>
                                    <w:spacing w:line="210" w:lineRule="exact"/>
                                    <w:ind w:left="450" w:hangingChars="250" w:hanging="450"/>
                                    <w:jc w:val="both"/>
                                    <w:rPr>
                                      <w:rFonts w:ascii="標楷體" w:eastAsia="標楷體" w:hAnsi="標楷體" w:cs="新細明體"/>
                                      <w:color w:val="000000"/>
                                      <w:kern w:val="0"/>
                                      <w:sz w:val="18"/>
                                      <w:szCs w:val="18"/>
                                    </w:rPr>
                                  </w:pPr>
                                  <w:proofErr w:type="gramStart"/>
                                  <w:r w:rsidRPr="00AE5894">
                                    <w:rPr>
                                      <w:rFonts w:ascii="標楷體" w:eastAsia="標楷體" w:hAnsi="標楷體" w:cs="新細明體" w:hint="eastAsia"/>
                                      <w:color w:val="000000"/>
                                      <w:kern w:val="0"/>
                                      <w:sz w:val="18"/>
                                      <w:szCs w:val="18"/>
                                    </w:rPr>
                                    <w:t>註</w:t>
                                  </w:r>
                                  <w:proofErr w:type="gramEnd"/>
                                  <w:r w:rsidRPr="00AE5894">
                                    <w:rPr>
                                      <w:rFonts w:ascii="標楷體" w:eastAsia="標楷體" w:hAnsi="標楷體" w:cs="新細明體" w:hint="eastAsia"/>
                                      <w:color w:val="000000"/>
                                      <w:kern w:val="0"/>
                                      <w:sz w:val="18"/>
                                      <w:szCs w:val="18"/>
                                    </w:rPr>
                                    <w:t>：1.「具委外或檢討空間」係指機關將業務可檢討程度歸類為「可完全委外」、「可部分委外」、「無委外空間，但可數位資訊化、工作簡化或調整辦理頻率等」或「可去任務化」。</w:t>
                                  </w:r>
                                </w:p>
                              </w:tc>
                            </w:tr>
                            <w:tr w:rsidR="009F1A82" w:rsidRPr="00AE5894" w14:paraId="33CDA2B8" w14:textId="77777777" w:rsidTr="00A52690">
                              <w:trPr>
                                <w:trHeight w:val="20"/>
                              </w:trPr>
                              <w:tc>
                                <w:tcPr>
                                  <w:tcW w:w="5245" w:type="dxa"/>
                                  <w:gridSpan w:val="5"/>
                                  <w:tcBorders>
                                    <w:top w:val="nil"/>
                                    <w:left w:val="nil"/>
                                    <w:bottom w:val="nil"/>
                                    <w:right w:val="nil"/>
                                  </w:tcBorders>
                                  <w:shd w:val="clear" w:color="auto" w:fill="auto"/>
                                  <w:noWrap/>
                                  <w:vAlign w:val="center"/>
                                  <w:hideMark/>
                                </w:tcPr>
                                <w:p w14:paraId="3688A924" w14:textId="77777777" w:rsidR="009F1A82" w:rsidRPr="00AE5894" w:rsidRDefault="009F1A82" w:rsidP="003643DC">
                                  <w:pPr>
                                    <w:widowControl/>
                                    <w:snapToGrid w:val="0"/>
                                    <w:spacing w:line="210" w:lineRule="exact"/>
                                    <w:ind w:leftChars="130" w:left="312"/>
                                    <w:jc w:val="both"/>
                                    <w:rPr>
                                      <w:rFonts w:ascii="標楷體" w:eastAsia="標楷體" w:hAnsi="標楷體" w:cs="新細明體"/>
                                      <w:color w:val="000000"/>
                                      <w:kern w:val="0"/>
                                      <w:sz w:val="18"/>
                                      <w:szCs w:val="18"/>
                                    </w:rPr>
                                  </w:pPr>
                                  <w:r w:rsidRPr="00AE5894">
                                    <w:rPr>
                                      <w:rFonts w:ascii="標楷體" w:eastAsia="標楷體" w:hAnsi="標楷體" w:cs="新細明體" w:hint="eastAsia"/>
                                      <w:color w:val="000000"/>
                                      <w:kern w:val="0"/>
                                      <w:sz w:val="18"/>
                                      <w:szCs w:val="18"/>
                                    </w:rPr>
                                    <w:t>2.113年員額評鑑作業係就112年業務予以盤點。</w:t>
                                  </w:r>
                                </w:p>
                              </w:tc>
                            </w:tr>
                            <w:tr w:rsidR="009F1A82" w:rsidRPr="00AE5894" w14:paraId="533D2122" w14:textId="77777777" w:rsidTr="00A52690">
                              <w:trPr>
                                <w:trHeight w:val="20"/>
                              </w:trPr>
                              <w:tc>
                                <w:tcPr>
                                  <w:tcW w:w="5245" w:type="dxa"/>
                                  <w:gridSpan w:val="5"/>
                                  <w:tcBorders>
                                    <w:top w:val="nil"/>
                                    <w:left w:val="nil"/>
                                    <w:bottom w:val="nil"/>
                                    <w:right w:val="nil"/>
                                  </w:tcBorders>
                                  <w:shd w:val="clear" w:color="auto" w:fill="auto"/>
                                  <w:noWrap/>
                                  <w:vAlign w:val="center"/>
                                  <w:hideMark/>
                                </w:tcPr>
                                <w:p w14:paraId="72E8421C" w14:textId="77777777" w:rsidR="009F1A82" w:rsidRPr="00AE5894" w:rsidRDefault="009F1A82" w:rsidP="003643DC">
                                  <w:pPr>
                                    <w:widowControl/>
                                    <w:snapToGrid w:val="0"/>
                                    <w:spacing w:line="210" w:lineRule="exact"/>
                                    <w:ind w:leftChars="130" w:left="312"/>
                                    <w:jc w:val="both"/>
                                    <w:rPr>
                                      <w:rFonts w:ascii="標楷體" w:eastAsia="標楷體" w:hAnsi="標楷體" w:cs="新細明體"/>
                                      <w:color w:val="000000"/>
                                      <w:kern w:val="0"/>
                                      <w:sz w:val="18"/>
                                      <w:szCs w:val="18"/>
                                    </w:rPr>
                                  </w:pPr>
                                  <w:r w:rsidRPr="00AE5894">
                                    <w:rPr>
                                      <w:rFonts w:ascii="標楷體" w:eastAsia="標楷體" w:hAnsi="標楷體" w:cs="新細明體" w:hint="eastAsia"/>
                                      <w:color w:val="000000"/>
                                      <w:kern w:val="0"/>
                                      <w:sz w:val="18"/>
                                      <w:szCs w:val="18"/>
                                    </w:rPr>
                                    <w:t>3.資料來源：整理自有關機關提供資料。</w:t>
                                  </w:r>
                                </w:p>
                              </w:tc>
                            </w:tr>
                          </w:tbl>
                          <w:p w14:paraId="6B2D0405" w14:textId="77777777" w:rsidR="009F1A82" w:rsidRPr="00AE5894" w:rsidRDefault="009F1A82" w:rsidP="009F1A8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B984F3" id="_x0000_s1144" type="#_x0000_t202" style="position:absolute;left:0;text-align:left;margin-left:213.1pt;margin-top:409.55pt;width:273.6pt;height:292.6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" filled="f" stroked="f">
                <v:textbox>
                  <w:txbxContent>
                    <w:tbl>
                      <w:tblPr>
                        <w:tblW w:w="5245" w:type="dxa"/>
                        <w:tblCellMar>
                          <w:left w:w="28" w:type="dxa"/>
                          <w:right w:w="28" w:type="dxa"/>
                        </w:tblCellMar>
                        <w:tblLook w:val="04A0" w:firstRow="1" w:lastRow="0" w:firstColumn="1" w:lastColumn="0" w:noHBand="0" w:noVBand="1"/>
                      </w:tblPr>
                      <w:tblGrid>
                        <w:gridCol w:w="1134"/>
                        <w:gridCol w:w="1701"/>
                        <w:gridCol w:w="993"/>
                        <w:gridCol w:w="708"/>
                        <w:gridCol w:w="709"/>
                      </w:tblGrid>
                      <w:tr w:rsidR="009F1A82" w:rsidRPr="00AE5894" w14:paraId="4E37EBB2" w14:textId="77777777" w:rsidTr="00A52690">
                        <w:trPr>
                          <w:trHeight w:val="20"/>
                        </w:trPr>
                        <w:tc>
                          <w:tcPr>
                            <w:tcW w:w="5245" w:type="dxa"/>
                            <w:gridSpan w:val="5"/>
                            <w:tcBorders>
                              <w:top w:val="nil"/>
                              <w:left w:val="nil"/>
                              <w:bottom w:val="nil"/>
                              <w:right w:val="nil"/>
                            </w:tcBorders>
                            <w:shd w:val="clear" w:color="auto" w:fill="auto"/>
                            <w:vAlign w:val="center"/>
                            <w:hideMark/>
                          </w:tcPr>
                          <w:p w14:paraId="4254E73D" w14:textId="77777777" w:rsidR="009F1A82" w:rsidRPr="00AE5894" w:rsidRDefault="009F1A82" w:rsidP="00C51502">
                            <w:pPr>
                              <w:widowControl/>
                              <w:snapToGrid w:val="0"/>
                              <w:spacing w:line="280" w:lineRule="exact"/>
                              <w:ind w:leftChars="23" w:left="841" w:hangingChars="327" w:hanging="786"/>
                              <w:jc w:val="both"/>
                              <w:rPr>
                                <w:rFonts w:ascii="標楷體" w:eastAsia="標楷體" w:hAnsi="標楷體" w:cs="新細明體"/>
                                <w:b/>
                                <w:bCs/>
                                <w:color w:val="000000"/>
                                <w:kern w:val="0"/>
                              </w:rPr>
                            </w:pPr>
                            <w:r w:rsidRPr="00AE589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Pr>
                                <w:rFonts w:ascii="標楷體" w:eastAsia="標楷體" w:hAnsi="標楷體" w:cs="新細明體"/>
                                <w:b/>
                                <w:bCs/>
                                <w:color w:val="000000"/>
                                <w:kern w:val="0"/>
                              </w:rPr>
                              <w:t>9</w:t>
                            </w:r>
                            <w:r w:rsidRPr="002F0B36">
                              <w:rPr>
                                <w:rFonts w:ascii="標楷體" w:eastAsia="標楷體" w:hAnsi="標楷體" w:cs="新細明體" w:hint="eastAsia"/>
                                <w:b/>
                                <w:bCs/>
                                <w:kern w:val="0"/>
                              </w:rPr>
                              <w:t xml:space="preserve">  </w:t>
                            </w:r>
                            <w:proofErr w:type="gramStart"/>
                            <w:r w:rsidRPr="002F0B36">
                              <w:rPr>
                                <w:rFonts w:ascii="標楷體" w:eastAsia="標楷體" w:hAnsi="標楷體" w:cs="新細明體" w:hint="eastAsia"/>
                                <w:b/>
                                <w:bCs/>
                                <w:kern w:val="0"/>
                              </w:rPr>
                              <w:t>本部抽核行政院</w:t>
                            </w:r>
                            <w:proofErr w:type="gramEnd"/>
                            <w:r w:rsidRPr="002F0B36">
                              <w:rPr>
                                <w:rFonts w:ascii="標楷體" w:eastAsia="標楷體" w:hAnsi="標楷體" w:cs="新細明體" w:hint="eastAsia"/>
                                <w:b/>
                                <w:bCs/>
                                <w:kern w:val="0"/>
                              </w:rPr>
                              <w:t>所屬機關</w:t>
                            </w:r>
                            <w:proofErr w:type="gramStart"/>
                            <w:r w:rsidRPr="002F0B36">
                              <w:rPr>
                                <w:rFonts w:ascii="標楷體" w:eastAsia="標楷體" w:hAnsi="標楷體" w:cs="新細明體" w:hint="eastAsia"/>
                                <w:b/>
                                <w:bCs/>
                                <w:kern w:val="0"/>
                              </w:rPr>
                              <w:t>113</w:t>
                            </w:r>
                            <w:proofErr w:type="gramEnd"/>
                            <w:r w:rsidRPr="002F0B36">
                              <w:rPr>
                                <w:rFonts w:ascii="標楷體" w:eastAsia="標楷體" w:hAnsi="標楷體" w:cs="新細明體" w:hint="eastAsia"/>
                                <w:b/>
                                <w:bCs/>
                                <w:kern w:val="0"/>
                              </w:rPr>
                              <w:t>年度員額評鑑業務盤點情形</w:t>
                            </w:r>
                          </w:p>
                        </w:tc>
                      </w:tr>
                      <w:tr w:rsidR="009F1A82" w:rsidRPr="00AE5894" w14:paraId="0D080FE7" w14:textId="77777777" w:rsidTr="00A52690">
                        <w:trPr>
                          <w:trHeight w:val="20"/>
                        </w:trPr>
                        <w:tc>
                          <w:tcPr>
                            <w:tcW w:w="1134" w:type="dxa"/>
                            <w:tcBorders>
                              <w:top w:val="nil"/>
                              <w:left w:val="nil"/>
                              <w:bottom w:val="nil"/>
                              <w:right w:val="nil"/>
                            </w:tcBorders>
                            <w:shd w:val="clear" w:color="auto" w:fill="auto"/>
                            <w:noWrap/>
                            <w:vAlign w:val="bottom"/>
                            <w:hideMark/>
                          </w:tcPr>
                          <w:p w14:paraId="5259F204" w14:textId="77777777" w:rsidR="009F1A82" w:rsidRPr="00AE5894" w:rsidRDefault="009F1A82" w:rsidP="00AE5894">
                            <w:pPr>
                              <w:widowControl/>
                              <w:snapToGrid w:val="0"/>
                              <w:spacing w:line="240" w:lineRule="atLeast"/>
                              <w:rPr>
                                <w:rFonts w:ascii="標楷體" w:eastAsia="標楷體" w:hAnsi="標楷體" w:cs="新細明體"/>
                                <w:b/>
                                <w:bCs/>
                                <w:color w:val="000000"/>
                                <w:kern w:val="0"/>
                              </w:rPr>
                            </w:pPr>
                          </w:p>
                        </w:tc>
                        <w:tc>
                          <w:tcPr>
                            <w:tcW w:w="4111" w:type="dxa"/>
                            <w:gridSpan w:val="4"/>
                            <w:tcBorders>
                              <w:top w:val="nil"/>
                              <w:left w:val="nil"/>
                              <w:bottom w:val="nil"/>
                              <w:right w:val="nil"/>
                            </w:tcBorders>
                            <w:shd w:val="clear" w:color="auto" w:fill="auto"/>
                            <w:noWrap/>
                            <w:vAlign w:val="center"/>
                            <w:hideMark/>
                          </w:tcPr>
                          <w:p w14:paraId="5FA661F0"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單位：項、％</w:t>
                            </w:r>
                          </w:p>
                        </w:tc>
                      </w:tr>
                      <w:tr w:rsidR="009F1A82" w:rsidRPr="00AE5894" w14:paraId="5FABDACA" w14:textId="77777777" w:rsidTr="00A52690">
                        <w:trPr>
                          <w:trHeight w:val="2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56D0FC" w14:textId="77777777" w:rsidR="009F1A82" w:rsidRPr="00AE5894" w:rsidRDefault="009F1A82" w:rsidP="00F35D95">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主管機關別</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C12A2"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機關名稱</w:t>
                            </w:r>
                          </w:p>
                        </w:tc>
                        <w:tc>
                          <w:tcPr>
                            <w:tcW w:w="993" w:type="dxa"/>
                            <w:vMerge w:val="restart"/>
                            <w:tcBorders>
                              <w:top w:val="single" w:sz="4" w:space="0" w:color="auto"/>
                              <w:left w:val="single" w:sz="4" w:space="0" w:color="auto"/>
                              <w:bottom w:val="single" w:sz="4" w:space="0" w:color="000000"/>
                              <w:right w:val="nil"/>
                            </w:tcBorders>
                            <w:shd w:val="clear" w:color="auto" w:fill="auto"/>
                            <w:vAlign w:val="center"/>
                            <w:hideMark/>
                          </w:tcPr>
                          <w:p w14:paraId="1883CECF"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盤點業務總項數</w:t>
                            </w:r>
                          </w:p>
                        </w:tc>
                        <w:tc>
                          <w:tcPr>
                            <w:tcW w:w="708" w:type="dxa"/>
                            <w:tcBorders>
                              <w:top w:val="single" w:sz="4" w:space="0" w:color="auto"/>
                              <w:left w:val="nil"/>
                              <w:bottom w:val="single" w:sz="4" w:space="0" w:color="auto"/>
                              <w:right w:val="nil"/>
                            </w:tcBorders>
                            <w:shd w:val="clear" w:color="auto" w:fill="auto"/>
                            <w:vAlign w:val="center"/>
                            <w:hideMark/>
                          </w:tcPr>
                          <w:p w14:paraId="13A19BA4" w14:textId="77777777" w:rsidR="009F1A82" w:rsidRPr="00AE5894" w:rsidRDefault="009F1A82" w:rsidP="00AE5894">
                            <w:pPr>
                              <w:widowControl/>
                              <w:snapToGrid w:val="0"/>
                              <w:spacing w:line="240" w:lineRule="atLeast"/>
                              <w:jc w:val="center"/>
                              <w:rPr>
                                <w:rFonts w:ascii="新細明體" w:hAnsi="新細明體" w:cs="新細明體"/>
                                <w:color w:val="000000"/>
                                <w:kern w:val="0"/>
                                <w:sz w:val="22"/>
                              </w:rPr>
                            </w:pPr>
                            <w:r w:rsidRPr="00AE5894">
                              <w:rPr>
                                <w:rFonts w:ascii="新細明體" w:hAnsi="新細明體" w:cs="新細明體" w:hint="eastAsia"/>
                                <w:color w:val="000000"/>
                                <w:kern w:val="0"/>
                                <w:sz w:val="22"/>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9DC9E26" w14:textId="77777777" w:rsidR="009F1A82" w:rsidRPr="00AE5894" w:rsidRDefault="009F1A82" w:rsidP="00AE5894">
                            <w:pPr>
                              <w:widowControl/>
                              <w:snapToGrid w:val="0"/>
                              <w:spacing w:line="240" w:lineRule="atLeast"/>
                              <w:jc w:val="center"/>
                              <w:rPr>
                                <w:rFonts w:ascii="新細明體" w:hAnsi="新細明體" w:cs="新細明體"/>
                                <w:color w:val="000000"/>
                                <w:kern w:val="0"/>
                                <w:sz w:val="22"/>
                              </w:rPr>
                            </w:pPr>
                            <w:r w:rsidRPr="00AE5894">
                              <w:rPr>
                                <w:rFonts w:ascii="新細明體" w:hAnsi="新細明體" w:cs="新細明體" w:hint="eastAsia"/>
                                <w:color w:val="000000"/>
                                <w:kern w:val="0"/>
                                <w:sz w:val="22"/>
                              </w:rPr>
                              <w:t xml:space="preserve">　</w:t>
                            </w:r>
                          </w:p>
                        </w:tc>
                      </w:tr>
                      <w:tr w:rsidR="009F1A82" w:rsidRPr="00AE5894" w14:paraId="1650204D" w14:textId="77777777" w:rsidTr="00A52690">
                        <w:trPr>
                          <w:trHeight w:val="20"/>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5EF5600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672EFC7"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993" w:type="dxa"/>
                            <w:vMerge/>
                            <w:tcBorders>
                              <w:top w:val="single" w:sz="4" w:space="0" w:color="auto"/>
                              <w:left w:val="single" w:sz="4" w:space="0" w:color="auto"/>
                              <w:bottom w:val="single" w:sz="4" w:space="0" w:color="000000"/>
                              <w:right w:val="nil"/>
                            </w:tcBorders>
                            <w:vAlign w:val="center"/>
                            <w:hideMark/>
                          </w:tcPr>
                          <w:p w14:paraId="02654DFC"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6D61DD" w14:textId="77777777" w:rsidR="009F1A82" w:rsidRPr="00AE5894" w:rsidRDefault="009F1A82" w:rsidP="00F35D95">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具委外或檢討空間</w:t>
                            </w:r>
                            <w:r w:rsidRPr="00CD739F">
                              <w:rPr>
                                <w:rFonts w:ascii="標楷體" w:eastAsia="標楷體" w:hAnsi="標楷體" w:cs="新細明體" w:hint="eastAsia"/>
                                <w:kern w:val="0"/>
                                <w:sz w:val="20"/>
                              </w:rPr>
                              <w:t>（</w:t>
                            </w:r>
                            <w:proofErr w:type="gramStart"/>
                            <w:r w:rsidRPr="00CD739F">
                              <w:rPr>
                                <w:rFonts w:ascii="標楷體" w:eastAsia="標楷體" w:hAnsi="標楷體" w:cs="新細明體" w:hint="eastAsia"/>
                                <w:kern w:val="0"/>
                                <w:sz w:val="20"/>
                              </w:rPr>
                              <w:t>註</w:t>
                            </w:r>
                            <w:proofErr w:type="gramEnd"/>
                            <w:r w:rsidRPr="00CD739F">
                              <w:rPr>
                                <w:rFonts w:ascii="標楷體" w:eastAsia="標楷體" w:hAnsi="標楷體" w:cs="新細明體" w:hint="eastAsia"/>
                                <w:kern w:val="0"/>
                                <w:sz w:val="20"/>
                              </w:rPr>
                              <w:t>1）</w:t>
                            </w:r>
                          </w:p>
                        </w:tc>
                      </w:tr>
                      <w:tr w:rsidR="009F1A82" w:rsidRPr="00AE5894" w14:paraId="00548C35" w14:textId="77777777" w:rsidTr="00A52690">
                        <w:trPr>
                          <w:trHeight w:val="20"/>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1AF3D93F"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7E201B8"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993" w:type="dxa"/>
                            <w:vMerge/>
                            <w:tcBorders>
                              <w:top w:val="single" w:sz="4" w:space="0" w:color="auto"/>
                              <w:left w:val="single" w:sz="4" w:space="0" w:color="auto"/>
                              <w:bottom w:val="single" w:sz="4" w:space="0" w:color="000000"/>
                              <w:right w:val="nil"/>
                            </w:tcBorders>
                            <w:vAlign w:val="center"/>
                            <w:hideMark/>
                          </w:tcPr>
                          <w:p w14:paraId="5468B809"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50691EB4"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項數</w:t>
                            </w:r>
                          </w:p>
                        </w:tc>
                        <w:tc>
                          <w:tcPr>
                            <w:tcW w:w="709" w:type="dxa"/>
                            <w:tcBorders>
                              <w:top w:val="nil"/>
                              <w:left w:val="nil"/>
                              <w:bottom w:val="single" w:sz="4" w:space="0" w:color="auto"/>
                              <w:right w:val="single" w:sz="4" w:space="0" w:color="auto"/>
                            </w:tcBorders>
                            <w:shd w:val="clear" w:color="auto" w:fill="auto"/>
                            <w:vAlign w:val="center"/>
                            <w:hideMark/>
                          </w:tcPr>
                          <w:p w14:paraId="6BCBB10F" w14:textId="77777777" w:rsidR="009F1A82" w:rsidRPr="00AE5894" w:rsidRDefault="009F1A82" w:rsidP="00AE5894">
                            <w:pPr>
                              <w:widowControl/>
                              <w:snapToGrid w:val="0"/>
                              <w:spacing w:line="240" w:lineRule="atLeast"/>
                              <w:jc w:val="center"/>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占比</w:t>
                            </w:r>
                          </w:p>
                        </w:tc>
                      </w:tr>
                      <w:tr w:rsidR="009F1A82" w:rsidRPr="00AE5894" w14:paraId="6C457477"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937531"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勞動部</w:t>
                            </w:r>
                          </w:p>
                        </w:tc>
                        <w:tc>
                          <w:tcPr>
                            <w:tcW w:w="1701" w:type="dxa"/>
                            <w:tcBorders>
                              <w:top w:val="nil"/>
                              <w:left w:val="nil"/>
                              <w:bottom w:val="single" w:sz="4" w:space="0" w:color="auto"/>
                              <w:right w:val="single" w:sz="4" w:space="0" w:color="auto"/>
                            </w:tcBorders>
                            <w:shd w:val="clear" w:color="auto" w:fill="auto"/>
                            <w:noWrap/>
                            <w:vAlign w:val="center"/>
                            <w:hideMark/>
                          </w:tcPr>
                          <w:p w14:paraId="2203AB8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勞動部</w:t>
                            </w:r>
                          </w:p>
                        </w:tc>
                        <w:tc>
                          <w:tcPr>
                            <w:tcW w:w="993" w:type="dxa"/>
                            <w:tcBorders>
                              <w:top w:val="nil"/>
                              <w:left w:val="nil"/>
                              <w:bottom w:val="single" w:sz="4" w:space="0" w:color="auto"/>
                              <w:right w:val="single" w:sz="4" w:space="0" w:color="auto"/>
                            </w:tcBorders>
                            <w:shd w:val="clear" w:color="auto" w:fill="auto"/>
                            <w:noWrap/>
                            <w:vAlign w:val="center"/>
                            <w:hideMark/>
                          </w:tcPr>
                          <w:p w14:paraId="01D809E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319</w:t>
                            </w:r>
                          </w:p>
                        </w:tc>
                        <w:tc>
                          <w:tcPr>
                            <w:tcW w:w="708" w:type="dxa"/>
                            <w:tcBorders>
                              <w:top w:val="nil"/>
                              <w:left w:val="nil"/>
                              <w:bottom w:val="single" w:sz="4" w:space="0" w:color="auto"/>
                              <w:right w:val="single" w:sz="4" w:space="0" w:color="auto"/>
                            </w:tcBorders>
                            <w:shd w:val="clear" w:color="auto" w:fill="auto"/>
                            <w:noWrap/>
                            <w:vAlign w:val="center"/>
                            <w:hideMark/>
                          </w:tcPr>
                          <w:p w14:paraId="58017F3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172</w:t>
                            </w:r>
                          </w:p>
                        </w:tc>
                        <w:tc>
                          <w:tcPr>
                            <w:tcW w:w="709" w:type="dxa"/>
                            <w:tcBorders>
                              <w:top w:val="nil"/>
                              <w:left w:val="nil"/>
                              <w:bottom w:val="single" w:sz="4" w:space="0" w:color="auto"/>
                              <w:right w:val="single" w:sz="4" w:space="0" w:color="auto"/>
                            </w:tcBorders>
                            <w:shd w:val="clear" w:color="auto" w:fill="auto"/>
                            <w:noWrap/>
                            <w:vAlign w:val="center"/>
                            <w:hideMark/>
                          </w:tcPr>
                          <w:p w14:paraId="4C79808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53.92</w:t>
                            </w:r>
                          </w:p>
                        </w:tc>
                      </w:tr>
                      <w:tr w:rsidR="009F1A82" w:rsidRPr="00AE5894" w14:paraId="2008ADF5"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3F91F1D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5CF89635"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勞動力發展署</w:t>
                            </w:r>
                          </w:p>
                        </w:tc>
                        <w:tc>
                          <w:tcPr>
                            <w:tcW w:w="993" w:type="dxa"/>
                            <w:tcBorders>
                              <w:top w:val="nil"/>
                              <w:left w:val="nil"/>
                              <w:bottom w:val="single" w:sz="4" w:space="0" w:color="auto"/>
                              <w:right w:val="single" w:sz="4" w:space="0" w:color="auto"/>
                            </w:tcBorders>
                            <w:shd w:val="clear" w:color="auto" w:fill="auto"/>
                            <w:noWrap/>
                            <w:vAlign w:val="center"/>
                            <w:hideMark/>
                          </w:tcPr>
                          <w:p w14:paraId="47A750CF"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333</w:t>
                            </w:r>
                          </w:p>
                        </w:tc>
                        <w:tc>
                          <w:tcPr>
                            <w:tcW w:w="708" w:type="dxa"/>
                            <w:tcBorders>
                              <w:top w:val="nil"/>
                              <w:left w:val="nil"/>
                              <w:bottom w:val="single" w:sz="4" w:space="0" w:color="auto"/>
                              <w:right w:val="single" w:sz="4" w:space="0" w:color="auto"/>
                            </w:tcBorders>
                            <w:shd w:val="clear" w:color="auto" w:fill="auto"/>
                            <w:noWrap/>
                            <w:vAlign w:val="center"/>
                            <w:hideMark/>
                          </w:tcPr>
                          <w:p w14:paraId="78D40211"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177</w:t>
                            </w:r>
                          </w:p>
                        </w:tc>
                        <w:tc>
                          <w:tcPr>
                            <w:tcW w:w="709" w:type="dxa"/>
                            <w:tcBorders>
                              <w:top w:val="nil"/>
                              <w:left w:val="nil"/>
                              <w:bottom w:val="single" w:sz="4" w:space="0" w:color="auto"/>
                              <w:right w:val="single" w:sz="4" w:space="0" w:color="auto"/>
                            </w:tcBorders>
                            <w:shd w:val="clear" w:color="auto" w:fill="auto"/>
                            <w:noWrap/>
                            <w:vAlign w:val="center"/>
                            <w:hideMark/>
                          </w:tcPr>
                          <w:p w14:paraId="78604374"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53.15</w:t>
                            </w:r>
                          </w:p>
                        </w:tc>
                      </w:tr>
                      <w:tr w:rsidR="009F1A82" w:rsidRPr="00AE5894" w14:paraId="70573728"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08064A6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74600B74"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勞工保險局</w:t>
                            </w:r>
                          </w:p>
                        </w:tc>
                        <w:tc>
                          <w:tcPr>
                            <w:tcW w:w="993" w:type="dxa"/>
                            <w:tcBorders>
                              <w:top w:val="nil"/>
                              <w:left w:val="nil"/>
                              <w:bottom w:val="single" w:sz="4" w:space="0" w:color="auto"/>
                              <w:right w:val="single" w:sz="4" w:space="0" w:color="auto"/>
                            </w:tcBorders>
                            <w:shd w:val="clear" w:color="auto" w:fill="auto"/>
                            <w:noWrap/>
                            <w:vAlign w:val="center"/>
                            <w:hideMark/>
                          </w:tcPr>
                          <w:p w14:paraId="23A46564"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316</w:t>
                            </w:r>
                          </w:p>
                        </w:tc>
                        <w:tc>
                          <w:tcPr>
                            <w:tcW w:w="708" w:type="dxa"/>
                            <w:tcBorders>
                              <w:top w:val="nil"/>
                              <w:left w:val="nil"/>
                              <w:bottom w:val="single" w:sz="4" w:space="0" w:color="auto"/>
                              <w:right w:val="single" w:sz="4" w:space="0" w:color="auto"/>
                            </w:tcBorders>
                            <w:shd w:val="clear" w:color="auto" w:fill="auto"/>
                            <w:noWrap/>
                            <w:vAlign w:val="center"/>
                            <w:hideMark/>
                          </w:tcPr>
                          <w:p w14:paraId="74D277BB"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270</w:t>
                            </w:r>
                          </w:p>
                        </w:tc>
                        <w:tc>
                          <w:tcPr>
                            <w:tcW w:w="709" w:type="dxa"/>
                            <w:tcBorders>
                              <w:top w:val="nil"/>
                              <w:left w:val="nil"/>
                              <w:bottom w:val="single" w:sz="4" w:space="0" w:color="auto"/>
                              <w:right w:val="single" w:sz="4" w:space="0" w:color="auto"/>
                            </w:tcBorders>
                            <w:shd w:val="clear" w:color="auto" w:fill="auto"/>
                            <w:noWrap/>
                            <w:vAlign w:val="center"/>
                            <w:hideMark/>
                          </w:tcPr>
                          <w:p w14:paraId="494828EF"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85.44</w:t>
                            </w:r>
                          </w:p>
                        </w:tc>
                      </w:tr>
                      <w:tr w:rsidR="009F1A82" w:rsidRPr="00AE5894" w14:paraId="2DF1D2DB"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EBEDAB"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交通部</w:t>
                            </w:r>
                          </w:p>
                        </w:tc>
                        <w:tc>
                          <w:tcPr>
                            <w:tcW w:w="1701" w:type="dxa"/>
                            <w:tcBorders>
                              <w:top w:val="nil"/>
                              <w:left w:val="nil"/>
                              <w:bottom w:val="single" w:sz="4" w:space="0" w:color="auto"/>
                              <w:right w:val="single" w:sz="4" w:space="0" w:color="auto"/>
                            </w:tcBorders>
                            <w:shd w:val="clear" w:color="auto" w:fill="auto"/>
                            <w:noWrap/>
                            <w:vAlign w:val="center"/>
                            <w:hideMark/>
                          </w:tcPr>
                          <w:p w14:paraId="6209A7F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交通部</w:t>
                            </w:r>
                          </w:p>
                        </w:tc>
                        <w:tc>
                          <w:tcPr>
                            <w:tcW w:w="993" w:type="dxa"/>
                            <w:tcBorders>
                              <w:top w:val="nil"/>
                              <w:left w:val="nil"/>
                              <w:bottom w:val="single" w:sz="4" w:space="0" w:color="auto"/>
                              <w:right w:val="single" w:sz="4" w:space="0" w:color="auto"/>
                            </w:tcBorders>
                            <w:shd w:val="clear" w:color="auto" w:fill="auto"/>
                            <w:noWrap/>
                            <w:vAlign w:val="center"/>
                            <w:hideMark/>
                          </w:tcPr>
                          <w:p w14:paraId="277C94D4"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322</w:t>
                            </w:r>
                          </w:p>
                        </w:tc>
                        <w:tc>
                          <w:tcPr>
                            <w:tcW w:w="708" w:type="dxa"/>
                            <w:tcBorders>
                              <w:top w:val="nil"/>
                              <w:left w:val="nil"/>
                              <w:bottom w:val="single" w:sz="4" w:space="0" w:color="auto"/>
                              <w:right w:val="single" w:sz="4" w:space="0" w:color="auto"/>
                            </w:tcBorders>
                            <w:shd w:val="clear" w:color="auto" w:fill="auto"/>
                            <w:noWrap/>
                            <w:vAlign w:val="center"/>
                            <w:hideMark/>
                          </w:tcPr>
                          <w:p w14:paraId="71665F68"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173</w:t>
                            </w:r>
                          </w:p>
                        </w:tc>
                        <w:tc>
                          <w:tcPr>
                            <w:tcW w:w="709" w:type="dxa"/>
                            <w:tcBorders>
                              <w:top w:val="nil"/>
                              <w:left w:val="nil"/>
                              <w:bottom w:val="single" w:sz="4" w:space="0" w:color="auto"/>
                              <w:right w:val="single" w:sz="4" w:space="0" w:color="auto"/>
                            </w:tcBorders>
                            <w:shd w:val="clear" w:color="auto" w:fill="auto"/>
                            <w:noWrap/>
                            <w:vAlign w:val="center"/>
                            <w:hideMark/>
                          </w:tcPr>
                          <w:p w14:paraId="7F67032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53.73</w:t>
                            </w:r>
                          </w:p>
                        </w:tc>
                      </w:tr>
                      <w:tr w:rsidR="009F1A82" w:rsidRPr="00AE5894" w14:paraId="6DAFB05C"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3132D8A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06AD4D64"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公路局</w:t>
                            </w:r>
                          </w:p>
                        </w:tc>
                        <w:tc>
                          <w:tcPr>
                            <w:tcW w:w="993" w:type="dxa"/>
                            <w:tcBorders>
                              <w:top w:val="nil"/>
                              <w:left w:val="nil"/>
                              <w:bottom w:val="single" w:sz="4" w:space="0" w:color="auto"/>
                              <w:right w:val="single" w:sz="4" w:space="0" w:color="auto"/>
                            </w:tcBorders>
                            <w:shd w:val="clear" w:color="auto" w:fill="auto"/>
                            <w:noWrap/>
                            <w:vAlign w:val="center"/>
                            <w:hideMark/>
                          </w:tcPr>
                          <w:p w14:paraId="417EB1F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294</w:t>
                            </w:r>
                          </w:p>
                        </w:tc>
                        <w:tc>
                          <w:tcPr>
                            <w:tcW w:w="708" w:type="dxa"/>
                            <w:tcBorders>
                              <w:top w:val="nil"/>
                              <w:left w:val="nil"/>
                              <w:bottom w:val="single" w:sz="4" w:space="0" w:color="auto"/>
                              <w:right w:val="single" w:sz="4" w:space="0" w:color="auto"/>
                            </w:tcBorders>
                            <w:shd w:val="clear" w:color="auto" w:fill="auto"/>
                            <w:noWrap/>
                            <w:vAlign w:val="center"/>
                            <w:hideMark/>
                          </w:tcPr>
                          <w:p w14:paraId="347D68BB"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213</w:t>
                            </w:r>
                          </w:p>
                        </w:tc>
                        <w:tc>
                          <w:tcPr>
                            <w:tcW w:w="709" w:type="dxa"/>
                            <w:tcBorders>
                              <w:top w:val="nil"/>
                              <w:left w:val="nil"/>
                              <w:bottom w:val="single" w:sz="4" w:space="0" w:color="auto"/>
                              <w:right w:val="single" w:sz="4" w:space="0" w:color="auto"/>
                            </w:tcBorders>
                            <w:shd w:val="clear" w:color="auto" w:fill="auto"/>
                            <w:noWrap/>
                            <w:vAlign w:val="center"/>
                            <w:hideMark/>
                          </w:tcPr>
                          <w:p w14:paraId="4A27A347"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72.45</w:t>
                            </w:r>
                          </w:p>
                        </w:tc>
                      </w:tr>
                      <w:tr w:rsidR="009F1A82" w:rsidRPr="00AE5894" w14:paraId="33EE3A81"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0DA3E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農業部</w:t>
                            </w:r>
                          </w:p>
                        </w:tc>
                        <w:tc>
                          <w:tcPr>
                            <w:tcW w:w="1701" w:type="dxa"/>
                            <w:tcBorders>
                              <w:top w:val="nil"/>
                              <w:left w:val="nil"/>
                              <w:bottom w:val="single" w:sz="4" w:space="0" w:color="auto"/>
                              <w:right w:val="single" w:sz="4" w:space="0" w:color="auto"/>
                            </w:tcBorders>
                            <w:shd w:val="clear" w:color="auto" w:fill="auto"/>
                            <w:noWrap/>
                            <w:vAlign w:val="center"/>
                            <w:hideMark/>
                          </w:tcPr>
                          <w:p w14:paraId="0E556661"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農業部</w:t>
                            </w:r>
                          </w:p>
                        </w:tc>
                        <w:tc>
                          <w:tcPr>
                            <w:tcW w:w="993" w:type="dxa"/>
                            <w:tcBorders>
                              <w:top w:val="nil"/>
                              <w:left w:val="nil"/>
                              <w:bottom w:val="single" w:sz="4" w:space="0" w:color="auto"/>
                              <w:right w:val="single" w:sz="4" w:space="0" w:color="auto"/>
                            </w:tcBorders>
                            <w:shd w:val="clear" w:color="auto" w:fill="auto"/>
                            <w:noWrap/>
                            <w:vAlign w:val="center"/>
                            <w:hideMark/>
                          </w:tcPr>
                          <w:p w14:paraId="7D455713"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307</w:t>
                            </w:r>
                          </w:p>
                        </w:tc>
                        <w:tc>
                          <w:tcPr>
                            <w:tcW w:w="708" w:type="dxa"/>
                            <w:tcBorders>
                              <w:top w:val="nil"/>
                              <w:left w:val="nil"/>
                              <w:bottom w:val="single" w:sz="4" w:space="0" w:color="auto"/>
                              <w:right w:val="single" w:sz="4" w:space="0" w:color="auto"/>
                            </w:tcBorders>
                            <w:shd w:val="clear" w:color="auto" w:fill="auto"/>
                            <w:noWrap/>
                            <w:vAlign w:val="center"/>
                            <w:hideMark/>
                          </w:tcPr>
                          <w:p w14:paraId="682A6AD0"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213</w:t>
                            </w:r>
                          </w:p>
                        </w:tc>
                        <w:tc>
                          <w:tcPr>
                            <w:tcW w:w="709" w:type="dxa"/>
                            <w:tcBorders>
                              <w:top w:val="nil"/>
                              <w:left w:val="nil"/>
                              <w:bottom w:val="single" w:sz="4" w:space="0" w:color="auto"/>
                              <w:right w:val="single" w:sz="4" w:space="0" w:color="auto"/>
                            </w:tcBorders>
                            <w:shd w:val="clear" w:color="auto" w:fill="auto"/>
                            <w:noWrap/>
                            <w:vAlign w:val="center"/>
                            <w:hideMark/>
                          </w:tcPr>
                          <w:p w14:paraId="3E509198"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69.38</w:t>
                            </w:r>
                          </w:p>
                        </w:tc>
                      </w:tr>
                      <w:tr w:rsidR="009F1A82" w:rsidRPr="00AE5894" w14:paraId="6327EF65"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554728E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25F7F431"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動植物防疫檢疫署</w:t>
                            </w:r>
                          </w:p>
                        </w:tc>
                        <w:tc>
                          <w:tcPr>
                            <w:tcW w:w="993" w:type="dxa"/>
                            <w:tcBorders>
                              <w:top w:val="nil"/>
                              <w:left w:val="nil"/>
                              <w:bottom w:val="single" w:sz="4" w:space="0" w:color="auto"/>
                              <w:right w:val="single" w:sz="4" w:space="0" w:color="auto"/>
                            </w:tcBorders>
                            <w:shd w:val="clear" w:color="auto" w:fill="auto"/>
                            <w:noWrap/>
                            <w:vAlign w:val="center"/>
                            <w:hideMark/>
                          </w:tcPr>
                          <w:p w14:paraId="345FB4F9"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164</w:t>
                            </w:r>
                          </w:p>
                        </w:tc>
                        <w:tc>
                          <w:tcPr>
                            <w:tcW w:w="708" w:type="dxa"/>
                            <w:tcBorders>
                              <w:top w:val="nil"/>
                              <w:left w:val="nil"/>
                              <w:bottom w:val="single" w:sz="4" w:space="0" w:color="auto"/>
                              <w:right w:val="single" w:sz="4" w:space="0" w:color="auto"/>
                            </w:tcBorders>
                            <w:shd w:val="clear" w:color="auto" w:fill="auto"/>
                            <w:noWrap/>
                            <w:vAlign w:val="center"/>
                            <w:hideMark/>
                          </w:tcPr>
                          <w:p w14:paraId="56AE7EA3"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13</w:t>
                            </w:r>
                          </w:p>
                        </w:tc>
                        <w:tc>
                          <w:tcPr>
                            <w:tcW w:w="709" w:type="dxa"/>
                            <w:tcBorders>
                              <w:top w:val="nil"/>
                              <w:left w:val="nil"/>
                              <w:bottom w:val="single" w:sz="4" w:space="0" w:color="auto"/>
                              <w:right w:val="single" w:sz="4" w:space="0" w:color="auto"/>
                            </w:tcBorders>
                            <w:shd w:val="clear" w:color="auto" w:fill="auto"/>
                            <w:noWrap/>
                            <w:vAlign w:val="center"/>
                            <w:hideMark/>
                          </w:tcPr>
                          <w:p w14:paraId="7F3D064F"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7.93</w:t>
                            </w:r>
                          </w:p>
                        </w:tc>
                      </w:tr>
                      <w:tr w:rsidR="009F1A82" w:rsidRPr="00AE5894" w14:paraId="0276C68E" w14:textId="77777777" w:rsidTr="00A52690">
                        <w:trPr>
                          <w:trHeight w:val="20"/>
                        </w:trPr>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E17E8B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衛生福利部</w:t>
                            </w:r>
                          </w:p>
                        </w:tc>
                        <w:tc>
                          <w:tcPr>
                            <w:tcW w:w="1701" w:type="dxa"/>
                            <w:tcBorders>
                              <w:top w:val="nil"/>
                              <w:left w:val="nil"/>
                              <w:bottom w:val="single" w:sz="4" w:space="0" w:color="auto"/>
                              <w:right w:val="single" w:sz="4" w:space="0" w:color="auto"/>
                            </w:tcBorders>
                            <w:shd w:val="clear" w:color="auto" w:fill="auto"/>
                            <w:noWrap/>
                            <w:vAlign w:val="center"/>
                            <w:hideMark/>
                          </w:tcPr>
                          <w:p w14:paraId="46473AA0"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衛生福利部</w:t>
                            </w:r>
                          </w:p>
                        </w:tc>
                        <w:tc>
                          <w:tcPr>
                            <w:tcW w:w="993" w:type="dxa"/>
                            <w:tcBorders>
                              <w:top w:val="nil"/>
                              <w:left w:val="nil"/>
                              <w:bottom w:val="single" w:sz="4" w:space="0" w:color="auto"/>
                              <w:right w:val="single" w:sz="4" w:space="0" w:color="auto"/>
                            </w:tcBorders>
                            <w:shd w:val="clear" w:color="auto" w:fill="auto"/>
                            <w:noWrap/>
                            <w:vAlign w:val="center"/>
                            <w:hideMark/>
                          </w:tcPr>
                          <w:p w14:paraId="35A0E1EB"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621</w:t>
                            </w:r>
                          </w:p>
                        </w:tc>
                        <w:tc>
                          <w:tcPr>
                            <w:tcW w:w="708" w:type="dxa"/>
                            <w:tcBorders>
                              <w:top w:val="nil"/>
                              <w:left w:val="nil"/>
                              <w:bottom w:val="single" w:sz="4" w:space="0" w:color="auto"/>
                              <w:right w:val="single" w:sz="4" w:space="0" w:color="auto"/>
                            </w:tcBorders>
                            <w:shd w:val="clear" w:color="auto" w:fill="auto"/>
                            <w:noWrap/>
                            <w:vAlign w:val="center"/>
                            <w:hideMark/>
                          </w:tcPr>
                          <w:p w14:paraId="7807CD6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454</w:t>
                            </w:r>
                          </w:p>
                        </w:tc>
                        <w:tc>
                          <w:tcPr>
                            <w:tcW w:w="709" w:type="dxa"/>
                            <w:tcBorders>
                              <w:top w:val="nil"/>
                              <w:left w:val="nil"/>
                              <w:bottom w:val="single" w:sz="4" w:space="0" w:color="auto"/>
                              <w:right w:val="single" w:sz="4" w:space="0" w:color="auto"/>
                            </w:tcBorders>
                            <w:shd w:val="clear" w:color="auto" w:fill="auto"/>
                            <w:noWrap/>
                            <w:vAlign w:val="center"/>
                            <w:hideMark/>
                          </w:tcPr>
                          <w:p w14:paraId="5E5F20B6"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73.11</w:t>
                            </w:r>
                          </w:p>
                        </w:tc>
                      </w:tr>
                      <w:tr w:rsidR="009F1A82" w:rsidRPr="00AE5894" w14:paraId="1F57D2C2"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21ABE04C"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59C88B9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食品及藥物管理署</w:t>
                            </w:r>
                          </w:p>
                        </w:tc>
                        <w:tc>
                          <w:tcPr>
                            <w:tcW w:w="993" w:type="dxa"/>
                            <w:tcBorders>
                              <w:top w:val="nil"/>
                              <w:left w:val="nil"/>
                              <w:bottom w:val="single" w:sz="4" w:space="0" w:color="auto"/>
                              <w:right w:val="single" w:sz="4" w:space="0" w:color="auto"/>
                            </w:tcBorders>
                            <w:shd w:val="clear" w:color="auto" w:fill="auto"/>
                            <w:noWrap/>
                            <w:vAlign w:val="center"/>
                            <w:hideMark/>
                          </w:tcPr>
                          <w:p w14:paraId="7DA10C3A"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379</w:t>
                            </w:r>
                          </w:p>
                        </w:tc>
                        <w:tc>
                          <w:tcPr>
                            <w:tcW w:w="708" w:type="dxa"/>
                            <w:tcBorders>
                              <w:top w:val="nil"/>
                              <w:left w:val="nil"/>
                              <w:bottom w:val="single" w:sz="4" w:space="0" w:color="auto"/>
                              <w:right w:val="single" w:sz="4" w:space="0" w:color="auto"/>
                            </w:tcBorders>
                            <w:shd w:val="clear" w:color="auto" w:fill="auto"/>
                            <w:noWrap/>
                            <w:vAlign w:val="center"/>
                            <w:hideMark/>
                          </w:tcPr>
                          <w:p w14:paraId="265F197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354</w:t>
                            </w:r>
                          </w:p>
                        </w:tc>
                        <w:tc>
                          <w:tcPr>
                            <w:tcW w:w="709" w:type="dxa"/>
                            <w:tcBorders>
                              <w:top w:val="nil"/>
                              <w:left w:val="nil"/>
                              <w:bottom w:val="single" w:sz="4" w:space="0" w:color="auto"/>
                              <w:right w:val="single" w:sz="4" w:space="0" w:color="auto"/>
                            </w:tcBorders>
                            <w:shd w:val="clear" w:color="auto" w:fill="auto"/>
                            <w:noWrap/>
                            <w:vAlign w:val="center"/>
                            <w:hideMark/>
                          </w:tcPr>
                          <w:p w14:paraId="2961932C" w14:textId="31077563"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93.4</w:t>
                            </w:r>
                            <w:r w:rsidR="004823D4">
                              <w:rPr>
                                <w:rFonts w:ascii="標楷體" w:eastAsia="標楷體" w:hAnsi="標楷體" w:cs="新細明體"/>
                                <w:color w:val="000000"/>
                                <w:kern w:val="0"/>
                                <w:sz w:val="20"/>
                              </w:rPr>
                              <w:t>0</w:t>
                            </w:r>
                          </w:p>
                        </w:tc>
                      </w:tr>
                      <w:tr w:rsidR="009F1A82" w:rsidRPr="00AE5894" w14:paraId="73A0D856" w14:textId="77777777" w:rsidTr="00A52690">
                        <w:trPr>
                          <w:trHeight w:val="20"/>
                        </w:trPr>
                        <w:tc>
                          <w:tcPr>
                            <w:tcW w:w="1134" w:type="dxa"/>
                            <w:vMerge/>
                            <w:tcBorders>
                              <w:top w:val="nil"/>
                              <w:left w:val="single" w:sz="4" w:space="0" w:color="auto"/>
                              <w:bottom w:val="single" w:sz="4" w:space="0" w:color="auto"/>
                              <w:right w:val="single" w:sz="4" w:space="0" w:color="auto"/>
                            </w:tcBorders>
                            <w:vAlign w:val="center"/>
                            <w:hideMark/>
                          </w:tcPr>
                          <w:p w14:paraId="073D12CE"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p>
                        </w:tc>
                        <w:tc>
                          <w:tcPr>
                            <w:tcW w:w="1701" w:type="dxa"/>
                            <w:tcBorders>
                              <w:top w:val="nil"/>
                              <w:left w:val="nil"/>
                              <w:bottom w:val="single" w:sz="4" w:space="0" w:color="auto"/>
                              <w:right w:val="single" w:sz="4" w:space="0" w:color="auto"/>
                            </w:tcBorders>
                            <w:shd w:val="clear" w:color="auto" w:fill="auto"/>
                            <w:noWrap/>
                            <w:vAlign w:val="center"/>
                            <w:hideMark/>
                          </w:tcPr>
                          <w:p w14:paraId="4D071066" w14:textId="77777777" w:rsidR="009F1A82" w:rsidRPr="00AE5894" w:rsidRDefault="009F1A82" w:rsidP="00AE5894">
                            <w:pPr>
                              <w:widowControl/>
                              <w:snapToGrid w:val="0"/>
                              <w:spacing w:line="240" w:lineRule="atLeas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社會及家庭署</w:t>
                            </w:r>
                          </w:p>
                        </w:tc>
                        <w:tc>
                          <w:tcPr>
                            <w:tcW w:w="993" w:type="dxa"/>
                            <w:tcBorders>
                              <w:top w:val="nil"/>
                              <w:left w:val="nil"/>
                              <w:bottom w:val="single" w:sz="4" w:space="0" w:color="auto"/>
                              <w:right w:val="single" w:sz="4" w:space="0" w:color="auto"/>
                            </w:tcBorders>
                            <w:shd w:val="clear" w:color="auto" w:fill="auto"/>
                            <w:noWrap/>
                            <w:vAlign w:val="center"/>
                            <w:hideMark/>
                          </w:tcPr>
                          <w:p w14:paraId="230CEF4D"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194</w:t>
                            </w:r>
                          </w:p>
                        </w:tc>
                        <w:tc>
                          <w:tcPr>
                            <w:tcW w:w="708" w:type="dxa"/>
                            <w:tcBorders>
                              <w:top w:val="nil"/>
                              <w:left w:val="nil"/>
                              <w:bottom w:val="single" w:sz="4" w:space="0" w:color="auto"/>
                              <w:right w:val="single" w:sz="4" w:space="0" w:color="auto"/>
                            </w:tcBorders>
                            <w:shd w:val="clear" w:color="auto" w:fill="auto"/>
                            <w:noWrap/>
                            <w:vAlign w:val="center"/>
                            <w:hideMark/>
                          </w:tcPr>
                          <w:p w14:paraId="42451312" w14:textId="77777777"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142</w:t>
                            </w:r>
                          </w:p>
                        </w:tc>
                        <w:tc>
                          <w:tcPr>
                            <w:tcW w:w="709" w:type="dxa"/>
                            <w:tcBorders>
                              <w:top w:val="nil"/>
                              <w:left w:val="nil"/>
                              <w:bottom w:val="single" w:sz="4" w:space="0" w:color="auto"/>
                              <w:right w:val="single" w:sz="4" w:space="0" w:color="auto"/>
                            </w:tcBorders>
                            <w:shd w:val="clear" w:color="auto" w:fill="auto"/>
                            <w:noWrap/>
                            <w:vAlign w:val="center"/>
                            <w:hideMark/>
                          </w:tcPr>
                          <w:p w14:paraId="6EF978EC" w14:textId="062F1B74" w:rsidR="009F1A82" w:rsidRPr="00AE5894" w:rsidRDefault="009F1A82" w:rsidP="00AE5894">
                            <w:pPr>
                              <w:widowControl/>
                              <w:snapToGrid w:val="0"/>
                              <w:spacing w:line="240" w:lineRule="atLeast"/>
                              <w:jc w:val="right"/>
                              <w:rPr>
                                <w:rFonts w:ascii="標楷體" w:eastAsia="標楷體" w:hAnsi="標楷體" w:cs="新細明體"/>
                                <w:color w:val="000000"/>
                                <w:kern w:val="0"/>
                                <w:sz w:val="20"/>
                              </w:rPr>
                            </w:pPr>
                            <w:r w:rsidRPr="00AE5894">
                              <w:rPr>
                                <w:rFonts w:ascii="標楷體" w:eastAsia="標楷體" w:hAnsi="標楷體" w:cs="新細明體" w:hint="eastAsia"/>
                                <w:color w:val="000000"/>
                                <w:kern w:val="0"/>
                                <w:sz w:val="20"/>
                              </w:rPr>
                              <w:t>73.2</w:t>
                            </w:r>
                            <w:r w:rsidR="004823D4">
                              <w:rPr>
                                <w:rFonts w:ascii="標楷體" w:eastAsia="標楷體" w:hAnsi="標楷體" w:cs="新細明體"/>
                                <w:color w:val="000000"/>
                                <w:kern w:val="0"/>
                                <w:sz w:val="20"/>
                              </w:rPr>
                              <w:t>0</w:t>
                            </w:r>
                          </w:p>
                        </w:tc>
                      </w:tr>
                      <w:tr w:rsidR="009F1A82" w:rsidRPr="00AE5894" w14:paraId="7C327392" w14:textId="77777777" w:rsidTr="00A52690">
                        <w:trPr>
                          <w:trHeight w:val="20"/>
                        </w:trPr>
                        <w:tc>
                          <w:tcPr>
                            <w:tcW w:w="5245" w:type="dxa"/>
                            <w:gridSpan w:val="5"/>
                            <w:tcBorders>
                              <w:top w:val="single" w:sz="4" w:space="0" w:color="auto"/>
                              <w:left w:val="nil"/>
                              <w:bottom w:val="nil"/>
                              <w:right w:val="nil"/>
                            </w:tcBorders>
                            <w:shd w:val="clear" w:color="auto" w:fill="auto"/>
                            <w:noWrap/>
                            <w:vAlign w:val="center"/>
                            <w:hideMark/>
                          </w:tcPr>
                          <w:p w14:paraId="7C985CF1" w14:textId="77777777" w:rsidR="009F1A82" w:rsidRPr="00AE5894" w:rsidRDefault="009F1A82" w:rsidP="003643DC">
                            <w:pPr>
                              <w:widowControl/>
                              <w:snapToGrid w:val="0"/>
                              <w:spacing w:line="210" w:lineRule="exact"/>
                              <w:ind w:left="450" w:hangingChars="250" w:hanging="450"/>
                              <w:jc w:val="both"/>
                              <w:rPr>
                                <w:rFonts w:ascii="標楷體" w:eastAsia="標楷體" w:hAnsi="標楷體" w:cs="新細明體"/>
                                <w:color w:val="000000"/>
                                <w:kern w:val="0"/>
                                <w:sz w:val="18"/>
                                <w:szCs w:val="18"/>
                              </w:rPr>
                            </w:pPr>
                            <w:proofErr w:type="gramStart"/>
                            <w:r w:rsidRPr="00AE5894">
                              <w:rPr>
                                <w:rFonts w:ascii="標楷體" w:eastAsia="標楷體" w:hAnsi="標楷體" w:cs="新細明體" w:hint="eastAsia"/>
                                <w:color w:val="000000"/>
                                <w:kern w:val="0"/>
                                <w:sz w:val="18"/>
                                <w:szCs w:val="18"/>
                              </w:rPr>
                              <w:t>註</w:t>
                            </w:r>
                            <w:proofErr w:type="gramEnd"/>
                            <w:r w:rsidRPr="00AE5894">
                              <w:rPr>
                                <w:rFonts w:ascii="標楷體" w:eastAsia="標楷體" w:hAnsi="標楷體" w:cs="新細明體" w:hint="eastAsia"/>
                                <w:color w:val="000000"/>
                                <w:kern w:val="0"/>
                                <w:sz w:val="18"/>
                                <w:szCs w:val="18"/>
                              </w:rPr>
                              <w:t>：1.「具委外或檢討空間」係指機關將業務可檢討程度歸類為「可完全委外」、「可部分委外」、「無委外空間，但可數位資訊化、工作簡化或調整辦理頻率等」或「可去任務化」。</w:t>
                            </w:r>
                          </w:p>
                        </w:tc>
                      </w:tr>
                      <w:tr w:rsidR="009F1A82" w:rsidRPr="00AE5894" w14:paraId="33CDA2B8" w14:textId="77777777" w:rsidTr="00A52690">
                        <w:trPr>
                          <w:trHeight w:val="20"/>
                        </w:trPr>
                        <w:tc>
                          <w:tcPr>
                            <w:tcW w:w="5245" w:type="dxa"/>
                            <w:gridSpan w:val="5"/>
                            <w:tcBorders>
                              <w:top w:val="nil"/>
                              <w:left w:val="nil"/>
                              <w:bottom w:val="nil"/>
                              <w:right w:val="nil"/>
                            </w:tcBorders>
                            <w:shd w:val="clear" w:color="auto" w:fill="auto"/>
                            <w:noWrap/>
                            <w:vAlign w:val="center"/>
                            <w:hideMark/>
                          </w:tcPr>
                          <w:p w14:paraId="3688A924" w14:textId="77777777" w:rsidR="009F1A82" w:rsidRPr="00AE5894" w:rsidRDefault="009F1A82" w:rsidP="003643DC">
                            <w:pPr>
                              <w:widowControl/>
                              <w:snapToGrid w:val="0"/>
                              <w:spacing w:line="210" w:lineRule="exact"/>
                              <w:ind w:leftChars="130" w:left="312"/>
                              <w:jc w:val="both"/>
                              <w:rPr>
                                <w:rFonts w:ascii="標楷體" w:eastAsia="標楷體" w:hAnsi="標楷體" w:cs="新細明體"/>
                                <w:color w:val="000000"/>
                                <w:kern w:val="0"/>
                                <w:sz w:val="18"/>
                                <w:szCs w:val="18"/>
                              </w:rPr>
                            </w:pPr>
                            <w:r w:rsidRPr="00AE5894">
                              <w:rPr>
                                <w:rFonts w:ascii="標楷體" w:eastAsia="標楷體" w:hAnsi="標楷體" w:cs="新細明體" w:hint="eastAsia"/>
                                <w:color w:val="000000"/>
                                <w:kern w:val="0"/>
                                <w:sz w:val="18"/>
                                <w:szCs w:val="18"/>
                              </w:rPr>
                              <w:t>2.113年員額評鑑作業係就112年業務予以盤點。</w:t>
                            </w:r>
                          </w:p>
                        </w:tc>
                      </w:tr>
                      <w:tr w:rsidR="009F1A82" w:rsidRPr="00AE5894" w14:paraId="533D2122" w14:textId="77777777" w:rsidTr="00A52690">
                        <w:trPr>
                          <w:trHeight w:val="20"/>
                        </w:trPr>
                        <w:tc>
                          <w:tcPr>
                            <w:tcW w:w="5245" w:type="dxa"/>
                            <w:gridSpan w:val="5"/>
                            <w:tcBorders>
                              <w:top w:val="nil"/>
                              <w:left w:val="nil"/>
                              <w:bottom w:val="nil"/>
                              <w:right w:val="nil"/>
                            </w:tcBorders>
                            <w:shd w:val="clear" w:color="auto" w:fill="auto"/>
                            <w:noWrap/>
                            <w:vAlign w:val="center"/>
                            <w:hideMark/>
                          </w:tcPr>
                          <w:p w14:paraId="72E8421C" w14:textId="77777777" w:rsidR="009F1A82" w:rsidRPr="00AE5894" w:rsidRDefault="009F1A82" w:rsidP="003643DC">
                            <w:pPr>
                              <w:widowControl/>
                              <w:snapToGrid w:val="0"/>
                              <w:spacing w:line="210" w:lineRule="exact"/>
                              <w:ind w:leftChars="130" w:left="312"/>
                              <w:jc w:val="both"/>
                              <w:rPr>
                                <w:rFonts w:ascii="標楷體" w:eastAsia="標楷體" w:hAnsi="標楷體" w:cs="新細明體"/>
                                <w:color w:val="000000"/>
                                <w:kern w:val="0"/>
                                <w:sz w:val="18"/>
                                <w:szCs w:val="18"/>
                              </w:rPr>
                            </w:pPr>
                            <w:r w:rsidRPr="00AE5894">
                              <w:rPr>
                                <w:rFonts w:ascii="標楷體" w:eastAsia="標楷體" w:hAnsi="標楷體" w:cs="新細明體" w:hint="eastAsia"/>
                                <w:color w:val="000000"/>
                                <w:kern w:val="0"/>
                                <w:sz w:val="18"/>
                                <w:szCs w:val="18"/>
                              </w:rPr>
                              <w:t>3.資料來源：整理自有關機關提供資料。</w:t>
                            </w:r>
                          </w:p>
                        </w:tc>
                      </w:tr>
                    </w:tbl>
                    <w:p w14:paraId="6B2D0405" w14:textId="77777777" w:rsidR="009F1A82" w:rsidRPr="00AE5894" w:rsidRDefault="009F1A82" w:rsidP="009F1A82"/>
                  </w:txbxContent>
                </v:textbox>
                <w10:wrap type="square" anchorx="margin" anchory="margin"/>
              </v:shape>
            </w:pict>
          </mc:Fallback>
        </mc:AlternateContent>
      </w:r>
      <w:r w:rsidR="00D86A27" w:rsidRPr="005A7E81">
        <w:rPr>
          <w:rFonts w:hAnsi="標楷體" w:hint="eastAsia"/>
          <w:b/>
          <w:color w:val="000000" w:themeColor="text1"/>
          <w:sz w:val="24"/>
          <w:szCs w:val="28"/>
        </w:rPr>
        <w:t>2.　員額評鑑機制已導入業務盤點工具，有助評估機關人力配置與業務發展之契合程度，惟受評機關就盤點發現具委外潛力或檢討空間之業務項目，多未擬訂具體檢討作為或可行推動方案，評鑑機關亦難以</w:t>
      </w:r>
      <w:proofErr w:type="gramStart"/>
      <w:r w:rsidR="00D86A27" w:rsidRPr="005A7E81">
        <w:rPr>
          <w:rFonts w:hAnsi="標楷體" w:hint="eastAsia"/>
          <w:b/>
          <w:color w:val="000000" w:themeColor="text1"/>
          <w:sz w:val="24"/>
          <w:szCs w:val="28"/>
        </w:rPr>
        <w:t>量測該等</w:t>
      </w:r>
      <w:proofErr w:type="gramEnd"/>
      <w:r w:rsidR="00D86A27" w:rsidRPr="005A7E81">
        <w:rPr>
          <w:rFonts w:hAnsi="標楷體" w:hint="eastAsia"/>
          <w:b/>
          <w:color w:val="000000" w:themeColor="text1"/>
          <w:sz w:val="24"/>
          <w:szCs w:val="28"/>
        </w:rPr>
        <w:t>業務之委外、數位化程度或去（簡、減）化推進情形，允宜</w:t>
      </w:r>
      <w:proofErr w:type="gramStart"/>
      <w:r w:rsidR="00D86A27" w:rsidRPr="005A7E81">
        <w:rPr>
          <w:rFonts w:hAnsi="標楷體" w:hint="eastAsia"/>
          <w:b/>
          <w:color w:val="000000" w:themeColor="text1"/>
          <w:sz w:val="24"/>
          <w:szCs w:val="28"/>
        </w:rPr>
        <w:t>研謀並</w:t>
      </w:r>
      <w:proofErr w:type="gramEnd"/>
      <w:r w:rsidR="00D86A27" w:rsidRPr="005A7E81">
        <w:rPr>
          <w:rFonts w:hAnsi="標楷體" w:hint="eastAsia"/>
          <w:b/>
          <w:color w:val="000000" w:themeColor="text1"/>
          <w:sz w:val="24"/>
          <w:szCs w:val="28"/>
        </w:rPr>
        <w:t>督促落實辦理，</w:t>
      </w:r>
      <w:proofErr w:type="gramStart"/>
      <w:r w:rsidR="00D86A27" w:rsidRPr="005A7E81">
        <w:rPr>
          <w:rFonts w:hAnsi="標楷體" w:hint="eastAsia"/>
          <w:b/>
          <w:color w:val="000000" w:themeColor="text1"/>
          <w:sz w:val="24"/>
          <w:szCs w:val="28"/>
        </w:rPr>
        <w:t>俾</w:t>
      </w:r>
      <w:proofErr w:type="gramEnd"/>
      <w:r w:rsidR="00D86A27" w:rsidRPr="005A7E81">
        <w:rPr>
          <w:rFonts w:hAnsi="標楷體" w:hint="eastAsia"/>
          <w:b/>
          <w:color w:val="000000" w:themeColor="text1"/>
          <w:sz w:val="24"/>
          <w:szCs w:val="28"/>
        </w:rPr>
        <w:t>利業務盤點相關資訊有效轉化為評鑑機關及受評機關推進業務委外或工作簡化之根基：</w:t>
      </w:r>
      <w:r w:rsidR="00D86A27" w:rsidRPr="005A7E81">
        <w:rPr>
          <w:rFonts w:hAnsi="標楷體" w:hint="eastAsia"/>
          <w:bCs/>
          <w:color w:val="000000" w:themeColor="text1"/>
          <w:spacing w:val="-2"/>
          <w:sz w:val="24"/>
          <w:szCs w:val="28"/>
        </w:rPr>
        <w:t>行政院為引導所屬各機關檢視人力配置是否與業務發展相符，並視業務性質適度推動工作簡（減）化，運用每兩年1次辦理員額評鑑時機，由受評機關於自評報告中，按業務盤點表格式</w:t>
      </w:r>
      <w:proofErr w:type="gramStart"/>
      <w:r w:rsidR="00D86A27" w:rsidRPr="005A7E81">
        <w:rPr>
          <w:rFonts w:hAnsi="標楷體" w:hint="eastAsia"/>
          <w:bCs/>
          <w:color w:val="000000" w:themeColor="text1"/>
          <w:spacing w:val="-2"/>
          <w:sz w:val="24"/>
          <w:szCs w:val="28"/>
        </w:rPr>
        <w:t>查填內部</w:t>
      </w:r>
      <w:proofErr w:type="gramEnd"/>
      <w:r w:rsidR="00D86A27" w:rsidRPr="005A7E81">
        <w:rPr>
          <w:rFonts w:hAnsi="標楷體" w:hint="eastAsia"/>
          <w:bCs/>
          <w:color w:val="000000" w:themeColor="text1"/>
          <w:spacing w:val="-2"/>
          <w:sz w:val="24"/>
          <w:szCs w:val="28"/>
        </w:rPr>
        <w:t>各單位業務全面盤點情形。本部</w:t>
      </w:r>
      <w:proofErr w:type="gramStart"/>
      <w:r w:rsidR="00D86A27" w:rsidRPr="005A7E81">
        <w:rPr>
          <w:rFonts w:hAnsi="標楷體" w:hint="eastAsia"/>
          <w:bCs/>
          <w:color w:val="000000" w:themeColor="text1"/>
          <w:spacing w:val="-2"/>
          <w:sz w:val="24"/>
          <w:szCs w:val="28"/>
        </w:rPr>
        <w:t>經抽核</w:t>
      </w:r>
      <w:proofErr w:type="gramEnd"/>
      <w:r w:rsidR="00D86A27" w:rsidRPr="005A7E81">
        <w:rPr>
          <w:rFonts w:hAnsi="標楷體" w:hint="eastAsia"/>
          <w:bCs/>
          <w:color w:val="000000" w:themeColor="text1"/>
          <w:spacing w:val="-2"/>
          <w:sz w:val="24"/>
          <w:szCs w:val="28"/>
        </w:rPr>
        <w:t>行政院所屬10個機關</w:t>
      </w:r>
      <w:proofErr w:type="gramStart"/>
      <w:r w:rsidR="00D86A27" w:rsidRPr="005A7E81">
        <w:rPr>
          <w:rFonts w:hAnsi="標楷體" w:hint="eastAsia"/>
          <w:bCs/>
          <w:color w:val="000000" w:themeColor="text1"/>
          <w:spacing w:val="-2"/>
          <w:sz w:val="24"/>
          <w:szCs w:val="28"/>
        </w:rPr>
        <w:t>113</w:t>
      </w:r>
      <w:proofErr w:type="gramEnd"/>
      <w:r w:rsidR="00D86A27" w:rsidRPr="005A7E81">
        <w:rPr>
          <w:rFonts w:hAnsi="標楷體" w:hint="eastAsia"/>
          <w:bCs/>
          <w:color w:val="000000" w:themeColor="text1"/>
          <w:spacing w:val="-2"/>
          <w:sz w:val="24"/>
          <w:szCs w:val="28"/>
        </w:rPr>
        <w:t>年度辦理業務盤點情形發現，其歷來配合員額評鑑經過</w:t>
      </w:r>
      <w:proofErr w:type="gramStart"/>
      <w:r w:rsidR="00D86A27" w:rsidRPr="005A7E81">
        <w:rPr>
          <w:rFonts w:hAnsi="標楷體" w:hint="eastAsia"/>
          <w:bCs/>
          <w:color w:val="000000" w:themeColor="text1"/>
          <w:spacing w:val="-2"/>
          <w:sz w:val="24"/>
          <w:szCs w:val="28"/>
        </w:rPr>
        <w:t>多輪次</w:t>
      </w:r>
      <w:proofErr w:type="gramEnd"/>
      <w:r w:rsidR="00D86A27" w:rsidRPr="005A7E81">
        <w:rPr>
          <w:rFonts w:hAnsi="標楷體" w:hint="eastAsia"/>
          <w:bCs/>
          <w:color w:val="000000" w:themeColor="text1"/>
          <w:spacing w:val="-2"/>
          <w:sz w:val="24"/>
          <w:szCs w:val="28"/>
        </w:rPr>
        <w:t>之業務盤點及每半年一次之追蹤管考，各該機關盤點業務具委外、數位資訊化、去</w:t>
      </w:r>
      <w:bookmarkStart w:id="34" w:name="_Hlk201930107"/>
      <w:r w:rsidR="00D86A27" w:rsidRPr="005A7E81">
        <w:rPr>
          <w:rFonts w:hAnsi="標楷體" w:hint="eastAsia"/>
          <w:bCs/>
          <w:color w:val="000000" w:themeColor="text1"/>
          <w:spacing w:val="-2"/>
          <w:sz w:val="24"/>
          <w:szCs w:val="28"/>
        </w:rPr>
        <w:t>（簡、減）</w:t>
      </w:r>
      <w:bookmarkEnd w:id="34"/>
      <w:r w:rsidR="00D86A27" w:rsidRPr="005A7E81">
        <w:rPr>
          <w:rFonts w:hAnsi="標楷體" w:hint="eastAsia"/>
          <w:bCs/>
          <w:color w:val="000000" w:themeColor="text1"/>
          <w:spacing w:val="-2"/>
          <w:sz w:val="24"/>
          <w:szCs w:val="28"/>
        </w:rPr>
        <w:t>化等檢討空間者，</w:t>
      </w:r>
      <w:proofErr w:type="gramStart"/>
      <w:r w:rsidR="00D86A27" w:rsidRPr="005A7E81">
        <w:rPr>
          <w:rFonts w:hAnsi="標楷體" w:hint="eastAsia"/>
          <w:bCs/>
          <w:color w:val="000000" w:themeColor="text1"/>
          <w:spacing w:val="-2"/>
          <w:sz w:val="24"/>
          <w:szCs w:val="28"/>
        </w:rPr>
        <w:t>仍多逾百項</w:t>
      </w:r>
      <w:proofErr w:type="gramEnd"/>
      <w:r w:rsidR="00D86A27" w:rsidRPr="005A7E81">
        <w:rPr>
          <w:rFonts w:hAnsi="標楷體" w:hint="eastAsia"/>
          <w:bCs/>
          <w:color w:val="000000" w:themeColor="text1"/>
          <w:spacing w:val="-2"/>
          <w:sz w:val="24"/>
          <w:szCs w:val="28"/>
        </w:rPr>
        <w:t>（表</w:t>
      </w:r>
      <w:r w:rsidR="0009300F" w:rsidRPr="005A7E81">
        <w:rPr>
          <w:rFonts w:hAnsi="標楷體" w:hint="eastAsia"/>
          <w:bCs/>
          <w:color w:val="000000" w:themeColor="text1"/>
          <w:spacing w:val="-2"/>
          <w:sz w:val="24"/>
          <w:szCs w:val="28"/>
        </w:rPr>
        <w:t>3</w:t>
      </w:r>
      <w:r w:rsidR="00176DEE" w:rsidRPr="005A7E81">
        <w:rPr>
          <w:rFonts w:hAnsi="標楷體" w:hint="eastAsia"/>
          <w:bCs/>
          <w:color w:val="000000" w:themeColor="text1"/>
          <w:spacing w:val="-2"/>
          <w:sz w:val="24"/>
          <w:szCs w:val="28"/>
        </w:rPr>
        <w:t>9</w:t>
      </w:r>
      <w:r w:rsidR="00D86A27" w:rsidRPr="005A7E81">
        <w:rPr>
          <w:rFonts w:hAnsi="標楷體" w:hint="eastAsia"/>
          <w:bCs/>
          <w:color w:val="000000" w:themeColor="text1"/>
          <w:spacing w:val="-2"/>
          <w:sz w:val="24"/>
          <w:szCs w:val="28"/>
        </w:rPr>
        <w:t>），</w:t>
      </w:r>
      <w:proofErr w:type="gramStart"/>
      <w:r w:rsidR="00D86A27" w:rsidRPr="005A7E81">
        <w:rPr>
          <w:rFonts w:hAnsi="標楷體" w:hint="eastAsia"/>
          <w:bCs/>
          <w:color w:val="000000" w:themeColor="text1"/>
          <w:spacing w:val="-2"/>
          <w:sz w:val="24"/>
          <w:szCs w:val="28"/>
        </w:rPr>
        <w:t>惟查各</w:t>
      </w:r>
      <w:proofErr w:type="gramEnd"/>
      <w:r w:rsidR="00D86A27" w:rsidRPr="005A7E81">
        <w:rPr>
          <w:rFonts w:hAnsi="標楷體" w:hint="eastAsia"/>
          <w:bCs/>
          <w:color w:val="000000" w:themeColor="text1"/>
          <w:spacing w:val="-2"/>
          <w:sz w:val="24"/>
          <w:szCs w:val="28"/>
        </w:rPr>
        <w:t>該機關未落實依填表說明具體於</w:t>
      </w:r>
      <w:proofErr w:type="gramStart"/>
      <w:r w:rsidR="00D86A27" w:rsidRPr="005A7E81">
        <w:rPr>
          <w:rFonts w:hAnsi="標楷體" w:hint="eastAsia"/>
          <w:bCs/>
          <w:color w:val="000000" w:themeColor="text1"/>
          <w:spacing w:val="-2"/>
          <w:sz w:val="24"/>
          <w:szCs w:val="28"/>
        </w:rPr>
        <w:t>盤點表敘明</w:t>
      </w:r>
      <w:proofErr w:type="gramEnd"/>
      <w:r w:rsidR="00D86A27" w:rsidRPr="005A7E81">
        <w:rPr>
          <w:rFonts w:hAnsi="標楷體" w:hint="eastAsia"/>
          <w:bCs/>
          <w:color w:val="000000" w:themeColor="text1"/>
          <w:spacing w:val="-2"/>
          <w:sz w:val="24"/>
          <w:szCs w:val="28"/>
        </w:rPr>
        <w:t>該等業務可檢討之部分，評鑑機關於資訊不對等</w:t>
      </w:r>
      <w:proofErr w:type="gramStart"/>
      <w:r w:rsidR="00D86A27" w:rsidRPr="005A7E81">
        <w:rPr>
          <w:rFonts w:hAnsi="標楷體" w:hint="eastAsia"/>
          <w:bCs/>
          <w:color w:val="000000" w:themeColor="text1"/>
          <w:spacing w:val="-2"/>
          <w:sz w:val="24"/>
          <w:szCs w:val="28"/>
        </w:rPr>
        <w:t>且欠乏受</w:t>
      </w:r>
      <w:proofErr w:type="gramEnd"/>
      <w:r w:rsidR="00D86A27" w:rsidRPr="005A7E81">
        <w:rPr>
          <w:rFonts w:hAnsi="標楷體" w:hint="eastAsia"/>
          <w:bCs/>
          <w:color w:val="000000" w:themeColor="text1"/>
          <w:spacing w:val="-2"/>
          <w:sz w:val="24"/>
          <w:szCs w:val="28"/>
        </w:rPr>
        <w:t>評機關具體</w:t>
      </w:r>
      <w:proofErr w:type="gramStart"/>
      <w:r w:rsidR="00D86A27" w:rsidRPr="005A7E81">
        <w:rPr>
          <w:rFonts w:hAnsi="標楷體" w:hint="eastAsia"/>
          <w:bCs/>
          <w:color w:val="000000" w:themeColor="text1"/>
          <w:spacing w:val="-2"/>
          <w:sz w:val="24"/>
          <w:szCs w:val="28"/>
        </w:rPr>
        <w:t>指涉可檢討</w:t>
      </w:r>
      <w:proofErr w:type="gramEnd"/>
      <w:r w:rsidR="00D86A27" w:rsidRPr="005A7E81">
        <w:rPr>
          <w:rFonts w:hAnsi="標楷體" w:hint="eastAsia"/>
          <w:bCs/>
          <w:color w:val="000000" w:themeColor="text1"/>
          <w:spacing w:val="-2"/>
          <w:sz w:val="24"/>
          <w:szCs w:val="28"/>
        </w:rPr>
        <w:t>內容及承諾策進作法之情形下，即便進行高頻率、高</w:t>
      </w:r>
      <w:proofErr w:type="gramStart"/>
      <w:r w:rsidR="00D86A27" w:rsidRPr="005A7E81">
        <w:rPr>
          <w:rFonts w:hAnsi="標楷體" w:hint="eastAsia"/>
          <w:bCs/>
          <w:color w:val="000000" w:themeColor="text1"/>
          <w:spacing w:val="-2"/>
          <w:sz w:val="24"/>
          <w:szCs w:val="28"/>
        </w:rPr>
        <w:t>密度之逐項</w:t>
      </w:r>
      <w:proofErr w:type="gramEnd"/>
      <w:r w:rsidR="00D86A27" w:rsidRPr="005A7E81">
        <w:rPr>
          <w:rFonts w:hAnsi="標楷體" w:hint="eastAsia"/>
          <w:bCs/>
          <w:color w:val="000000" w:themeColor="text1"/>
          <w:spacing w:val="-2"/>
          <w:sz w:val="24"/>
          <w:szCs w:val="28"/>
        </w:rPr>
        <w:t>追蹤管考，亦難以量測業務經檢討後落實委外、數位化及去（簡、減）化推進情形。</w:t>
      </w:r>
      <w:r w:rsidR="007A6538">
        <w:rPr>
          <w:rFonts w:hAnsi="標楷體" w:hint="eastAsia"/>
          <w:bCs/>
          <w:color w:val="000000" w:themeColor="text1"/>
          <w:spacing w:val="-2"/>
          <w:sz w:val="24"/>
          <w:szCs w:val="28"/>
        </w:rPr>
        <w:t>允宜</w:t>
      </w:r>
      <w:proofErr w:type="gramStart"/>
      <w:r w:rsidR="00D86A27" w:rsidRPr="005A7E81">
        <w:rPr>
          <w:rFonts w:hAnsi="標楷體" w:hint="eastAsia"/>
          <w:bCs/>
          <w:color w:val="000000" w:themeColor="text1"/>
          <w:spacing w:val="-2"/>
          <w:sz w:val="24"/>
          <w:szCs w:val="28"/>
        </w:rPr>
        <w:t>研</w:t>
      </w:r>
      <w:proofErr w:type="gramEnd"/>
      <w:r w:rsidR="00D86A27" w:rsidRPr="005A7E81">
        <w:rPr>
          <w:rFonts w:hAnsi="標楷體" w:hint="eastAsia"/>
          <w:bCs/>
          <w:color w:val="000000" w:themeColor="text1"/>
          <w:spacing w:val="-2"/>
          <w:sz w:val="24"/>
          <w:szCs w:val="28"/>
        </w:rPr>
        <w:t>議調整欄位格式並督促落實填報，以引導所屬機關自盤點時即自主承諾業務</w:t>
      </w:r>
      <w:r w:rsidR="00D86A27" w:rsidRPr="005A7E81">
        <w:rPr>
          <w:rFonts w:hAnsi="標楷體" w:hint="eastAsia"/>
          <w:bCs/>
          <w:color w:val="000000" w:themeColor="text1"/>
          <w:spacing w:val="-2"/>
          <w:sz w:val="24"/>
          <w:szCs w:val="28"/>
        </w:rPr>
        <w:lastRenderedPageBreak/>
        <w:t>未來具體檢討方向，並作為評鑑機關後續策略性聚焦重點業務進行追蹤管考之依據，</w:t>
      </w:r>
      <w:proofErr w:type="gramStart"/>
      <w:r w:rsidR="00D86A27" w:rsidRPr="005A7E81">
        <w:rPr>
          <w:rFonts w:hAnsi="標楷體" w:hint="eastAsia"/>
          <w:bCs/>
          <w:color w:val="000000" w:themeColor="text1"/>
          <w:spacing w:val="-2"/>
          <w:sz w:val="24"/>
          <w:szCs w:val="28"/>
        </w:rPr>
        <w:t>俾</w:t>
      </w:r>
      <w:proofErr w:type="gramEnd"/>
      <w:r w:rsidR="00D86A27" w:rsidRPr="005A7E81">
        <w:rPr>
          <w:rFonts w:hAnsi="標楷體" w:hint="eastAsia"/>
          <w:bCs/>
          <w:color w:val="000000" w:themeColor="text1"/>
          <w:spacing w:val="-2"/>
          <w:sz w:val="24"/>
          <w:szCs w:val="28"/>
        </w:rPr>
        <w:t>利業務盤點相關資訊有效轉化為評鑑機關及受評機關推進業務委外或工作簡化之根基。</w:t>
      </w:r>
    </w:p>
    <w:p w14:paraId="683DF3AD" w14:textId="14D9D2D2" w:rsidR="00D86A27" w:rsidRPr="001E52E3" w:rsidRDefault="00D86A27" w:rsidP="00394E08">
      <w:pPr>
        <w:pStyle w:val="affb"/>
        <w:spacing w:line="436" w:lineRule="exact"/>
        <w:ind w:left="0" w:firstLineChars="450" w:firstLine="1081"/>
        <w:jc w:val="both"/>
        <w:rPr>
          <w:rFonts w:hAnsi="標楷體"/>
          <w:b/>
          <w:kern w:val="2"/>
          <w:sz w:val="24"/>
          <w:szCs w:val="24"/>
        </w:rPr>
      </w:pPr>
      <w:r w:rsidRPr="001E52E3">
        <w:rPr>
          <w:rFonts w:hAnsi="標楷體" w:hint="eastAsia"/>
          <w:b/>
          <w:color w:val="000000" w:themeColor="text1"/>
          <w:sz w:val="24"/>
          <w:szCs w:val="28"/>
        </w:rPr>
        <w:t xml:space="preserve">3.　</w:t>
      </w:r>
      <w:r w:rsidRPr="005333D1">
        <w:rPr>
          <w:rFonts w:hAnsi="標楷體" w:hint="eastAsia"/>
          <w:b/>
          <w:kern w:val="2"/>
          <w:sz w:val="24"/>
          <w:szCs w:val="24"/>
        </w:rPr>
        <w:t>公務機關以不具直接指揮監督權責之勞務承攬派駐勞工補充人力缺口，惟部分人力已跳脫場地清潔及設施維（修）護等傳統工作，實質扮演行政助手角色，工作成果與機關辦理核心業務或行使公權力密切關聯，相關人員潛藏流動頻繁及管理不易等風險，允宜督促</w:t>
      </w:r>
      <w:proofErr w:type="gramStart"/>
      <w:r w:rsidRPr="005333D1">
        <w:rPr>
          <w:rFonts w:hAnsi="標楷體" w:hint="eastAsia"/>
          <w:b/>
          <w:kern w:val="2"/>
          <w:sz w:val="24"/>
          <w:szCs w:val="24"/>
        </w:rPr>
        <w:t>研</w:t>
      </w:r>
      <w:proofErr w:type="gramEnd"/>
      <w:r w:rsidRPr="005333D1">
        <w:rPr>
          <w:rFonts w:hAnsi="標楷體" w:hint="eastAsia"/>
          <w:b/>
          <w:kern w:val="2"/>
          <w:sz w:val="24"/>
          <w:szCs w:val="24"/>
        </w:rPr>
        <w:t>謀改善，以合理運用多元人力，提升行政效能</w:t>
      </w:r>
      <w:r w:rsidRPr="001E52E3">
        <w:rPr>
          <w:rFonts w:hAnsi="標楷體" w:hint="eastAsia"/>
          <w:b/>
          <w:kern w:val="2"/>
          <w:sz w:val="24"/>
          <w:szCs w:val="24"/>
        </w:rPr>
        <w:t>：</w:t>
      </w:r>
      <w:r w:rsidRPr="001E52E3">
        <w:rPr>
          <w:rFonts w:hAnsi="標楷體" w:hint="eastAsia"/>
          <w:bCs/>
          <w:kern w:val="2"/>
          <w:sz w:val="24"/>
          <w:szCs w:val="24"/>
        </w:rPr>
        <w:t>依據行政院及所屬各機關學校約用人員進用及運用要點、政府機關</w:t>
      </w:r>
      <w:bookmarkStart w:id="35" w:name="_Hlk202176024"/>
      <w:r w:rsidRPr="001E52E3">
        <w:rPr>
          <w:rFonts w:hAnsi="標楷體" w:hint="eastAsia"/>
          <w:bCs/>
          <w:kern w:val="2"/>
          <w:sz w:val="24"/>
          <w:szCs w:val="24"/>
        </w:rPr>
        <w:t>（構）</w:t>
      </w:r>
      <w:bookmarkEnd w:id="35"/>
      <w:r w:rsidRPr="001E52E3">
        <w:rPr>
          <w:rFonts w:hAnsi="標楷體" w:hint="eastAsia"/>
          <w:bCs/>
          <w:kern w:val="2"/>
          <w:sz w:val="24"/>
          <w:szCs w:val="24"/>
        </w:rPr>
        <w:t>運用勞務承攬參考原則、派遣事業單位及承攬事業單位認定指導原則等相關規定，約用人員及</w:t>
      </w:r>
      <w:r>
        <w:rPr>
          <w:rFonts w:hAnsi="標楷體" w:hint="eastAsia"/>
          <w:bCs/>
          <w:kern w:val="2"/>
          <w:sz w:val="24"/>
          <w:szCs w:val="24"/>
        </w:rPr>
        <w:t>勞務承攬</w:t>
      </w:r>
      <w:r w:rsidRPr="001E52E3">
        <w:rPr>
          <w:rFonts w:hAnsi="標楷體" w:hint="eastAsia"/>
          <w:bCs/>
          <w:kern w:val="2"/>
          <w:sz w:val="24"/>
          <w:szCs w:val="24"/>
        </w:rPr>
        <w:t>派駐勞工（</w:t>
      </w:r>
      <w:r>
        <w:rPr>
          <w:rFonts w:hAnsi="標楷體" w:hint="eastAsia"/>
          <w:bCs/>
          <w:kern w:val="2"/>
          <w:sz w:val="24"/>
          <w:szCs w:val="24"/>
        </w:rPr>
        <w:t>下稱派駐勞工</w:t>
      </w:r>
      <w:r w:rsidRPr="001E52E3">
        <w:rPr>
          <w:rFonts w:hAnsi="標楷體" w:hint="eastAsia"/>
          <w:bCs/>
          <w:kern w:val="2"/>
          <w:sz w:val="24"/>
          <w:szCs w:val="24"/>
        </w:rPr>
        <w:t>）辦理業務範圍均限於非屬行使公權力之工作，主要之分野在於機關對約用人員具直接指揮監督之權責，得進用約用人員充任行政助手，協助處理行使公權力前置事項；而派駐勞工則受承攬廠商僱用，執行勞務承攬契約所約定之各項工作，承攬廠商應自行指揮監督管理派駐勞工，自主完成工作並自行承擔工作所生風險，各機關不得指揮監督派駐勞工，僅得就履約成果或品質要求承攬廠商符合契約規範。</w:t>
      </w:r>
      <w:proofErr w:type="gramStart"/>
      <w:r w:rsidRPr="001E52E3">
        <w:rPr>
          <w:rFonts w:hAnsi="標楷體" w:hint="eastAsia"/>
          <w:bCs/>
          <w:kern w:val="2"/>
          <w:sz w:val="24"/>
          <w:szCs w:val="24"/>
        </w:rPr>
        <w:t>查據行政院</w:t>
      </w:r>
      <w:proofErr w:type="gramEnd"/>
      <w:r w:rsidRPr="001E52E3">
        <w:rPr>
          <w:rFonts w:hAnsi="標楷體" w:hint="eastAsia"/>
          <w:bCs/>
          <w:kern w:val="2"/>
          <w:sz w:val="24"/>
          <w:szCs w:val="24"/>
        </w:rPr>
        <w:t>人事行政總處統計，中央政府各公務機關</w:t>
      </w:r>
      <w:proofErr w:type="gramStart"/>
      <w:r w:rsidRPr="001E52E3">
        <w:rPr>
          <w:rFonts w:hAnsi="標楷體" w:hint="eastAsia"/>
          <w:bCs/>
          <w:kern w:val="2"/>
          <w:sz w:val="24"/>
          <w:szCs w:val="24"/>
        </w:rPr>
        <w:t>113</w:t>
      </w:r>
      <w:proofErr w:type="gramEnd"/>
      <w:r w:rsidRPr="001E52E3">
        <w:rPr>
          <w:rFonts w:hAnsi="標楷體" w:hint="eastAsia"/>
          <w:bCs/>
          <w:kern w:val="2"/>
          <w:sz w:val="24"/>
          <w:szCs w:val="24"/>
        </w:rPr>
        <w:t>年度進用約用人員1</w:t>
      </w:r>
      <w:r w:rsidR="00420721">
        <w:rPr>
          <w:rFonts w:hAnsi="標楷體" w:hint="eastAsia"/>
          <w:bCs/>
          <w:kern w:val="2"/>
          <w:sz w:val="24"/>
          <w:szCs w:val="24"/>
        </w:rPr>
        <w:t>萬</w:t>
      </w:r>
      <w:r w:rsidRPr="001E52E3">
        <w:rPr>
          <w:rFonts w:hAnsi="標楷體" w:hint="eastAsia"/>
          <w:bCs/>
          <w:kern w:val="2"/>
          <w:sz w:val="24"/>
          <w:szCs w:val="24"/>
        </w:rPr>
        <w:t>5,737人，較</w:t>
      </w:r>
      <w:proofErr w:type="gramStart"/>
      <w:r w:rsidRPr="001E52E3">
        <w:rPr>
          <w:rFonts w:hAnsi="標楷體" w:hint="eastAsia"/>
          <w:bCs/>
          <w:kern w:val="2"/>
          <w:sz w:val="24"/>
          <w:szCs w:val="24"/>
        </w:rPr>
        <w:t>109</w:t>
      </w:r>
      <w:proofErr w:type="gramEnd"/>
      <w:r w:rsidRPr="001E52E3">
        <w:rPr>
          <w:rFonts w:hAnsi="標楷體" w:hint="eastAsia"/>
          <w:bCs/>
          <w:kern w:val="2"/>
          <w:sz w:val="24"/>
          <w:szCs w:val="24"/>
        </w:rPr>
        <w:t>年度微幅淨增465人（</w:t>
      </w:r>
      <w:r>
        <w:rPr>
          <w:rFonts w:hAnsi="標楷體" w:hint="eastAsia"/>
          <w:bCs/>
          <w:kern w:val="2"/>
          <w:sz w:val="24"/>
          <w:szCs w:val="24"/>
        </w:rPr>
        <w:t>增幅3.04</w:t>
      </w:r>
      <w:r w:rsidRPr="001E52E3">
        <w:rPr>
          <w:rFonts w:hAnsi="標楷體" w:hint="eastAsia"/>
          <w:bCs/>
          <w:kern w:val="2"/>
          <w:sz w:val="24"/>
          <w:szCs w:val="24"/>
        </w:rPr>
        <w:t>％）；</w:t>
      </w:r>
      <w:proofErr w:type="gramStart"/>
      <w:r w:rsidRPr="001E52E3">
        <w:rPr>
          <w:rFonts w:hAnsi="標楷體" w:hint="eastAsia"/>
          <w:bCs/>
          <w:kern w:val="2"/>
          <w:sz w:val="24"/>
          <w:szCs w:val="24"/>
        </w:rPr>
        <w:t>113</w:t>
      </w:r>
      <w:proofErr w:type="gramEnd"/>
      <w:r w:rsidRPr="001E52E3">
        <w:rPr>
          <w:rFonts w:hAnsi="標楷體" w:hint="eastAsia"/>
          <w:bCs/>
          <w:kern w:val="2"/>
          <w:sz w:val="24"/>
          <w:szCs w:val="24"/>
        </w:rPr>
        <w:t>年度運用派駐勞工2</w:t>
      </w:r>
      <w:r w:rsidR="00420721">
        <w:rPr>
          <w:rFonts w:hAnsi="標楷體" w:hint="eastAsia"/>
          <w:bCs/>
          <w:kern w:val="2"/>
          <w:sz w:val="24"/>
          <w:szCs w:val="24"/>
        </w:rPr>
        <w:t>萬</w:t>
      </w:r>
      <w:r w:rsidRPr="001E52E3">
        <w:rPr>
          <w:rFonts w:hAnsi="標楷體" w:hint="eastAsia"/>
          <w:bCs/>
          <w:kern w:val="2"/>
          <w:sz w:val="24"/>
          <w:szCs w:val="24"/>
        </w:rPr>
        <w:t>7,952人，較</w:t>
      </w:r>
      <w:proofErr w:type="gramStart"/>
      <w:r w:rsidRPr="001E52E3">
        <w:rPr>
          <w:rFonts w:hAnsi="標楷體" w:hint="eastAsia"/>
          <w:bCs/>
          <w:kern w:val="2"/>
          <w:sz w:val="24"/>
          <w:szCs w:val="24"/>
        </w:rPr>
        <w:t>109</w:t>
      </w:r>
      <w:proofErr w:type="gramEnd"/>
      <w:r w:rsidRPr="001E52E3">
        <w:rPr>
          <w:rFonts w:hAnsi="標楷體" w:hint="eastAsia"/>
          <w:bCs/>
          <w:kern w:val="2"/>
          <w:sz w:val="24"/>
          <w:szCs w:val="24"/>
        </w:rPr>
        <w:t>年度淨增2,732人（</w:t>
      </w:r>
      <w:r>
        <w:rPr>
          <w:rFonts w:hAnsi="標楷體" w:hint="eastAsia"/>
          <w:bCs/>
          <w:kern w:val="2"/>
          <w:sz w:val="24"/>
          <w:szCs w:val="24"/>
        </w:rPr>
        <w:t>增幅10.83</w:t>
      </w:r>
      <w:r w:rsidRPr="001E52E3">
        <w:rPr>
          <w:rFonts w:hAnsi="標楷體" w:hint="eastAsia"/>
          <w:bCs/>
          <w:kern w:val="2"/>
          <w:sz w:val="24"/>
          <w:szCs w:val="24"/>
        </w:rPr>
        <w:t>％），</w:t>
      </w:r>
      <w:r>
        <w:rPr>
          <w:rFonts w:hAnsi="標楷體" w:hint="eastAsia"/>
          <w:bCs/>
          <w:kern w:val="2"/>
          <w:sz w:val="24"/>
          <w:szCs w:val="24"/>
        </w:rPr>
        <w:t>派駐勞工</w:t>
      </w:r>
      <w:r w:rsidRPr="001E52E3">
        <w:rPr>
          <w:rFonts w:hAnsi="標楷體" w:hint="eastAsia"/>
          <w:bCs/>
          <w:kern w:val="2"/>
          <w:sz w:val="24"/>
          <w:szCs w:val="24"/>
        </w:rPr>
        <w:t>為近年公務機關增加運用多元人力之主要來源。另以113年第4季勞務承攬案件業務類型觀之，公務機關運用派駐勞工於清潔、保全、駕駛、檔案管理、植栽維護等常見勞務承攬案件類型之占比約66.42％，逾3分之1人力運用於「其他類」業務，相較於公立學校、公立醫療機構之派駐勞工約</w:t>
      </w:r>
      <w:proofErr w:type="gramStart"/>
      <w:r w:rsidRPr="001E52E3">
        <w:rPr>
          <w:rFonts w:hAnsi="標楷體" w:hint="eastAsia"/>
          <w:bCs/>
          <w:kern w:val="2"/>
          <w:sz w:val="24"/>
          <w:szCs w:val="24"/>
        </w:rPr>
        <w:t>9成</w:t>
      </w:r>
      <w:proofErr w:type="gramEnd"/>
      <w:r w:rsidRPr="001E52E3">
        <w:rPr>
          <w:rFonts w:hAnsi="標楷體" w:hint="eastAsia"/>
          <w:bCs/>
          <w:kern w:val="2"/>
          <w:sz w:val="24"/>
          <w:szCs w:val="24"/>
        </w:rPr>
        <w:t>運用於常見勞務承攬案件類型，公務機關運用派駐勞工處理業務型態實務上更趨多樣化。經就地抽查勞動部、交通部、農業部、衛生</w:t>
      </w:r>
      <w:proofErr w:type="gramStart"/>
      <w:r w:rsidRPr="001E52E3">
        <w:rPr>
          <w:rFonts w:hAnsi="標楷體" w:hint="eastAsia"/>
          <w:bCs/>
          <w:kern w:val="2"/>
          <w:sz w:val="24"/>
          <w:szCs w:val="24"/>
        </w:rPr>
        <w:t>福利部及所屬</w:t>
      </w:r>
      <w:proofErr w:type="gramEnd"/>
      <w:r w:rsidRPr="001E52E3">
        <w:rPr>
          <w:rFonts w:hAnsi="標楷體" w:hint="eastAsia"/>
          <w:bCs/>
          <w:kern w:val="2"/>
          <w:sz w:val="24"/>
          <w:szCs w:val="24"/>
        </w:rPr>
        <w:t>等10個機關辦理之32件「其他類」勞務承攬案件結果，核有9個機關辦理之16件（50％）勞務承攬案辦理業務內容為訴狀初擬、協助訴訟進行及強制執行案件處理、會議前置準備及記錄、查核檢驗、政策規劃前置資料</w:t>
      </w:r>
      <w:proofErr w:type="gramStart"/>
      <w:r w:rsidRPr="001E52E3">
        <w:rPr>
          <w:rFonts w:hAnsi="標楷體" w:hint="eastAsia"/>
          <w:bCs/>
          <w:kern w:val="2"/>
          <w:sz w:val="24"/>
          <w:szCs w:val="24"/>
        </w:rPr>
        <w:t>蒐</w:t>
      </w:r>
      <w:proofErr w:type="gramEnd"/>
      <w:r w:rsidRPr="001E52E3">
        <w:rPr>
          <w:rFonts w:hAnsi="標楷體" w:hint="eastAsia"/>
          <w:bCs/>
          <w:kern w:val="2"/>
          <w:sz w:val="24"/>
          <w:szCs w:val="24"/>
        </w:rPr>
        <w:t>整、法規</w:t>
      </w:r>
      <w:proofErr w:type="gramStart"/>
      <w:r w:rsidRPr="001E52E3">
        <w:rPr>
          <w:rFonts w:hAnsi="標楷體" w:hint="eastAsia"/>
          <w:bCs/>
          <w:kern w:val="2"/>
          <w:sz w:val="24"/>
          <w:szCs w:val="24"/>
        </w:rPr>
        <w:t>研析等</w:t>
      </w:r>
      <w:proofErr w:type="gramEnd"/>
      <w:r w:rsidRPr="001E52E3">
        <w:rPr>
          <w:rFonts w:hAnsi="標楷體" w:hint="eastAsia"/>
          <w:bCs/>
          <w:kern w:val="2"/>
          <w:sz w:val="24"/>
          <w:szCs w:val="24"/>
        </w:rPr>
        <w:t>，屬於機關正式人力處理業務（計畫）流程之一環，派駐</w:t>
      </w:r>
      <w:proofErr w:type="gramStart"/>
      <w:r w:rsidRPr="001E52E3">
        <w:rPr>
          <w:rFonts w:hAnsi="標楷體" w:hint="eastAsia"/>
          <w:bCs/>
          <w:kern w:val="2"/>
          <w:sz w:val="24"/>
          <w:szCs w:val="24"/>
        </w:rPr>
        <w:t>勞</w:t>
      </w:r>
      <w:proofErr w:type="gramEnd"/>
      <w:r w:rsidRPr="001E52E3">
        <w:rPr>
          <w:rFonts w:hAnsi="標楷體" w:hint="eastAsia"/>
          <w:bCs/>
          <w:kern w:val="2"/>
          <w:sz w:val="24"/>
          <w:szCs w:val="24"/>
        </w:rPr>
        <w:t>工具行政助手角色，其工作結果與機關正式人力辦理核心業務與行使公權力密切關聯，履約期間亦時常遇有工作細節須及時確認或臨時交辦業務，難謂無須機關直接指揮監督即可由承攬廠商獨立完成並自行承擔工作所生風險，其業務屬性核與派遣事業單位及承攬事業單位認定指導原則相關</w:t>
      </w:r>
      <w:proofErr w:type="gramStart"/>
      <w:r w:rsidRPr="001E52E3">
        <w:rPr>
          <w:rFonts w:hAnsi="標楷體" w:hint="eastAsia"/>
          <w:bCs/>
          <w:kern w:val="2"/>
          <w:sz w:val="24"/>
          <w:szCs w:val="24"/>
        </w:rPr>
        <w:t>規定欠合</w:t>
      </w:r>
      <w:proofErr w:type="gramEnd"/>
      <w:r w:rsidRPr="001E52E3">
        <w:rPr>
          <w:rFonts w:hAnsi="標楷體" w:hint="eastAsia"/>
          <w:bCs/>
          <w:kern w:val="2"/>
          <w:sz w:val="24"/>
          <w:szCs w:val="24"/>
        </w:rPr>
        <w:t>，</w:t>
      </w:r>
      <w:r>
        <w:rPr>
          <w:rFonts w:hAnsi="標楷體" w:hint="eastAsia"/>
          <w:bCs/>
          <w:kern w:val="2"/>
          <w:sz w:val="24"/>
          <w:szCs w:val="24"/>
        </w:rPr>
        <w:t>加以</w:t>
      </w:r>
      <w:r w:rsidRPr="001E52E3">
        <w:rPr>
          <w:rFonts w:hAnsi="標楷體" w:hint="eastAsia"/>
          <w:bCs/>
          <w:kern w:val="2"/>
          <w:sz w:val="24"/>
          <w:szCs w:val="24"/>
        </w:rPr>
        <w:t>因派駐勞工常有低薪問題，流動率較高，倘承攬廠商未得標來年標案，相關</w:t>
      </w:r>
      <w:proofErr w:type="gramStart"/>
      <w:r w:rsidRPr="001E52E3">
        <w:rPr>
          <w:rFonts w:hAnsi="標楷體" w:hint="eastAsia"/>
          <w:bCs/>
          <w:kern w:val="2"/>
          <w:sz w:val="24"/>
          <w:szCs w:val="24"/>
        </w:rPr>
        <w:t>人員均有可能</w:t>
      </w:r>
      <w:proofErr w:type="gramEnd"/>
      <w:r w:rsidRPr="001E52E3">
        <w:rPr>
          <w:rFonts w:hAnsi="標楷體" w:hint="eastAsia"/>
          <w:bCs/>
          <w:kern w:val="2"/>
          <w:sz w:val="24"/>
          <w:szCs w:val="24"/>
        </w:rPr>
        <w:t>輪替，不易長期融入公務體系，恐潛藏人員流動頻繁及管理風險。</w:t>
      </w:r>
      <w:r w:rsidR="00AA3977">
        <w:rPr>
          <w:rFonts w:hAnsi="標楷體" w:hint="eastAsia"/>
          <w:bCs/>
          <w:kern w:val="2"/>
          <w:sz w:val="24"/>
          <w:szCs w:val="24"/>
        </w:rPr>
        <w:t>允宜</w:t>
      </w:r>
      <w:r w:rsidRPr="001E52E3">
        <w:rPr>
          <w:rFonts w:hAnsi="標楷體" w:hint="eastAsia"/>
          <w:bCs/>
          <w:kern w:val="2"/>
          <w:sz w:val="24"/>
          <w:szCs w:val="24"/>
        </w:rPr>
        <w:t>督促各機關</w:t>
      </w:r>
      <w:proofErr w:type="gramStart"/>
      <w:r w:rsidRPr="001E52E3">
        <w:rPr>
          <w:rFonts w:hAnsi="標楷體" w:hint="eastAsia"/>
          <w:bCs/>
          <w:kern w:val="2"/>
          <w:sz w:val="24"/>
          <w:szCs w:val="24"/>
        </w:rPr>
        <w:t>覈</w:t>
      </w:r>
      <w:proofErr w:type="gramEnd"/>
      <w:r w:rsidRPr="001E52E3">
        <w:rPr>
          <w:rFonts w:hAnsi="標楷體" w:hint="eastAsia"/>
          <w:bCs/>
          <w:kern w:val="2"/>
          <w:sz w:val="24"/>
          <w:szCs w:val="24"/>
        </w:rPr>
        <w:t>實檢視現行運用派駐勞工業務類型，</w:t>
      </w:r>
      <w:proofErr w:type="gramStart"/>
      <w:r w:rsidRPr="001E52E3">
        <w:rPr>
          <w:rFonts w:hAnsi="標楷體" w:hint="eastAsia"/>
          <w:bCs/>
          <w:kern w:val="2"/>
          <w:sz w:val="24"/>
          <w:szCs w:val="24"/>
        </w:rPr>
        <w:t>倘確有</w:t>
      </w:r>
      <w:proofErr w:type="gramEnd"/>
      <w:r w:rsidRPr="001E52E3">
        <w:rPr>
          <w:rFonts w:hAnsi="標楷體" w:hint="eastAsia"/>
          <w:bCs/>
          <w:kern w:val="2"/>
          <w:sz w:val="24"/>
          <w:szCs w:val="24"/>
        </w:rPr>
        <w:t>由機關直接指揮監督之需要，</w:t>
      </w:r>
      <w:proofErr w:type="gramStart"/>
      <w:r w:rsidR="00D53348">
        <w:rPr>
          <w:rFonts w:hAnsi="標楷體" w:hint="eastAsia"/>
          <w:bCs/>
          <w:kern w:val="2"/>
          <w:sz w:val="24"/>
          <w:szCs w:val="24"/>
        </w:rPr>
        <w:t>宜</w:t>
      </w:r>
      <w:r w:rsidRPr="001E52E3">
        <w:rPr>
          <w:rFonts w:hAnsi="標楷體" w:hint="eastAsia"/>
          <w:bCs/>
          <w:kern w:val="2"/>
          <w:sz w:val="24"/>
          <w:szCs w:val="24"/>
        </w:rPr>
        <w:t>循既有</w:t>
      </w:r>
      <w:proofErr w:type="gramEnd"/>
      <w:r w:rsidRPr="001E52E3">
        <w:rPr>
          <w:rFonts w:hAnsi="標楷體" w:hint="eastAsia"/>
          <w:bCs/>
          <w:kern w:val="2"/>
          <w:sz w:val="24"/>
          <w:szCs w:val="24"/>
        </w:rPr>
        <w:t>員額及人力管理機制漸進轉換為其他適切人力類型，以合理運用多元人力，提升行政效能。</w:t>
      </w:r>
    </w:p>
    <w:p w14:paraId="2BBA1914" w14:textId="57E0A70C" w:rsidR="00D86A27" w:rsidRPr="001E52E3" w:rsidRDefault="00D86A27" w:rsidP="005B4D53">
      <w:pPr>
        <w:pStyle w:val="affb"/>
        <w:spacing w:line="440" w:lineRule="exact"/>
        <w:ind w:left="0" w:firstLineChars="450" w:firstLine="1081"/>
        <w:jc w:val="both"/>
        <w:rPr>
          <w:rFonts w:hAnsi="標楷體"/>
          <w:b/>
          <w:kern w:val="2"/>
          <w:sz w:val="24"/>
          <w:szCs w:val="24"/>
        </w:rPr>
      </w:pPr>
      <w:r w:rsidRPr="001E52E3">
        <w:rPr>
          <w:rFonts w:hAnsi="標楷體" w:hint="eastAsia"/>
          <w:b/>
          <w:color w:val="000000" w:themeColor="text1"/>
          <w:sz w:val="24"/>
          <w:szCs w:val="28"/>
        </w:rPr>
        <w:t xml:space="preserve">4.　</w:t>
      </w:r>
      <w:r w:rsidRPr="005333D1">
        <w:rPr>
          <w:rFonts w:hAnsi="標楷體" w:hint="eastAsia"/>
          <w:b/>
          <w:kern w:val="2"/>
          <w:sz w:val="24"/>
          <w:szCs w:val="24"/>
        </w:rPr>
        <w:t>政府漸進推動多元人力運用情形之資訊公開，惟網站專區、相關預決算書表之資料層次、可近性及可比較性，尚難支援各界加值分析運用與有效監督，且約用人員公告範圍排</w:t>
      </w:r>
      <w:r w:rsidRPr="005333D1">
        <w:rPr>
          <w:rFonts w:hAnsi="標楷體" w:hint="eastAsia"/>
          <w:b/>
          <w:kern w:val="2"/>
          <w:sz w:val="24"/>
          <w:szCs w:val="24"/>
        </w:rPr>
        <w:lastRenderedPageBreak/>
        <w:t>除其他法規進用契約人力，無法完整呈現政府多元人力運用全貌，允宜</w:t>
      </w:r>
      <w:proofErr w:type="gramStart"/>
      <w:r w:rsidRPr="005333D1">
        <w:rPr>
          <w:rFonts w:hAnsi="標楷體" w:hint="eastAsia"/>
          <w:b/>
          <w:kern w:val="2"/>
          <w:sz w:val="24"/>
          <w:szCs w:val="24"/>
        </w:rPr>
        <w:t>研</w:t>
      </w:r>
      <w:proofErr w:type="gramEnd"/>
      <w:r w:rsidRPr="005333D1">
        <w:rPr>
          <w:rFonts w:hAnsi="標楷體" w:hint="eastAsia"/>
          <w:b/>
          <w:kern w:val="2"/>
          <w:sz w:val="24"/>
          <w:szCs w:val="24"/>
        </w:rPr>
        <w:t>議整合並擴大資訊公開內涵及提升細緻度，以增進政府資訊公開透明</w:t>
      </w:r>
      <w:r w:rsidRPr="001E52E3">
        <w:rPr>
          <w:rFonts w:hAnsi="標楷體" w:hint="eastAsia"/>
          <w:b/>
          <w:kern w:val="2"/>
          <w:sz w:val="24"/>
          <w:szCs w:val="24"/>
        </w:rPr>
        <w:t>：</w:t>
      </w:r>
      <w:r w:rsidRPr="001E52E3">
        <w:rPr>
          <w:rFonts w:hAnsi="標楷體" w:hint="eastAsia"/>
          <w:bCs/>
          <w:kern w:val="2"/>
          <w:sz w:val="24"/>
          <w:szCs w:val="24"/>
        </w:rPr>
        <w:t>依據行政院人事行政總處網站之委外及多元人力運用專區公告資料，</w:t>
      </w:r>
      <w:proofErr w:type="gramStart"/>
      <w:r w:rsidRPr="001E52E3">
        <w:rPr>
          <w:rFonts w:hAnsi="標楷體" w:hint="eastAsia"/>
          <w:bCs/>
          <w:kern w:val="2"/>
          <w:sz w:val="24"/>
          <w:szCs w:val="24"/>
        </w:rPr>
        <w:t>113</w:t>
      </w:r>
      <w:proofErr w:type="gramEnd"/>
      <w:r w:rsidRPr="001E52E3">
        <w:rPr>
          <w:rFonts w:hAnsi="標楷體" w:hint="eastAsia"/>
          <w:bCs/>
          <w:kern w:val="2"/>
          <w:sz w:val="24"/>
          <w:szCs w:val="24"/>
        </w:rPr>
        <w:t>年度第4季中央政府各機關進用約用人員共6</w:t>
      </w:r>
      <w:r w:rsidR="00420721">
        <w:rPr>
          <w:rFonts w:hAnsi="標楷體" w:hint="eastAsia"/>
          <w:bCs/>
          <w:kern w:val="2"/>
          <w:sz w:val="24"/>
          <w:szCs w:val="24"/>
        </w:rPr>
        <w:t>萬</w:t>
      </w:r>
      <w:r w:rsidRPr="001E52E3">
        <w:rPr>
          <w:rFonts w:hAnsi="標楷體" w:hint="eastAsia"/>
          <w:bCs/>
          <w:kern w:val="2"/>
          <w:sz w:val="24"/>
          <w:szCs w:val="24"/>
        </w:rPr>
        <w:t>1,938人，運用派駐勞工共5</w:t>
      </w:r>
      <w:r w:rsidR="00420721">
        <w:rPr>
          <w:rFonts w:hAnsi="標楷體" w:hint="eastAsia"/>
          <w:bCs/>
          <w:kern w:val="2"/>
          <w:sz w:val="24"/>
          <w:szCs w:val="24"/>
        </w:rPr>
        <w:t>萬</w:t>
      </w:r>
      <w:r w:rsidRPr="001E52E3">
        <w:rPr>
          <w:rFonts w:hAnsi="標楷體" w:hint="eastAsia"/>
          <w:bCs/>
          <w:kern w:val="2"/>
          <w:sz w:val="24"/>
          <w:szCs w:val="24"/>
        </w:rPr>
        <w:t>5,125人。經查前揭運用多元人力資訊公開情形，核有：（1）行政院人事行政總處按季公告中央政府各機關運用多元人力資訊，係經加總各級機關（構）底層明細資料後，以</w:t>
      </w:r>
      <w:proofErr w:type="gramStart"/>
      <w:r w:rsidRPr="001E52E3">
        <w:rPr>
          <w:rFonts w:hAnsi="標楷體" w:hint="eastAsia"/>
          <w:bCs/>
          <w:kern w:val="2"/>
          <w:sz w:val="24"/>
          <w:szCs w:val="24"/>
        </w:rPr>
        <w:t>主管機關別彙整</w:t>
      </w:r>
      <w:proofErr w:type="gramEnd"/>
      <w:r w:rsidRPr="001E52E3">
        <w:rPr>
          <w:rFonts w:hAnsi="標楷體" w:hint="eastAsia"/>
          <w:bCs/>
          <w:kern w:val="2"/>
          <w:sz w:val="24"/>
          <w:szCs w:val="24"/>
        </w:rPr>
        <w:t>公開，且除約用人員另按機關（構）屬性再予區分「行政機關」、「公立學校」、「公立醫療機構」外，各主管機關勞務承攬人數資訊，涵蓋所屬公務機關、公立學校、公立醫療機構及國營事業等屬性截然不同之機關（構），相關資訊之資料顆粒度不夠細緻，難以支援分析運用及觀測個別機關（構）用人趨勢變化；復</w:t>
      </w:r>
      <w:proofErr w:type="gramStart"/>
      <w:r w:rsidRPr="001E52E3">
        <w:rPr>
          <w:rFonts w:hAnsi="標楷體" w:hint="eastAsia"/>
          <w:bCs/>
          <w:kern w:val="2"/>
          <w:sz w:val="24"/>
          <w:szCs w:val="24"/>
        </w:rPr>
        <w:t>以</w:t>
      </w:r>
      <w:proofErr w:type="gramEnd"/>
      <w:r w:rsidRPr="001E52E3">
        <w:rPr>
          <w:rFonts w:hAnsi="標楷體" w:hint="eastAsia"/>
          <w:bCs/>
          <w:kern w:val="2"/>
          <w:sz w:val="24"/>
          <w:szCs w:val="24"/>
        </w:rPr>
        <w:t>，各機關（基金）雖已透過預算、決算之編製，揭露運用多元人力之預算數、預計人數、決算數及實際運用人數等，惟相關資訊散見於各單位（附屬單位）預算（決算）、分預算（分決算）中特定表件，查找不易</w:t>
      </w:r>
      <w:r>
        <w:rPr>
          <w:rFonts w:hAnsi="標楷體" w:hint="eastAsia"/>
          <w:bCs/>
          <w:kern w:val="2"/>
          <w:sz w:val="24"/>
          <w:szCs w:val="24"/>
        </w:rPr>
        <w:t>等，現行</w:t>
      </w:r>
      <w:r w:rsidRPr="001E52E3">
        <w:rPr>
          <w:rFonts w:hAnsi="標楷體" w:hint="eastAsia"/>
          <w:bCs/>
          <w:kern w:val="2"/>
          <w:sz w:val="24"/>
          <w:szCs w:val="24"/>
        </w:rPr>
        <w:t>揭露多元人力運用資訊於可近性、資料層次及比較基礎上，尚難以滿足各界探討、分析、加值運用及監督之需求；（2）行政院人事行政總處為明確區隔適用行政院及所屬各機關學校約用人員進用及運用要點規範者，或另有其他進用法規依據之各機關（構）契約用人類型，於該運用要點第2點第1款定義之約用人員，明文排除國立大專校院依「專科以上學校進用編制外專任教學人員實施原則」、「國立大學校務基金進用研究人員及工作人員實施原則」及「國立大專校院行政人力</w:t>
      </w:r>
      <w:proofErr w:type="gramStart"/>
      <w:r w:rsidRPr="001E52E3">
        <w:rPr>
          <w:rFonts w:hAnsi="標楷體" w:hint="eastAsia"/>
          <w:bCs/>
          <w:kern w:val="2"/>
          <w:sz w:val="24"/>
          <w:szCs w:val="24"/>
        </w:rPr>
        <w:t>契僱</w:t>
      </w:r>
      <w:proofErr w:type="gramEnd"/>
      <w:r w:rsidRPr="001E52E3">
        <w:rPr>
          <w:rFonts w:hAnsi="標楷體" w:hint="eastAsia"/>
          <w:bCs/>
          <w:kern w:val="2"/>
          <w:sz w:val="24"/>
          <w:szCs w:val="24"/>
        </w:rPr>
        <w:t>化實施原則」進用人員，公立幼兒園依幼兒教育及照顧法以契約進用之教保員、助理教保員及其他人員，公立博物館依博物館法以契約進用之編制外人員；依教育部所屬機構作業基金設置條例以契約進用之編制外人員等；該總處按季公告各主管機關進用約用人員人數亦不包括前揭排除適用之契約用人類型。惟據行政院人事行政總處提供資料，及本部書面調查結果，教育部所屬大專校院、博物館、幼兒園及國立故宮博物院</w:t>
      </w:r>
      <w:proofErr w:type="gramStart"/>
      <w:r w:rsidRPr="001E52E3">
        <w:rPr>
          <w:rFonts w:hAnsi="標楷體" w:hint="eastAsia"/>
          <w:bCs/>
          <w:kern w:val="2"/>
          <w:sz w:val="24"/>
          <w:szCs w:val="24"/>
        </w:rPr>
        <w:t>113</w:t>
      </w:r>
      <w:proofErr w:type="gramEnd"/>
      <w:r w:rsidRPr="001E52E3">
        <w:rPr>
          <w:rFonts w:hAnsi="標楷體" w:hint="eastAsia"/>
          <w:bCs/>
          <w:kern w:val="2"/>
          <w:sz w:val="24"/>
          <w:szCs w:val="24"/>
        </w:rPr>
        <w:t>年度</w:t>
      </w:r>
      <w:proofErr w:type="gramStart"/>
      <w:r w:rsidRPr="001E52E3">
        <w:rPr>
          <w:rFonts w:hAnsi="標楷體" w:hint="eastAsia"/>
          <w:bCs/>
          <w:kern w:val="2"/>
          <w:sz w:val="24"/>
          <w:szCs w:val="24"/>
        </w:rPr>
        <w:t>第4季依其他</w:t>
      </w:r>
      <w:proofErr w:type="gramEnd"/>
      <w:r w:rsidRPr="001E52E3">
        <w:rPr>
          <w:rFonts w:hAnsi="標楷體" w:hint="eastAsia"/>
          <w:bCs/>
          <w:kern w:val="2"/>
          <w:sz w:val="24"/>
          <w:szCs w:val="24"/>
        </w:rPr>
        <w:t>進用法規進用契約人力合共1</w:t>
      </w:r>
      <w:r w:rsidR="00420721">
        <w:rPr>
          <w:rFonts w:hAnsi="標楷體" w:hint="eastAsia"/>
          <w:bCs/>
          <w:kern w:val="2"/>
          <w:sz w:val="24"/>
          <w:szCs w:val="24"/>
        </w:rPr>
        <w:t>萬</w:t>
      </w:r>
      <w:r w:rsidRPr="001E52E3">
        <w:rPr>
          <w:rFonts w:hAnsi="標楷體" w:hint="eastAsia"/>
          <w:bCs/>
          <w:kern w:val="2"/>
          <w:sz w:val="24"/>
          <w:szCs w:val="24"/>
        </w:rPr>
        <w:t>7,957人，相較該總處公告中央政府同期間進用約用人員6</w:t>
      </w:r>
      <w:r w:rsidR="00420721">
        <w:rPr>
          <w:rFonts w:hAnsi="標楷體" w:hint="eastAsia"/>
          <w:bCs/>
          <w:kern w:val="2"/>
          <w:sz w:val="24"/>
          <w:szCs w:val="24"/>
        </w:rPr>
        <w:t>萬</w:t>
      </w:r>
      <w:r w:rsidRPr="001E52E3">
        <w:rPr>
          <w:rFonts w:hAnsi="標楷體" w:hint="eastAsia"/>
          <w:bCs/>
          <w:kern w:val="2"/>
          <w:sz w:val="24"/>
          <w:szCs w:val="24"/>
        </w:rPr>
        <w:t>1,938人，該統計範圍外之契約人力已具相當規模。</w:t>
      </w:r>
      <w:r w:rsidR="00BC6E1F">
        <w:rPr>
          <w:rFonts w:hAnsi="標楷體" w:hint="eastAsia"/>
          <w:bCs/>
          <w:kern w:val="2"/>
          <w:sz w:val="24"/>
          <w:szCs w:val="24"/>
        </w:rPr>
        <w:t>允宜</w:t>
      </w:r>
      <w:r w:rsidRPr="001E52E3">
        <w:rPr>
          <w:rFonts w:hAnsi="標楷體" w:hint="eastAsia"/>
          <w:bCs/>
          <w:kern w:val="2"/>
          <w:sz w:val="24"/>
          <w:szCs w:val="24"/>
        </w:rPr>
        <w:t>督促人事行政總處</w:t>
      </w:r>
      <w:proofErr w:type="gramStart"/>
      <w:r w:rsidRPr="001E52E3">
        <w:rPr>
          <w:rFonts w:hAnsi="標楷體" w:hint="eastAsia"/>
          <w:bCs/>
          <w:kern w:val="2"/>
          <w:sz w:val="24"/>
          <w:szCs w:val="24"/>
        </w:rPr>
        <w:t>研</w:t>
      </w:r>
      <w:proofErr w:type="gramEnd"/>
      <w:r w:rsidRPr="001E52E3">
        <w:rPr>
          <w:rFonts w:hAnsi="標楷體" w:hint="eastAsia"/>
          <w:bCs/>
          <w:kern w:val="2"/>
          <w:sz w:val="24"/>
          <w:szCs w:val="24"/>
        </w:rPr>
        <w:t>議公開相關明細資料，並就該總處公告資訊及各機關（基金）單位（附屬單位）預（決）算相關書表中涉及多元人力運用人數、經費等相關資訊，督請</w:t>
      </w:r>
      <w:r w:rsidR="00275C4E">
        <w:rPr>
          <w:rFonts w:hAnsi="標楷體" w:hint="eastAsia"/>
          <w:bCs/>
          <w:kern w:val="2"/>
          <w:sz w:val="24"/>
          <w:szCs w:val="24"/>
        </w:rPr>
        <w:t>行政院</w:t>
      </w:r>
      <w:r w:rsidRPr="001E52E3">
        <w:rPr>
          <w:rFonts w:hAnsi="標楷體" w:hint="eastAsia"/>
          <w:bCs/>
          <w:kern w:val="2"/>
          <w:sz w:val="24"/>
          <w:szCs w:val="24"/>
        </w:rPr>
        <w:t>人事行政總處及主計總處</w:t>
      </w:r>
      <w:proofErr w:type="gramStart"/>
      <w:r w:rsidRPr="001E52E3">
        <w:rPr>
          <w:rFonts w:hAnsi="標楷體" w:hint="eastAsia"/>
          <w:bCs/>
          <w:kern w:val="2"/>
          <w:sz w:val="24"/>
          <w:szCs w:val="24"/>
        </w:rPr>
        <w:t>研</w:t>
      </w:r>
      <w:proofErr w:type="gramEnd"/>
      <w:r w:rsidRPr="001E52E3">
        <w:rPr>
          <w:rFonts w:hAnsi="標楷體" w:hint="eastAsia"/>
          <w:bCs/>
          <w:kern w:val="2"/>
          <w:sz w:val="24"/>
          <w:szCs w:val="24"/>
        </w:rPr>
        <w:t>議整合人數、經費資訊於同一平</w:t>
      </w:r>
      <w:proofErr w:type="gramStart"/>
      <w:r w:rsidRPr="001E52E3">
        <w:rPr>
          <w:rFonts w:hAnsi="標楷體" w:hint="eastAsia"/>
          <w:bCs/>
          <w:kern w:val="2"/>
          <w:sz w:val="24"/>
          <w:szCs w:val="24"/>
        </w:rPr>
        <w:t>臺</w:t>
      </w:r>
      <w:proofErr w:type="gramEnd"/>
      <w:r w:rsidRPr="001E52E3">
        <w:rPr>
          <w:rFonts w:hAnsi="標楷體" w:hint="eastAsia"/>
          <w:bCs/>
          <w:kern w:val="2"/>
          <w:sz w:val="24"/>
          <w:szCs w:val="24"/>
        </w:rPr>
        <w:t>揭露，暨督促</w:t>
      </w:r>
      <w:r w:rsidR="00275C4E">
        <w:rPr>
          <w:rFonts w:hAnsi="標楷體" w:hint="eastAsia"/>
          <w:bCs/>
          <w:kern w:val="2"/>
          <w:sz w:val="24"/>
          <w:szCs w:val="24"/>
        </w:rPr>
        <w:t>行政院</w:t>
      </w:r>
      <w:r w:rsidRPr="001E52E3">
        <w:rPr>
          <w:rFonts w:hAnsi="標楷體" w:hint="eastAsia"/>
          <w:bCs/>
          <w:kern w:val="2"/>
          <w:sz w:val="24"/>
          <w:szCs w:val="24"/>
        </w:rPr>
        <w:t>人事行政總處</w:t>
      </w:r>
      <w:proofErr w:type="gramStart"/>
      <w:r w:rsidRPr="001E52E3">
        <w:rPr>
          <w:rFonts w:hAnsi="標楷體" w:hint="eastAsia"/>
          <w:bCs/>
          <w:kern w:val="2"/>
          <w:sz w:val="24"/>
          <w:szCs w:val="24"/>
        </w:rPr>
        <w:t>研</w:t>
      </w:r>
      <w:proofErr w:type="gramEnd"/>
      <w:r w:rsidRPr="001E52E3">
        <w:rPr>
          <w:rFonts w:hAnsi="標楷體" w:hint="eastAsia"/>
          <w:bCs/>
          <w:kern w:val="2"/>
          <w:sz w:val="24"/>
          <w:szCs w:val="24"/>
        </w:rPr>
        <w:t>議將相關契約進用人力情形納入網站專區資訊公開。</w:t>
      </w:r>
    </w:p>
    <w:p w14:paraId="1D60D6F4" w14:textId="64988B28" w:rsidR="00D86A27" w:rsidRPr="001E52E3" w:rsidRDefault="00D86A27" w:rsidP="00B26253">
      <w:pPr>
        <w:pStyle w:val="affb"/>
        <w:spacing w:line="426" w:lineRule="exact"/>
        <w:ind w:left="0" w:firstLineChars="450" w:firstLine="1081"/>
        <w:jc w:val="both"/>
        <w:rPr>
          <w:rFonts w:hAnsi="標楷體"/>
          <w:color w:val="000000" w:themeColor="text1"/>
          <w:sz w:val="24"/>
          <w:szCs w:val="28"/>
        </w:rPr>
      </w:pPr>
      <w:r w:rsidRPr="001E52E3">
        <w:rPr>
          <w:rFonts w:hAnsi="標楷體" w:hint="eastAsia"/>
          <w:b/>
          <w:color w:val="000000" w:themeColor="text1"/>
          <w:sz w:val="24"/>
          <w:szCs w:val="28"/>
        </w:rPr>
        <w:t xml:space="preserve">5.　</w:t>
      </w:r>
      <w:r w:rsidRPr="005333D1">
        <w:rPr>
          <w:rFonts w:hAnsi="標楷體" w:hint="eastAsia"/>
          <w:b/>
          <w:kern w:val="2"/>
          <w:sz w:val="24"/>
          <w:szCs w:val="24"/>
        </w:rPr>
        <w:t>行政院為活化公務人力運用，善用民間資源減輕政府財政負擔，致力推動所屬各機關業務委外政策，惟仍有部分機關未依相關規定設置委外專案小組，或專案小組運作結果，未充分發揮由上而下通盤督導及檢討推動業務委外之職能，允宜督促所屬機關完備組設，並落實其統籌策劃及督導推動業務委外之積極功能，以達成委外政策之效益目標</w:t>
      </w:r>
      <w:r w:rsidRPr="001E52E3">
        <w:rPr>
          <w:rFonts w:hAnsi="標楷體" w:hint="eastAsia"/>
          <w:b/>
          <w:kern w:val="2"/>
          <w:sz w:val="24"/>
          <w:szCs w:val="24"/>
        </w:rPr>
        <w:t>：</w:t>
      </w:r>
      <w:r w:rsidRPr="001E52E3">
        <w:rPr>
          <w:rFonts w:hAnsi="標楷體" w:hint="eastAsia"/>
          <w:bCs/>
          <w:kern w:val="2"/>
          <w:sz w:val="24"/>
          <w:szCs w:val="24"/>
        </w:rPr>
        <w:t>依據行政院所屬各機關推動業務委託民間辦理實施要點第2點、第3點、第5點及第7點規定，各機關業務屬公共服務或執行性質，經主管機關（二級部會）評估適合委託民間辦理者，得委外辦理，主管</w:t>
      </w:r>
      <w:r w:rsidRPr="001E52E3">
        <w:rPr>
          <w:rFonts w:hAnsi="標楷體" w:hint="eastAsia"/>
          <w:bCs/>
          <w:kern w:val="2"/>
          <w:sz w:val="24"/>
          <w:szCs w:val="24"/>
        </w:rPr>
        <w:lastRenderedPageBreak/>
        <w:t>機關應依該要點督導各機關委外辦理情形；為落實推動委外，各主管機關及所屬各機關應分別組成專案小組（下稱委外專案小組）推動本機關業務委外事宜，而主管機關應每年檢討本機關及所屬各機關辦理委外情形；各機關委外專案小組應通盤檢討適合委外業務，評估其可行性及經濟效益，擬訂實施時程，報請主管機關核定，或由主管機關就部分業務委外案件授權各機關自行辦理。</w:t>
      </w:r>
      <w:r w:rsidRPr="00CD7916">
        <w:rPr>
          <w:rFonts w:hAnsi="標楷體" w:hint="eastAsia"/>
          <w:bCs/>
          <w:spacing w:val="2"/>
          <w:kern w:val="2"/>
          <w:sz w:val="24"/>
          <w:szCs w:val="24"/>
        </w:rPr>
        <w:t>據本部書面調查截至114年3月底</w:t>
      </w:r>
      <w:proofErr w:type="gramStart"/>
      <w:r w:rsidRPr="00CD7916">
        <w:rPr>
          <w:rFonts w:hAnsi="標楷體" w:hint="eastAsia"/>
          <w:bCs/>
          <w:spacing w:val="2"/>
          <w:kern w:val="2"/>
          <w:sz w:val="24"/>
          <w:szCs w:val="24"/>
        </w:rPr>
        <w:t>止</w:t>
      </w:r>
      <w:proofErr w:type="gramEnd"/>
      <w:r w:rsidRPr="00CD7916">
        <w:rPr>
          <w:rFonts w:hAnsi="標楷體" w:hint="eastAsia"/>
          <w:bCs/>
          <w:spacing w:val="2"/>
          <w:kern w:val="2"/>
          <w:sz w:val="24"/>
          <w:szCs w:val="24"/>
        </w:rPr>
        <w:t>行政院所屬各主管機關督導及推動業務委外情形，</w:t>
      </w:r>
      <w:proofErr w:type="gramStart"/>
      <w:r w:rsidRPr="00CD7916">
        <w:rPr>
          <w:rFonts w:hAnsi="標楷體" w:hint="eastAsia"/>
          <w:bCs/>
          <w:spacing w:val="2"/>
          <w:kern w:val="2"/>
          <w:sz w:val="24"/>
          <w:szCs w:val="24"/>
        </w:rPr>
        <w:t>間有部分</w:t>
      </w:r>
      <w:proofErr w:type="gramEnd"/>
      <w:r w:rsidRPr="00CD7916">
        <w:rPr>
          <w:rFonts w:hAnsi="標楷體" w:hint="eastAsia"/>
          <w:bCs/>
          <w:spacing w:val="2"/>
          <w:kern w:val="2"/>
          <w:sz w:val="24"/>
          <w:szCs w:val="24"/>
        </w:rPr>
        <w:t>機關未依相關規定設置委外專案小組、部分主管機關委外專案小組督導範疇未完整涵蓋所屬機關委外案件，或僅檢討既有案件執行成效，另各該委外專案小組評估</w:t>
      </w:r>
      <w:proofErr w:type="gramStart"/>
      <w:r w:rsidRPr="00CD7916">
        <w:rPr>
          <w:rFonts w:hAnsi="標楷體" w:hint="eastAsia"/>
          <w:bCs/>
          <w:spacing w:val="2"/>
          <w:kern w:val="2"/>
          <w:sz w:val="24"/>
          <w:szCs w:val="24"/>
        </w:rPr>
        <w:t>114</w:t>
      </w:r>
      <w:proofErr w:type="gramEnd"/>
      <w:r w:rsidRPr="00CD7916">
        <w:rPr>
          <w:rFonts w:hAnsi="標楷體" w:hint="eastAsia"/>
          <w:bCs/>
          <w:spacing w:val="2"/>
          <w:kern w:val="2"/>
          <w:sz w:val="24"/>
          <w:szCs w:val="24"/>
        </w:rPr>
        <w:t>年度預定委外案件時點集中於113年下半年以後，評估結果係就本機關或所屬機關提報已規劃完成</w:t>
      </w:r>
      <w:proofErr w:type="gramStart"/>
      <w:r w:rsidRPr="00CD7916">
        <w:rPr>
          <w:rFonts w:hAnsi="標楷體" w:hint="eastAsia"/>
          <w:bCs/>
          <w:spacing w:val="2"/>
          <w:kern w:val="2"/>
          <w:sz w:val="24"/>
          <w:szCs w:val="24"/>
        </w:rPr>
        <w:t>114</w:t>
      </w:r>
      <w:proofErr w:type="gramEnd"/>
      <w:r w:rsidRPr="00CD7916">
        <w:rPr>
          <w:rFonts w:hAnsi="標楷體" w:hint="eastAsia"/>
          <w:bCs/>
          <w:spacing w:val="2"/>
          <w:kern w:val="2"/>
          <w:sz w:val="24"/>
          <w:szCs w:val="24"/>
        </w:rPr>
        <w:t>年度預定委外案件之適法性、合理性、效益性等相關論述酌予修正後，</w:t>
      </w:r>
      <w:proofErr w:type="gramStart"/>
      <w:r w:rsidRPr="00CD7916">
        <w:rPr>
          <w:rFonts w:hAnsi="標楷體" w:hint="eastAsia"/>
          <w:bCs/>
          <w:spacing w:val="2"/>
          <w:kern w:val="2"/>
          <w:sz w:val="24"/>
          <w:szCs w:val="24"/>
        </w:rPr>
        <w:t>逕予備</w:t>
      </w:r>
      <w:proofErr w:type="gramEnd"/>
      <w:r w:rsidRPr="00CD7916">
        <w:rPr>
          <w:rFonts w:hAnsi="標楷體" w:hint="eastAsia"/>
          <w:bCs/>
          <w:spacing w:val="2"/>
          <w:kern w:val="2"/>
          <w:sz w:val="24"/>
          <w:szCs w:val="24"/>
        </w:rPr>
        <w:t>查，未盡發揮相關規定有關主管機關指派高階主管人員召集委外專案小組，由上而下督導本機關及所屬機關通盤檢討適合委外業務，訂定實施時程並落實推動委外之功能。</w:t>
      </w:r>
      <w:r w:rsidR="00CD7916" w:rsidRPr="00CD7916">
        <w:rPr>
          <w:rFonts w:hAnsi="標楷體" w:hint="eastAsia"/>
          <w:bCs/>
          <w:spacing w:val="2"/>
          <w:kern w:val="2"/>
          <w:sz w:val="24"/>
          <w:szCs w:val="24"/>
        </w:rPr>
        <w:t>允宜</w:t>
      </w:r>
      <w:r w:rsidRPr="00CD7916">
        <w:rPr>
          <w:rFonts w:hAnsi="標楷體" w:hint="eastAsia"/>
          <w:bCs/>
          <w:spacing w:val="2"/>
          <w:kern w:val="2"/>
          <w:sz w:val="24"/>
          <w:szCs w:val="24"/>
        </w:rPr>
        <w:t>督促所屬機關依相關規定設置委外專案小組，落實其統籌策劃及督導推動業務委外之積極功能，達成委外政策之效益目標。</w:t>
      </w:r>
    </w:p>
    <w:p w14:paraId="0F2E9747" w14:textId="413789B5" w:rsidR="00B96626" w:rsidRPr="00757893" w:rsidRDefault="00B96626" w:rsidP="00660A72">
      <w:pPr>
        <w:overflowPunct w:val="0"/>
        <w:snapToGrid w:val="0"/>
        <w:spacing w:beforeLines="20" w:before="72" w:afterLines="20" w:after="72" w:line="440" w:lineRule="exact"/>
        <w:ind w:firstLineChars="200" w:firstLine="561"/>
        <w:jc w:val="both"/>
        <w:outlineLvl w:val="1"/>
        <w:rPr>
          <w:rFonts w:ascii="標楷體" w:eastAsia="標楷體" w:hAnsi="標楷體"/>
          <w:b/>
          <w:color w:val="000000" w:themeColor="text1"/>
          <w:sz w:val="28"/>
          <w:szCs w:val="28"/>
        </w:rPr>
      </w:pPr>
      <w:r w:rsidRPr="00757893">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二十</w:t>
      </w:r>
      <w:r w:rsidR="00781889">
        <w:rPr>
          <w:rFonts w:ascii="標楷體" w:eastAsia="標楷體" w:hAnsi="標楷體" w:hint="eastAsia"/>
          <w:b/>
          <w:color w:val="000000" w:themeColor="text1"/>
          <w:sz w:val="28"/>
          <w:szCs w:val="28"/>
        </w:rPr>
        <w:t>四</w:t>
      </w:r>
      <w:r w:rsidRPr="00757893">
        <w:rPr>
          <w:rFonts w:ascii="標楷體" w:eastAsia="標楷體" w:hAnsi="標楷體" w:hint="eastAsia"/>
          <w:b/>
          <w:color w:val="000000" w:themeColor="text1"/>
          <w:sz w:val="28"/>
          <w:szCs w:val="28"/>
        </w:rPr>
        <w:t xml:space="preserve">）　</w:t>
      </w:r>
      <w:r w:rsidR="00970273" w:rsidRPr="00970273">
        <w:rPr>
          <w:rFonts w:ascii="標楷體" w:eastAsia="標楷體" w:hAnsi="標楷體" w:hint="eastAsia"/>
          <w:b/>
          <w:color w:val="000000" w:themeColor="text1"/>
          <w:sz w:val="28"/>
          <w:szCs w:val="28"/>
        </w:rPr>
        <w:t>政府為建構</w:t>
      </w:r>
      <w:proofErr w:type="gramStart"/>
      <w:r w:rsidR="00970273" w:rsidRPr="00970273">
        <w:rPr>
          <w:rFonts w:ascii="標楷體" w:eastAsia="標楷體" w:hAnsi="標楷體" w:hint="eastAsia"/>
          <w:b/>
          <w:color w:val="000000" w:themeColor="text1"/>
          <w:sz w:val="28"/>
          <w:szCs w:val="28"/>
        </w:rPr>
        <w:t>國家資安環境</w:t>
      </w:r>
      <w:proofErr w:type="gramEnd"/>
      <w:r w:rsidR="00970273" w:rsidRPr="00970273">
        <w:rPr>
          <w:rFonts w:ascii="標楷體" w:eastAsia="標楷體" w:hAnsi="標楷體" w:hint="eastAsia"/>
          <w:b/>
          <w:color w:val="000000" w:themeColor="text1"/>
          <w:sz w:val="28"/>
          <w:szCs w:val="28"/>
        </w:rPr>
        <w:t>，推動各機關配置適</w:t>
      </w:r>
      <w:proofErr w:type="gramStart"/>
      <w:r w:rsidR="00970273" w:rsidRPr="00970273">
        <w:rPr>
          <w:rFonts w:ascii="標楷體" w:eastAsia="標楷體" w:hAnsi="標楷體" w:hint="eastAsia"/>
          <w:b/>
          <w:color w:val="000000" w:themeColor="text1"/>
          <w:sz w:val="28"/>
          <w:szCs w:val="28"/>
        </w:rPr>
        <w:t>足資安專職</w:t>
      </w:r>
      <w:proofErr w:type="gramEnd"/>
      <w:r w:rsidR="00970273" w:rsidRPr="00970273">
        <w:rPr>
          <w:rFonts w:ascii="標楷體" w:eastAsia="標楷體" w:hAnsi="標楷體" w:hint="eastAsia"/>
          <w:b/>
          <w:color w:val="000000" w:themeColor="text1"/>
          <w:sz w:val="28"/>
          <w:szCs w:val="28"/>
        </w:rPr>
        <w:t>人力，惟部分機關以非資訊（安）專業人員及委外人員等</w:t>
      </w:r>
      <w:proofErr w:type="gramStart"/>
      <w:r w:rsidR="00970273" w:rsidRPr="00970273">
        <w:rPr>
          <w:rFonts w:ascii="標楷體" w:eastAsia="標楷體" w:hAnsi="標楷體" w:hint="eastAsia"/>
          <w:b/>
          <w:color w:val="000000" w:themeColor="text1"/>
          <w:sz w:val="28"/>
          <w:szCs w:val="28"/>
        </w:rPr>
        <w:t>補充資安人力</w:t>
      </w:r>
      <w:proofErr w:type="gramEnd"/>
      <w:r w:rsidR="00970273" w:rsidRPr="00970273">
        <w:rPr>
          <w:rFonts w:ascii="標楷體" w:eastAsia="標楷體" w:hAnsi="標楷體" w:hint="eastAsia"/>
          <w:b/>
          <w:color w:val="000000" w:themeColor="text1"/>
          <w:sz w:val="28"/>
          <w:szCs w:val="28"/>
        </w:rPr>
        <w:t>，或未取得足額專業證照、職能訓練證書，存有無法</w:t>
      </w:r>
      <w:proofErr w:type="gramStart"/>
      <w:r w:rsidR="00970273" w:rsidRPr="00970273">
        <w:rPr>
          <w:rFonts w:ascii="標楷體" w:eastAsia="標楷體" w:hAnsi="標楷體" w:hint="eastAsia"/>
          <w:b/>
          <w:color w:val="000000" w:themeColor="text1"/>
          <w:sz w:val="28"/>
          <w:szCs w:val="28"/>
        </w:rPr>
        <w:t>落實資安業務</w:t>
      </w:r>
      <w:proofErr w:type="gramEnd"/>
      <w:r w:rsidR="00970273" w:rsidRPr="00970273">
        <w:rPr>
          <w:rFonts w:ascii="標楷體" w:eastAsia="標楷體" w:hAnsi="標楷體" w:hint="eastAsia"/>
          <w:b/>
          <w:color w:val="000000" w:themeColor="text1"/>
          <w:sz w:val="28"/>
          <w:szCs w:val="28"/>
        </w:rPr>
        <w:t>之風險；部分資訊（安）專業人員因機關未設立資訊單位而無法支領資訊專業加給，</w:t>
      </w:r>
      <w:proofErr w:type="gramStart"/>
      <w:r w:rsidR="00970273" w:rsidRPr="00970273">
        <w:rPr>
          <w:rFonts w:ascii="標楷體" w:eastAsia="標楷體" w:hAnsi="標楷體" w:hint="eastAsia"/>
          <w:b/>
          <w:color w:val="000000" w:themeColor="text1"/>
          <w:sz w:val="28"/>
          <w:szCs w:val="28"/>
        </w:rPr>
        <w:t>資安增</w:t>
      </w:r>
      <w:proofErr w:type="gramEnd"/>
      <w:r w:rsidR="00970273" w:rsidRPr="00970273">
        <w:rPr>
          <w:rFonts w:ascii="標楷體" w:eastAsia="標楷體" w:hAnsi="標楷體" w:hint="eastAsia"/>
          <w:b/>
          <w:color w:val="000000" w:themeColor="text1"/>
          <w:sz w:val="28"/>
          <w:szCs w:val="28"/>
        </w:rPr>
        <w:t>支加給僅少數機關人員適用，不利於機關留才</w:t>
      </w:r>
      <w:proofErr w:type="gramStart"/>
      <w:r w:rsidR="00970273" w:rsidRPr="00970273">
        <w:rPr>
          <w:rFonts w:ascii="標楷體" w:eastAsia="標楷體" w:hAnsi="標楷體" w:hint="eastAsia"/>
          <w:b/>
          <w:color w:val="000000" w:themeColor="text1"/>
          <w:sz w:val="28"/>
          <w:szCs w:val="28"/>
        </w:rPr>
        <w:t>及攬才</w:t>
      </w:r>
      <w:proofErr w:type="gramEnd"/>
      <w:r w:rsidR="00970273" w:rsidRPr="00970273">
        <w:rPr>
          <w:rFonts w:ascii="標楷體" w:eastAsia="標楷體" w:hAnsi="標楷體" w:hint="eastAsia"/>
          <w:b/>
          <w:color w:val="000000" w:themeColor="text1"/>
          <w:sz w:val="28"/>
          <w:szCs w:val="28"/>
        </w:rPr>
        <w:t>，允宜</w:t>
      </w:r>
      <w:proofErr w:type="gramStart"/>
      <w:r w:rsidR="00970273" w:rsidRPr="00970273">
        <w:rPr>
          <w:rFonts w:ascii="標楷體" w:eastAsia="標楷體" w:hAnsi="標楷體" w:hint="eastAsia"/>
          <w:b/>
          <w:color w:val="000000" w:themeColor="text1"/>
          <w:sz w:val="28"/>
          <w:szCs w:val="28"/>
        </w:rPr>
        <w:t>研</w:t>
      </w:r>
      <w:proofErr w:type="gramEnd"/>
      <w:r w:rsidR="00970273" w:rsidRPr="00970273">
        <w:rPr>
          <w:rFonts w:ascii="標楷體" w:eastAsia="標楷體" w:hAnsi="標楷體" w:hint="eastAsia"/>
          <w:b/>
          <w:color w:val="000000" w:themeColor="text1"/>
          <w:sz w:val="28"/>
          <w:szCs w:val="28"/>
        </w:rPr>
        <w:t>謀改善。</w:t>
      </w:r>
    </w:p>
    <w:p w14:paraId="0604D578" w14:textId="32951B9F" w:rsidR="008E7AC8" w:rsidRPr="008E7AC8" w:rsidRDefault="00970273" w:rsidP="003B5042">
      <w:pPr>
        <w:overflowPunct w:val="0"/>
        <w:adjustRightInd w:val="0"/>
        <w:snapToGrid w:val="0"/>
        <w:spacing w:line="440" w:lineRule="exact"/>
        <w:ind w:firstLineChars="200" w:firstLine="480"/>
        <w:jc w:val="both"/>
        <w:rPr>
          <w:rFonts w:ascii="標楷體" w:eastAsia="標楷體" w:hAnsi="標楷體" w:cs="標楷體"/>
          <w:kern w:val="52"/>
          <w:szCs w:val="32"/>
        </w:rPr>
      </w:pPr>
      <w:r w:rsidRPr="00970273">
        <w:rPr>
          <w:rFonts w:ascii="標楷體" w:eastAsia="標楷體" w:hAnsi="標楷體" w:cs="標楷體" w:hint="eastAsia"/>
          <w:kern w:val="52"/>
          <w:szCs w:val="32"/>
        </w:rPr>
        <w:t>政府為加速建構國家資通安全環境，於108年1月1日正式施行資通安全管理法，依該法授權訂定之資通安全責任等級分級辦法（下稱資安責任等級分級辦法），明定各公務機關應依其資通安全責任等級（下稱資安責任等級）</w:t>
      </w:r>
      <w:proofErr w:type="gramStart"/>
      <w:r w:rsidRPr="00970273">
        <w:rPr>
          <w:rFonts w:ascii="標楷體" w:eastAsia="標楷體" w:hAnsi="標楷體" w:cs="標楷體" w:hint="eastAsia"/>
          <w:kern w:val="52"/>
          <w:szCs w:val="32"/>
        </w:rPr>
        <w:t>配置資安專職</w:t>
      </w:r>
      <w:proofErr w:type="gramEnd"/>
      <w:r w:rsidRPr="00970273">
        <w:rPr>
          <w:rFonts w:ascii="標楷體" w:eastAsia="標楷體" w:hAnsi="標楷體" w:cs="標楷體" w:hint="eastAsia"/>
          <w:kern w:val="52"/>
          <w:szCs w:val="32"/>
        </w:rPr>
        <w:t>人力，並持續精進職能取得專業證照及訓練證書，以</w:t>
      </w:r>
      <w:proofErr w:type="gramStart"/>
      <w:r w:rsidRPr="00970273">
        <w:rPr>
          <w:rFonts w:ascii="標楷體" w:eastAsia="標楷體" w:hAnsi="標楷體" w:cs="標楷體" w:hint="eastAsia"/>
          <w:kern w:val="52"/>
          <w:szCs w:val="32"/>
        </w:rPr>
        <w:t>提升資安人力</w:t>
      </w:r>
      <w:proofErr w:type="gramEnd"/>
      <w:r w:rsidRPr="00970273">
        <w:rPr>
          <w:rFonts w:ascii="標楷體" w:eastAsia="標楷體" w:hAnsi="標楷體" w:cs="標楷體" w:hint="eastAsia"/>
          <w:kern w:val="52"/>
          <w:szCs w:val="32"/>
        </w:rPr>
        <w:t>水準，另為留任及</w:t>
      </w:r>
      <w:proofErr w:type="gramStart"/>
      <w:r w:rsidRPr="00970273">
        <w:rPr>
          <w:rFonts w:ascii="標楷體" w:eastAsia="標楷體" w:hAnsi="標楷體" w:cs="標楷體" w:hint="eastAsia"/>
          <w:kern w:val="52"/>
          <w:szCs w:val="32"/>
        </w:rPr>
        <w:t>延攬資安人才</w:t>
      </w:r>
      <w:proofErr w:type="gramEnd"/>
      <w:r w:rsidRPr="00970273">
        <w:rPr>
          <w:rFonts w:ascii="標楷體" w:eastAsia="標楷體" w:hAnsi="標楷體" w:cs="標楷體" w:hint="eastAsia"/>
          <w:kern w:val="52"/>
          <w:szCs w:val="32"/>
        </w:rPr>
        <w:t>，暨協助機關擴大取才管道，自113年起</w:t>
      </w:r>
      <w:proofErr w:type="gramStart"/>
      <w:r w:rsidRPr="00970273">
        <w:rPr>
          <w:rFonts w:ascii="標楷體" w:eastAsia="標楷體" w:hAnsi="標楷體" w:cs="標楷體" w:hint="eastAsia"/>
          <w:kern w:val="52"/>
          <w:szCs w:val="32"/>
        </w:rPr>
        <w:t>實施資安專職</w:t>
      </w:r>
      <w:proofErr w:type="gramEnd"/>
      <w:r w:rsidRPr="00970273">
        <w:rPr>
          <w:rFonts w:ascii="標楷體" w:eastAsia="標楷體" w:hAnsi="標楷體" w:cs="標楷體" w:hint="eastAsia"/>
          <w:kern w:val="52"/>
          <w:szCs w:val="32"/>
        </w:rPr>
        <w:t>人員專業增支加給。經查行政院及所屬機關（含行政法人、公立醫院及公立學校，下同）</w:t>
      </w:r>
      <w:proofErr w:type="gramStart"/>
      <w:r w:rsidRPr="00970273">
        <w:rPr>
          <w:rFonts w:ascii="標楷體" w:eastAsia="標楷體" w:hAnsi="標楷體" w:cs="標楷體" w:hint="eastAsia"/>
          <w:kern w:val="52"/>
          <w:szCs w:val="32"/>
        </w:rPr>
        <w:t>資安專職</w:t>
      </w:r>
      <w:proofErr w:type="gramEnd"/>
      <w:r w:rsidRPr="00970273">
        <w:rPr>
          <w:rFonts w:ascii="標楷體" w:eastAsia="標楷體" w:hAnsi="標楷體" w:cs="標楷體" w:hint="eastAsia"/>
          <w:kern w:val="52"/>
          <w:szCs w:val="32"/>
        </w:rPr>
        <w:t>人力配置情形，核有下列事項：</w:t>
      </w:r>
    </w:p>
    <w:p w14:paraId="134DE10B" w14:textId="798B6F1B" w:rsidR="000361E5" w:rsidRPr="00237035" w:rsidRDefault="008E7AC8" w:rsidP="003B5042">
      <w:pPr>
        <w:overflowPunct w:val="0"/>
        <w:adjustRightInd w:val="0"/>
        <w:snapToGrid w:val="0"/>
        <w:spacing w:line="430" w:lineRule="exact"/>
        <w:ind w:firstLineChars="450" w:firstLine="1045"/>
        <w:jc w:val="both"/>
        <w:rPr>
          <w:rFonts w:ascii="標楷體" w:eastAsia="標楷體" w:hAnsi="標楷體"/>
          <w:bCs/>
          <w:szCs w:val="24"/>
          <w:shd w:val="pct15" w:color="auto" w:fill="FFFFFF"/>
        </w:rPr>
      </w:pPr>
      <w:r w:rsidRPr="00A62B08">
        <w:rPr>
          <w:rFonts w:ascii="標楷體" w:eastAsia="標楷體" w:hAnsi="標楷體" w:hint="eastAsia"/>
          <w:b/>
          <w:spacing w:val="-4"/>
          <w:szCs w:val="24"/>
        </w:rPr>
        <w:t xml:space="preserve">1.　</w:t>
      </w:r>
      <w:r w:rsidR="00970273" w:rsidRPr="00970273">
        <w:rPr>
          <w:rFonts w:ascii="標楷體" w:eastAsia="標楷體" w:hAnsi="標楷體" w:hint="eastAsia"/>
          <w:b/>
          <w:spacing w:val="-4"/>
          <w:szCs w:val="24"/>
        </w:rPr>
        <w:t>行政院及所屬</w:t>
      </w:r>
      <w:proofErr w:type="gramStart"/>
      <w:r w:rsidR="00970273" w:rsidRPr="00970273">
        <w:rPr>
          <w:rFonts w:ascii="標楷體" w:eastAsia="標楷體" w:hAnsi="標楷體" w:hint="eastAsia"/>
          <w:b/>
          <w:spacing w:val="-4"/>
          <w:szCs w:val="24"/>
        </w:rPr>
        <w:t>機關資安專職</w:t>
      </w:r>
      <w:proofErr w:type="gramEnd"/>
      <w:r w:rsidR="00970273" w:rsidRPr="00970273">
        <w:rPr>
          <w:rFonts w:ascii="標楷體" w:eastAsia="標楷體" w:hAnsi="標楷體" w:hint="eastAsia"/>
          <w:b/>
          <w:spacing w:val="-4"/>
          <w:szCs w:val="24"/>
        </w:rPr>
        <w:t>人力</w:t>
      </w:r>
      <w:r w:rsidR="00E8072F" w:rsidRPr="00E8072F">
        <w:rPr>
          <w:rFonts w:ascii="標楷體" w:eastAsia="標楷體" w:hAnsi="標楷體" w:hint="eastAsia"/>
          <w:b/>
          <w:spacing w:val="-4"/>
          <w:szCs w:val="24"/>
        </w:rPr>
        <w:t>配置多數</w:t>
      </w:r>
      <w:r w:rsidR="00970273" w:rsidRPr="00970273">
        <w:rPr>
          <w:rFonts w:ascii="標楷體" w:eastAsia="標楷體" w:hAnsi="標楷體" w:hint="eastAsia"/>
          <w:b/>
          <w:spacing w:val="-4"/>
          <w:szCs w:val="24"/>
        </w:rPr>
        <w:t>已達規定標準，惟部分機關因配合資訊資源向上集中策略，或未達可設置資訊單位之標準，而未設立資訊單位，並以非資訊（安）專業人員、委外人員及上級機關派駐人員</w:t>
      </w:r>
      <w:proofErr w:type="gramStart"/>
      <w:r w:rsidR="00970273" w:rsidRPr="00970273">
        <w:rPr>
          <w:rFonts w:ascii="標楷體" w:eastAsia="標楷體" w:hAnsi="標楷體" w:hint="eastAsia"/>
          <w:b/>
          <w:spacing w:val="-4"/>
          <w:szCs w:val="24"/>
        </w:rPr>
        <w:t>補充資安人力</w:t>
      </w:r>
      <w:proofErr w:type="gramEnd"/>
      <w:r w:rsidR="00970273" w:rsidRPr="00970273">
        <w:rPr>
          <w:rFonts w:ascii="標楷體" w:eastAsia="標楷體" w:hAnsi="標楷體" w:hint="eastAsia"/>
          <w:b/>
          <w:spacing w:val="-4"/>
          <w:szCs w:val="24"/>
        </w:rPr>
        <w:t>缺口，</w:t>
      </w:r>
      <w:r w:rsidR="00E8072F">
        <w:rPr>
          <w:rFonts w:ascii="標楷體" w:eastAsia="標楷體" w:hAnsi="標楷體" w:hint="eastAsia"/>
          <w:b/>
          <w:spacing w:val="-4"/>
          <w:szCs w:val="24"/>
        </w:rPr>
        <w:t>恐</w:t>
      </w:r>
      <w:r w:rsidR="00970273" w:rsidRPr="00970273">
        <w:rPr>
          <w:rFonts w:ascii="標楷體" w:eastAsia="標楷體" w:hAnsi="標楷體" w:hint="eastAsia"/>
          <w:b/>
          <w:spacing w:val="-4"/>
          <w:szCs w:val="24"/>
        </w:rPr>
        <w:t>有專業能力不足或管理不易之虞：</w:t>
      </w:r>
      <w:proofErr w:type="gramStart"/>
      <w:r w:rsidR="00970273" w:rsidRPr="00970273">
        <w:rPr>
          <w:rFonts w:ascii="標楷體" w:eastAsia="標楷體" w:hAnsi="標楷體" w:hint="eastAsia"/>
          <w:bCs/>
          <w:spacing w:val="-4"/>
          <w:szCs w:val="24"/>
        </w:rPr>
        <w:t>依資安</w:t>
      </w:r>
      <w:proofErr w:type="gramEnd"/>
      <w:r w:rsidR="00970273" w:rsidRPr="00970273">
        <w:rPr>
          <w:rFonts w:ascii="標楷體" w:eastAsia="標楷體" w:hAnsi="標楷體" w:hint="eastAsia"/>
          <w:bCs/>
          <w:spacing w:val="-4"/>
          <w:szCs w:val="24"/>
        </w:rPr>
        <w:t>責任等級分級辦法附表一、三、五規定，</w:t>
      </w:r>
      <w:proofErr w:type="gramStart"/>
      <w:r w:rsidR="00970273" w:rsidRPr="00970273">
        <w:rPr>
          <w:rFonts w:ascii="標楷體" w:eastAsia="標楷體" w:hAnsi="標楷體" w:hint="eastAsia"/>
          <w:bCs/>
          <w:spacing w:val="-4"/>
          <w:szCs w:val="24"/>
        </w:rPr>
        <w:t>資安責任</w:t>
      </w:r>
      <w:proofErr w:type="gramEnd"/>
      <w:r w:rsidR="00970273" w:rsidRPr="00970273">
        <w:rPr>
          <w:rFonts w:ascii="標楷體" w:eastAsia="標楷體" w:hAnsi="標楷體" w:hint="eastAsia"/>
          <w:bCs/>
          <w:spacing w:val="-4"/>
          <w:szCs w:val="24"/>
        </w:rPr>
        <w:t>等級A至C級之公務機關應分別至少</w:t>
      </w:r>
      <w:proofErr w:type="gramStart"/>
      <w:r w:rsidR="00970273" w:rsidRPr="00970273">
        <w:rPr>
          <w:rFonts w:ascii="標楷體" w:eastAsia="標楷體" w:hAnsi="標楷體" w:hint="eastAsia"/>
          <w:bCs/>
          <w:spacing w:val="-4"/>
          <w:szCs w:val="24"/>
        </w:rPr>
        <w:t>配置資安專責</w:t>
      </w:r>
      <w:proofErr w:type="gramEnd"/>
      <w:r w:rsidR="00970273" w:rsidRPr="00970273">
        <w:rPr>
          <w:rFonts w:ascii="標楷體" w:eastAsia="標楷體" w:hAnsi="標楷體" w:hint="eastAsia"/>
          <w:bCs/>
          <w:spacing w:val="-4"/>
          <w:szCs w:val="24"/>
        </w:rPr>
        <w:t>人員4人、2人及1人，全職</w:t>
      </w:r>
      <w:proofErr w:type="gramStart"/>
      <w:r w:rsidR="00970273" w:rsidRPr="00970273">
        <w:rPr>
          <w:rFonts w:ascii="標楷體" w:eastAsia="標楷體" w:hAnsi="標楷體" w:hint="eastAsia"/>
          <w:bCs/>
          <w:spacing w:val="-4"/>
          <w:szCs w:val="24"/>
        </w:rPr>
        <w:t>執行資安業務</w:t>
      </w:r>
      <w:proofErr w:type="gramEnd"/>
      <w:r w:rsidR="00970273" w:rsidRPr="00970273">
        <w:rPr>
          <w:rFonts w:ascii="標楷體" w:eastAsia="標楷體" w:hAnsi="標楷體" w:hint="eastAsia"/>
          <w:bCs/>
          <w:spacing w:val="-4"/>
          <w:szCs w:val="24"/>
        </w:rPr>
        <w:t>；另行政院於98年5月25日</w:t>
      </w:r>
      <w:proofErr w:type="gramStart"/>
      <w:r w:rsidR="00970273" w:rsidRPr="00970273">
        <w:rPr>
          <w:rFonts w:ascii="標楷體" w:eastAsia="標楷體" w:hAnsi="標楷體" w:hint="eastAsia"/>
          <w:bCs/>
          <w:spacing w:val="-4"/>
          <w:szCs w:val="24"/>
        </w:rPr>
        <w:t>函頒「</w:t>
      </w:r>
      <w:proofErr w:type="gramEnd"/>
      <w:r w:rsidR="00970273" w:rsidRPr="00970273">
        <w:rPr>
          <w:rFonts w:ascii="標楷體" w:eastAsia="標楷體" w:hAnsi="標楷體" w:hint="eastAsia"/>
          <w:bCs/>
          <w:spacing w:val="-4"/>
          <w:szCs w:val="24"/>
        </w:rPr>
        <w:t>行政院及所屬各機關組織調整作業原則」，</w:t>
      </w:r>
      <w:proofErr w:type="gramStart"/>
      <w:r w:rsidR="00970273" w:rsidRPr="00970273">
        <w:rPr>
          <w:rFonts w:ascii="標楷體" w:eastAsia="標楷體" w:hAnsi="標楷體" w:hint="eastAsia"/>
          <w:bCs/>
          <w:spacing w:val="-4"/>
          <w:szCs w:val="24"/>
        </w:rPr>
        <w:t>明確律</w:t>
      </w:r>
      <w:proofErr w:type="gramEnd"/>
      <w:r w:rsidR="00970273" w:rsidRPr="00970273">
        <w:rPr>
          <w:rFonts w:ascii="標楷體" w:eastAsia="標楷體" w:hAnsi="標楷體" w:hint="eastAsia"/>
          <w:bCs/>
          <w:spacing w:val="-4"/>
          <w:szCs w:val="24"/>
        </w:rPr>
        <w:t>定3、4級機關（構）原則不設立資訊單位，以推動資訊資源向上集中策略，並於99年7月23日發布「人事、政風、主計、資訊、法制單位設置原則補充說明」三、（四）規定，3級機關（構）設置資訊單位原則為預算員額達100人以上，或預算執行規模達5億元以上，</w:t>
      </w:r>
      <w:r w:rsidR="00970273" w:rsidRPr="00970273">
        <w:rPr>
          <w:rFonts w:ascii="標楷體" w:eastAsia="標楷體" w:hAnsi="標楷體" w:hint="eastAsia"/>
          <w:bCs/>
          <w:spacing w:val="-4"/>
          <w:szCs w:val="24"/>
        </w:rPr>
        <w:lastRenderedPageBreak/>
        <w:t>且辦理全國性資訊業務或資訊業務屬機關業務核心職能者，4級機關（構）原則不設立資訊單位。截至113年底止，行政院及</w:t>
      </w:r>
      <w:proofErr w:type="gramStart"/>
      <w:r w:rsidR="00970273" w:rsidRPr="00970273">
        <w:rPr>
          <w:rFonts w:ascii="標楷體" w:eastAsia="標楷體" w:hAnsi="標楷體" w:hint="eastAsia"/>
          <w:bCs/>
          <w:spacing w:val="-4"/>
          <w:szCs w:val="24"/>
        </w:rPr>
        <w:t>所屬資安責任</w:t>
      </w:r>
      <w:proofErr w:type="gramEnd"/>
      <w:r w:rsidR="00970273" w:rsidRPr="00970273">
        <w:rPr>
          <w:rFonts w:ascii="標楷體" w:eastAsia="標楷體" w:hAnsi="標楷體" w:hint="eastAsia"/>
          <w:bCs/>
          <w:spacing w:val="-4"/>
          <w:szCs w:val="24"/>
        </w:rPr>
        <w:t>等級A至C級機關共計473個，應</w:t>
      </w:r>
      <w:proofErr w:type="gramStart"/>
      <w:r w:rsidR="00970273" w:rsidRPr="00970273">
        <w:rPr>
          <w:rFonts w:ascii="標楷體" w:eastAsia="標楷體" w:hAnsi="標楷體" w:hint="eastAsia"/>
          <w:bCs/>
          <w:spacing w:val="-4"/>
          <w:szCs w:val="24"/>
        </w:rPr>
        <w:t>配置資安專職</w:t>
      </w:r>
      <w:proofErr w:type="gramEnd"/>
      <w:r w:rsidR="00970273" w:rsidRPr="00970273">
        <w:rPr>
          <w:rFonts w:ascii="標楷體" w:eastAsia="標楷體" w:hAnsi="標楷體" w:hint="eastAsia"/>
          <w:bCs/>
          <w:spacing w:val="-4"/>
          <w:szCs w:val="24"/>
        </w:rPr>
        <w:t>人員686人，實際配置680人，除5個機關因部分人員離職尚未補足外，各機關配置</w:t>
      </w:r>
      <w:proofErr w:type="gramStart"/>
      <w:r w:rsidR="00970273" w:rsidRPr="00970273">
        <w:rPr>
          <w:rFonts w:ascii="標楷體" w:eastAsia="標楷體" w:hAnsi="標楷體" w:hint="eastAsia"/>
          <w:bCs/>
          <w:spacing w:val="-4"/>
          <w:szCs w:val="24"/>
        </w:rPr>
        <w:t>之資安專職</w:t>
      </w:r>
      <w:proofErr w:type="gramEnd"/>
      <w:r w:rsidR="00970273" w:rsidRPr="00970273">
        <w:rPr>
          <w:rFonts w:ascii="標楷體" w:eastAsia="標楷體" w:hAnsi="標楷體" w:hint="eastAsia"/>
          <w:bCs/>
          <w:spacing w:val="-4"/>
          <w:szCs w:val="24"/>
        </w:rPr>
        <w:t>人員大多已達規定標準。又各機關配合行政院資訊資源向上集中策略，或未達可設立資訊單位之標準，而未設立資訊單位者，計有248個（含A級機關4個、B級機關21個及C級機關223個），占473個應</w:t>
      </w:r>
      <w:proofErr w:type="gramStart"/>
      <w:r w:rsidR="00970273" w:rsidRPr="00970273">
        <w:rPr>
          <w:rFonts w:ascii="標楷體" w:eastAsia="標楷體" w:hAnsi="標楷體" w:hint="eastAsia"/>
          <w:bCs/>
          <w:spacing w:val="-4"/>
          <w:szCs w:val="24"/>
        </w:rPr>
        <w:t>設置資安專職</w:t>
      </w:r>
      <w:proofErr w:type="gramEnd"/>
      <w:r w:rsidR="00970273" w:rsidRPr="00970273">
        <w:rPr>
          <w:rFonts w:ascii="標楷體" w:eastAsia="標楷體" w:hAnsi="標楷體" w:hint="eastAsia"/>
          <w:bCs/>
          <w:spacing w:val="-4"/>
          <w:szCs w:val="24"/>
        </w:rPr>
        <w:t>人員機關之比率為52.43％（圖</w:t>
      </w:r>
      <w:r w:rsidR="00970273">
        <w:rPr>
          <w:rFonts w:ascii="標楷體" w:eastAsia="標楷體" w:hAnsi="標楷體"/>
          <w:bCs/>
          <w:spacing w:val="-4"/>
          <w:szCs w:val="24"/>
        </w:rPr>
        <w:t>16</w:t>
      </w:r>
      <w:r w:rsidR="00970273" w:rsidRPr="00970273">
        <w:rPr>
          <w:rFonts w:ascii="標楷體" w:eastAsia="標楷體" w:hAnsi="標楷體" w:hint="eastAsia"/>
          <w:bCs/>
          <w:spacing w:val="-4"/>
          <w:szCs w:val="24"/>
        </w:rPr>
        <w:t>），各該機關為</w:t>
      </w:r>
      <w:proofErr w:type="gramStart"/>
      <w:r w:rsidR="00970273" w:rsidRPr="00970273">
        <w:rPr>
          <w:rFonts w:ascii="標楷體" w:eastAsia="標楷體" w:hAnsi="標楷體" w:hint="eastAsia"/>
          <w:bCs/>
          <w:spacing w:val="-4"/>
          <w:szCs w:val="24"/>
        </w:rPr>
        <w:t>符合資安法</w:t>
      </w:r>
      <w:proofErr w:type="gramEnd"/>
      <w:r w:rsidR="00970273" w:rsidRPr="00970273">
        <w:rPr>
          <w:rFonts w:ascii="標楷體" w:eastAsia="標楷體" w:hAnsi="標楷體" w:hint="eastAsia"/>
          <w:bCs/>
          <w:spacing w:val="-4"/>
          <w:szCs w:val="24"/>
        </w:rPr>
        <w:t>所</w:t>
      </w:r>
      <w:proofErr w:type="gramStart"/>
      <w:r w:rsidR="00970273" w:rsidRPr="00970273">
        <w:rPr>
          <w:rFonts w:ascii="標楷體" w:eastAsia="標楷體" w:hAnsi="標楷體" w:hint="eastAsia"/>
          <w:bCs/>
          <w:spacing w:val="-4"/>
          <w:szCs w:val="24"/>
        </w:rPr>
        <w:t>定資安</w:t>
      </w:r>
      <w:proofErr w:type="gramEnd"/>
      <w:r w:rsidR="00970273" w:rsidRPr="00970273">
        <w:rPr>
          <w:rFonts w:ascii="標楷體" w:eastAsia="標楷體" w:hAnsi="標楷體" w:hint="eastAsia"/>
          <w:bCs/>
          <w:spacing w:val="-4"/>
          <w:szCs w:val="24"/>
        </w:rPr>
        <w:t>人力需求，其中</w:t>
      </w:r>
      <w:r w:rsidR="003B5042" w:rsidRPr="00A62B08">
        <w:rPr>
          <w:rFonts w:ascii="標楷體" w:eastAsia="標楷體" w:hAnsi="標楷體"/>
          <w:b/>
          <w:noProof/>
          <w:spacing w:val="-4"/>
          <w:szCs w:val="24"/>
        </w:rPr>
        <mc:AlternateContent>
          <mc:Choice Requires="wps">
            <w:drawing>
              <wp:anchor distT="45720" distB="45720" distL="114300" distR="114300" simplePos="0" relativeHeight="251692032" behindDoc="1" locked="0" layoutInCell="1" allowOverlap="1" wp14:anchorId="262A091B" wp14:editId="57886BCC">
                <wp:simplePos x="0" y="0"/>
                <wp:positionH relativeFrom="column">
                  <wp:posOffset>1932940</wp:posOffset>
                </wp:positionH>
                <wp:positionV relativeFrom="paragraph">
                  <wp:posOffset>1751965</wp:posOffset>
                </wp:positionV>
                <wp:extent cx="4367530" cy="2857500"/>
                <wp:effectExtent l="0" t="0" r="0" b="0"/>
                <wp:wrapTight wrapText="bothSides">
                  <wp:wrapPolygon edited="0">
                    <wp:start x="0" y="0"/>
                    <wp:lineTo x="0" y="21456"/>
                    <wp:lineTo x="21481" y="21456"/>
                    <wp:lineTo x="21481" y="0"/>
                    <wp:lineTo x="0" y="0"/>
                  </wp:wrapPolygon>
                </wp:wrapTight>
                <wp:docPr id="20083270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7530" cy="2857500"/>
                        </a:xfrm>
                        <a:prstGeom prst="rect">
                          <a:avLst/>
                        </a:prstGeom>
                        <a:solidFill>
                          <a:srgbClr val="FFFFFF"/>
                        </a:solidFill>
                        <a:ln w="9525">
                          <a:noFill/>
                          <a:miter lim="800000"/>
                          <a:headEnd/>
                          <a:tailEnd/>
                        </a:ln>
                      </wps:spPr>
                      <wps:txbx>
                        <w:txbxContent>
                          <w:p w14:paraId="0E9D7077" w14:textId="77777777" w:rsidR="003B5042" w:rsidRPr="00F93176" w:rsidRDefault="003B5042" w:rsidP="003B5042">
                            <w:pPr>
                              <w:ind w:leftChars="-11" w:left="724" w:hangingChars="312" w:hanging="750"/>
                              <w:rPr>
                                <w:rFonts w:ascii="標楷體" w:eastAsia="標楷體" w:hAnsi="標楷體"/>
                                <w:b/>
                                <w:bCs/>
                              </w:rPr>
                            </w:pPr>
                            <w:r w:rsidRPr="00C1561F">
                              <w:rPr>
                                <w:rFonts w:ascii="標楷體" w:eastAsia="標楷體" w:hAnsi="標楷體" w:hint="eastAsia"/>
                                <w:b/>
                                <w:bCs/>
                                <w:color w:val="000000" w:themeColor="text1"/>
                              </w:rPr>
                              <w:t>圖1</w:t>
                            </w:r>
                            <w:r>
                              <w:rPr>
                                <w:rFonts w:ascii="標楷體" w:eastAsia="標楷體" w:hAnsi="標楷體"/>
                                <w:b/>
                                <w:bCs/>
                                <w:color w:val="000000" w:themeColor="text1"/>
                              </w:rPr>
                              <w:t>6</w:t>
                            </w:r>
                            <w:r w:rsidRPr="00F93176">
                              <w:rPr>
                                <w:rFonts w:ascii="標楷體" w:eastAsia="標楷體" w:hAnsi="標楷體" w:hint="eastAsia"/>
                                <w:b/>
                                <w:bCs/>
                              </w:rPr>
                              <w:t xml:space="preserve">　</w:t>
                            </w:r>
                            <w:r w:rsidRPr="00237035">
                              <w:rPr>
                                <w:rFonts w:ascii="標楷體" w:eastAsia="標楷體" w:hAnsi="標楷體" w:hint="eastAsia"/>
                                <w:b/>
                                <w:bCs/>
                              </w:rPr>
                              <w:t>113年底行政院</w:t>
                            </w:r>
                            <w:proofErr w:type="gramStart"/>
                            <w:r w:rsidRPr="00237035">
                              <w:rPr>
                                <w:rFonts w:ascii="標楷體" w:eastAsia="標楷體" w:hAnsi="標楷體" w:hint="eastAsia"/>
                                <w:b/>
                                <w:bCs/>
                              </w:rPr>
                              <w:t>所屬資安責任</w:t>
                            </w:r>
                            <w:proofErr w:type="gramEnd"/>
                            <w:r w:rsidRPr="00237035">
                              <w:rPr>
                                <w:rFonts w:ascii="標楷體" w:eastAsia="標楷體" w:hAnsi="標楷體" w:hint="eastAsia"/>
                                <w:b/>
                                <w:bCs/>
                              </w:rPr>
                              <w:t>等級A至C級機關資訊單位設置情形</w:t>
                            </w:r>
                          </w:p>
                          <w:p w14:paraId="48F04059" w14:textId="77777777" w:rsidR="003B5042" w:rsidRDefault="003B5042" w:rsidP="003B5042">
                            <w:r>
                              <w:rPr>
                                <w:noProof/>
                              </w:rPr>
                              <w:drawing>
                                <wp:inline distT="0" distB="0" distL="0" distR="0" wp14:anchorId="3C67E4D6" wp14:editId="78C2B3D0">
                                  <wp:extent cx="4149090" cy="1868170"/>
                                  <wp:effectExtent l="0" t="0" r="3810" b="0"/>
                                  <wp:docPr id="2008327078" name="圖片 200832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49090" cy="1868170"/>
                                          </a:xfrm>
                                          <a:prstGeom prst="rect">
                                            <a:avLst/>
                                          </a:prstGeom>
                                        </pic:spPr>
                                      </pic:pic>
                                    </a:graphicData>
                                  </a:graphic>
                                </wp:inline>
                              </w:drawing>
                            </w:r>
                          </w:p>
                          <w:p w14:paraId="43E17C3C" w14:textId="77777777" w:rsidR="003B5042" w:rsidRPr="0091783C" w:rsidRDefault="003B5042" w:rsidP="003B5042">
                            <w:pPr>
                              <w:spacing w:beforeLines="20" w:before="72"/>
                              <w:rPr>
                                <w:rFonts w:ascii="標楷體" w:eastAsia="標楷體" w:hAnsi="標楷體"/>
                                <w:sz w:val="18"/>
                                <w:szCs w:val="16"/>
                              </w:rPr>
                            </w:pPr>
                            <w:r w:rsidRPr="0091783C">
                              <w:rPr>
                                <w:rFonts w:ascii="標楷體" w:eastAsia="標楷體" w:hAnsi="標楷體" w:hint="eastAsia"/>
                                <w:sz w:val="18"/>
                                <w:szCs w:val="16"/>
                              </w:rPr>
                              <w:t>資料來源：整理自行政院所屬各機關提供資料。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2A091B" id="_x0000_s1145" type="#_x0000_t202" style="position:absolute;left:0;text-align:left;margin-left:152.2pt;margin-top:137.95pt;width:343.9pt;height:225pt;z-index:-251624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" stroked="f">
                <v:textbox>
                  <w:txbxContent>
                    <w:p w14:paraId="0E9D7077" w14:textId="77777777" w:rsidR="003B5042" w:rsidRPr="00F93176" w:rsidRDefault="003B5042" w:rsidP="003B5042">
                      <w:pPr>
                        <w:ind w:leftChars="-11" w:left="724" w:hangingChars="312" w:hanging="750"/>
                        <w:rPr>
                          <w:rFonts w:ascii="標楷體" w:eastAsia="標楷體" w:hAnsi="標楷體"/>
                          <w:b/>
                          <w:bCs/>
                        </w:rPr>
                      </w:pPr>
                      <w:r w:rsidRPr="00C1561F">
                        <w:rPr>
                          <w:rFonts w:ascii="標楷體" w:eastAsia="標楷體" w:hAnsi="標楷體" w:hint="eastAsia"/>
                          <w:b/>
                          <w:bCs/>
                          <w:color w:val="000000" w:themeColor="text1"/>
                        </w:rPr>
                        <w:t>圖1</w:t>
                      </w:r>
                      <w:r>
                        <w:rPr>
                          <w:rFonts w:ascii="標楷體" w:eastAsia="標楷體" w:hAnsi="標楷體"/>
                          <w:b/>
                          <w:bCs/>
                          <w:color w:val="000000" w:themeColor="text1"/>
                        </w:rPr>
                        <w:t>6</w:t>
                      </w:r>
                      <w:r w:rsidRPr="00F93176">
                        <w:rPr>
                          <w:rFonts w:ascii="標楷體" w:eastAsia="標楷體" w:hAnsi="標楷體" w:hint="eastAsia"/>
                          <w:b/>
                          <w:bCs/>
                        </w:rPr>
                        <w:t xml:space="preserve">　</w:t>
                      </w:r>
                      <w:r w:rsidRPr="00237035">
                        <w:rPr>
                          <w:rFonts w:ascii="標楷體" w:eastAsia="標楷體" w:hAnsi="標楷體" w:hint="eastAsia"/>
                          <w:b/>
                          <w:bCs/>
                        </w:rPr>
                        <w:t>113年底行政院</w:t>
                      </w:r>
                      <w:proofErr w:type="gramStart"/>
                      <w:r w:rsidRPr="00237035">
                        <w:rPr>
                          <w:rFonts w:ascii="標楷體" w:eastAsia="標楷體" w:hAnsi="標楷體" w:hint="eastAsia"/>
                          <w:b/>
                          <w:bCs/>
                        </w:rPr>
                        <w:t>所屬資安責任</w:t>
                      </w:r>
                      <w:proofErr w:type="gramEnd"/>
                      <w:r w:rsidRPr="00237035">
                        <w:rPr>
                          <w:rFonts w:ascii="標楷體" w:eastAsia="標楷體" w:hAnsi="標楷體" w:hint="eastAsia"/>
                          <w:b/>
                          <w:bCs/>
                        </w:rPr>
                        <w:t>等級A至C級機關資訊單位設置情形</w:t>
                      </w:r>
                    </w:p>
                    <w:p w14:paraId="48F04059" w14:textId="77777777" w:rsidR="003B5042" w:rsidRDefault="003B5042" w:rsidP="003B5042">
                      <w:r>
                        <w:rPr>
                          <w:noProof/>
                        </w:rPr>
                        <w:drawing>
                          <wp:inline distT="0" distB="0" distL="0" distR="0" wp14:anchorId="3C67E4D6" wp14:editId="78C2B3D0">
                            <wp:extent cx="4149090" cy="1868170"/>
                            <wp:effectExtent l="0" t="0" r="3810" b="0"/>
                            <wp:docPr id="2008327078" name="圖片 200832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49090" cy="1868170"/>
                                    </a:xfrm>
                                    <a:prstGeom prst="rect">
                                      <a:avLst/>
                                    </a:prstGeom>
                                  </pic:spPr>
                                </pic:pic>
                              </a:graphicData>
                            </a:graphic>
                          </wp:inline>
                        </w:drawing>
                      </w:r>
                    </w:p>
                    <w:p w14:paraId="43E17C3C" w14:textId="77777777" w:rsidR="003B5042" w:rsidRPr="0091783C" w:rsidRDefault="003B5042" w:rsidP="003B5042">
                      <w:pPr>
                        <w:spacing w:beforeLines="20" w:before="72"/>
                        <w:rPr>
                          <w:rFonts w:ascii="標楷體" w:eastAsia="標楷體" w:hAnsi="標楷體"/>
                          <w:sz w:val="18"/>
                          <w:szCs w:val="16"/>
                        </w:rPr>
                      </w:pPr>
                      <w:r w:rsidRPr="0091783C">
                        <w:rPr>
                          <w:rFonts w:ascii="標楷體" w:eastAsia="標楷體" w:hAnsi="標楷體" w:hint="eastAsia"/>
                          <w:sz w:val="18"/>
                          <w:szCs w:val="16"/>
                        </w:rPr>
                        <w:t>資料來源：整理自行政院所屬各機關提供資料。</w:t>
                      </w:r>
                    </w:p>
                  </w:txbxContent>
                </v:textbox>
                <w10:wrap type="tight"/>
              </v:shape>
            </w:pict>
          </mc:Fallback>
        </mc:AlternateContent>
      </w:r>
      <w:r w:rsidR="00970273" w:rsidRPr="00970273">
        <w:rPr>
          <w:rFonts w:ascii="標楷體" w:eastAsia="標楷體" w:hAnsi="標楷體" w:hint="eastAsia"/>
          <w:bCs/>
          <w:spacing w:val="-4"/>
          <w:szCs w:val="24"/>
        </w:rPr>
        <w:t>106個機關以統計、綜合行政等非資訊處理職系人員</w:t>
      </w:r>
      <w:proofErr w:type="gramStart"/>
      <w:r w:rsidR="00970273" w:rsidRPr="00970273">
        <w:rPr>
          <w:rFonts w:ascii="標楷體" w:eastAsia="標楷體" w:hAnsi="標楷體" w:hint="eastAsia"/>
          <w:bCs/>
          <w:spacing w:val="-4"/>
          <w:szCs w:val="24"/>
        </w:rPr>
        <w:t>擔任資安專責</w:t>
      </w:r>
      <w:proofErr w:type="gramEnd"/>
      <w:r w:rsidR="00970273" w:rsidRPr="00970273">
        <w:rPr>
          <w:rFonts w:ascii="標楷體" w:eastAsia="標楷體" w:hAnsi="標楷體" w:hint="eastAsia"/>
          <w:bCs/>
          <w:spacing w:val="-4"/>
          <w:szCs w:val="24"/>
        </w:rPr>
        <w:t>人員，共計112人；78個機關以約聘僱、委外及約用人員擔任，共計86人；另有32個機關由上級機關派駐之資訊人員兼辦，共計37人。顯示各該</w:t>
      </w:r>
      <w:proofErr w:type="gramStart"/>
      <w:r w:rsidR="00970273" w:rsidRPr="00970273">
        <w:rPr>
          <w:rFonts w:ascii="標楷體" w:eastAsia="標楷體" w:hAnsi="標楷體" w:hint="eastAsia"/>
          <w:bCs/>
          <w:spacing w:val="-4"/>
          <w:szCs w:val="24"/>
        </w:rPr>
        <w:t>機關資安業務</w:t>
      </w:r>
      <w:proofErr w:type="gramEnd"/>
      <w:r w:rsidR="00970273" w:rsidRPr="00970273">
        <w:rPr>
          <w:rFonts w:ascii="標楷體" w:eastAsia="標楷體" w:hAnsi="標楷體" w:hint="eastAsia"/>
          <w:bCs/>
          <w:spacing w:val="-4"/>
          <w:szCs w:val="24"/>
        </w:rPr>
        <w:t>由現職之非資訊（安）人員兼辦，除</w:t>
      </w:r>
      <w:proofErr w:type="gramStart"/>
      <w:r w:rsidR="00970273" w:rsidRPr="00970273">
        <w:rPr>
          <w:rFonts w:ascii="標楷體" w:eastAsia="標楷體" w:hAnsi="標楷體" w:hint="eastAsia"/>
          <w:bCs/>
          <w:spacing w:val="-4"/>
          <w:szCs w:val="24"/>
        </w:rPr>
        <w:t>與資安責任</w:t>
      </w:r>
      <w:proofErr w:type="gramEnd"/>
      <w:r w:rsidR="00970273" w:rsidRPr="00970273">
        <w:rPr>
          <w:rFonts w:ascii="標楷體" w:eastAsia="標楷體" w:hAnsi="標楷體" w:hint="eastAsia"/>
          <w:bCs/>
          <w:spacing w:val="-4"/>
          <w:szCs w:val="24"/>
        </w:rPr>
        <w:t>等級分級辦法應由專人全職</w:t>
      </w:r>
      <w:proofErr w:type="gramStart"/>
      <w:r w:rsidR="00970273" w:rsidRPr="00970273">
        <w:rPr>
          <w:rFonts w:ascii="標楷體" w:eastAsia="標楷體" w:hAnsi="標楷體" w:hint="eastAsia"/>
          <w:bCs/>
          <w:spacing w:val="-4"/>
          <w:szCs w:val="24"/>
        </w:rPr>
        <w:t>執行資安業務</w:t>
      </w:r>
      <w:proofErr w:type="gramEnd"/>
      <w:r w:rsidR="00970273" w:rsidRPr="00970273">
        <w:rPr>
          <w:rFonts w:ascii="標楷體" w:eastAsia="標楷體" w:hAnsi="標楷體" w:hint="eastAsia"/>
          <w:bCs/>
          <w:spacing w:val="-4"/>
          <w:szCs w:val="24"/>
        </w:rPr>
        <w:t>之規定不符外，亦有專業能力不足之疑慮，又以委</w:t>
      </w:r>
      <w:proofErr w:type="gramStart"/>
      <w:r w:rsidR="00970273" w:rsidRPr="00970273">
        <w:rPr>
          <w:rFonts w:ascii="標楷體" w:eastAsia="標楷體" w:hAnsi="標楷體" w:hint="eastAsia"/>
          <w:bCs/>
          <w:spacing w:val="-4"/>
          <w:szCs w:val="24"/>
        </w:rPr>
        <w:t>外或約用</w:t>
      </w:r>
      <w:proofErr w:type="gramEnd"/>
      <w:r w:rsidR="00970273" w:rsidRPr="00970273">
        <w:rPr>
          <w:rFonts w:ascii="標楷體" w:eastAsia="標楷體" w:hAnsi="標楷體" w:hint="eastAsia"/>
          <w:bCs/>
          <w:spacing w:val="-4"/>
          <w:szCs w:val="24"/>
        </w:rPr>
        <w:t>人員等非正式人力</w:t>
      </w:r>
      <w:proofErr w:type="gramStart"/>
      <w:r w:rsidR="00970273" w:rsidRPr="00970273">
        <w:rPr>
          <w:rFonts w:ascii="標楷體" w:eastAsia="標楷體" w:hAnsi="標楷體" w:hint="eastAsia"/>
          <w:bCs/>
          <w:spacing w:val="-4"/>
          <w:szCs w:val="24"/>
        </w:rPr>
        <w:t>補充資安人力</w:t>
      </w:r>
      <w:proofErr w:type="gramEnd"/>
      <w:r w:rsidR="00970273" w:rsidRPr="00970273">
        <w:rPr>
          <w:rFonts w:ascii="標楷體" w:eastAsia="標楷體" w:hAnsi="標楷體" w:hint="eastAsia"/>
          <w:bCs/>
          <w:spacing w:val="-4"/>
          <w:szCs w:val="24"/>
        </w:rPr>
        <w:t>，因機關不具委外人員指揮監督權限，致管理不易，或其所辦業務包含訂定、實施與檢討機關</w:t>
      </w:r>
      <w:proofErr w:type="gramStart"/>
      <w:r w:rsidR="00970273" w:rsidRPr="00970273">
        <w:rPr>
          <w:rFonts w:ascii="標楷體" w:eastAsia="標楷體" w:hAnsi="標楷體" w:hint="eastAsia"/>
          <w:bCs/>
          <w:spacing w:val="-4"/>
          <w:szCs w:val="24"/>
        </w:rPr>
        <w:t>之資安維護</w:t>
      </w:r>
      <w:proofErr w:type="gramEnd"/>
      <w:r w:rsidR="00970273" w:rsidRPr="00970273">
        <w:rPr>
          <w:rFonts w:ascii="標楷體" w:eastAsia="標楷體" w:hAnsi="標楷體" w:hint="eastAsia"/>
          <w:bCs/>
          <w:spacing w:val="-4"/>
          <w:szCs w:val="24"/>
        </w:rPr>
        <w:t>計畫及委外廠商管理與稽核</w:t>
      </w:r>
      <w:proofErr w:type="gramStart"/>
      <w:r w:rsidR="00970273" w:rsidRPr="00970273">
        <w:rPr>
          <w:rFonts w:ascii="標楷體" w:eastAsia="標楷體" w:hAnsi="標楷體" w:hint="eastAsia"/>
          <w:bCs/>
          <w:spacing w:val="-4"/>
          <w:szCs w:val="24"/>
        </w:rPr>
        <w:t>等似涉</w:t>
      </w:r>
      <w:proofErr w:type="gramEnd"/>
      <w:r w:rsidR="00970273" w:rsidRPr="00970273">
        <w:rPr>
          <w:rFonts w:ascii="標楷體" w:eastAsia="標楷體" w:hAnsi="標楷體" w:hint="eastAsia"/>
          <w:bCs/>
          <w:spacing w:val="-4"/>
          <w:szCs w:val="24"/>
        </w:rPr>
        <w:t>公權力行使之業務，亦</w:t>
      </w:r>
      <w:proofErr w:type="gramStart"/>
      <w:r w:rsidR="00970273" w:rsidRPr="00970273">
        <w:rPr>
          <w:rFonts w:ascii="標楷體" w:eastAsia="標楷體" w:hAnsi="標楷體" w:hint="eastAsia"/>
          <w:bCs/>
          <w:spacing w:val="-4"/>
          <w:szCs w:val="24"/>
        </w:rPr>
        <w:t>未盡妥適</w:t>
      </w:r>
      <w:proofErr w:type="gramEnd"/>
      <w:r w:rsidR="00970273" w:rsidRPr="00970273">
        <w:rPr>
          <w:rFonts w:ascii="標楷體" w:eastAsia="標楷體" w:hAnsi="標楷體" w:hint="eastAsia"/>
          <w:bCs/>
          <w:spacing w:val="-4"/>
          <w:szCs w:val="24"/>
        </w:rPr>
        <w:t>，經函請行政院督促權責機關妥謀因應對策，以提升整體</w:t>
      </w:r>
      <w:proofErr w:type="gramStart"/>
      <w:r w:rsidR="00970273" w:rsidRPr="00970273">
        <w:rPr>
          <w:rFonts w:ascii="標楷體" w:eastAsia="標楷體" w:hAnsi="標楷體" w:hint="eastAsia"/>
          <w:bCs/>
          <w:spacing w:val="-4"/>
          <w:szCs w:val="24"/>
        </w:rPr>
        <w:t>政府資安防護</w:t>
      </w:r>
      <w:proofErr w:type="gramEnd"/>
      <w:r w:rsidR="00970273" w:rsidRPr="00970273">
        <w:rPr>
          <w:rFonts w:ascii="標楷體" w:eastAsia="標楷體" w:hAnsi="標楷體" w:hint="eastAsia"/>
          <w:bCs/>
          <w:spacing w:val="-4"/>
          <w:szCs w:val="24"/>
        </w:rPr>
        <w:t>能量。據復：已由數位發展</w:t>
      </w:r>
      <w:proofErr w:type="gramStart"/>
      <w:r w:rsidR="00970273" w:rsidRPr="00970273">
        <w:rPr>
          <w:rFonts w:ascii="標楷體" w:eastAsia="標楷體" w:hAnsi="標楷體" w:hint="eastAsia"/>
          <w:bCs/>
          <w:spacing w:val="-4"/>
          <w:szCs w:val="24"/>
        </w:rPr>
        <w:t>部資通安全署</w:t>
      </w:r>
      <w:proofErr w:type="gramEnd"/>
      <w:r w:rsidR="00970273" w:rsidRPr="00970273">
        <w:rPr>
          <w:rFonts w:ascii="標楷體" w:eastAsia="標楷體" w:hAnsi="標楷體" w:hint="eastAsia"/>
          <w:bCs/>
          <w:spacing w:val="-4"/>
          <w:szCs w:val="24"/>
        </w:rPr>
        <w:t>（下稱資安署）調查</w:t>
      </w:r>
      <w:proofErr w:type="gramStart"/>
      <w:r w:rsidR="00970273" w:rsidRPr="00970273">
        <w:rPr>
          <w:rFonts w:ascii="標楷體" w:eastAsia="標楷體" w:hAnsi="標楷體" w:hint="eastAsia"/>
          <w:bCs/>
          <w:spacing w:val="-4"/>
          <w:szCs w:val="24"/>
        </w:rPr>
        <w:t>現行資安責任</w:t>
      </w:r>
      <w:proofErr w:type="gramEnd"/>
      <w:r w:rsidR="00970273" w:rsidRPr="00970273">
        <w:rPr>
          <w:rFonts w:ascii="標楷體" w:eastAsia="標楷體" w:hAnsi="標楷體" w:hint="eastAsia"/>
          <w:bCs/>
          <w:spacing w:val="-4"/>
          <w:szCs w:val="24"/>
        </w:rPr>
        <w:t>等級C級以上機關之資訊專責單位設置</w:t>
      </w:r>
      <w:proofErr w:type="gramStart"/>
      <w:r w:rsidR="00970273" w:rsidRPr="00970273">
        <w:rPr>
          <w:rFonts w:ascii="標楷體" w:eastAsia="標楷體" w:hAnsi="標楷體" w:hint="eastAsia"/>
          <w:bCs/>
          <w:spacing w:val="-4"/>
          <w:szCs w:val="24"/>
        </w:rPr>
        <w:t>與資安專職</w:t>
      </w:r>
      <w:proofErr w:type="gramEnd"/>
      <w:r w:rsidR="00970273" w:rsidRPr="00970273">
        <w:rPr>
          <w:rFonts w:ascii="標楷體" w:eastAsia="標楷體" w:hAnsi="標楷體" w:hint="eastAsia"/>
          <w:bCs/>
          <w:spacing w:val="-4"/>
          <w:szCs w:val="24"/>
        </w:rPr>
        <w:t>人員配置情形，未來將藉由與相關主管機關溝通之機會，鼓勵機關</w:t>
      </w:r>
      <w:proofErr w:type="gramStart"/>
      <w:r w:rsidR="00970273" w:rsidRPr="00970273">
        <w:rPr>
          <w:rFonts w:ascii="標楷體" w:eastAsia="標楷體" w:hAnsi="標楷體" w:hint="eastAsia"/>
          <w:bCs/>
          <w:spacing w:val="-4"/>
          <w:szCs w:val="24"/>
        </w:rPr>
        <w:t>設置資安專職</w:t>
      </w:r>
      <w:proofErr w:type="gramEnd"/>
      <w:r w:rsidR="00970273" w:rsidRPr="00970273">
        <w:rPr>
          <w:rFonts w:ascii="標楷體" w:eastAsia="標楷體" w:hAnsi="標楷體" w:hint="eastAsia"/>
          <w:bCs/>
          <w:spacing w:val="-4"/>
          <w:szCs w:val="24"/>
        </w:rPr>
        <w:t>單位或調整部分</w:t>
      </w:r>
      <w:proofErr w:type="gramStart"/>
      <w:r w:rsidR="00970273" w:rsidRPr="00970273">
        <w:rPr>
          <w:rFonts w:ascii="標楷體" w:eastAsia="標楷體" w:hAnsi="標楷體" w:hint="eastAsia"/>
          <w:bCs/>
          <w:spacing w:val="-4"/>
          <w:szCs w:val="24"/>
        </w:rPr>
        <w:t>職缺為資訊處理</w:t>
      </w:r>
      <w:proofErr w:type="gramEnd"/>
      <w:r w:rsidR="00970273" w:rsidRPr="00970273">
        <w:rPr>
          <w:rFonts w:ascii="標楷體" w:eastAsia="標楷體" w:hAnsi="標楷體" w:hint="eastAsia"/>
          <w:bCs/>
          <w:spacing w:val="-4"/>
          <w:szCs w:val="24"/>
        </w:rPr>
        <w:t>職系，以</w:t>
      </w:r>
      <w:proofErr w:type="gramStart"/>
      <w:r w:rsidR="00970273" w:rsidRPr="00970273">
        <w:rPr>
          <w:rFonts w:ascii="標楷體" w:eastAsia="標楷體" w:hAnsi="標楷體" w:hint="eastAsia"/>
          <w:bCs/>
          <w:spacing w:val="-4"/>
          <w:szCs w:val="24"/>
        </w:rPr>
        <w:t>提升資安防護</w:t>
      </w:r>
      <w:proofErr w:type="gramEnd"/>
      <w:r w:rsidR="00970273" w:rsidRPr="00970273">
        <w:rPr>
          <w:rFonts w:ascii="標楷體" w:eastAsia="標楷體" w:hAnsi="標楷體" w:hint="eastAsia"/>
          <w:bCs/>
          <w:spacing w:val="-4"/>
          <w:szCs w:val="24"/>
        </w:rPr>
        <w:t>能力及留任人才。</w:t>
      </w:r>
    </w:p>
    <w:p w14:paraId="5A4D17C6" w14:textId="603D2F7C" w:rsidR="00C45FB5" w:rsidRPr="00595929" w:rsidRDefault="008E7AC8" w:rsidP="00595929">
      <w:pPr>
        <w:overflowPunct w:val="0"/>
        <w:adjustRightInd w:val="0"/>
        <w:snapToGrid w:val="0"/>
        <w:spacing w:line="460" w:lineRule="exact"/>
        <w:ind w:firstLineChars="450" w:firstLine="1081"/>
        <w:jc w:val="both"/>
        <w:rPr>
          <w:rFonts w:ascii="標楷體" w:eastAsia="標楷體" w:hAnsi="標楷體"/>
          <w:bCs/>
          <w:szCs w:val="24"/>
          <w:shd w:val="pct15" w:color="auto" w:fill="FFFFFF"/>
        </w:rPr>
      </w:pPr>
      <w:r w:rsidRPr="008E7AC8">
        <w:rPr>
          <w:rFonts w:ascii="標楷體" w:eastAsia="標楷體" w:hAnsi="標楷體" w:hint="eastAsia"/>
          <w:b/>
          <w:szCs w:val="24"/>
        </w:rPr>
        <w:t xml:space="preserve">2.　</w:t>
      </w:r>
      <w:r w:rsidR="00595929" w:rsidRPr="00595929">
        <w:rPr>
          <w:rFonts w:ascii="標楷體" w:eastAsia="標楷體" w:hAnsi="標楷體" w:hint="eastAsia"/>
          <w:b/>
          <w:szCs w:val="24"/>
        </w:rPr>
        <w:t>行政院所屬機關近</w:t>
      </w:r>
      <w:proofErr w:type="gramStart"/>
      <w:r w:rsidR="00595929" w:rsidRPr="00595929">
        <w:rPr>
          <w:rFonts w:ascii="標楷體" w:eastAsia="標楷體" w:hAnsi="標楷體" w:hint="eastAsia"/>
          <w:b/>
          <w:szCs w:val="24"/>
        </w:rPr>
        <w:t>2成資安</w:t>
      </w:r>
      <w:proofErr w:type="gramEnd"/>
      <w:r w:rsidR="00595929" w:rsidRPr="00595929">
        <w:rPr>
          <w:rFonts w:ascii="標楷體" w:eastAsia="標楷體" w:hAnsi="標楷體" w:hint="eastAsia"/>
          <w:b/>
          <w:szCs w:val="24"/>
        </w:rPr>
        <w:t>專職人員尚未取得足額專業證照或職能訓練證書，存有無法</w:t>
      </w:r>
      <w:proofErr w:type="gramStart"/>
      <w:r w:rsidR="00595929" w:rsidRPr="00595929">
        <w:rPr>
          <w:rFonts w:ascii="標楷體" w:eastAsia="標楷體" w:hAnsi="標楷體" w:hint="eastAsia"/>
          <w:b/>
          <w:szCs w:val="24"/>
        </w:rPr>
        <w:t>落實資安業務</w:t>
      </w:r>
      <w:proofErr w:type="gramEnd"/>
      <w:r w:rsidR="00595929" w:rsidRPr="00595929">
        <w:rPr>
          <w:rFonts w:ascii="標楷體" w:eastAsia="標楷體" w:hAnsi="標楷體" w:hint="eastAsia"/>
          <w:b/>
          <w:szCs w:val="24"/>
        </w:rPr>
        <w:t>之風險：</w:t>
      </w:r>
      <w:proofErr w:type="gramStart"/>
      <w:r w:rsidR="00595929" w:rsidRPr="00595929">
        <w:rPr>
          <w:rFonts w:ascii="標楷體" w:eastAsia="標楷體" w:hAnsi="標楷體" w:hint="eastAsia"/>
          <w:bCs/>
          <w:szCs w:val="24"/>
        </w:rPr>
        <w:t>依據資安責任</w:t>
      </w:r>
      <w:proofErr w:type="gramEnd"/>
      <w:r w:rsidR="00595929" w:rsidRPr="00595929">
        <w:rPr>
          <w:rFonts w:ascii="標楷體" w:eastAsia="標楷體" w:hAnsi="標楷體" w:hint="eastAsia"/>
          <w:bCs/>
          <w:szCs w:val="24"/>
        </w:rPr>
        <w:t>等級分級辦法附表一、三、五規定，</w:t>
      </w:r>
      <w:proofErr w:type="gramStart"/>
      <w:r w:rsidR="00595929" w:rsidRPr="00595929">
        <w:rPr>
          <w:rFonts w:ascii="標楷體" w:eastAsia="標楷體" w:hAnsi="標楷體" w:hint="eastAsia"/>
          <w:bCs/>
          <w:szCs w:val="24"/>
        </w:rPr>
        <w:t>資安專職</w:t>
      </w:r>
      <w:proofErr w:type="gramEnd"/>
      <w:r w:rsidR="00595929" w:rsidRPr="00595929">
        <w:rPr>
          <w:rFonts w:ascii="標楷體" w:eastAsia="標楷體" w:hAnsi="標楷體" w:hint="eastAsia"/>
          <w:bCs/>
          <w:szCs w:val="24"/>
        </w:rPr>
        <w:t>人員應各自</w:t>
      </w:r>
      <w:proofErr w:type="gramStart"/>
      <w:r w:rsidR="00595929" w:rsidRPr="00595929">
        <w:rPr>
          <w:rFonts w:ascii="標楷體" w:eastAsia="標楷體" w:hAnsi="標楷體" w:hint="eastAsia"/>
          <w:bCs/>
          <w:szCs w:val="24"/>
        </w:rPr>
        <w:t>持有資安專業</w:t>
      </w:r>
      <w:proofErr w:type="gramEnd"/>
      <w:r w:rsidR="00595929" w:rsidRPr="00595929">
        <w:rPr>
          <w:rFonts w:ascii="標楷體" w:eastAsia="標楷體" w:hAnsi="標楷體" w:hint="eastAsia"/>
          <w:bCs/>
          <w:szCs w:val="24"/>
        </w:rPr>
        <w:t>證照及職能訓練證書各1張以上，並維持證書之有效性。截至113年底止，計有法務部等12個部會所屬115個機關</w:t>
      </w:r>
      <w:proofErr w:type="gramStart"/>
      <w:r w:rsidR="00595929" w:rsidRPr="00595929">
        <w:rPr>
          <w:rFonts w:ascii="標楷體" w:eastAsia="標楷體" w:hAnsi="標楷體" w:hint="eastAsia"/>
          <w:bCs/>
          <w:szCs w:val="24"/>
        </w:rPr>
        <w:t>之資安專職</w:t>
      </w:r>
      <w:proofErr w:type="gramEnd"/>
      <w:r w:rsidR="00595929" w:rsidRPr="00595929">
        <w:rPr>
          <w:rFonts w:ascii="標楷體" w:eastAsia="標楷體" w:hAnsi="標楷體" w:hint="eastAsia"/>
          <w:bCs/>
          <w:szCs w:val="24"/>
        </w:rPr>
        <w:t>人員</w:t>
      </w:r>
      <w:proofErr w:type="gramStart"/>
      <w:r w:rsidR="00595929" w:rsidRPr="00595929">
        <w:rPr>
          <w:rFonts w:ascii="標楷體" w:eastAsia="標楷體" w:hAnsi="標楷體" w:hint="eastAsia"/>
          <w:bCs/>
          <w:szCs w:val="24"/>
        </w:rPr>
        <w:t>持有資安專業</w:t>
      </w:r>
      <w:proofErr w:type="gramEnd"/>
      <w:r w:rsidR="00595929" w:rsidRPr="00595929">
        <w:rPr>
          <w:rFonts w:ascii="標楷體" w:eastAsia="標楷體" w:hAnsi="標楷體" w:hint="eastAsia"/>
          <w:bCs/>
          <w:szCs w:val="24"/>
        </w:rPr>
        <w:t>證照或職能訓練證書未達法規標準，其中未取得專業證照者35人、未取得訓練證書者41人、專業證照及訓練證書皆未取得者46人，共計122人（表4</w:t>
      </w:r>
      <w:r w:rsidR="00595929">
        <w:rPr>
          <w:rFonts w:ascii="標楷體" w:eastAsia="標楷體" w:hAnsi="標楷體"/>
          <w:bCs/>
          <w:szCs w:val="24"/>
        </w:rPr>
        <w:t>0</w:t>
      </w:r>
      <w:r w:rsidR="00595929" w:rsidRPr="00595929">
        <w:rPr>
          <w:rFonts w:ascii="標楷體" w:eastAsia="標楷體" w:hAnsi="標楷體" w:hint="eastAsia"/>
          <w:bCs/>
          <w:szCs w:val="24"/>
        </w:rPr>
        <w:t>），占實際</w:t>
      </w:r>
      <w:proofErr w:type="gramStart"/>
      <w:r w:rsidR="00595929" w:rsidRPr="00595929">
        <w:rPr>
          <w:rFonts w:ascii="標楷體" w:eastAsia="標楷體" w:hAnsi="標楷體" w:hint="eastAsia"/>
          <w:bCs/>
          <w:szCs w:val="24"/>
        </w:rPr>
        <w:t>配置資安專職</w:t>
      </w:r>
      <w:proofErr w:type="gramEnd"/>
      <w:r w:rsidR="00595929" w:rsidRPr="00595929">
        <w:rPr>
          <w:rFonts w:ascii="標楷體" w:eastAsia="標楷體" w:hAnsi="標楷體" w:hint="eastAsia"/>
          <w:bCs/>
          <w:szCs w:val="24"/>
        </w:rPr>
        <w:t>人數680人之17.94％，存有無法</w:t>
      </w:r>
      <w:proofErr w:type="gramStart"/>
      <w:r w:rsidR="00595929" w:rsidRPr="00595929">
        <w:rPr>
          <w:rFonts w:ascii="標楷體" w:eastAsia="標楷體" w:hAnsi="標楷體" w:hint="eastAsia"/>
          <w:bCs/>
          <w:szCs w:val="24"/>
        </w:rPr>
        <w:t>落實資安業務</w:t>
      </w:r>
      <w:proofErr w:type="gramEnd"/>
      <w:r w:rsidR="00595929" w:rsidRPr="00595929">
        <w:rPr>
          <w:rFonts w:ascii="標楷體" w:eastAsia="標楷體" w:hAnsi="標楷體" w:hint="eastAsia"/>
          <w:bCs/>
          <w:szCs w:val="24"/>
        </w:rPr>
        <w:t>之風險，經函請行政院督促</w:t>
      </w:r>
      <w:proofErr w:type="gramStart"/>
      <w:r w:rsidR="00595929" w:rsidRPr="00595929">
        <w:rPr>
          <w:rFonts w:ascii="標楷體" w:eastAsia="標楷體" w:hAnsi="標楷體" w:hint="eastAsia"/>
          <w:bCs/>
          <w:szCs w:val="24"/>
        </w:rPr>
        <w:t>研</w:t>
      </w:r>
      <w:proofErr w:type="gramEnd"/>
      <w:r w:rsidR="00595929" w:rsidRPr="00595929">
        <w:rPr>
          <w:rFonts w:ascii="標楷體" w:eastAsia="標楷體" w:hAnsi="標楷體" w:hint="eastAsia"/>
          <w:bCs/>
          <w:szCs w:val="24"/>
        </w:rPr>
        <w:t>謀改善，以</w:t>
      </w:r>
      <w:proofErr w:type="gramStart"/>
      <w:r w:rsidR="00595929" w:rsidRPr="00595929">
        <w:rPr>
          <w:rFonts w:ascii="標楷體" w:eastAsia="標楷體" w:hAnsi="標楷體" w:hint="eastAsia"/>
          <w:bCs/>
          <w:szCs w:val="24"/>
        </w:rPr>
        <w:t>確保資安專職</w:t>
      </w:r>
      <w:proofErr w:type="gramEnd"/>
      <w:r w:rsidR="00595929" w:rsidRPr="00595929">
        <w:rPr>
          <w:rFonts w:ascii="標楷體" w:eastAsia="標楷體" w:hAnsi="標楷體" w:hint="eastAsia"/>
          <w:bCs/>
          <w:szCs w:val="24"/>
        </w:rPr>
        <w:t>人員具備適足之專業職能。據復：將由</w:t>
      </w:r>
      <w:proofErr w:type="gramStart"/>
      <w:r w:rsidR="00595929" w:rsidRPr="00595929">
        <w:rPr>
          <w:rFonts w:ascii="標楷體" w:eastAsia="標楷體" w:hAnsi="標楷體" w:hint="eastAsia"/>
          <w:bCs/>
          <w:szCs w:val="24"/>
        </w:rPr>
        <w:t>資安署</w:t>
      </w:r>
      <w:proofErr w:type="gramEnd"/>
      <w:r w:rsidR="00595929" w:rsidRPr="00595929">
        <w:rPr>
          <w:rFonts w:ascii="標楷體" w:eastAsia="標楷體" w:hAnsi="標楷體" w:hint="eastAsia"/>
          <w:bCs/>
          <w:szCs w:val="24"/>
        </w:rPr>
        <w:t>持續辦理</w:t>
      </w:r>
      <w:proofErr w:type="gramStart"/>
      <w:r w:rsidR="00595929" w:rsidRPr="00595929">
        <w:rPr>
          <w:rFonts w:ascii="標楷體" w:eastAsia="標楷體" w:hAnsi="標楷體" w:hint="eastAsia"/>
          <w:bCs/>
          <w:szCs w:val="24"/>
        </w:rPr>
        <w:t>各項資安人員</w:t>
      </w:r>
      <w:proofErr w:type="gramEnd"/>
      <w:r w:rsidR="00595929" w:rsidRPr="00595929">
        <w:rPr>
          <w:rFonts w:ascii="標楷體" w:eastAsia="標楷體" w:hAnsi="標楷體" w:hint="eastAsia"/>
          <w:bCs/>
          <w:szCs w:val="24"/>
        </w:rPr>
        <w:t>專業訓練，與調查機關訓練需求及委託訓練機構開設</w:t>
      </w:r>
      <w:r w:rsidR="003B5042" w:rsidRPr="003B5042">
        <w:rPr>
          <w:noProof/>
          <w:spacing w:val="-2"/>
        </w:rPr>
        <w:lastRenderedPageBreak/>
        <mc:AlternateContent>
          <mc:Choice Requires="wps">
            <w:drawing>
              <wp:anchor distT="45720" distB="45720" distL="114300" distR="114300" simplePos="0" relativeHeight="251693056" behindDoc="0" locked="0" layoutInCell="1" allowOverlap="1" wp14:anchorId="1BED3EF6" wp14:editId="279C4E8C">
                <wp:simplePos x="0" y="0"/>
                <wp:positionH relativeFrom="margin">
                  <wp:posOffset>2143760</wp:posOffset>
                </wp:positionH>
                <wp:positionV relativeFrom="page">
                  <wp:posOffset>960755</wp:posOffset>
                </wp:positionV>
                <wp:extent cx="4152900" cy="335915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3359150"/>
                        </a:xfrm>
                        <a:prstGeom prst="rect">
                          <a:avLst/>
                        </a:prstGeom>
                        <a:solidFill>
                          <a:srgbClr val="FFFFFF"/>
                        </a:solidFill>
                        <a:ln w="9525">
                          <a:noFill/>
                          <a:miter lim="800000"/>
                          <a:headEnd/>
                          <a:tailEnd/>
                        </a:ln>
                      </wps:spPr>
                      <wps:txbx>
                        <w:txbxContent>
                          <w:tbl>
                            <w:tblPr>
                              <w:tblStyle w:val="SGSTableBasic112"/>
                              <w:tblW w:w="6237" w:type="dxa"/>
                              <w:tblLayout w:type="fixed"/>
                              <w:tblLook w:val="04A0" w:firstRow="1" w:lastRow="0" w:firstColumn="1" w:lastColumn="0" w:noHBand="0" w:noVBand="1"/>
                            </w:tblPr>
                            <w:tblGrid>
                              <w:gridCol w:w="1560"/>
                              <w:gridCol w:w="850"/>
                              <w:gridCol w:w="1134"/>
                              <w:gridCol w:w="1134"/>
                              <w:gridCol w:w="1559"/>
                            </w:tblGrid>
                            <w:tr w:rsidR="003B5042" w:rsidRPr="003C6755" w14:paraId="58E277E3" w14:textId="77777777" w:rsidTr="00C2566A">
                              <w:trPr>
                                <w:trHeight w:val="454"/>
                              </w:trPr>
                              <w:tc>
                                <w:tcPr>
                                  <w:tcW w:w="6237" w:type="dxa"/>
                                  <w:gridSpan w:val="5"/>
                                  <w:tcBorders>
                                    <w:top w:val="nil"/>
                                    <w:left w:val="nil"/>
                                    <w:right w:val="nil"/>
                                    <w:tl2br w:val="nil"/>
                                  </w:tcBorders>
                                </w:tcPr>
                                <w:p w14:paraId="32880B1F" w14:textId="77777777" w:rsidR="003B5042" w:rsidRPr="0035291D" w:rsidRDefault="003B5042" w:rsidP="006058A3">
                                  <w:pPr>
                                    <w:pStyle w:val="a5"/>
                                    <w:overflowPunct w:val="0"/>
                                    <w:autoSpaceDE w:val="0"/>
                                    <w:autoSpaceDN w:val="0"/>
                                    <w:spacing w:line="240" w:lineRule="exact"/>
                                    <w:ind w:left="721" w:hangingChars="300" w:hanging="721"/>
                                    <w:rPr>
                                      <w:rFonts w:hAnsi="標楷體"/>
                                      <w:b/>
                                    </w:rPr>
                                  </w:pPr>
                                  <w:r w:rsidRPr="002803BA">
                                    <w:rPr>
                                      <w:rFonts w:hAnsi="標楷體" w:hint="eastAsia"/>
                                      <w:b/>
                                      <w:color w:val="000000" w:themeColor="text1"/>
                                    </w:rPr>
                                    <w:t>表</w:t>
                                  </w:r>
                                  <w:r>
                                    <w:rPr>
                                      <w:rFonts w:hAnsi="標楷體"/>
                                      <w:b/>
                                      <w:color w:val="000000" w:themeColor="text1"/>
                                    </w:rPr>
                                    <w:t>40</w:t>
                                  </w:r>
                                  <w:r w:rsidRPr="0035291D">
                                    <w:rPr>
                                      <w:rFonts w:hAnsi="標楷體" w:hint="eastAsia"/>
                                      <w:b/>
                                    </w:rPr>
                                    <w:t xml:space="preserve">　</w:t>
                                  </w:r>
                                  <w:r w:rsidRPr="00595929">
                                    <w:rPr>
                                      <w:rFonts w:hAnsi="標楷體" w:hint="eastAsia"/>
                                      <w:b/>
                                    </w:rPr>
                                    <w:t>113</w:t>
                                  </w:r>
                                  <w:proofErr w:type="gramStart"/>
                                  <w:r w:rsidRPr="00595929">
                                    <w:rPr>
                                      <w:rFonts w:hAnsi="標楷體" w:hint="eastAsia"/>
                                      <w:b/>
                                    </w:rPr>
                                    <w:t>年底資安專職</w:t>
                                  </w:r>
                                  <w:proofErr w:type="gramEnd"/>
                                  <w:r w:rsidRPr="00595929">
                                    <w:rPr>
                                      <w:rFonts w:hAnsi="標楷體" w:hint="eastAsia"/>
                                      <w:b/>
                                    </w:rPr>
                                    <w:t>人員未</w:t>
                                  </w:r>
                                  <w:proofErr w:type="gramStart"/>
                                  <w:r w:rsidRPr="00595929">
                                    <w:rPr>
                                      <w:rFonts w:hAnsi="標楷體" w:hint="eastAsia"/>
                                      <w:b/>
                                    </w:rPr>
                                    <w:t>取得資安專業</w:t>
                                  </w:r>
                                  <w:proofErr w:type="gramEnd"/>
                                  <w:r w:rsidRPr="00595929">
                                    <w:rPr>
                                      <w:rFonts w:hAnsi="標楷體" w:hint="eastAsia"/>
                                      <w:b/>
                                    </w:rPr>
                                    <w:t>證照或職能訓練證書情形</w:t>
                                  </w:r>
                                </w:p>
                                <w:p w14:paraId="281F6E98" w14:textId="77777777" w:rsidR="003B5042" w:rsidRPr="003C6755" w:rsidRDefault="003B5042" w:rsidP="00833625">
                                  <w:pPr>
                                    <w:pStyle w:val="a5"/>
                                    <w:overflowPunct w:val="0"/>
                                    <w:autoSpaceDE w:val="0"/>
                                    <w:autoSpaceDN w:val="0"/>
                                    <w:spacing w:line="240" w:lineRule="exact"/>
                                    <w:ind w:firstLine="442"/>
                                    <w:jc w:val="right"/>
                                    <w:rPr>
                                      <w:rFonts w:hAnsi="標楷體"/>
                                      <w:b/>
                                    </w:rPr>
                                  </w:pPr>
                                  <w:r w:rsidRPr="007A3C78">
                                    <w:rPr>
                                      <w:rFonts w:hAnsi="標楷體" w:hint="eastAsia"/>
                                      <w:sz w:val="20"/>
                                      <w:szCs w:val="22"/>
                                    </w:rPr>
                                    <w:t>單位：人</w:t>
                                  </w:r>
                                </w:p>
                              </w:tc>
                            </w:tr>
                            <w:tr w:rsidR="003B5042" w:rsidRPr="003C6755" w14:paraId="203974A2" w14:textId="77777777" w:rsidTr="0035291D">
                              <w:trPr>
                                <w:trHeight w:val="324"/>
                              </w:trPr>
                              <w:tc>
                                <w:tcPr>
                                  <w:tcW w:w="1560" w:type="dxa"/>
                                  <w:tcBorders>
                                    <w:bottom w:val="single" w:sz="4" w:space="0" w:color="auto"/>
                                    <w:tl2br w:val="nil"/>
                                  </w:tcBorders>
                                  <w:vAlign w:val="center"/>
                                </w:tcPr>
                                <w:p w14:paraId="031E21ED" w14:textId="77777777" w:rsidR="003B5042" w:rsidRPr="007A3C78" w:rsidRDefault="003B5042" w:rsidP="003C6755">
                                  <w:pPr>
                                    <w:pStyle w:val="a5"/>
                                    <w:overflowPunct w:val="0"/>
                                    <w:autoSpaceDE w:val="0"/>
                                    <w:autoSpaceDN w:val="0"/>
                                    <w:spacing w:line="240" w:lineRule="exact"/>
                                    <w:ind w:leftChars="-32" w:left="-77" w:rightChars="-12" w:right="-29"/>
                                    <w:jc w:val="center"/>
                                    <w:rPr>
                                      <w:rFonts w:hAnsi="標楷體"/>
                                      <w:sz w:val="20"/>
                                    </w:rPr>
                                  </w:pPr>
                                  <w:r w:rsidRPr="007A3C78">
                                    <w:rPr>
                                      <w:rFonts w:hAnsi="標楷體" w:hint="eastAsia"/>
                                      <w:sz w:val="20"/>
                                    </w:rPr>
                                    <w:t>主管機關別</w:t>
                                  </w:r>
                                </w:p>
                              </w:tc>
                              <w:tc>
                                <w:tcPr>
                                  <w:tcW w:w="850" w:type="dxa"/>
                                  <w:tcBorders>
                                    <w:bottom w:val="single" w:sz="4" w:space="0" w:color="auto"/>
                                  </w:tcBorders>
                                  <w:vAlign w:val="center"/>
                                </w:tcPr>
                                <w:p w14:paraId="36082823"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合計</w:t>
                                  </w:r>
                                </w:p>
                              </w:tc>
                              <w:tc>
                                <w:tcPr>
                                  <w:tcW w:w="1134" w:type="dxa"/>
                                  <w:tcBorders>
                                    <w:bottom w:val="single" w:sz="4" w:space="0" w:color="auto"/>
                                  </w:tcBorders>
                                  <w:vAlign w:val="center"/>
                                </w:tcPr>
                                <w:p w14:paraId="71F8928B" w14:textId="77777777" w:rsidR="003B5042" w:rsidRPr="0035291D" w:rsidRDefault="003B5042" w:rsidP="003C6755">
                                  <w:pPr>
                                    <w:pStyle w:val="a5"/>
                                    <w:overflowPunct w:val="0"/>
                                    <w:autoSpaceDE w:val="0"/>
                                    <w:autoSpaceDN w:val="0"/>
                                    <w:spacing w:line="240" w:lineRule="exact"/>
                                    <w:ind w:leftChars="-32" w:left="-77" w:rightChars="-12" w:right="-29"/>
                                    <w:jc w:val="center"/>
                                    <w:rPr>
                                      <w:rFonts w:hAnsi="標楷體"/>
                                      <w:sz w:val="20"/>
                                    </w:rPr>
                                  </w:pPr>
                                  <w:r w:rsidRPr="0035291D">
                                    <w:rPr>
                                      <w:rFonts w:hAnsi="標楷體" w:hint="eastAsia"/>
                                      <w:sz w:val="20"/>
                                    </w:rPr>
                                    <w:t>未</w:t>
                                  </w:r>
                                  <w:proofErr w:type="gramStart"/>
                                  <w:r w:rsidRPr="0035291D">
                                    <w:rPr>
                                      <w:rFonts w:hAnsi="標楷體" w:hint="eastAsia"/>
                                      <w:sz w:val="20"/>
                                    </w:rPr>
                                    <w:t>取得資安專業</w:t>
                                  </w:r>
                                  <w:proofErr w:type="gramEnd"/>
                                  <w:r w:rsidRPr="0035291D">
                                    <w:rPr>
                                      <w:rFonts w:hAnsi="標楷體" w:hint="eastAsia"/>
                                      <w:sz w:val="20"/>
                                    </w:rPr>
                                    <w:t>證照</w:t>
                                  </w:r>
                                </w:p>
                              </w:tc>
                              <w:tc>
                                <w:tcPr>
                                  <w:tcW w:w="1134" w:type="dxa"/>
                                  <w:tcBorders>
                                    <w:bottom w:val="single" w:sz="4" w:space="0" w:color="auto"/>
                                  </w:tcBorders>
                                  <w:vAlign w:val="center"/>
                                </w:tcPr>
                                <w:p w14:paraId="681AC871" w14:textId="77777777" w:rsidR="003B5042" w:rsidRPr="0035291D" w:rsidRDefault="003B5042" w:rsidP="003C6755">
                                  <w:pPr>
                                    <w:pStyle w:val="a5"/>
                                    <w:overflowPunct w:val="0"/>
                                    <w:autoSpaceDE w:val="0"/>
                                    <w:autoSpaceDN w:val="0"/>
                                    <w:spacing w:line="240" w:lineRule="exact"/>
                                    <w:ind w:leftChars="-32" w:left="-77" w:rightChars="-12" w:right="-29"/>
                                    <w:jc w:val="center"/>
                                    <w:rPr>
                                      <w:rFonts w:hAnsi="標楷體"/>
                                      <w:sz w:val="20"/>
                                    </w:rPr>
                                  </w:pPr>
                                  <w:r w:rsidRPr="0035291D">
                                    <w:rPr>
                                      <w:rFonts w:hAnsi="標楷體" w:hint="eastAsia"/>
                                      <w:sz w:val="20"/>
                                    </w:rPr>
                                    <w:t>未取得職能訓練證書</w:t>
                                  </w:r>
                                </w:p>
                              </w:tc>
                              <w:tc>
                                <w:tcPr>
                                  <w:tcW w:w="1559" w:type="dxa"/>
                                  <w:tcBorders>
                                    <w:bottom w:val="single" w:sz="4" w:space="0" w:color="auto"/>
                                  </w:tcBorders>
                                  <w:vAlign w:val="center"/>
                                </w:tcPr>
                                <w:p w14:paraId="66889142" w14:textId="77777777" w:rsidR="003B5042" w:rsidRPr="00C2566A" w:rsidRDefault="003B5042" w:rsidP="003C6755">
                                  <w:pPr>
                                    <w:pStyle w:val="a5"/>
                                    <w:overflowPunct w:val="0"/>
                                    <w:autoSpaceDE w:val="0"/>
                                    <w:autoSpaceDN w:val="0"/>
                                    <w:spacing w:line="240" w:lineRule="exact"/>
                                    <w:ind w:leftChars="-32" w:left="-77" w:rightChars="-12" w:right="-29"/>
                                    <w:jc w:val="center"/>
                                    <w:rPr>
                                      <w:rFonts w:hAnsi="標楷體"/>
                                      <w:spacing w:val="-10"/>
                                      <w:sz w:val="20"/>
                                    </w:rPr>
                                  </w:pPr>
                                  <w:r w:rsidRPr="00C2566A">
                                    <w:rPr>
                                      <w:rFonts w:hAnsi="標楷體" w:hint="eastAsia"/>
                                      <w:spacing w:val="-10"/>
                                      <w:sz w:val="20"/>
                                    </w:rPr>
                                    <w:t>未</w:t>
                                  </w:r>
                                  <w:proofErr w:type="gramStart"/>
                                  <w:r w:rsidRPr="00C2566A">
                                    <w:rPr>
                                      <w:rFonts w:hAnsi="標楷體" w:hint="eastAsia"/>
                                      <w:spacing w:val="-10"/>
                                      <w:sz w:val="20"/>
                                    </w:rPr>
                                    <w:t>取得資安專業</w:t>
                                  </w:r>
                                  <w:proofErr w:type="gramEnd"/>
                                  <w:r w:rsidRPr="00C2566A">
                                    <w:rPr>
                                      <w:rFonts w:hAnsi="標楷體" w:hint="eastAsia"/>
                                      <w:spacing w:val="-10"/>
                                      <w:sz w:val="20"/>
                                    </w:rPr>
                                    <w:t>證照及職能訓練證書</w:t>
                                  </w:r>
                                </w:p>
                              </w:tc>
                            </w:tr>
                            <w:tr w:rsidR="003B5042" w:rsidRPr="003C6755" w14:paraId="7E6B9AE3"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73C34A8" w14:textId="77777777" w:rsidR="003B5042" w:rsidRPr="007A3C78" w:rsidRDefault="003B5042" w:rsidP="003C6755">
                                  <w:pPr>
                                    <w:pStyle w:val="a5"/>
                                    <w:overflowPunct w:val="0"/>
                                    <w:autoSpaceDE w:val="0"/>
                                    <w:autoSpaceDN w:val="0"/>
                                    <w:spacing w:line="240" w:lineRule="exact"/>
                                    <w:jc w:val="center"/>
                                    <w:rPr>
                                      <w:rFonts w:hAnsi="標楷體"/>
                                      <w:b/>
                                      <w:sz w:val="20"/>
                                    </w:rPr>
                                  </w:pPr>
                                  <w:r w:rsidRPr="007A3C78">
                                    <w:rPr>
                                      <w:rFonts w:hAnsi="標楷體" w:hint="eastAsia"/>
                                      <w:b/>
                                      <w:color w:val="000000"/>
                                      <w:sz w:val="20"/>
                                    </w:rPr>
                                    <w:t>合  計</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BBCE7A6"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0FA43E" w14:textId="77777777" w:rsidR="003B5042" w:rsidRPr="007A3C78" w:rsidRDefault="003B5042" w:rsidP="00EF6762">
                                  <w:pPr>
                                    <w:pStyle w:val="a5"/>
                                    <w:overflowPunct w:val="0"/>
                                    <w:autoSpaceDE w:val="0"/>
                                    <w:autoSpaceDN w:val="0"/>
                                    <w:spacing w:line="240" w:lineRule="exact"/>
                                    <w:jc w:val="right"/>
                                    <w:rPr>
                                      <w:rFonts w:hAnsi="標楷體"/>
                                      <w:b/>
                                      <w:bCs/>
                                      <w:sz w:val="20"/>
                                    </w:rPr>
                                  </w:pPr>
                                  <w:r w:rsidRPr="007A3C78">
                                    <w:rPr>
                                      <w:rFonts w:hAnsi="標楷體"/>
                                      <w:b/>
                                      <w:bCs/>
                                      <w:sz w:val="20"/>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1CCFAA" w14:textId="77777777" w:rsidR="003B5042" w:rsidRPr="007A3C78" w:rsidRDefault="003B5042" w:rsidP="00EF6762">
                                  <w:pPr>
                                    <w:pStyle w:val="a5"/>
                                    <w:overflowPunct w:val="0"/>
                                    <w:autoSpaceDE w:val="0"/>
                                    <w:autoSpaceDN w:val="0"/>
                                    <w:spacing w:line="240" w:lineRule="exact"/>
                                    <w:jc w:val="right"/>
                                    <w:rPr>
                                      <w:rFonts w:hAnsi="標楷體"/>
                                      <w:b/>
                                      <w:bCs/>
                                      <w:sz w:val="20"/>
                                    </w:rPr>
                                  </w:pPr>
                                  <w:r w:rsidRPr="007A3C78">
                                    <w:rPr>
                                      <w:rFonts w:hAnsi="標楷體"/>
                                      <w:b/>
                                      <w:bCs/>
                                      <w:sz w:val="20"/>
                                    </w:rPr>
                                    <w:t>41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57913D" w14:textId="77777777" w:rsidR="003B5042" w:rsidRPr="007A3C78" w:rsidRDefault="003B5042" w:rsidP="00EF6762">
                                  <w:pPr>
                                    <w:pStyle w:val="a5"/>
                                    <w:overflowPunct w:val="0"/>
                                    <w:autoSpaceDE w:val="0"/>
                                    <w:autoSpaceDN w:val="0"/>
                                    <w:spacing w:line="240" w:lineRule="exact"/>
                                    <w:jc w:val="right"/>
                                    <w:rPr>
                                      <w:rFonts w:hAnsi="標楷體"/>
                                      <w:b/>
                                      <w:bCs/>
                                      <w:sz w:val="20"/>
                                    </w:rPr>
                                  </w:pPr>
                                  <w:r w:rsidRPr="007A3C78">
                                    <w:rPr>
                                      <w:rFonts w:hAnsi="標楷體"/>
                                      <w:b/>
                                      <w:bCs/>
                                      <w:sz w:val="20"/>
                                    </w:rPr>
                                    <w:t>46</w:t>
                                  </w:r>
                                </w:p>
                              </w:tc>
                            </w:tr>
                            <w:tr w:rsidR="003B5042" w:rsidRPr="003C6755" w14:paraId="1DB2AF97"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121EC7B"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法務部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79E176"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CB16E1"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5397EC1"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9C09F78"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13</w:t>
                                  </w:r>
                                </w:p>
                              </w:tc>
                            </w:tr>
                            <w:tr w:rsidR="003B5042" w:rsidRPr="003C6755" w14:paraId="6DE02383"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B06E408"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衛生福利部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266FF3F"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5ABC93"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011F1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E1244A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5</w:t>
                                  </w:r>
                                </w:p>
                              </w:tc>
                            </w:tr>
                            <w:tr w:rsidR="003B5042" w:rsidRPr="003C6755" w14:paraId="25FAFA42"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ABF53EC"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教育部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9035DFA"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139001D"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C6062C"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1E76ADB"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5</w:t>
                                  </w:r>
                                </w:p>
                              </w:tc>
                            </w:tr>
                            <w:tr w:rsidR="003B5042" w:rsidRPr="003C6755" w14:paraId="038C52BD"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85F8500"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農業部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7E1542"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7027106"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B6CA52"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67C8F2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8</w:t>
                                  </w:r>
                                </w:p>
                              </w:tc>
                            </w:tr>
                            <w:tr w:rsidR="003B5042" w:rsidRPr="003C6755" w14:paraId="35AA9BD9"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94EDD66"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內政部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906980"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2C0601"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FEF182B"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27F3896"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4</w:t>
                                  </w:r>
                                </w:p>
                              </w:tc>
                            </w:tr>
                            <w:tr w:rsidR="003B5042" w:rsidRPr="003C6755" w14:paraId="056984AA"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D29A700"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交通部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F89CAA"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9F14B9"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EAFDDD"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19B60A"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5</w:t>
                                  </w:r>
                                </w:p>
                              </w:tc>
                            </w:tr>
                            <w:tr w:rsidR="003B5042" w:rsidRPr="003C6755" w14:paraId="00531E40"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C1317DE"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勞動部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3877CA2"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C53CA7"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CB4986E"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7486B90"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r>
                            <w:tr w:rsidR="003B5042" w:rsidRPr="003C6755" w14:paraId="07250DB9"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FBC33CD"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文化部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1BFBF1"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9D24CC"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9986C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DD3F32E"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w:t>
                                  </w:r>
                                </w:p>
                              </w:tc>
                            </w:tr>
                            <w:tr w:rsidR="003B5042" w:rsidRPr="003C6755" w14:paraId="1909F3DB"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tcPr>
                                <w:p w14:paraId="338C15CD" w14:textId="77777777" w:rsidR="003B5042" w:rsidRPr="00C2566A" w:rsidRDefault="003B5042" w:rsidP="00C2566A">
                                  <w:pPr>
                                    <w:pStyle w:val="a5"/>
                                    <w:overflowPunct w:val="0"/>
                                    <w:autoSpaceDE w:val="0"/>
                                    <w:autoSpaceDN w:val="0"/>
                                    <w:spacing w:line="220" w:lineRule="exact"/>
                                    <w:jc w:val="center"/>
                                    <w:rPr>
                                      <w:rFonts w:hAnsi="標楷體"/>
                                      <w:spacing w:val="-10"/>
                                      <w:sz w:val="20"/>
                                    </w:rPr>
                                  </w:pPr>
                                  <w:r w:rsidRPr="00C2566A">
                                    <w:rPr>
                                      <w:rFonts w:hAnsi="標楷體" w:hint="eastAsia"/>
                                      <w:spacing w:val="-10"/>
                                      <w:sz w:val="20"/>
                                    </w:rPr>
                                    <w:t>國軍退除役官兵輔導委員會</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02D17AA"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F1A574"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654508"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162158"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r>
                            <w:tr w:rsidR="003B5042" w:rsidRPr="003C6755" w14:paraId="1D5EFB63"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DDCC598"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color w:val="000000"/>
                                      <w:sz w:val="20"/>
                                    </w:rPr>
                                    <w:t>經濟部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951211"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E2D258"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AC4E57"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B462751"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r>
                            <w:tr w:rsidR="003B5042" w:rsidRPr="003C6755" w14:paraId="66E20441"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FDEB7D7" w14:textId="77777777" w:rsidR="003B5042" w:rsidRPr="007A3C78" w:rsidRDefault="003B5042" w:rsidP="003C6755">
                                  <w:pPr>
                                    <w:pStyle w:val="a5"/>
                                    <w:overflowPunct w:val="0"/>
                                    <w:autoSpaceDE w:val="0"/>
                                    <w:autoSpaceDN w:val="0"/>
                                    <w:spacing w:line="240" w:lineRule="exact"/>
                                    <w:jc w:val="center"/>
                                    <w:rPr>
                                      <w:rFonts w:hAnsi="標楷體"/>
                                      <w:color w:val="000000"/>
                                      <w:sz w:val="20"/>
                                    </w:rPr>
                                  </w:pPr>
                                  <w:r w:rsidRPr="007A3C78">
                                    <w:rPr>
                                      <w:rFonts w:hAnsi="標楷體" w:hint="eastAsia"/>
                                      <w:color w:val="000000"/>
                                      <w:sz w:val="20"/>
                                    </w:rPr>
                                    <w:t>行政院</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3F99C1"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FA7B78"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5F9C42"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AFA7EDF"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r>
                            <w:tr w:rsidR="003B5042" w:rsidRPr="003C6755" w14:paraId="6CDA09D0"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CA2A40" w14:textId="77777777" w:rsidR="003B5042" w:rsidRPr="007A3C78" w:rsidRDefault="003B5042" w:rsidP="003C6755">
                                  <w:pPr>
                                    <w:pStyle w:val="a5"/>
                                    <w:overflowPunct w:val="0"/>
                                    <w:autoSpaceDE w:val="0"/>
                                    <w:autoSpaceDN w:val="0"/>
                                    <w:spacing w:line="240" w:lineRule="exact"/>
                                    <w:jc w:val="center"/>
                                    <w:rPr>
                                      <w:rFonts w:hAnsi="標楷體"/>
                                      <w:color w:val="000000"/>
                                      <w:sz w:val="20"/>
                                    </w:rPr>
                                  </w:pPr>
                                  <w:r w:rsidRPr="007A3C78">
                                    <w:rPr>
                                      <w:rFonts w:hAnsi="標楷體" w:hint="eastAsia"/>
                                      <w:color w:val="000000"/>
                                      <w:sz w:val="20"/>
                                    </w:rPr>
                                    <w:t>環境部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C39DA8"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843003"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32D83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39D1921"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w:t>
                                  </w:r>
                                </w:p>
                              </w:tc>
                            </w:tr>
                          </w:tbl>
                          <w:p w14:paraId="03B76707" w14:textId="77777777" w:rsidR="003B5042" w:rsidRPr="002B5254" w:rsidRDefault="003B5042" w:rsidP="003B5042">
                            <w:pPr>
                              <w:spacing w:line="200" w:lineRule="exact"/>
                              <w:rPr>
                                <w:rFonts w:ascii="標楷體" w:eastAsia="標楷體" w:hAnsi="標楷體"/>
                                <w:sz w:val="18"/>
                              </w:rPr>
                            </w:pPr>
                            <w:proofErr w:type="gramStart"/>
                            <w:r w:rsidRPr="002B5254">
                              <w:rPr>
                                <w:rFonts w:ascii="標楷體" w:eastAsia="標楷體" w:hAnsi="標楷體" w:hint="eastAsia"/>
                                <w:sz w:val="18"/>
                              </w:rPr>
                              <w:t>註</w:t>
                            </w:r>
                            <w:proofErr w:type="gramEnd"/>
                            <w:r w:rsidRPr="002B5254">
                              <w:rPr>
                                <w:rFonts w:ascii="標楷體" w:eastAsia="標楷體" w:hAnsi="標楷體" w:hint="eastAsia"/>
                                <w:sz w:val="18"/>
                              </w:rPr>
                              <w:t>：1</w:t>
                            </w:r>
                            <w:r w:rsidRPr="002B5254">
                              <w:rPr>
                                <w:rFonts w:ascii="標楷體" w:eastAsia="標楷體" w:hAnsi="標楷體"/>
                                <w:sz w:val="18"/>
                              </w:rPr>
                              <w:t>.</w:t>
                            </w:r>
                            <w:r w:rsidRPr="002B5254">
                              <w:rPr>
                                <w:rFonts w:ascii="標楷體" w:eastAsia="標楷體" w:hAnsi="標楷體" w:hint="eastAsia"/>
                                <w:sz w:val="18"/>
                              </w:rPr>
                              <w:t>本表係依合計人數由大至小排序。</w:t>
                            </w:r>
                          </w:p>
                          <w:p w14:paraId="2DF831C4" w14:textId="77777777" w:rsidR="003B5042" w:rsidRPr="002B5254" w:rsidRDefault="003B5042" w:rsidP="003B5042">
                            <w:pPr>
                              <w:spacing w:line="200" w:lineRule="exact"/>
                              <w:ind w:firstLineChars="200" w:firstLine="360"/>
                              <w:rPr>
                                <w:rFonts w:ascii="標楷體" w:eastAsia="標楷體" w:hAnsi="標楷體"/>
                                <w:sz w:val="18"/>
                              </w:rPr>
                            </w:pPr>
                            <w:r w:rsidRPr="002B5254">
                              <w:rPr>
                                <w:rFonts w:ascii="標楷體" w:eastAsia="標楷體" w:hAnsi="標楷體"/>
                                <w:sz w:val="18"/>
                              </w:rPr>
                              <w:t>2.</w:t>
                            </w:r>
                            <w:r w:rsidRPr="002B5254">
                              <w:rPr>
                                <w:rFonts w:ascii="標楷體" w:eastAsia="標楷體" w:hAnsi="標楷體" w:hint="eastAsia"/>
                                <w:sz w:val="18"/>
                              </w:rPr>
                              <w:t>資料來源：</w:t>
                            </w:r>
                            <w:r w:rsidRPr="002B5254">
                              <w:rPr>
                                <w:rFonts w:ascii="標楷體" w:eastAsia="標楷體" w:hAnsi="標楷體"/>
                                <w:sz w:val="18"/>
                              </w:rPr>
                              <w:t>整理自行政院所屬機關提供資料</w:t>
                            </w:r>
                            <w:r w:rsidRPr="002B5254">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D3EF6" id="_x0000_s1146" type="#_x0000_t202" style="position:absolute;left:0;text-align:left;margin-left:168.8pt;margin-top:75.65pt;width:327pt;height:264.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" stroked="f">
                <v:textbox>
                  <w:txbxContent>
                    <w:tbl>
                      <w:tblPr>
                        <w:tblStyle w:val="SGSTableBasic112"/>
                        <w:tblW w:w="6237" w:type="dxa"/>
                        <w:tblLayout w:type="fixed"/>
                        <w:tblLook w:val="04A0" w:firstRow="1" w:lastRow="0" w:firstColumn="1" w:lastColumn="0" w:noHBand="0" w:noVBand="1"/>
                      </w:tblPr>
                      <w:tblGrid>
                        <w:gridCol w:w="1560"/>
                        <w:gridCol w:w="850"/>
                        <w:gridCol w:w="1134"/>
                        <w:gridCol w:w="1134"/>
                        <w:gridCol w:w="1559"/>
                      </w:tblGrid>
                      <w:tr w:rsidR="003B5042" w:rsidRPr="003C6755" w14:paraId="58E277E3" w14:textId="77777777" w:rsidTr="00C2566A">
                        <w:trPr>
                          <w:trHeight w:val="454"/>
                        </w:trPr>
                        <w:tc>
                          <w:tcPr>
                            <w:tcW w:w="6237" w:type="dxa"/>
                            <w:gridSpan w:val="5"/>
                            <w:tcBorders>
                              <w:top w:val="nil"/>
                              <w:left w:val="nil"/>
                              <w:right w:val="nil"/>
                              <w:tl2br w:val="nil"/>
                            </w:tcBorders>
                          </w:tcPr>
                          <w:p w14:paraId="32880B1F" w14:textId="77777777" w:rsidR="003B5042" w:rsidRPr="0035291D" w:rsidRDefault="003B5042" w:rsidP="006058A3">
                            <w:pPr>
                              <w:pStyle w:val="a5"/>
                              <w:overflowPunct w:val="0"/>
                              <w:autoSpaceDE w:val="0"/>
                              <w:autoSpaceDN w:val="0"/>
                              <w:spacing w:line="240" w:lineRule="exact"/>
                              <w:ind w:left="721" w:hangingChars="300" w:hanging="721"/>
                              <w:rPr>
                                <w:rFonts w:hAnsi="標楷體"/>
                                <w:b/>
                              </w:rPr>
                            </w:pPr>
                            <w:r w:rsidRPr="002803BA">
                              <w:rPr>
                                <w:rFonts w:hAnsi="標楷體" w:hint="eastAsia"/>
                                <w:b/>
                                <w:color w:val="000000" w:themeColor="text1"/>
                              </w:rPr>
                              <w:t>表</w:t>
                            </w:r>
                            <w:r>
                              <w:rPr>
                                <w:rFonts w:hAnsi="標楷體"/>
                                <w:b/>
                                <w:color w:val="000000" w:themeColor="text1"/>
                              </w:rPr>
                              <w:t>40</w:t>
                            </w:r>
                            <w:r w:rsidRPr="0035291D">
                              <w:rPr>
                                <w:rFonts w:hAnsi="標楷體" w:hint="eastAsia"/>
                                <w:b/>
                              </w:rPr>
                              <w:t xml:space="preserve">　</w:t>
                            </w:r>
                            <w:r w:rsidRPr="00595929">
                              <w:rPr>
                                <w:rFonts w:hAnsi="標楷體" w:hint="eastAsia"/>
                                <w:b/>
                              </w:rPr>
                              <w:t>113</w:t>
                            </w:r>
                            <w:proofErr w:type="gramStart"/>
                            <w:r w:rsidRPr="00595929">
                              <w:rPr>
                                <w:rFonts w:hAnsi="標楷體" w:hint="eastAsia"/>
                                <w:b/>
                              </w:rPr>
                              <w:t>年底資安專職</w:t>
                            </w:r>
                            <w:proofErr w:type="gramEnd"/>
                            <w:r w:rsidRPr="00595929">
                              <w:rPr>
                                <w:rFonts w:hAnsi="標楷體" w:hint="eastAsia"/>
                                <w:b/>
                              </w:rPr>
                              <w:t>人員未</w:t>
                            </w:r>
                            <w:proofErr w:type="gramStart"/>
                            <w:r w:rsidRPr="00595929">
                              <w:rPr>
                                <w:rFonts w:hAnsi="標楷體" w:hint="eastAsia"/>
                                <w:b/>
                              </w:rPr>
                              <w:t>取得資安專業</w:t>
                            </w:r>
                            <w:proofErr w:type="gramEnd"/>
                            <w:r w:rsidRPr="00595929">
                              <w:rPr>
                                <w:rFonts w:hAnsi="標楷體" w:hint="eastAsia"/>
                                <w:b/>
                              </w:rPr>
                              <w:t>證照或職能訓練證書情形</w:t>
                            </w:r>
                          </w:p>
                          <w:p w14:paraId="281F6E98" w14:textId="77777777" w:rsidR="003B5042" w:rsidRPr="003C6755" w:rsidRDefault="003B5042" w:rsidP="00833625">
                            <w:pPr>
                              <w:pStyle w:val="a5"/>
                              <w:overflowPunct w:val="0"/>
                              <w:autoSpaceDE w:val="0"/>
                              <w:autoSpaceDN w:val="0"/>
                              <w:spacing w:line="240" w:lineRule="exact"/>
                              <w:ind w:firstLine="442"/>
                              <w:jc w:val="right"/>
                              <w:rPr>
                                <w:rFonts w:hAnsi="標楷體"/>
                                <w:b/>
                              </w:rPr>
                            </w:pPr>
                            <w:r w:rsidRPr="007A3C78">
                              <w:rPr>
                                <w:rFonts w:hAnsi="標楷體" w:hint="eastAsia"/>
                                <w:sz w:val="20"/>
                                <w:szCs w:val="22"/>
                              </w:rPr>
                              <w:t>單位：人</w:t>
                            </w:r>
                          </w:p>
                        </w:tc>
                      </w:tr>
                      <w:tr w:rsidR="003B5042" w:rsidRPr="003C6755" w14:paraId="203974A2" w14:textId="77777777" w:rsidTr="0035291D">
                        <w:trPr>
                          <w:trHeight w:val="324"/>
                        </w:trPr>
                        <w:tc>
                          <w:tcPr>
                            <w:tcW w:w="1560" w:type="dxa"/>
                            <w:tcBorders>
                              <w:bottom w:val="single" w:sz="4" w:space="0" w:color="auto"/>
                              <w:tl2br w:val="nil"/>
                            </w:tcBorders>
                            <w:vAlign w:val="center"/>
                          </w:tcPr>
                          <w:p w14:paraId="031E21ED" w14:textId="77777777" w:rsidR="003B5042" w:rsidRPr="007A3C78" w:rsidRDefault="003B5042" w:rsidP="003C6755">
                            <w:pPr>
                              <w:pStyle w:val="a5"/>
                              <w:overflowPunct w:val="0"/>
                              <w:autoSpaceDE w:val="0"/>
                              <w:autoSpaceDN w:val="0"/>
                              <w:spacing w:line="240" w:lineRule="exact"/>
                              <w:ind w:leftChars="-32" w:left="-77" w:rightChars="-12" w:right="-29"/>
                              <w:jc w:val="center"/>
                              <w:rPr>
                                <w:rFonts w:hAnsi="標楷體"/>
                                <w:sz w:val="20"/>
                              </w:rPr>
                            </w:pPr>
                            <w:r w:rsidRPr="007A3C78">
                              <w:rPr>
                                <w:rFonts w:hAnsi="標楷體" w:hint="eastAsia"/>
                                <w:sz w:val="20"/>
                              </w:rPr>
                              <w:t>主管機關別</w:t>
                            </w:r>
                          </w:p>
                        </w:tc>
                        <w:tc>
                          <w:tcPr>
                            <w:tcW w:w="850" w:type="dxa"/>
                            <w:tcBorders>
                              <w:bottom w:val="single" w:sz="4" w:space="0" w:color="auto"/>
                            </w:tcBorders>
                            <w:vAlign w:val="center"/>
                          </w:tcPr>
                          <w:p w14:paraId="36082823"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合計</w:t>
                            </w:r>
                          </w:p>
                        </w:tc>
                        <w:tc>
                          <w:tcPr>
                            <w:tcW w:w="1134" w:type="dxa"/>
                            <w:tcBorders>
                              <w:bottom w:val="single" w:sz="4" w:space="0" w:color="auto"/>
                            </w:tcBorders>
                            <w:vAlign w:val="center"/>
                          </w:tcPr>
                          <w:p w14:paraId="71F8928B" w14:textId="77777777" w:rsidR="003B5042" w:rsidRPr="0035291D" w:rsidRDefault="003B5042" w:rsidP="003C6755">
                            <w:pPr>
                              <w:pStyle w:val="a5"/>
                              <w:overflowPunct w:val="0"/>
                              <w:autoSpaceDE w:val="0"/>
                              <w:autoSpaceDN w:val="0"/>
                              <w:spacing w:line="240" w:lineRule="exact"/>
                              <w:ind w:leftChars="-32" w:left="-77" w:rightChars="-12" w:right="-29"/>
                              <w:jc w:val="center"/>
                              <w:rPr>
                                <w:rFonts w:hAnsi="標楷體"/>
                                <w:sz w:val="20"/>
                              </w:rPr>
                            </w:pPr>
                            <w:r w:rsidRPr="0035291D">
                              <w:rPr>
                                <w:rFonts w:hAnsi="標楷體" w:hint="eastAsia"/>
                                <w:sz w:val="20"/>
                              </w:rPr>
                              <w:t>未</w:t>
                            </w:r>
                            <w:proofErr w:type="gramStart"/>
                            <w:r w:rsidRPr="0035291D">
                              <w:rPr>
                                <w:rFonts w:hAnsi="標楷體" w:hint="eastAsia"/>
                                <w:sz w:val="20"/>
                              </w:rPr>
                              <w:t>取得資安專業</w:t>
                            </w:r>
                            <w:proofErr w:type="gramEnd"/>
                            <w:r w:rsidRPr="0035291D">
                              <w:rPr>
                                <w:rFonts w:hAnsi="標楷體" w:hint="eastAsia"/>
                                <w:sz w:val="20"/>
                              </w:rPr>
                              <w:t>證照</w:t>
                            </w:r>
                          </w:p>
                        </w:tc>
                        <w:tc>
                          <w:tcPr>
                            <w:tcW w:w="1134" w:type="dxa"/>
                            <w:tcBorders>
                              <w:bottom w:val="single" w:sz="4" w:space="0" w:color="auto"/>
                            </w:tcBorders>
                            <w:vAlign w:val="center"/>
                          </w:tcPr>
                          <w:p w14:paraId="681AC871" w14:textId="77777777" w:rsidR="003B5042" w:rsidRPr="0035291D" w:rsidRDefault="003B5042" w:rsidP="003C6755">
                            <w:pPr>
                              <w:pStyle w:val="a5"/>
                              <w:overflowPunct w:val="0"/>
                              <w:autoSpaceDE w:val="0"/>
                              <w:autoSpaceDN w:val="0"/>
                              <w:spacing w:line="240" w:lineRule="exact"/>
                              <w:ind w:leftChars="-32" w:left="-77" w:rightChars="-12" w:right="-29"/>
                              <w:jc w:val="center"/>
                              <w:rPr>
                                <w:rFonts w:hAnsi="標楷體"/>
                                <w:sz w:val="20"/>
                              </w:rPr>
                            </w:pPr>
                            <w:r w:rsidRPr="0035291D">
                              <w:rPr>
                                <w:rFonts w:hAnsi="標楷體" w:hint="eastAsia"/>
                                <w:sz w:val="20"/>
                              </w:rPr>
                              <w:t>未取得職能訓練證書</w:t>
                            </w:r>
                          </w:p>
                        </w:tc>
                        <w:tc>
                          <w:tcPr>
                            <w:tcW w:w="1559" w:type="dxa"/>
                            <w:tcBorders>
                              <w:bottom w:val="single" w:sz="4" w:space="0" w:color="auto"/>
                            </w:tcBorders>
                            <w:vAlign w:val="center"/>
                          </w:tcPr>
                          <w:p w14:paraId="66889142" w14:textId="77777777" w:rsidR="003B5042" w:rsidRPr="00C2566A" w:rsidRDefault="003B5042" w:rsidP="003C6755">
                            <w:pPr>
                              <w:pStyle w:val="a5"/>
                              <w:overflowPunct w:val="0"/>
                              <w:autoSpaceDE w:val="0"/>
                              <w:autoSpaceDN w:val="0"/>
                              <w:spacing w:line="240" w:lineRule="exact"/>
                              <w:ind w:leftChars="-32" w:left="-77" w:rightChars="-12" w:right="-29"/>
                              <w:jc w:val="center"/>
                              <w:rPr>
                                <w:rFonts w:hAnsi="標楷體"/>
                                <w:spacing w:val="-10"/>
                                <w:sz w:val="20"/>
                              </w:rPr>
                            </w:pPr>
                            <w:r w:rsidRPr="00C2566A">
                              <w:rPr>
                                <w:rFonts w:hAnsi="標楷體" w:hint="eastAsia"/>
                                <w:spacing w:val="-10"/>
                                <w:sz w:val="20"/>
                              </w:rPr>
                              <w:t>未</w:t>
                            </w:r>
                            <w:proofErr w:type="gramStart"/>
                            <w:r w:rsidRPr="00C2566A">
                              <w:rPr>
                                <w:rFonts w:hAnsi="標楷體" w:hint="eastAsia"/>
                                <w:spacing w:val="-10"/>
                                <w:sz w:val="20"/>
                              </w:rPr>
                              <w:t>取得資安專業</w:t>
                            </w:r>
                            <w:proofErr w:type="gramEnd"/>
                            <w:r w:rsidRPr="00C2566A">
                              <w:rPr>
                                <w:rFonts w:hAnsi="標楷體" w:hint="eastAsia"/>
                                <w:spacing w:val="-10"/>
                                <w:sz w:val="20"/>
                              </w:rPr>
                              <w:t>證照及職能訓練證書</w:t>
                            </w:r>
                          </w:p>
                        </w:tc>
                      </w:tr>
                      <w:tr w:rsidR="003B5042" w:rsidRPr="003C6755" w14:paraId="7E6B9AE3"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73C34A8" w14:textId="77777777" w:rsidR="003B5042" w:rsidRPr="007A3C78" w:rsidRDefault="003B5042" w:rsidP="003C6755">
                            <w:pPr>
                              <w:pStyle w:val="a5"/>
                              <w:overflowPunct w:val="0"/>
                              <w:autoSpaceDE w:val="0"/>
                              <w:autoSpaceDN w:val="0"/>
                              <w:spacing w:line="240" w:lineRule="exact"/>
                              <w:jc w:val="center"/>
                              <w:rPr>
                                <w:rFonts w:hAnsi="標楷體"/>
                                <w:b/>
                                <w:sz w:val="20"/>
                              </w:rPr>
                            </w:pPr>
                            <w:r w:rsidRPr="007A3C78">
                              <w:rPr>
                                <w:rFonts w:hAnsi="標楷體" w:hint="eastAsia"/>
                                <w:b/>
                                <w:color w:val="000000"/>
                                <w:sz w:val="20"/>
                              </w:rPr>
                              <w:t>合  計</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BBCE7A6"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0FA43E" w14:textId="77777777" w:rsidR="003B5042" w:rsidRPr="007A3C78" w:rsidRDefault="003B5042" w:rsidP="00EF6762">
                            <w:pPr>
                              <w:pStyle w:val="a5"/>
                              <w:overflowPunct w:val="0"/>
                              <w:autoSpaceDE w:val="0"/>
                              <w:autoSpaceDN w:val="0"/>
                              <w:spacing w:line="240" w:lineRule="exact"/>
                              <w:jc w:val="right"/>
                              <w:rPr>
                                <w:rFonts w:hAnsi="標楷體"/>
                                <w:b/>
                                <w:bCs/>
                                <w:sz w:val="20"/>
                              </w:rPr>
                            </w:pPr>
                            <w:r w:rsidRPr="007A3C78">
                              <w:rPr>
                                <w:rFonts w:hAnsi="標楷體"/>
                                <w:b/>
                                <w:bCs/>
                                <w:sz w:val="20"/>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1CCFAA" w14:textId="77777777" w:rsidR="003B5042" w:rsidRPr="007A3C78" w:rsidRDefault="003B5042" w:rsidP="00EF6762">
                            <w:pPr>
                              <w:pStyle w:val="a5"/>
                              <w:overflowPunct w:val="0"/>
                              <w:autoSpaceDE w:val="0"/>
                              <w:autoSpaceDN w:val="0"/>
                              <w:spacing w:line="240" w:lineRule="exact"/>
                              <w:jc w:val="right"/>
                              <w:rPr>
                                <w:rFonts w:hAnsi="標楷體"/>
                                <w:b/>
                                <w:bCs/>
                                <w:sz w:val="20"/>
                              </w:rPr>
                            </w:pPr>
                            <w:r w:rsidRPr="007A3C78">
                              <w:rPr>
                                <w:rFonts w:hAnsi="標楷體"/>
                                <w:b/>
                                <w:bCs/>
                                <w:sz w:val="20"/>
                              </w:rPr>
                              <w:t>41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57913D" w14:textId="77777777" w:rsidR="003B5042" w:rsidRPr="007A3C78" w:rsidRDefault="003B5042" w:rsidP="00EF6762">
                            <w:pPr>
                              <w:pStyle w:val="a5"/>
                              <w:overflowPunct w:val="0"/>
                              <w:autoSpaceDE w:val="0"/>
                              <w:autoSpaceDN w:val="0"/>
                              <w:spacing w:line="240" w:lineRule="exact"/>
                              <w:jc w:val="right"/>
                              <w:rPr>
                                <w:rFonts w:hAnsi="標楷體"/>
                                <w:b/>
                                <w:bCs/>
                                <w:sz w:val="20"/>
                              </w:rPr>
                            </w:pPr>
                            <w:r w:rsidRPr="007A3C78">
                              <w:rPr>
                                <w:rFonts w:hAnsi="標楷體"/>
                                <w:b/>
                                <w:bCs/>
                                <w:sz w:val="20"/>
                              </w:rPr>
                              <w:t>46</w:t>
                            </w:r>
                          </w:p>
                        </w:tc>
                      </w:tr>
                      <w:tr w:rsidR="003B5042" w:rsidRPr="003C6755" w14:paraId="1DB2AF97"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121EC7B"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法務部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79E176"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CB16E1"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5397EC1"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9C09F78"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13</w:t>
                            </w:r>
                          </w:p>
                        </w:tc>
                      </w:tr>
                      <w:tr w:rsidR="003B5042" w:rsidRPr="003C6755" w14:paraId="6DE02383"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B06E408"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衛生福利部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266FF3F"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5ABC93"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011F1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E1244A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5</w:t>
                            </w:r>
                          </w:p>
                        </w:tc>
                      </w:tr>
                      <w:tr w:rsidR="003B5042" w:rsidRPr="003C6755" w14:paraId="25FAFA42"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ABF53EC"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教育部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9035DFA"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139001D"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C6062C"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1E76ADB"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5</w:t>
                            </w:r>
                          </w:p>
                        </w:tc>
                      </w:tr>
                      <w:tr w:rsidR="003B5042" w:rsidRPr="003C6755" w14:paraId="038C52BD"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85F8500"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農業部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7E1542"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7027106"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B6CA52"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67C8F2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8</w:t>
                            </w:r>
                          </w:p>
                        </w:tc>
                      </w:tr>
                      <w:tr w:rsidR="003B5042" w:rsidRPr="003C6755" w14:paraId="35AA9BD9"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94EDD66"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內政部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906980"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2C0601"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FEF182B"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27F3896"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4</w:t>
                            </w:r>
                          </w:p>
                        </w:tc>
                      </w:tr>
                      <w:tr w:rsidR="003B5042" w:rsidRPr="003C6755" w14:paraId="056984AA"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D29A700"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交通部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F89CAA"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9F14B9"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EAFDDD"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19B60A"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5</w:t>
                            </w:r>
                          </w:p>
                        </w:tc>
                      </w:tr>
                      <w:tr w:rsidR="003B5042" w:rsidRPr="003C6755" w14:paraId="00531E40"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C1317DE"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勞動部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3877CA2"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C53CA7"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CB4986E"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7486B90"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r>
                      <w:tr w:rsidR="003B5042" w:rsidRPr="003C6755" w14:paraId="07250DB9"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FBC33CD"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sz w:val="20"/>
                              </w:rPr>
                              <w:t>文化部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1BFBF1"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9D24CC"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9986C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DD3F32E"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w:t>
                            </w:r>
                          </w:p>
                        </w:tc>
                      </w:tr>
                      <w:tr w:rsidR="003B5042" w:rsidRPr="003C6755" w14:paraId="1909F3DB"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tcPr>
                          <w:p w14:paraId="338C15CD" w14:textId="77777777" w:rsidR="003B5042" w:rsidRPr="00C2566A" w:rsidRDefault="003B5042" w:rsidP="00C2566A">
                            <w:pPr>
                              <w:pStyle w:val="a5"/>
                              <w:overflowPunct w:val="0"/>
                              <w:autoSpaceDE w:val="0"/>
                              <w:autoSpaceDN w:val="0"/>
                              <w:spacing w:line="220" w:lineRule="exact"/>
                              <w:jc w:val="center"/>
                              <w:rPr>
                                <w:rFonts w:hAnsi="標楷體"/>
                                <w:spacing w:val="-10"/>
                                <w:sz w:val="20"/>
                              </w:rPr>
                            </w:pPr>
                            <w:r w:rsidRPr="00C2566A">
                              <w:rPr>
                                <w:rFonts w:hAnsi="標楷體" w:hint="eastAsia"/>
                                <w:spacing w:val="-10"/>
                                <w:sz w:val="20"/>
                              </w:rPr>
                              <w:t>國軍退除役官兵輔導委員會</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02D17AA"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F1A574"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654508"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162158"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r>
                      <w:tr w:rsidR="003B5042" w:rsidRPr="003C6755" w14:paraId="1D5EFB63"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DDCC598" w14:textId="77777777" w:rsidR="003B5042" w:rsidRPr="007A3C78" w:rsidRDefault="003B5042" w:rsidP="003C6755">
                            <w:pPr>
                              <w:pStyle w:val="a5"/>
                              <w:overflowPunct w:val="0"/>
                              <w:autoSpaceDE w:val="0"/>
                              <w:autoSpaceDN w:val="0"/>
                              <w:spacing w:line="240" w:lineRule="exact"/>
                              <w:jc w:val="center"/>
                              <w:rPr>
                                <w:rFonts w:hAnsi="標楷體"/>
                                <w:sz w:val="20"/>
                              </w:rPr>
                            </w:pPr>
                            <w:r w:rsidRPr="007A3C78">
                              <w:rPr>
                                <w:rFonts w:hAnsi="標楷體" w:hint="eastAsia"/>
                                <w:color w:val="000000"/>
                                <w:sz w:val="20"/>
                              </w:rPr>
                              <w:t>經濟部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951211"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E2D258"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AC4E57"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B462751"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r>
                      <w:tr w:rsidR="003B5042" w:rsidRPr="003C6755" w14:paraId="66E20441"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FDEB7D7" w14:textId="77777777" w:rsidR="003B5042" w:rsidRPr="007A3C78" w:rsidRDefault="003B5042" w:rsidP="003C6755">
                            <w:pPr>
                              <w:pStyle w:val="a5"/>
                              <w:overflowPunct w:val="0"/>
                              <w:autoSpaceDE w:val="0"/>
                              <w:autoSpaceDN w:val="0"/>
                              <w:spacing w:line="240" w:lineRule="exact"/>
                              <w:jc w:val="center"/>
                              <w:rPr>
                                <w:rFonts w:hAnsi="標楷體"/>
                                <w:color w:val="000000"/>
                                <w:sz w:val="20"/>
                              </w:rPr>
                            </w:pPr>
                            <w:r w:rsidRPr="007A3C78">
                              <w:rPr>
                                <w:rFonts w:hAnsi="標楷體" w:hint="eastAsia"/>
                                <w:color w:val="000000"/>
                                <w:sz w:val="20"/>
                              </w:rPr>
                              <w:t>行政院</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3F99C1"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FA7B78"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5F9C42"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AFA7EDF"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r>
                      <w:tr w:rsidR="003B5042" w:rsidRPr="003C6755" w14:paraId="6CDA09D0" w14:textId="77777777" w:rsidTr="0035291D">
                        <w:trPr>
                          <w:trHeight w:val="22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CA2A40" w14:textId="77777777" w:rsidR="003B5042" w:rsidRPr="007A3C78" w:rsidRDefault="003B5042" w:rsidP="003C6755">
                            <w:pPr>
                              <w:pStyle w:val="a5"/>
                              <w:overflowPunct w:val="0"/>
                              <w:autoSpaceDE w:val="0"/>
                              <w:autoSpaceDN w:val="0"/>
                              <w:spacing w:line="240" w:lineRule="exact"/>
                              <w:jc w:val="center"/>
                              <w:rPr>
                                <w:rFonts w:hAnsi="標楷體"/>
                                <w:color w:val="000000"/>
                                <w:sz w:val="20"/>
                              </w:rPr>
                            </w:pPr>
                            <w:r w:rsidRPr="007A3C78">
                              <w:rPr>
                                <w:rFonts w:hAnsi="標楷體" w:hint="eastAsia"/>
                                <w:color w:val="000000"/>
                                <w:sz w:val="20"/>
                              </w:rPr>
                              <w:t>環境部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C39DA8" w14:textId="77777777" w:rsidR="003B5042" w:rsidRPr="00CE05AB" w:rsidRDefault="003B5042" w:rsidP="00EF6762">
                            <w:pPr>
                              <w:pStyle w:val="a5"/>
                              <w:overflowPunct w:val="0"/>
                              <w:autoSpaceDE w:val="0"/>
                              <w:autoSpaceDN w:val="0"/>
                              <w:spacing w:line="240" w:lineRule="exact"/>
                              <w:jc w:val="right"/>
                              <w:rPr>
                                <w:rFonts w:hAnsi="標楷體"/>
                                <w:b/>
                                <w:bCs/>
                                <w:sz w:val="20"/>
                              </w:rPr>
                            </w:pPr>
                            <w:r w:rsidRPr="00CE05AB">
                              <w:rPr>
                                <w:rFonts w:hAnsi="標楷體"/>
                                <w:b/>
                                <w:bCs/>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843003" w14:textId="77777777" w:rsidR="003B5042" w:rsidRPr="007A3C78" w:rsidRDefault="003B5042" w:rsidP="00EF6762">
                            <w:pPr>
                              <w:pStyle w:val="a5"/>
                              <w:overflowPunct w:val="0"/>
                              <w:autoSpaceDE w:val="0"/>
                              <w:autoSpaceDN w:val="0"/>
                              <w:spacing w:line="240" w:lineRule="exact"/>
                              <w:ind w:leftChars="-2" w:left="-1" w:hangingChars="2" w:hanging="4"/>
                              <w:jc w:val="right"/>
                              <w:rPr>
                                <w:rFonts w:hAnsi="標楷體"/>
                                <w:bCs/>
                                <w:sz w:val="20"/>
                              </w:rPr>
                            </w:pPr>
                            <w:r w:rsidRPr="007A3C78">
                              <w:rPr>
                                <w:rFonts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32D835"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hint="eastAsia"/>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39D1921" w14:textId="77777777" w:rsidR="003B5042" w:rsidRPr="007A3C78" w:rsidRDefault="003B5042" w:rsidP="00EF6762">
                            <w:pPr>
                              <w:pStyle w:val="a5"/>
                              <w:overflowPunct w:val="0"/>
                              <w:autoSpaceDE w:val="0"/>
                              <w:autoSpaceDN w:val="0"/>
                              <w:spacing w:line="240" w:lineRule="exact"/>
                              <w:jc w:val="right"/>
                              <w:rPr>
                                <w:rFonts w:hAnsi="標楷體"/>
                                <w:bCs/>
                                <w:sz w:val="20"/>
                              </w:rPr>
                            </w:pPr>
                            <w:r w:rsidRPr="007A3C78">
                              <w:rPr>
                                <w:rFonts w:hAnsi="標楷體"/>
                                <w:sz w:val="20"/>
                              </w:rPr>
                              <w:t>1</w:t>
                            </w:r>
                          </w:p>
                        </w:tc>
                      </w:tr>
                    </w:tbl>
                    <w:p w14:paraId="03B76707" w14:textId="77777777" w:rsidR="003B5042" w:rsidRPr="002B5254" w:rsidRDefault="003B5042" w:rsidP="003B5042">
                      <w:pPr>
                        <w:spacing w:line="200" w:lineRule="exact"/>
                        <w:rPr>
                          <w:rFonts w:ascii="標楷體" w:eastAsia="標楷體" w:hAnsi="標楷體"/>
                          <w:sz w:val="18"/>
                        </w:rPr>
                      </w:pPr>
                      <w:proofErr w:type="gramStart"/>
                      <w:r w:rsidRPr="002B5254">
                        <w:rPr>
                          <w:rFonts w:ascii="標楷體" w:eastAsia="標楷體" w:hAnsi="標楷體" w:hint="eastAsia"/>
                          <w:sz w:val="18"/>
                        </w:rPr>
                        <w:t>註</w:t>
                      </w:r>
                      <w:proofErr w:type="gramEnd"/>
                      <w:r w:rsidRPr="002B5254">
                        <w:rPr>
                          <w:rFonts w:ascii="標楷體" w:eastAsia="標楷體" w:hAnsi="標楷體" w:hint="eastAsia"/>
                          <w:sz w:val="18"/>
                        </w:rPr>
                        <w:t>：1</w:t>
                      </w:r>
                      <w:r w:rsidRPr="002B5254">
                        <w:rPr>
                          <w:rFonts w:ascii="標楷體" w:eastAsia="標楷體" w:hAnsi="標楷體"/>
                          <w:sz w:val="18"/>
                        </w:rPr>
                        <w:t>.</w:t>
                      </w:r>
                      <w:r w:rsidRPr="002B5254">
                        <w:rPr>
                          <w:rFonts w:ascii="標楷體" w:eastAsia="標楷體" w:hAnsi="標楷體" w:hint="eastAsia"/>
                          <w:sz w:val="18"/>
                        </w:rPr>
                        <w:t>本表係依合計人數由大至小排序。</w:t>
                      </w:r>
                    </w:p>
                    <w:p w14:paraId="2DF831C4" w14:textId="77777777" w:rsidR="003B5042" w:rsidRPr="002B5254" w:rsidRDefault="003B5042" w:rsidP="003B5042">
                      <w:pPr>
                        <w:spacing w:line="200" w:lineRule="exact"/>
                        <w:ind w:firstLineChars="200" w:firstLine="360"/>
                        <w:rPr>
                          <w:rFonts w:ascii="標楷體" w:eastAsia="標楷體" w:hAnsi="標楷體"/>
                          <w:sz w:val="18"/>
                        </w:rPr>
                      </w:pPr>
                      <w:r w:rsidRPr="002B5254">
                        <w:rPr>
                          <w:rFonts w:ascii="標楷體" w:eastAsia="標楷體" w:hAnsi="標楷體"/>
                          <w:sz w:val="18"/>
                        </w:rPr>
                        <w:t>2.</w:t>
                      </w:r>
                      <w:r w:rsidRPr="002B5254">
                        <w:rPr>
                          <w:rFonts w:ascii="標楷體" w:eastAsia="標楷體" w:hAnsi="標楷體" w:hint="eastAsia"/>
                          <w:sz w:val="18"/>
                        </w:rPr>
                        <w:t>資料來源：</w:t>
                      </w:r>
                      <w:r w:rsidRPr="002B5254">
                        <w:rPr>
                          <w:rFonts w:ascii="標楷體" w:eastAsia="標楷體" w:hAnsi="標楷體"/>
                          <w:sz w:val="18"/>
                        </w:rPr>
                        <w:t>整理自行政院所屬機關提供資料</w:t>
                      </w:r>
                      <w:r w:rsidRPr="002B5254">
                        <w:rPr>
                          <w:rFonts w:ascii="標楷體" w:eastAsia="標楷體" w:hAnsi="標楷體" w:hint="eastAsia"/>
                          <w:sz w:val="18"/>
                        </w:rPr>
                        <w:t>。</w:t>
                      </w:r>
                    </w:p>
                  </w:txbxContent>
                </v:textbox>
                <w10:wrap type="square" anchorx="margin" anchory="page"/>
              </v:shape>
            </w:pict>
          </mc:Fallback>
        </mc:AlternateContent>
      </w:r>
      <w:r w:rsidR="00595929" w:rsidRPr="003B5042">
        <w:rPr>
          <w:rFonts w:ascii="標楷體" w:eastAsia="標楷體" w:hAnsi="標楷體" w:hint="eastAsia"/>
          <w:bCs/>
          <w:spacing w:val="-2"/>
          <w:szCs w:val="24"/>
        </w:rPr>
        <w:t>職能專班，暨增加職能評量場地及頻率，</w:t>
      </w:r>
      <w:proofErr w:type="gramStart"/>
      <w:r w:rsidR="00595929" w:rsidRPr="003B5042">
        <w:rPr>
          <w:rFonts w:ascii="標楷體" w:eastAsia="標楷體" w:hAnsi="標楷體" w:hint="eastAsia"/>
          <w:bCs/>
          <w:spacing w:val="-2"/>
          <w:szCs w:val="24"/>
        </w:rPr>
        <w:t>俾提升資安專職</w:t>
      </w:r>
      <w:proofErr w:type="gramEnd"/>
      <w:r w:rsidR="00595929" w:rsidRPr="003B5042">
        <w:rPr>
          <w:rFonts w:ascii="標楷體" w:eastAsia="標楷體" w:hAnsi="標楷體" w:hint="eastAsia"/>
          <w:bCs/>
          <w:spacing w:val="-2"/>
          <w:szCs w:val="24"/>
        </w:rPr>
        <w:t>人員</w:t>
      </w:r>
      <w:proofErr w:type="gramStart"/>
      <w:r w:rsidR="00595929" w:rsidRPr="003B5042">
        <w:rPr>
          <w:rFonts w:ascii="標楷體" w:eastAsia="標楷體" w:hAnsi="標楷體" w:hint="eastAsia"/>
          <w:bCs/>
          <w:spacing w:val="-2"/>
          <w:szCs w:val="24"/>
        </w:rPr>
        <w:t>取得資安證照</w:t>
      </w:r>
      <w:proofErr w:type="gramEnd"/>
      <w:r w:rsidR="00595929" w:rsidRPr="003B5042">
        <w:rPr>
          <w:rFonts w:ascii="標楷體" w:eastAsia="標楷體" w:hAnsi="標楷體" w:hint="eastAsia"/>
          <w:bCs/>
          <w:spacing w:val="-2"/>
          <w:szCs w:val="24"/>
        </w:rPr>
        <w:t>及證書之比率。</w:t>
      </w:r>
    </w:p>
    <w:p w14:paraId="49E9B3FE" w14:textId="2565FE62" w:rsidR="00901CD0" w:rsidRPr="00FC2D43" w:rsidRDefault="003B5042" w:rsidP="00137A45">
      <w:pPr>
        <w:overflowPunct w:val="0"/>
        <w:adjustRightInd w:val="0"/>
        <w:snapToGrid w:val="0"/>
        <w:spacing w:line="450" w:lineRule="exact"/>
        <w:ind w:firstLineChars="350" w:firstLine="1120"/>
        <w:jc w:val="both"/>
        <w:rPr>
          <w:rFonts w:ascii="標楷體" w:eastAsia="標楷體" w:hAnsi="標楷體"/>
          <w:bCs/>
          <w:color w:val="4F81BD" w:themeColor="accent1"/>
          <w:szCs w:val="24"/>
        </w:rPr>
      </w:pPr>
      <w:r w:rsidRPr="00041245">
        <w:rPr>
          <w:rFonts w:ascii="標楷體" w:eastAsia="標楷體" w:hAnsi="標楷體" w:cs="新細明體" w:hint="eastAsia"/>
          <w:noProof/>
          <w:color w:val="FF0000"/>
          <w:kern w:val="0"/>
          <w:sz w:val="32"/>
          <w:szCs w:val="32"/>
          <w:u w:val="single"/>
        </w:rPr>
        <mc:AlternateContent>
          <mc:Choice Requires="wps">
            <w:drawing>
              <wp:anchor distT="0" distB="0" distL="114300" distR="114300" simplePos="0" relativeHeight="251684864" behindDoc="1" locked="0" layoutInCell="1" allowOverlap="1" wp14:anchorId="0B9ADD1F" wp14:editId="327E17BE">
                <wp:simplePos x="0" y="0"/>
                <wp:positionH relativeFrom="margin">
                  <wp:posOffset>3039110</wp:posOffset>
                </wp:positionH>
                <wp:positionV relativeFrom="paragraph">
                  <wp:posOffset>2893060</wp:posOffset>
                </wp:positionV>
                <wp:extent cx="3234055" cy="5105400"/>
                <wp:effectExtent l="0" t="0" r="4445" b="6985"/>
                <wp:wrapTight wrapText="bothSides">
                  <wp:wrapPolygon edited="0">
                    <wp:start x="0" y="0"/>
                    <wp:lineTo x="0" y="21550"/>
                    <wp:lineTo x="21502" y="21550"/>
                    <wp:lineTo x="21502" y="0"/>
                    <wp:lineTo x="0" y="0"/>
                  </wp:wrapPolygon>
                </wp:wrapTight>
                <wp:docPr id="60" name="文字方塊 60"/>
                <wp:cNvGraphicFramePr/>
                <a:graphic xmlns:a="http://schemas.openxmlformats.org/drawingml/2006/main">
                  <a:graphicData uri="http://schemas.microsoft.com/office/word/2010/wordprocessingShape">
                    <wps:wsp>
                      <wps:cNvSpPr txBox="1"/>
                      <wps:spPr>
                        <a:xfrm>
                          <a:off x="0" y="0"/>
                          <a:ext cx="3234055" cy="5105400"/>
                        </a:xfrm>
                        <a:prstGeom prst="rect">
                          <a:avLst/>
                        </a:prstGeom>
                        <a:solidFill>
                          <a:sysClr val="window" lastClr="FFFFFF"/>
                        </a:solidFill>
                        <a:ln w="6350">
                          <a:noFill/>
                        </a:ln>
                      </wps:spPr>
                      <wps:txbx>
                        <w:txbxContent>
                          <w:p w14:paraId="569F00A8" w14:textId="464F2DB4" w:rsidR="00041245" w:rsidRPr="00041245" w:rsidRDefault="00041245" w:rsidP="006A535A">
                            <w:pPr>
                              <w:spacing w:line="300" w:lineRule="exact"/>
                              <w:ind w:leftChars="-40" w:left="625" w:rightChars="36" w:right="86" w:hangingChars="300" w:hanging="721"/>
                              <w:jc w:val="both"/>
                              <w:rPr>
                                <w:rFonts w:ascii="標楷體" w:eastAsia="標楷體" w:hAnsi="標楷體"/>
                                <w:b/>
                                <w:bCs/>
                              </w:rPr>
                            </w:pPr>
                            <w:r w:rsidRPr="00041245">
                              <w:rPr>
                                <w:rFonts w:ascii="標楷體" w:eastAsia="標楷體" w:hAnsi="標楷體" w:hint="eastAsia"/>
                                <w:b/>
                                <w:bCs/>
                              </w:rPr>
                              <w:t>表</w:t>
                            </w:r>
                            <w:r w:rsidRPr="00041245">
                              <w:rPr>
                                <w:rFonts w:ascii="標楷體" w:eastAsia="標楷體" w:hAnsi="標楷體"/>
                                <w:b/>
                                <w:bCs/>
                              </w:rPr>
                              <w:t>41</w:t>
                            </w:r>
                            <w:r w:rsidRPr="00041245">
                              <w:rPr>
                                <w:rFonts w:ascii="標楷體" w:eastAsia="標楷體" w:hAnsi="標楷體" w:hint="eastAsia"/>
                                <w:b/>
                                <w:bCs/>
                              </w:rPr>
                              <w:t xml:space="preserve">　113年底資訊處理職</w:t>
                            </w:r>
                            <w:proofErr w:type="gramStart"/>
                            <w:r w:rsidRPr="00041245">
                              <w:rPr>
                                <w:rFonts w:ascii="標楷體" w:eastAsia="標楷體" w:hAnsi="標楷體" w:hint="eastAsia"/>
                                <w:b/>
                                <w:bCs/>
                              </w:rPr>
                              <w:t>系資安</w:t>
                            </w:r>
                            <w:proofErr w:type="gramEnd"/>
                            <w:r w:rsidRPr="00041245">
                              <w:rPr>
                                <w:rFonts w:ascii="標楷體" w:eastAsia="標楷體" w:hAnsi="標楷體" w:hint="eastAsia"/>
                                <w:b/>
                                <w:bCs/>
                              </w:rPr>
                              <w:t>專職人員未支領資訊專業加給情形</w:t>
                            </w:r>
                          </w:p>
                          <w:p w14:paraId="2CE8FFD4" w14:textId="77777777" w:rsidR="00041245" w:rsidRPr="00D27675" w:rsidRDefault="00041245" w:rsidP="006A535A">
                            <w:pPr>
                              <w:spacing w:line="240" w:lineRule="exact"/>
                              <w:ind w:rightChars="47" w:right="113"/>
                              <w:jc w:val="right"/>
                              <w:rPr>
                                <w:rFonts w:ascii="標楷體" w:eastAsia="標楷體" w:hAnsi="標楷體"/>
                                <w:sz w:val="20"/>
                                <w:szCs w:val="18"/>
                              </w:rPr>
                            </w:pPr>
                            <w:r w:rsidRPr="00D27675">
                              <w:rPr>
                                <w:rFonts w:ascii="標楷體" w:eastAsia="標楷體" w:hAnsi="標楷體" w:hint="eastAsia"/>
                                <w:sz w:val="20"/>
                                <w:szCs w:val="18"/>
                              </w:rPr>
                              <w:t>單位：人</w:t>
                            </w:r>
                          </w:p>
                          <w:tbl>
                            <w:tblPr>
                              <w:tblStyle w:val="SGSTableBasic122"/>
                              <w:tblW w:w="4830" w:type="dxa"/>
                              <w:tblInd w:w="-5" w:type="dxa"/>
                              <w:tblLook w:val="04A0" w:firstRow="1" w:lastRow="0" w:firstColumn="1" w:lastColumn="0" w:noHBand="0" w:noVBand="1"/>
                            </w:tblPr>
                            <w:tblGrid>
                              <w:gridCol w:w="1218"/>
                              <w:gridCol w:w="2856"/>
                              <w:gridCol w:w="756"/>
                            </w:tblGrid>
                            <w:tr w:rsidR="00041245" w:rsidRPr="00A42147" w14:paraId="50A7A613" w14:textId="77777777" w:rsidTr="00A42147">
                              <w:trPr>
                                <w:trHeight w:val="113"/>
                              </w:trPr>
                              <w:tc>
                                <w:tcPr>
                                  <w:tcW w:w="1218" w:type="dxa"/>
                                  <w:vAlign w:val="center"/>
                                </w:tcPr>
                                <w:p w14:paraId="01AB36D8"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cs="新細明體" w:hint="eastAsia"/>
                                      <w:sz w:val="20"/>
                                    </w:rPr>
                                    <w:t>主管機關</w:t>
                                  </w:r>
                                </w:p>
                              </w:tc>
                              <w:tc>
                                <w:tcPr>
                                  <w:tcW w:w="2856" w:type="dxa"/>
                                  <w:vAlign w:val="center"/>
                                </w:tcPr>
                                <w:p w14:paraId="2063B33E"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cs="新細明體" w:hint="eastAsia"/>
                                      <w:sz w:val="20"/>
                                    </w:rPr>
                                    <w:t>機關名稱</w:t>
                                  </w:r>
                                </w:p>
                              </w:tc>
                              <w:tc>
                                <w:tcPr>
                                  <w:tcW w:w="756" w:type="dxa"/>
                                  <w:vAlign w:val="center"/>
                                </w:tcPr>
                                <w:p w14:paraId="2BE022E6" w14:textId="77777777" w:rsidR="00041245" w:rsidRPr="00D27675" w:rsidRDefault="00041245" w:rsidP="00A42147">
                                  <w:pPr>
                                    <w:pStyle w:val="a5"/>
                                    <w:overflowPunct w:val="0"/>
                                    <w:autoSpaceDE w:val="0"/>
                                    <w:autoSpaceDN w:val="0"/>
                                    <w:spacing w:line="240" w:lineRule="exact"/>
                                    <w:ind w:leftChars="-80" w:left="-32" w:rightChars="-68" w:right="-163" w:hangingChars="80" w:hanging="160"/>
                                    <w:jc w:val="center"/>
                                    <w:rPr>
                                      <w:rFonts w:hAnsi="標楷體" w:cs="新細明體"/>
                                      <w:sz w:val="20"/>
                                    </w:rPr>
                                  </w:pPr>
                                  <w:r w:rsidRPr="00D27675">
                                    <w:rPr>
                                      <w:rFonts w:hAnsi="標楷體" w:cs="新細明體" w:hint="eastAsia"/>
                                      <w:sz w:val="20"/>
                                    </w:rPr>
                                    <w:t>人數</w:t>
                                  </w:r>
                                </w:p>
                              </w:tc>
                            </w:tr>
                            <w:tr w:rsidR="00041245" w:rsidRPr="00A42147" w14:paraId="7D6F3E2C" w14:textId="77777777" w:rsidTr="00A42147">
                              <w:trPr>
                                <w:trHeight w:val="113"/>
                              </w:trPr>
                              <w:tc>
                                <w:tcPr>
                                  <w:tcW w:w="4074" w:type="dxa"/>
                                  <w:gridSpan w:val="2"/>
                                  <w:vAlign w:val="center"/>
                                </w:tcPr>
                                <w:p w14:paraId="4A9AFC8C" w14:textId="77777777" w:rsidR="00041245" w:rsidRPr="00D27675" w:rsidRDefault="00041245" w:rsidP="00A42147">
                                  <w:pPr>
                                    <w:pStyle w:val="a5"/>
                                    <w:overflowPunct w:val="0"/>
                                    <w:autoSpaceDE w:val="0"/>
                                    <w:autoSpaceDN w:val="0"/>
                                    <w:spacing w:line="240" w:lineRule="exact"/>
                                    <w:jc w:val="center"/>
                                    <w:rPr>
                                      <w:rFonts w:hAnsi="標楷體"/>
                                      <w:color w:val="000000"/>
                                      <w:sz w:val="20"/>
                                    </w:rPr>
                                  </w:pPr>
                                  <w:r w:rsidRPr="00D27675">
                                    <w:rPr>
                                      <w:rFonts w:hAnsi="標楷體" w:hint="eastAsia"/>
                                      <w:b/>
                                      <w:color w:val="000000"/>
                                      <w:sz w:val="20"/>
                                    </w:rPr>
                                    <w:t xml:space="preserve">合 </w:t>
                                  </w:r>
                                  <w:r w:rsidRPr="00D27675">
                                    <w:rPr>
                                      <w:rFonts w:hAnsi="標楷體"/>
                                      <w:b/>
                                      <w:color w:val="000000"/>
                                      <w:sz w:val="20"/>
                                    </w:rPr>
                                    <w:t xml:space="preserve">   </w:t>
                                  </w:r>
                                  <w:r w:rsidRPr="00D27675">
                                    <w:rPr>
                                      <w:rFonts w:hAnsi="標楷體" w:hint="eastAsia"/>
                                      <w:b/>
                                      <w:color w:val="000000"/>
                                      <w:sz w:val="20"/>
                                    </w:rPr>
                                    <w:t>計</w:t>
                                  </w:r>
                                </w:p>
                              </w:tc>
                              <w:tc>
                                <w:tcPr>
                                  <w:tcW w:w="756" w:type="dxa"/>
                                  <w:vAlign w:val="center"/>
                                </w:tcPr>
                                <w:p w14:paraId="36D751F0" w14:textId="77777777" w:rsidR="00041245" w:rsidRPr="00D27675" w:rsidRDefault="00041245" w:rsidP="00D27675">
                                  <w:pPr>
                                    <w:pStyle w:val="a5"/>
                                    <w:overflowPunct w:val="0"/>
                                    <w:autoSpaceDE w:val="0"/>
                                    <w:autoSpaceDN w:val="0"/>
                                    <w:spacing w:line="240" w:lineRule="exact"/>
                                    <w:jc w:val="right"/>
                                    <w:rPr>
                                      <w:rFonts w:hAnsi="標楷體" w:cs="新細明體"/>
                                      <w:b/>
                                      <w:sz w:val="20"/>
                                    </w:rPr>
                                  </w:pPr>
                                  <w:r w:rsidRPr="00D27675">
                                    <w:rPr>
                                      <w:rFonts w:hAnsi="標楷體" w:cs="新細明體" w:hint="eastAsia"/>
                                      <w:b/>
                                      <w:sz w:val="20"/>
                                    </w:rPr>
                                    <w:t>2</w:t>
                                  </w:r>
                                  <w:r w:rsidRPr="00D27675">
                                    <w:rPr>
                                      <w:rFonts w:hAnsi="標楷體" w:cs="新細明體"/>
                                      <w:b/>
                                      <w:sz w:val="20"/>
                                    </w:rPr>
                                    <w:t>4</w:t>
                                  </w:r>
                                </w:p>
                              </w:tc>
                            </w:tr>
                            <w:tr w:rsidR="00041245" w:rsidRPr="00A42147" w14:paraId="43BC7227" w14:textId="77777777" w:rsidTr="00A42147">
                              <w:trPr>
                                <w:trHeight w:val="113"/>
                              </w:trPr>
                              <w:tc>
                                <w:tcPr>
                                  <w:tcW w:w="1218" w:type="dxa"/>
                                  <w:vMerge w:val="restart"/>
                                  <w:vAlign w:val="center"/>
                                </w:tcPr>
                                <w:p w14:paraId="2FB123F5"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內政部</w:t>
                                  </w:r>
                                </w:p>
                              </w:tc>
                              <w:tc>
                                <w:tcPr>
                                  <w:tcW w:w="2856" w:type="dxa"/>
                                  <w:vAlign w:val="center"/>
                                </w:tcPr>
                                <w:p w14:paraId="39BD3F27"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警政署保安警察第一總隊</w:t>
                                  </w:r>
                                </w:p>
                              </w:tc>
                              <w:tc>
                                <w:tcPr>
                                  <w:tcW w:w="756" w:type="dxa"/>
                                  <w:vAlign w:val="center"/>
                                </w:tcPr>
                                <w:p w14:paraId="2C2C8A25"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477F7A6C" w14:textId="77777777" w:rsidTr="00A42147">
                              <w:trPr>
                                <w:trHeight w:val="113"/>
                              </w:trPr>
                              <w:tc>
                                <w:tcPr>
                                  <w:tcW w:w="1218" w:type="dxa"/>
                                  <w:vMerge/>
                                  <w:vAlign w:val="center"/>
                                </w:tcPr>
                                <w:p w14:paraId="2F740B4D"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11E2473E"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警政署保安警察第三總隊</w:t>
                                  </w:r>
                                </w:p>
                              </w:tc>
                              <w:tc>
                                <w:tcPr>
                                  <w:tcW w:w="756" w:type="dxa"/>
                                  <w:vAlign w:val="center"/>
                                </w:tcPr>
                                <w:p w14:paraId="30D3C6D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3738139" w14:textId="77777777" w:rsidTr="00A42147">
                              <w:trPr>
                                <w:trHeight w:val="113"/>
                              </w:trPr>
                              <w:tc>
                                <w:tcPr>
                                  <w:tcW w:w="1218" w:type="dxa"/>
                                  <w:vMerge/>
                                  <w:vAlign w:val="center"/>
                                </w:tcPr>
                                <w:p w14:paraId="00885F0C"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0AB312B9"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警政署保安警察第五總隊</w:t>
                                  </w:r>
                                </w:p>
                              </w:tc>
                              <w:tc>
                                <w:tcPr>
                                  <w:tcW w:w="756" w:type="dxa"/>
                                  <w:vAlign w:val="center"/>
                                </w:tcPr>
                                <w:p w14:paraId="12E20200"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116A7E89" w14:textId="77777777" w:rsidTr="00A42147">
                              <w:trPr>
                                <w:trHeight w:val="113"/>
                              </w:trPr>
                              <w:tc>
                                <w:tcPr>
                                  <w:tcW w:w="1218" w:type="dxa"/>
                                  <w:vMerge/>
                                  <w:vAlign w:val="center"/>
                                </w:tcPr>
                                <w:p w14:paraId="013120EB"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54C891DA"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警政署國道公路警察局</w:t>
                                  </w:r>
                                </w:p>
                              </w:tc>
                              <w:tc>
                                <w:tcPr>
                                  <w:tcW w:w="756" w:type="dxa"/>
                                  <w:vAlign w:val="center"/>
                                </w:tcPr>
                                <w:p w14:paraId="2D903C6A"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07B3905" w14:textId="77777777" w:rsidTr="00A42147">
                              <w:trPr>
                                <w:trHeight w:val="113"/>
                              </w:trPr>
                              <w:tc>
                                <w:tcPr>
                                  <w:tcW w:w="1218" w:type="dxa"/>
                                  <w:vMerge/>
                                  <w:vAlign w:val="center"/>
                                </w:tcPr>
                                <w:p w14:paraId="3D8500F2"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32822014"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警政署警察機械修理廠</w:t>
                                  </w:r>
                                </w:p>
                              </w:tc>
                              <w:tc>
                                <w:tcPr>
                                  <w:tcW w:w="756" w:type="dxa"/>
                                  <w:vAlign w:val="center"/>
                                </w:tcPr>
                                <w:p w14:paraId="451562C7"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B82C49F" w14:textId="77777777" w:rsidTr="00A42147">
                              <w:trPr>
                                <w:trHeight w:val="113"/>
                              </w:trPr>
                              <w:tc>
                                <w:tcPr>
                                  <w:tcW w:w="1218" w:type="dxa"/>
                                  <w:vMerge/>
                                  <w:vAlign w:val="center"/>
                                </w:tcPr>
                                <w:p w14:paraId="72474EA7"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34A154B4"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國家公園署玉山國家公園管理處</w:t>
                                  </w:r>
                                </w:p>
                              </w:tc>
                              <w:tc>
                                <w:tcPr>
                                  <w:tcW w:w="756" w:type="dxa"/>
                                  <w:vAlign w:val="center"/>
                                </w:tcPr>
                                <w:p w14:paraId="2C3B56EE"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62268E3" w14:textId="77777777" w:rsidTr="00A42147">
                              <w:trPr>
                                <w:trHeight w:val="113"/>
                              </w:trPr>
                              <w:tc>
                                <w:tcPr>
                                  <w:tcW w:w="1218" w:type="dxa"/>
                                  <w:vMerge/>
                                  <w:vAlign w:val="center"/>
                                </w:tcPr>
                                <w:p w14:paraId="62BDF1A2"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2BEBC705"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國家公園署雪霸國家公園管理處</w:t>
                                  </w:r>
                                </w:p>
                              </w:tc>
                              <w:tc>
                                <w:tcPr>
                                  <w:tcW w:w="756" w:type="dxa"/>
                                  <w:vAlign w:val="center"/>
                                </w:tcPr>
                                <w:p w14:paraId="0F3EC54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19DE5685" w14:textId="77777777" w:rsidTr="00A42147">
                              <w:trPr>
                                <w:trHeight w:val="113"/>
                              </w:trPr>
                              <w:tc>
                                <w:tcPr>
                                  <w:tcW w:w="1218" w:type="dxa"/>
                                  <w:vMerge/>
                                  <w:vAlign w:val="center"/>
                                </w:tcPr>
                                <w:p w14:paraId="211ECC98"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359BAE13"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國家公園署海洋國家公園管理處</w:t>
                                  </w:r>
                                </w:p>
                              </w:tc>
                              <w:tc>
                                <w:tcPr>
                                  <w:tcW w:w="756" w:type="dxa"/>
                                  <w:vAlign w:val="center"/>
                                </w:tcPr>
                                <w:p w14:paraId="3071D3FD"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6399B5B" w14:textId="77777777" w:rsidTr="00A42147">
                              <w:trPr>
                                <w:trHeight w:val="60"/>
                              </w:trPr>
                              <w:tc>
                                <w:tcPr>
                                  <w:tcW w:w="1218" w:type="dxa"/>
                                  <w:vMerge/>
                                  <w:vAlign w:val="center"/>
                                </w:tcPr>
                                <w:p w14:paraId="01A9FC58"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71426F24"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土地重劃工程處</w:t>
                                  </w:r>
                                </w:p>
                              </w:tc>
                              <w:tc>
                                <w:tcPr>
                                  <w:tcW w:w="756" w:type="dxa"/>
                                  <w:vAlign w:val="center"/>
                                </w:tcPr>
                                <w:p w14:paraId="1CAEBA9B"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111EC5E" w14:textId="77777777" w:rsidTr="00A42147">
                              <w:trPr>
                                <w:trHeight w:val="113"/>
                              </w:trPr>
                              <w:tc>
                                <w:tcPr>
                                  <w:tcW w:w="1218" w:type="dxa"/>
                                  <w:vAlign w:val="center"/>
                                </w:tcPr>
                                <w:p w14:paraId="1B09E41A"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教育部</w:t>
                                  </w:r>
                                </w:p>
                              </w:tc>
                              <w:tc>
                                <w:tcPr>
                                  <w:tcW w:w="2856" w:type="dxa"/>
                                  <w:vAlign w:val="center"/>
                                </w:tcPr>
                                <w:p w14:paraId="65807E9A"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國家教育研究院</w:t>
                                  </w:r>
                                </w:p>
                              </w:tc>
                              <w:tc>
                                <w:tcPr>
                                  <w:tcW w:w="756" w:type="dxa"/>
                                  <w:vAlign w:val="center"/>
                                </w:tcPr>
                                <w:p w14:paraId="0D85CCE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B9A8FE6" w14:textId="77777777" w:rsidTr="00A42147">
                              <w:trPr>
                                <w:trHeight w:val="113"/>
                              </w:trPr>
                              <w:tc>
                                <w:tcPr>
                                  <w:tcW w:w="1218" w:type="dxa"/>
                                  <w:vAlign w:val="center"/>
                                </w:tcPr>
                                <w:p w14:paraId="07A5AC11"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法務部</w:t>
                                  </w:r>
                                </w:p>
                              </w:tc>
                              <w:tc>
                                <w:tcPr>
                                  <w:tcW w:w="2856" w:type="dxa"/>
                                  <w:vAlign w:val="center"/>
                                </w:tcPr>
                                <w:p w14:paraId="79C6BA73"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行政執行署</w:t>
                                  </w:r>
                                </w:p>
                              </w:tc>
                              <w:tc>
                                <w:tcPr>
                                  <w:tcW w:w="756" w:type="dxa"/>
                                  <w:vAlign w:val="center"/>
                                </w:tcPr>
                                <w:p w14:paraId="57EBC968"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66BB7D1" w14:textId="77777777" w:rsidTr="00A42147">
                              <w:trPr>
                                <w:trHeight w:val="113"/>
                              </w:trPr>
                              <w:tc>
                                <w:tcPr>
                                  <w:tcW w:w="1218" w:type="dxa"/>
                                  <w:vMerge w:val="restart"/>
                                  <w:vAlign w:val="center"/>
                                </w:tcPr>
                                <w:p w14:paraId="438F1A5C"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經濟部</w:t>
                                  </w:r>
                                </w:p>
                              </w:tc>
                              <w:tc>
                                <w:tcPr>
                                  <w:tcW w:w="2856" w:type="dxa"/>
                                  <w:vAlign w:val="center"/>
                                </w:tcPr>
                                <w:p w14:paraId="63F310EA"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水利署北區水資源分署</w:t>
                                  </w:r>
                                </w:p>
                              </w:tc>
                              <w:tc>
                                <w:tcPr>
                                  <w:tcW w:w="756" w:type="dxa"/>
                                  <w:vAlign w:val="center"/>
                                </w:tcPr>
                                <w:p w14:paraId="7EDCC482"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E84BCEC" w14:textId="77777777" w:rsidTr="00A42147">
                              <w:trPr>
                                <w:trHeight w:val="113"/>
                              </w:trPr>
                              <w:tc>
                                <w:tcPr>
                                  <w:tcW w:w="1218" w:type="dxa"/>
                                  <w:vMerge/>
                                  <w:vAlign w:val="center"/>
                                </w:tcPr>
                                <w:p w14:paraId="1D77D23A"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18C8B3F2"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水利署第四河川分署</w:t>
                                  </w:r>
                                </w:p>
                              </w:tc>
                              <w:tc>
                                <w:tcPr>
                                  <w:tcW w:w="756" w:type="dxa"/>
                                  <w:vAlign w:val="center"/>
                                </w:tcPr>
                                <w:p w14:paraId="66ABF938"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1D2BEEA" w14:textId="77777777" w:rsidTr="00A42147">
                              <w:trPr>
                                <w:trHeight w:val="113"/>
                              </w:trPr>
                              <w:tc>
                                <w:tcPr>
                                  <w:tcW w:w="1218" w:type="dxa"/>
                                  <w:vMerge w:val="restart"/>
                                  <w:vAlign w:val="center"/>
                                </w:tcPr>
                                <w:p w14:paraId="755092EE"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交通部</w:t>
                                  </w:r>
                                </w:p>
                              </w:tc>
                              <w:tc>
                                <w:tcPr>
                                  <w:tcW w:w="2856" w:type="dxa"/>
                                  <w:vAlign w:val="center"/>
                                </w:tcPr>
                                <w:p w14:paraId="2F21B590"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公路局中區養護工程分局</w:t>
                                  </w:r>
                                </w:p>
                              </w:tc>
                              <w:tc>
                                <w:tcPr>
                                  <w:tcW w:w="756" w:type="dxa"/>
                                  <w:vAlign w:val="center"/>
                                </w:tcPr>
                                <w:p w14:paraId="3B3F2DF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E0B2DE5" w14:textId="77777777" w:rsidTr="00A42147">
                              <w:trPr>
                                <w:trHeight w:val="113"/>
                              </w:trPr>
                              <w:tc>
                                <w:tcPr>
                                  <w:tcW w:w="1218" w:type="dxa"/>
                                  <w:vMerge/>
                                  <w:vAlign w:val="center"/>
                                </w:tcPr>
                                <w:p w14:paraId="0CF2BF3F"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579F9C1E"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公路局雲嘉南區養護工程分局</w:t>
                                  </w:r>
                                </w:p>
                              </w:tc>
                              <w:tc>
                                <w:tcPr>
                                  <w:tcW w:w="756" w:type="dxa"/>
                                  <w:vAlign w:val="center"/>
                                </w:tcPr>
                                <w:p w14:paraId="21351FA1"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C40DE42" w14:textId="77777777" w:rsidTr="00A42147">
                              <w:trPr>
                                <w:trHeight w:val="113"/>
                              </w:trPr>
                              <w:tc>
                                <w:tcPr>
                                  <w:tcW w:w="1218" w:type="dxa"/>
                                  <w:vMerge/>
                                  <w:vAlign w:val="center"/>
                                </w:tcPr>
                                <w:p w14:paraId="5DEC6BD4"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51F18259"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民用航空局澎湖航空站</w:t>
                                  </w:r>
                                </w:p>
                              </w:tc>
                              <w:tc>
                                <w:tcPr>
                                  <w:tcW w:w="756" w:type="dxa"/>
                                  <w:vAlign w:val="center"/>
                                </w:tcPr>
                                <w:p w14:paraId="39228479"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224E4C0D" w14:textId="77777777" w:rsidTr="00A42147">
                              <w:trPr>
                                <w:trHeight w:val="113"/>
                              </w:trPr>
                              <w:tc>
                                <w:tcPr>
                                  <w:tcW w:w="1218" w:type="dxa"/>
                                  <w:vMerge/>
                                  <w:vAlign w:val="center"/>
                                </w:tcPr>
                                <w:p w14:paraId="5F9B950B"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6EB1A5A1"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運輸研究所</w:t>
                                  </w:r>
                                </w:p>
                              </w:tc>
                              <w:tc>
                                <w:tcPr>
                                  <w:tcW w:w="756" w:type="dxa"/>
                                  <w:vAlign w:val="center"/>
                                </w:tcPr>
                                <w:p w14:paraId="302BFB23"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377955C5" w14:textId="77777777" w:rsidTr="00A42147">
                              <w:trPr>
                                <w:trHeight w:val="113"/>
                              </w:trPr>
                              <w:tc>
                                <w:tcPr>
                                  <w:tcW w:w="1218" w:type="dxa"/>
                                  <w:vMerge w:val="restart"/>
                                  <w:vAlign w:val="center"/>
                                </w:tcPr>
                                <w:p w14:paraId="30C85C80"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農業部</w:t>
                                  </w:r>
                                </w:p>
                              </w:tc>
                              <w:tc>
                                <w:tcPr>
                                  <w:tcW w:w="2856" w:type="dxa"/>
                                  <w:vAlign w:val="center"/>
                                </w:tcPr>
                                <w:p w14:paraId="119162CF"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農田水利署</w:t>
                                  </w:r>
                                </w:p>
                              </w:tc>
                              <w:tc>
                                <w:tcPr>
                                  <w:tcW w:w="756" w:type="dxa"/>
                                  <w:vAlign w:val="center"/>
                                </w:tcPr>
                                <w:p w14:paraId="11885D8B"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55C97099" w14:textId="77777777" w:rsidTr="00A42147">
                              <w:trPr>
                                <w:trHeight w:val="113"/>
                              </w:trPr>
                              <w:tc>
                                <w:tcPr>
                                  <w:tcW w:w="1218" w:type="dxa"/>
                                  <w:vMerge/>
                                  <w:vAlign w:val="center"/>
                                </w:tcPr>
                                <w:p w14:paraId="44DC29DA"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4D3E6E61"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農業科技園區管理中心</w:t>
                                  </w:r>
                                </w:p>
                              </w:tc>
                              <w:tc>
                                <w:tcPr>
                                  <w:tcW w:w="756" w:type="dxa"/>
                                  <w:vAlign w:val="center"/>
                                </w:tcPr>
                                <w:p w14:paraId="6F1D6570"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15BF8C5D" w14:textId="77777777" w:rsidTr="00A42147">
                              <w:trPr>
                                <w:trHeight w:val="113"/>
                              </w:trPr>
                              <w:tc>
                                <w:tcPr>
                                  <w:tcW w:w="1218" w:type="dxa"/>
                                  <w:vMerge/>
                                  <w:vAlign w:val="center"/>
                                </w:tcPr>
                                <w:p w14:paraId="2BF1819D"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6B062A51"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農業藥物試驗所</w:t>
                                  </w:r>
                                </w:p>
                              </w:tc>
                              <w:tc>
                                <w:tcPr>
                                  <w:tcW w:w="756" w:type="dxa"/>
                                  <w:vAlign w:val="center"/>
                                </w:tcPr>
                                <w:p w14:paraId="66924DCD"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190E20C" w14:textId="77777777" w:rsidTr="00A42147">
                              <w:trPr>
                                <w:trHeight w:val="113"/>
                              </w:trPr>
                              <w:tc>
                                <w:tcPr>
                                  <w:tcW w:w="1218" w:type="dxa"/>
                                  <w:vAlign w:val="center"/>
                                </w:tcPr>
                                <w:p w14:paraId="70788BEC" w14:textId="77777777" w:rsidR="00041245" w:rsidRPr="00D27675" w:rsidRDefault="00041245" w:rsidP="00A42147">
                                  <w:pPr>
                                    <w:pStyle w:val="a5"/>
                                    <w:overflowPunct w:val="0"/>
                                    <w:autoSpaceDE w:val="0"/>
                                    <w:autoSpaceDN w:val="0"/>
                                    <w:spacing w:line="240" w:lineRule="exact"/>
                                    <w:ind w:leftChars="-75" w:left="-30" w:rightChars="-77" w:right="-185" w:hangingChars="75" w:hanging="150"/>
                                    <w:jc w:val="center"/>
                                    <w:rPr>
                                      <w:rFonts w:hAnsi="標楷體" w:cs="新細明體"/>
                                      <w:sz w:val="20"/>
                                    </w:rPr>
                                  </w:pPr>
                                  <w:r w:rsidRPr="00D27675">
                                    <w:rPr>
                                      <w:rFonts w:hAnsi="標楷體" w:hint="eastAsia"/>
                                      <w:color w:val="000000"/>
                                      <w:sz w:val="20"/>
                                    </w:rPr>
                                    <w:t>衛生福利部</w:t>
                                  </w:r>
                                </w:p>
                              </w:tc>
                              <w:tc>
                                <w:tcPr>
                                  <w:tcW w:w="2856" w:type="dxa"/>
                                  <w:vAlign w:val="center"/>
                                </w:tcPr>
                                <w:p w14:paraId="5B9CC927"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社會及家庭署</w:t>
                                  </w:r>
                                </w:p>
                              </w:tc>
                              <w:tc>
                                <w:tcPr>
                                  <w:tcW w:w="756" w:type="dxa"/>
                                  <w:vAlign w:val="center"/>
                                </w:tcPr>
                                <w:p w14:paraId="28DDD71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557B5CF" w14:textId="77777777" w:rsidTr="00A42147">
                              <w:trPr>
                                <w:trHeight w:val="113"/>
                              </w:trPr>
                              <w:tc>
                                <w:tcPr>
                                  <w:tcW w:w="1218" w:type="dxa"/>
                                  <w:vAlign w:val="center"/>
                                </w:tcPr>
                                <w:p w14:paraId="0E3CC0A7" w14:textId="77777777" w:rsidR="00041245" w:rsidRPr="00D27675" w:rsidRDefault="00041245" w:rsidP="00A42147">
                                  <w:pPr>
                                    <w:pStyle w:val="a5"/>
                                    <w:overflowPunct w:val="0"/>
                                    <w:autoSpaceDE w:val="0"/>
                                    <w:autoSpaceDN w:val="0"/>
                                    <w:spacing w:line="240" w:lineRule="exact"/>
                                    <w:ind w:leftChars="-75" w:left="-30" w:rightChars="-77" w:right="-185" w:hangingChars="75" w:hanging="150"/>
                                    <w:jc w:val="center"/>
                                    <w:rPr>
                                      <w:rFonts w:hAnsi="標楷體" w:cs="新細明體"/>
                                      <w:sz w:val="20"/>
                                    </w:rPr>
                                  </w:pPr>
                                  <w:r w:rsidRPr="00D27675">
                                    <w:rPr>
                                      <w:rFonts w:hAnsi="標楷體" w:hint="eastAsia"/>
                                      <w:color w:val="000000"/>
                                      <w:sz w:val="20"/>
                                    </w:rPr>
                                    <w:t>海洋委員會</w:t>
                                  </w:r>
                                </w:p>
                              </w:tc>
                              <w:tc>
                                <w:tcPr>
                                  <w:tcW w:w="2856" w:type="dxa"/>
                                  <w:vAlign w:val="center"/>
                                </w:tcPr>
                                <w:p w14:paraId="4BB7756C"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國家海洋研究院</w:t>
                                  </w:r>
                                </w:p>
                              </w:tc>
                              <w:tc>
                                <w:tcPr>
                                  <w:tcW w:w="756" w:type="dxa"/>
                                  <w:vAlign w:val="center"/>
                                </w:tcPr>
                                <w:p w14:paraId="58209742"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389F5F7D" w14:textId="77777777" w:rsidTr="00A42147">
                              <w:trPr>
                                <w:trHeight w:val="113"/>
                              </w:trPr>
                              <w:tc>
                                <w:tcPr>
                                  <w:tcW w:w="1218" w:type="dxa"/>
                                  <w:vAlign w:val="center"/>
                                </w:tcPr>
                                <w:p w14:paraId="40E6C98C" w14:textId="77777777" w:rsidR="00041245" w:rsidRPr="00D27675" w:rsidRDefault="00041245" w:rsidP="00CF2AF5">
                                  <w:pPr>
                                    <w:pStyle w:val="a5"/>
                                    <w:overflowPunct w:val="0"/>
                                    <w:autoSpaceDE w:val="0"/>
                                    <w:autoSpaceDN w:val="0"/>
                                    <w:spacing w:line="200" w:lineRule="exact"/>
                                    <w:jc w:val="center"/>
                                    <w:rPr>
                                      <w:rFonts w:hAnsi="標楷體"/>
                                      <w:color w:val="000000"/>
                                      <w:sz w:val="20"/>
                                    </w:rPr>
                                  </w:pPr>
                                  <w:r w:rsidRPr="00D27675">
                                    <w:rPr>
                                      <w:rFonts w:hAnsi="標楷體" w:hint="eastAsia"/>
                                      <w:color w:val="000000"/>
                                      <w:sz w:val="20"/>
                                    </w:rPr>
                                    <w:t>核能安全</w:t>
                                  </w:r>
                                </w:p>
                                <w:p w14:paraId="70CEE9BB" w14:textId="77777777" w:rsidR="00041245" w:rsidRPr="00D27675" w:rsidRDefault="00041245" w:rsidP="00CF2AF5">
                                  <w:pPr>
                                    <w:pStyle w:val="a5"/>
                                    <w:overflowPunct w:val="0"/>
                                    <w:autoSpaceDE w:val="0"/>
                                    <w:autoSpaceDN w:val="0"/>
                                    <w:spacing w:line="200" w:lineRule="exact"/>
                                    <w:jc w:val="center"/>
                                    <w:rPr>
                                      <w:rFonts w:hAnsi="標楷體"/>
                                      <w:color w:val="000000"/>
                                      <w:sz w:val="20"/>
                                    </w:rPr>
                                  </w:pPr>
                                  <w:r w:rsidRPr="00D27675">
                                    <w:rPr>
                                      <w:rFonts w:hAnsi="標楷體" w:hint="eastAsia"/>
                                      <w:color w:val="000000"/>
                                      <w:sz w:val="20"/>
                                    </w:rPr>
                                    <w:t>委員會</w:t>
                                  </w:r>
                                </w:p>
                              </w:tc>
                              <w:tc>
                                <w:tcPr>
                                  <w:tcW w:w="2856" w:type="dxa"/>
                                  <w:vAlign w:val="center"/>
                                </w:tcPr>
                                <w:p w14:paraId="4CE99E06"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核能安全委員會</w:t>
                                  </w:r>
                                </w:p>
                              </w:tc>
                              <w:tc>
                                <w:tcPr>
                                  <w:tcW w:w="756" w:type="dxa"/>
                                  <w:vAlign w:val="center"/>
                                </w:tcPr>
                                <w:p w14:paraId="39602605"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21B3CEBC" w14:textId="77777777" w:rsidTr="00A42147">
                              <w:trPr>
                                <w:trHeight w:val="113"/>
                              </w:trPr>
                              <w:tc>
                                <w:tcPr>
                                  <w:tcW w:w="1218" w:type="dxa"/>
                                  <w:tcBorders>
                                    <w:bottom w:val="single" w:sz="4" w:space="0" w:color="auto"/>
                                  </w:tcBorders>
                                  <w:vAlign w:val="center"/>
                                </w:tcPr>
                                <w:p w14:paraId="551F17CC" w14:textId="77777777" w:rsidR="00041245" w:rsidRPr="00D27675" w:rsidRDefault="00041245" w:rsidP="00CF2AF5">
                                  <w:pPr>
                                    <w:pStyle w:val="a5"/>
                                    <w:overflowPunct w:val="0"/>
                                    <w:autoSpaceDE w:val="0"/>
                                    <w:autoSpaceDN w:val="0"/>
                                    <w:spacing w:line="200" w:lineRule="exact"/>
                                    <w:jc w:val="center"/>
                                    <w:rPr>
                                      <w:rFonts w:hAnsi="標楷體"/>
                                      <w:color w:val="000000"/>
                                      <w:sz w:val="20"/>
                                      <w:szCs w:val="16"/>
                                    </w:rPr>
                                  </w:pPr>
                                  <w:r w:rsidRPr="00D27675">
                                    <w:rPr>
                                      <w:rFonts w:hAnsi="標楷體" w:hint="eastAsia"/>
                                      <w:color w:val="000000"/>
                                      <w:sz w:val="20"/>
                                      <w:szCs w:val="16"/>
                                    </w:rPr>
                                    <w:t>原住民族</w:t>
                                  </w:r>
                                </w:p>
                                <w:p w14:paraId="24E0E1B3" w14:textId="77777777" w:rsidR="00041245" w:rsidRPr="00D27675" w:rsidRDefault="00041245" w:rsidP="00CF2AF5">
                                  <w:pPr>
                                    <w:pStyle w:val="a5"/>
                                    <w:overflowPunct w:val="0"/>
                                    <w:autoSpaceDE w:val="0"/>
                                    <w:autoSpaceDN w:val="0"/>
                                    <w:spacing w:line="200" w:lineRule="exact"/>
                                    <w:jc w:val="center"/>
                                    <w:rPr>
                                      <w:rFonts w:hAnsi="標楷體"/>
                                      <w:color w:val="000000"/>
                                      <w:sz w:val="20"/>
                                      <w:szCs w:val="16"/>
                                    </w:rPr>
                                  </w:pPr>
                                  <w:r w:rsidRPr="00D27675">
                                    <w:rPr>
                                      <w:rFonts w:hAnsi="標楷體" w:hint="eastAsia"/>
                                      <w:color w:val="000000"/>
                                      <w:sz w:val="20"/>
                                      <w:szCs w:val="16"/>
                                    </w:rPr>
                                    <w:t>委員會</w:t>
                                  </w:r>
                                </w:p>
                              </w:tc>
                              <w:tc>
                                <w:tcPr>
                                  <w:tcW w:w="2856" w:type="dxa"/>
                                  <w:tcBorders>
                                    <w:bottom w:val="single" w:sz="4" w:space="0" w:color="auto"/>
                                  </w:tcBorders>
                                  <w:vAlign w:val="center"/>
                                </w:tcPr>
                                <w:p w14:paraId="623F5BC7" w14:textId="77777777" w:rsidR="00041245" w:rsidRPr="00D27675" w:rsidRDefault="00041245" w:rsidP="00A42147">
                                  <w:pPr>
                                    <w:pStyle w:val="a5"/>
                                    <w:overflowPunct w:val="0"/>
                                    <w:autoSpaceDE w:val="0"/>
                                    <w:autoSpaceDN w:val="0"/>
                                    <w:spacing w:line="240" w:lineRule="exact"/>
                                    <w:rPr>
                                      <w:rFonts w:hAnsi="標楷體"/>
                                      <w:color w:val="000000"/>
                                      <w:spacing w:val="-10"/>
                                      <w:sz w:val="20"/>
                                      <w:szCs w:val="16"/>
                                    </w:rPr>
                                  </w:pPr>
                                  <w:r w:rsidRPr="00D27675">
                                    <w:rPr>
                                      <w:rFonts w:hAnsi="標楷體" w:hint="eastAsia"/>
                                      <w:color w:val="000000"/>
                                      <w:spacing w:val="-10"/>
                                      <w:sz w:val="20"/>
                                      <w:szCs w:val="16"/>
                                    </w:rPr>
                                    <w:t>原住民族文化發展中心</w:t>
                                  </w:r>
                                </w:p>
                              </w:tc>
                              <w:tc>
                                <w:tcPr>
                                  <w:tcW w:w="756" w:type="dxa"/>
                                  <w:tcBorders>
                                    <w:bottom w:val="single" w:sz="4" w:space="0" w:color="auto"/>
                                  </w:tcBorders>
                                  <w:vAlign w:val="center"/>
                                </w:tcPr>
                                <w:p w14:paraId="33B0D3A2" w14:textId="77777777" w:rsidR="00041245" w:rsidRPr="00D27675" w:rsidRDefault="00041245" w:rsidP="00D27675">
                                  <w:pPr>
                                    <w:pStyle w:val="a5"/>
                                    <w:overflowPunct w:val="0"/>
                                    <w:autoSpaceDE w:val="0"/>
                                    <w:autoSpaceDN w:val="0"/>
                                    <w:spacing w:line="240" w:lineRule="exact"/>
                                    <w:jc w:val="right"/>
                                    <w:rPr>
                                      <w:rFonts w:hAnsi="標楷體" w:cs="新細明體"/>
                                      <w:sz w:val="20"/>
                                      <w:szCs w:val="16"/>
                                    </w:rPr>
                                  </w:pPr>
                                  <w:r w:rsidRPr="00D27675">
                                    <w:rPr>
                                      <w:rFonts w:hAnsi="標楷體" w:cs="新細明體" w:hint="eastAsia"/>
                                      <w:sz w:val="20"/>
                                      <w:szCs w:val="16"/>
                                    </w:rPr>
                                    <w:t>1</w:t>
                                  </w:r>
                                </w:p>
                              </w:tc>
                            </w:tr>
                          </w:tbl>
                          <w:p w14:paraId="0A0ED6D2" w14:textId="77777777" w:rsidR="00041245" w:rsidRPr="002B5254" w:rsidRDefault="00041245" w:rsidP="00041245">
                            <w:pPr>
                              <w:spacing w:line="240" w:lineRule="exact"/>
                              <w:ind w:leftChars="-15" w:left="-36" w:firstLineChars="20" w:firstLine="36"/>
                              <w:rPr>
                                <w:sz w:val="18"/>
                                <w:szCs w:val="18"/>
                              </w:rPr>
                            </w:pPr>
                            <w:r w:rsidRPr="002B5254">
                              <w:rPr>
                                <w:rFonts w:ascii="標楷體" w:eastAsia="標楷體" w:hAnsi="標楷體" w:hint="eastAsia"/>
                                <w:sz w:val="18"/>
                                <w:szCs w:val="18"/>
                              </w:rPr>
                              <w:t>資料來源：</w:t>
                            </w:r>
                            <w:r w:rsidRPr="002B5254">
                              <w:rPr>
                                <w:rFonts w:ascii="標楷體" w:eastAsia="標楷體" w:hAnsi="標楷體"/>
                                <w:sz w:val="18"/>
                                <w:szCs w:val="18"/>
                              </w:rPr>
                              <w:t>整理自行政院所屬機關提供資料</w:t>
                            </w:r>
                            <w:r w:rsidRPr="002B5254">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ADD1F" id="文字方塊 60" o:spid="_x0000_s1147" type="#_x0000_t202" style="position:absolute;left:0;text-align:left;margin-left:239.3pt;margin-top:227.8pt;width:254.65pt;height:402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" fillcolor="window" stroked="f" strokeweight=".5pt">
                <v:textbox>
                  <w:txbxContent>
                    <w:p w14:paraId="569F00A8" w14:textId="464F2DB4" w:rsidR="00041245" w:rsidRPr="00041245" w:rsidRDefault="00041245" w:rsidP="006A535A">
                      <w:pPr>
                        <w:spacing w:line="300" w:lineRule="exact"/>
                        <w:ind w:leftChars="-40" w:left="625" w:rightChars="36" w:right="86" w:hangingChars="300" w:hanging="721"/>
                        <w:jc w:val="both"/>
                        <w:rPr>
                          <w:rFonts w:ascii="標楷體" w:eastAsia="標楷體" w:hAnsi="標楷體"/>
                          <w:b/>
                          <w:bCs/>
                        </w:rPr>
                      </w:pPr>
                      <w:r w:rsidRPr="00041245">
                        <w:rPr>
                          <w:rFonts w:ascii="標楷體" w:eastAsia="標楷體" w:hAnsi="標楷體" w:hint="eastAsia"/>
                          <w:b/>
                          <w:bCs/>
                        </w:rPr>
                        <w:t>表</w:t>
                      </w:r>
                      <w:r w:rsidRPr="00041245">
                        <w:rPr>
                          <w:rFonts w:ascii="標楷體" w:eastAsia="標楷體" w:hAnsi="標楷體"/>
                          <w:b/>
                          <w:bCs/>
                        </w:rPr>
                        <w:t>41</w:t>
                      </w:r>
                      <w:r w:rsidRPr="00041245">
                        <w:rPr>
                          <w:rFonts w:ascii="標楷體" w:eastAsia="標楷體" w:hAnsi="標楷體" w:hint="eastAsia"/>
                          <w:b/>
                          <w:bCs/>
                        </w:rPr>
                        <w:t xml:space="preserve">　113年底資訊處理職</w:t>
                      </w:r>
                      <w:proofErr w:type="gramStart"/>
                      <w:r w:rsidRPr="00041245">
                        <w:rPr>
                          <w:rFonts w:ascii="標楷體" w:eastAsia="標楷體" w:hAnsi="標楷體" w:hint="eastAsia"/>
                          <w:b/>
                          <w:bCs/>
                        </w:rPr>
                        <w:t>系資安</w:t>
                      </w:r>
                      <w:proofErr w:type="gramEnd"/>
                      <w:r w:rsidRPr="00041245">
                        <w:rPr>
                          <w:rFonts w:ascii="標楷體" w:eastAsia="標楷體" w:hAnsi="標楷體" w:hint="eastAsia"/>
                          <w:b/>
                          <w:bCs/>
                        </w:rPr>
                        <w:t>專職人員未支領資訊專業加給情形</w:t>
                      </w:r>
                    </w:p>
                    <w:p w14:paraId="2CE8FFD4" w14:textId="77777777" w:rsidR="00041245" w:rsidRPr="00D27675" w:rsidRDefault="00041245" w:rsidP="006A535A">
                      <w:pPr>
                        <w:spacing w:line="240" w:lineRule="exact"/>
                        <w:ind w:rightChars="47" w:right="113"/>
                        <w:jc w:val="right"/>
                        <w:rPr>
                          <w:rFonts w:ascii="標楷體" w:eastAsia="標楷體" w:hAnsi="標楷體"/>
                          <w:sz w:val="20"/>
                          <w:szCs w:val="18"/>
                        </w:rPr>
                      </w:pPr>
                      <w:r w:rsidRPr="00D27675">
                        <w:rPr>
                          <w:rFonts w:ascii="標楷體" w:eastAsia="標楷體" w:hAnsi="標楷體" w:hint="eastAsia"/>
                          <w:sz w:val="20"/>
                          <w:szCs w:val="18"/>
                        </w:rPr>
                        <w:t>單位：人</w:t>
                      </w:r>
                    </w:p>
                    <w:tbl>
                      <w:tblPr>
                        <w:tblStyle w:val="SGSTableBasic122"/>
                        <w:tblW w:w="4830" w:type="dxa"/>
                        <w:tblInd w:w="-5" w:type="dxa"/>
                        <w:tblLook w:val="04A0" w:firstRow="1" w:lastRow="0" w:firstColumn="1" w:lastColumn="0" w:noHBand="0" w:noVBand="1"/>
                      </w:tblPr>
                      <w:tblGrid>
                        <w:gridCol w:w="1218"/>
                        <w:gridCol w:w="2856"/>
                        <w:gridCol w:w="756"/>
                      </w:tblGrid>
                      <w:tr w:rsidR="00041245" w:rsidRPr="00A42147" w14:paraId="50A7A613" w14:textId="77777777" w:rsidTr="00A42147">
                        <w:trPr>
                          <w:trHeight w:val="113"/>
                        </w:trPr>
                        <w:tc>
                          <w:tcPr>
                            <w:tcW w:w="1218" w:type="dxa"/>
                            <w:vAlign w:val="center"/>
                          </w:tcPr>
                          <w:p w14:paraId="01AB36D8"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cs="新細明體" w:hint="eastAsia"/>
                                <w:sz w:val="20"/>
                              </w:rPr>
                              <w:t>主管機關</w:t>
                            </w:r>
                          </w:p>
                        </w:tc>
                        <w:tc>
                          <w:tcPr>
                            <w:tcW w:w="2856" w:type="dxa"/>
                            <w:vAlign w:val="center"/>
                          </w:tcPr>
                          <w:p w14:paraId="2063B33E"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cs="新細明體" w:hint="eastAsia"/>
                                <w:sz w:val="20"/>
                              </w:rPr>
                              <w:t>機關名稱</w:t>
                            </w:r>
                          </w:p>
                        </w:tc>
                        <w:tc>
                          <w:tcPr>
                            <w:tcW w:w="756" w:type="dxa"/>
                            <w:vAlign w:val="center"/>
                          </w:tcPr>
                          <w:p w14:paraId="2BE022E6" w14:textId="77777777" w:rsidR="00041245" w:rsidRPr="00D27675" w:rsidRDefault="00041245" w:rsidP="00A42147">
                            <w:pPr>
                              <w:pStyle w:val="a5"/>
                              <w:overflowPunct w:val="0"/>
                              <w:autoSpaceDE w:val="0"/>
                              <w:autoSpaceDN w:val="0"/>
                              <w:spacing w:line="240" w:lineRule="exact"/>
                              <w:ind w:leftChars="-80" w:left="-32" w:rightChars="-68" w:right="-163" w:hangingChars="80" w:hanging="160"/>
                              <w:jc w:val="center"/>
                              <w:rPr>
                                <w:rFonts w:hAnsi="標楷體" w:cs="新細明體"/>
                                <w:sz w:val="20"/>
                              </w:rPr>
                            </w:pPr>
                            <w:r w:rsidRPr="00D27675">
                              <w:rPr>
                                <w:rFonts w:hAnsi="標楷體" w:cs="新細明體" w:hint="eastAsia"/>
                                <w:sz w:val="20"/>
                              </w:rPr>
                              <w:t>人數</w:t>
                            </w:r>
                          </w:p>
                        </w:tc>
                      </w:tr>
                      <w:tr w:rsidR="00041245" w:rsidRPr="00A42147" w14:paraId="7D6F3E2C" w14:textId="77777777" w:rsidTr="00A42147">
                        <w:trPr>
                          <w:trHeight w:val="113"/>
                        </w:trPr>
                        <w:tc>
                          <w:tcPr>
                            <w:tcW w:w="4074" w:type="dxa"/>
                            <w:gridSpan w:val="2"/>
                            <w:vAlign w:val="center"/>
                          </w:tcPr>
                          <w:p w14:paraId="4A9AFC8C" w14:textId="77777777" w:rsidR="00041245" w:rsidRPr="00D27675" w:rsidRDefault="00041245" w:rsidP="00A42147">
                            <w:pPr>
                              <w:pStyle w:val="a5"/>
                              <w:overflowPunct w:val="0"/>
                              <w:autoSpaceDE w:val="0"/>
                              <w:autoSpaceDN w:val="0"/>
                              <w:spacing w:line="240" w:lineRule="exact"/>
                              <w:jc w:val="center"/>
                              <w:rPr>
                                <w:rFonts w:hAnsi="標楷體"/>
                                <w:color w:val="000000"/>
                                <w:sz w:val="20"/>
                              </w:rPr>
                            </w:pPr>
                            <w:r w:rsidRPr="00D27675">
                              <w:rPr>
                                <w:rFonts w:hAnsi="標楷體" w:hint="eastAsia"/>
                                <w:b/>
                                <w:color w:val="000000"/>
                                <w:sz w:val="20"/>
                              </w:rPr>
                              <w:t xml:space="preserve">合 </w:t>
                            </w:r>
                            <w:r w:rsidRPr="00D27675">
                              <w:rPr>
                                <w:rFonts w:hAnsi="標楷體"/>
                                <w:b/>
                                <w:color w:val="000000"/>
                                <w:sz w:val="20"/>
                              </w:rPr>
                              <w:t xml:space="preserve">   </w:t>
                            </w:r>
                            <w:r w:rsidRPr="00D27675">
                              <w:rPr>
                                <w:rFonts w:hAnsi="標楷體" w:hint="eastAsia"/>
                                <w:b/>
                                <w:color w:val="000000"/>
                                <w:sz w:val="20"/>
                              </w:rPr>
                              <w:t>計</w:t>
                            </w:r>
                          </w:p>
                        </w:tc>
                        <w:tc>
                          <w:tcPr>
                            <w:tcW w:w="756" w:type="dxa"/>
                            <w:vAlign w:val="center"/>
                          </w:tcPr>
                          <w:p w14:paraId="36D751F0" w14:textId="77777777" w:rsidR="00041245" w:rsidRPr="00D27675" w:rsidRDefault="00041245" w:rsidP="00D27675">
                            <w:pPr>
                              <w:pStyle w:val="a5"/>
                              <w:overflowPunct w:val="0"/>
                              <w:autoSpaceDE w:val="0"/>
                              <w:autoSpaceDN w:val="0"/>
                              <w:spacing w:line="240" w:lineRule="exact"/>
                              <w:jc w:val="right"/>
                              <w:rPr>
                                <w:rFonts w:hAnsi="標楷體" w:cs="新細明體"/>
                                <w:b/>
                                <w:sz w:val="20"/>
                              </w:rPr>
                            </w:pPr>
                            <w:r w:rsidRPr="00D27675">
                              <w:rPr>
                                <w:rFonts w:hAnsi="標楷體" w:cs="新細明體" w:hint="eastAsia"/>
                                <w:b/>
                                <w:sz w:val="20"/>
                              </w:rPr>
                              <w:t>2</w:t>
                            </w:r>
                            <w:r w:rsidRPr="00D27675">
                              <w:rPr>
                                <w:rFonts w:hAnsi="標楷體" w:cs="新細明體"/>
                                <w:b/>
                                <w:sz w:val="20"/>
                              </w:rPr>
                              <w:t>4</w:t>
                            </w:r>
                          </w:p>
                        </w:tc>
                      </w:tr>
                      <w:tr w:rsidR="00041245" w:rsidRPr="00A42147" w14:paraId="43BC7227" w14:textId="77777777" w:rsidTr="00A42147">
                        <w:trPr>
                          <w:trHeight w:val="113"/>
                        </w:trPr>
                        <w:tc>
                          <w:tcPr>
                            <w:tcW w:w="1218" w:type="dxa"/>
                            <w:vMerge w:val="restart"/>
                            <w:vAlign w:val="center"/>
                          </w:tcPr>
                          <w:p w14:paraId="2FB123F5"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內政部</w:t>
                            </w:r>
                          </w:p>
                        </w:tc>
                        <w:tc>
                          <w:tcPr>
                            <w:tcW w:w="2856" w:type="dxa"/>
                            <w:vAlign w:val="center"/>
                          </w:tcPr>
                          <w:p w14:paraId="39BD3F27"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警政署保安警察第一總隊</w:t>
                            </w:r>
                          </w:p>
                        </w:tc>
                        <w:tc>
                          <w:tcPr>
                            <w:tcW w:w="756" w:type="dxa"/>
                            <w:vAlign w:val="center"/>
                          </w:tcPr>
                          <w:p w14:paraId="2C2C8A25"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477F7A6C" w14:textId="77777777" w:rsidTr="00A42147">
                        <w:trPr>
                          <w:trHeight w:val="113"/>
                        </w:trPr>
                        <w:tc>
                          <w:tcPr>
                            <w:tcW w:w="1218" w:type="dxa"/>
                            <w:vMerge/>
                            <w:vAlign w:val="center"/>
                          </w:tcPr>
                          <w:p w14:paraId="2F740B4D"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11E2473E"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警政署保安警察第三總隊</w:t>
                            </w:r>
                          </w:p>
                        </w:tc>
                        <w:tc>
                          <w:tcPr>
                            <w:tcW w:w="756" w:type="dxa"/>
                            <w:vAlign w:val="center"/>
                          </w:tcPr>
                          <w:p w14:paraId="30D3C6D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3738139" w14:textId="77777777" w:rsidTr="00A42147">
                        <w:trPr>
                          <w:trHeight w:val="113"/>
                        </w:trPr>
                        <w:tc>
                          <w:tcPr>
                            <w:tcW w:w="1218" w:type="dxa"/>
                            <w:vMerge/>
                            <w:vAlign w:val="center"/>
                          </w:tcPr>
                          <w:p w14:paraId="00885F0C"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0AB312B9"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警政署保安警察第五總隊</w:t>
                            </w:r>
                          </w:p>
                        </w:tc>
                        <w:tc>
                          <w:tcPr>
                            <w:tcW w:w="756" w:type="dxa"/>
                            <w:vAlign w:val="center"/>
                          </w:tcPr>
                          <w:p w14:paraId="12E20200"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116A7E89" w14:textId="77777777" w:rsidTr="00A42147">
                        <w:trPr>
                          <w:trHeight w:val="113"/>
                        </w:trPr>
                        <w:tc>
                          <w:tcPr>
                            <w:tcW w:w="1218" w:type="dxa"/>
                            <w:vMerge/>
                            <w:vAlign w:val="center"/>
                          </w:tcPr>
                          <w:p w14:paraId="013120EB"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54C891DA"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警政署國道公路警察局</w:t>
                            </w:r>
                          </w:p>
                        </w:tc>
                        <w:tc>
                          <w:tcPr>
                            <w:tcW w:w="756" w:type="dxa"/>
                            <w:vAlign w:val="center"/>
                          </w:tcPr>
                          <w:p w14:paraId="2D903C6A"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07B3905" w14:textId="77777777" w:rsidTr="00A42147">
                        <w:trPr>
                          <w:trHeight w:val="113"/>
                        </w:trPr>
                        <w:tc>
                          <w:tcPr>
                            <w:tcW w:w="1218" w:type="dxa"/>
                            <w:vMerge/>
                            <w:vAlign w:val="center"/>
                          </w:tcPr>
                          <w:p w14:paraId="3D8500F2"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32822014"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警政署警察機械修理廠</w:t>
                            </w:r>
                          </w:p>
                        </w:tc>
                        <w:tc>
                          <w:tcPr>
                            <w:tcW w:w="756" w:type="dxa"/>
                            <w:vAlign w:val="center"/>
                          </w:tcPr>
                          <w:p w14:paraId="451562C7"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B82C49F" w14:textId="77777777" w:rsidTr="00A42147">
                        <w:trPr>
                          <w:trHeight w:val="113"/>
                        </w:trPr>
                        <w:tc>
                          <w:tcPr>
                            <w:tcW w:w="1218" w:type="dxa"/>
                            <w:vMerge/>
                            <w:vAlign w:val="center"/>
                          </w:tcPr>
                          <w:p w14:paraId="72474EA7"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34A154B4"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國家公園署玉山國家公園管理處</w:t>
                            </w:r>
                          </w:p>
                        </w:tc>
                        <w:tc>
                          <w:tcPr>
                            <w:tcW w:w="756" w:type="dxa"/>
                            <w:vAlign w:val="center"/>
                          </w:tcPr>
                          <w:p w14:paraId="2C3B56EE"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62268E3" w14:textId="77777777" w:rsidTr="00A42147">
                        <w:trPr>
                          <w:trHeight w:val="113"/>
                        </w:trPr>
                        <w:tc>
                          <w:tcPr>
                            <w:tcW w:w="1218" w:type="dxa"/>
                            <w:vMerge/>
                            <w:vAlign w:val="center"/>
                          </w:tcPr>
                          <w:p w14:paraId="62BDF1A2"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2BEBC705"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國家公園署雪霸國家公園管理處</w:t>
                            </w:r>
                          </w:p>
                        </w:tc>
                        <w:tc>
                          <w:tcPr>
                            <w:tcW w:w="756" w:type="dxa"/>
                            <w:vAlign w:val="center"/>
                          </w:tcPr>
                          <w:p w14:paraId="0F3EC54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19DE5685" w14:textId="77777777" w:rsidTr="00A42147">
                        <w:trPr>
                          <w:trHeight w:val="113"/>
                        </w:trPr>
                        <w:tc>
                          <w:tcPr>
                            <w:tcW w:w="1218" w:type="dxa"/>
                            <w:vMerge/>
                            <w:vAlign w:val="center"/>
                          </w:tcPr>
                          <w:p w14:paraId="211ECC98"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359BAE13"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國家公園署海洋國家公園管理處</w:t>
                            </w:r>
                          </w:p>
                        </w:tc>
                        <w:tc>
                          <w:tcPr>
                            <w:tcW w:w="756" w:type="dxa"/>
                            <w:vAlign w:val="center"/>
                          </w:tcPr>
                          <w:p w14:paraId="3071D3FD"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6399B5B" w14:textId="77777777" w:rsidTr="00A42147">
                        <w:trPr>
                          <w:trHeight w:val="60"/>
                        </w:trPr>
                        <w:tc>
                          <w:tcPr>
                            <w:tcW w:w="1218" w:type="dxa"/>
                            <w:vMerge/>
                            <w:vAlign w:val="center"/>
                          </w:tcPr>
                          <w:p w14:paraId="01A9FC58"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71426F24"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土地重劃工程處</w:t>
                            </w:r>
                          </w:p>
                        </w:tc>
                        <w:tc>
                          <w:tcPr>
                            <w:tcW w:w="756" w:type="dxa"/>
                            <w:vAlign w:val="center"/>
                          </w:tcPr>
                          <w:p w14:paraId="1CAEBA9B"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111EC5E" w14:textId="77777777" w:rsidTr="00A42147">
                        <w:trPr>
                          <w:trHeight w:val="113"/>
                        </w:trPr>
                        <w:tc>
                          <w:tcPr>
                            <w:tcW w:w="1218" w:type="dxa"/>
                            <w:vAlign w:val="center"/>
                          </w:tcPr>
                          <w:p w14:paraId="1B09E41A"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教育部</w:t>
                            </w:r>
                          </w:p>
                        </w:tc>
                        <w:tc>
                          <w:tcPr>
                            <w:tcW w:w="2856" w:type="dxa"/>
                            <w:vAlign w:val="center"/>
                          </w:tcPr>
                          <w:p w14:paraId="65807E9A"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國家教育研究院</w:t>
                            </w:r>
                          </w:p>
                        </w:tc>
                        <w:tc>
                          <w:tcPr>
                            <w:tcW w:w="756" w:type="dxa"/>
                            <w:vAlign w:val="center"/>
                          </w:tcPr>
                          <w:p w14:paraId="0D85CCE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B9A8FE6" w14:textId="77777777" w:rsidTr="00A42147">
                        <w:trPr>
                          <w:trHeight w:val="113"/>
                        </w:trPr>
                        <w:tc>
                          <w:tcPr>
                            <w:tcW w:w="1218" w:type="dxa"/>
                            <w:vAlign w:val="center"/>
                          </w:tcPr>
                          <w:p w14:paraId="07A5AC11"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法務部</w:t>
                            </w:r>
                          </w:p>
                        </w:tc>
                        <w:tc>
                          <w:tcPr>
                            <w:tcW w:w="2856" w:type="dxa"/>
                            <w:vAlign w:val="center"/>
                          </w:tcPr>
                          <w:p w14:paraId="79C6BA73"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行政執行署</w:t>
                            </w:r>
                          </w:p>
                        </w:tc>
                        <w:tc>
                          <w:tcPr>
                            <w:tcW w:w="756" w:type="dxa"/>
                            <w:vAlign w:val="center"/>
                          </w:tcPr>
                          <w:p w14:paraId="57EBC968"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66BB7D1" w14:textId="77777777" w:rsidTr="00A42147">
                        <w:trPr>
                          <w:trHeight w:val="113"/>
                        </w:trPr>
                        <w:tc>
                          <w:tcPr>
                            <w:tcW w:w="1218" w:type="dxa"/>
                            <w:vMerge w:val="restart"/>
                            <w:vAlign w:val="center"/>
                          </w:tcPr>
                          <w:p w14:paraId="438F1A5C"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經濟部</w:t>
                            </w:r>
                          </w:p>
                        </w:tc>
                        <w:tc>
                          <w:tcPr>
                            <w:tcW w:w="2856" w:type="dxa"/>
                            <w:vAlign w:val="center"/>
                          </w:tcPr>
                          <w:p w14:paraId="63F310EA"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水利署北區水資源分署</w:t>
                            </w:r>
                          </w:p>
                        </w:tc>
                        <w:tc>
                          <w:tcPr>
                            <w:tcW w:w="756" w:type="dxa"/>
                            <w:vAlign w:val="center"/>
                          </w:tcPr>
                          <w:p w14:paraId="7EDCC482"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E84BCEC" w14:textId="77777777" w:rsidTr="00A42147">
                        <w:trPr>
                          <w:trHeight w:val="113"/>
                        </w:trPr>
                        <w:tc>
                          <w:tcPr>
                            <w:tcW w:w="1218" w:type="dxa"/>
                            <w:vMerge/>
                            <w:vAlign w:val="center"/>
                          </w:tcPr>
                          <w:p w14:paraId="1D77D23A"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18C8B3F2"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水利署第四河川分署</w:t>
                            </w:r>
                          </w:p>
                        </w:tc>
                        <w:tc>
                          <w:tcPr>
                            <w:tcW w:w="756" w:type="dxa"/>
                            <w:vAlign w:val="center"/>
                          </w:tcPr>
                          <w:p w14:paraId="66ABF938"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1D2BEEA" w14:textId="77777777" w:rsidTr="00A42147">
                        <w:trPr>
                          <w:trHeight w:val="113"/>
                        </w:trPr>
                        <w:tc>
                          <w:tcPr>
                            <w:tcW w:w="1218" w:type="dxa"/>
                            <w:vMerge w:val="restart"/>
                            <w:vAlign w:val="center"/>
                          </w:tcPr>
                          <w:p w14:paraId="755092EE"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交通部</w:t>
                            </w:r>
                          </w:p>
                        </w:tc>
                        <w:tc>
                          <w:tcPr>
                            <w:tcW w:w="2856" w:type="dxa"/>
                            <w:vAlign w:val="center"/>
                          </w:tcPr>
                          <w:p w14:paraId="2F21B590"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公路局中區養護工程分局</w:t>
                            </w:r>
                          </w:p>
                        </w:tc>
                        <w:tc>
                          <w:tcPr>
                            <w:tcW w:w="756" w:type="dxa"/>
                            <w:vAlign w:val="center"/>
                          </w:tcPr>
                          <w:p w14:paraId="3B3F2DF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0E0B2DE5" w14:textId="77777777" w:rsidTr="00A42147">
                        <w:trPr>
                          <w:trHeight w:val="113"/>
                        </w:trPr>
                        <w:tc>
                          <w:tcPr>
                            <w:tcW w:w="1218" w:type="dxa"/>
                            <w:vMerge/>
                            <w:vAlign w:val="center"/>
                          </w:tcPr>
                          <w:p w14:paraId="0CF2BF3F"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579F9C1E"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公路局雲嘉南區養護工程分局</w:t>
                            </w:r>
                          </w:p>
                        </w:tc>
                        <w:tc>
                          <w:tcPr>
                            <w:tcW w:w="756" w:type="dxa"/>
                            <w:vAlign w:val="center"/>
                          </w:tcPr>
                          <w:p w14:paraId="21351FA1"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C40DE42" w14:textId="77777777" w:rsidTr="00A42147">
                        <w:trPr>
                          <w:trHeight w:val="113"/>
                        </w:trPr>
                        <w:tc>
                          <w:tcPr>
                            <w:tcW w:w="1218" w:type="dxa"/>
                            <w:vMerge/>
                            <w:vAlign w:val="center"/>
                          </w:tcPr>
                          <w:p w14:paraId="5DEC6BD4"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51F18259"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民用航空局澎湖航空站</w:t>
                            </w:r>
                          </w:p>
                        </w:tc>
                        <w:tc>
                          <w:tcPr>
                            <w:tcW w:w="756" w:type="dxa"/>
                            <w:vAlign w:val="center"/>
                          </w:tcPr>
                          <w:p w14:paraId="39228479"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224E4C0D" w14:textId="77777777" w:rsidTr="00A42147">
                        <w:trPr>
                          <w:trHeight w:val="113"/>
                        </w:trPr>
                        <w:tc>
                          <w:tcPr>
                            <w:tcW w:w="1218" w:type="dxa"/>
                            <w:vMerge/>
                            <w:vAlign w:val="center"/>
                          </w:tcPr>
                          <w:p w14:paraId="5F9B950B"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6EB1A5A1"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運輸研究所</w:t>
                            </w:r>
                          </w:p>
                        </w:tc>
                        <w:tc>
                          <w:tcPr>
                            <w:tcW w:w="756" w:type="dxa"/>
                            <w:vAlign w:val="center"/>
                          </w:tcPr>
                          <w:p w14:paraId="302BFB23"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377955C5" w14:textId="77777777" w:rsidTr="00A42147">
                        <w:trPr>
                          <w:trHeight w:val="113"/>
                        </w:trPr>
                        <w:tc>
                          <w:tcPr>
                            <w:tcW w:w="1218" w:type="dxa"/>
                            <w:vMerge w:val="restart"/>
                            <w:vAlign w:val="center"/>
                          </w:tcPr>
                          <w:p w14:paraId="30C85C80"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r w:rsidRPr="00D27675">
                              <w:rPr>
                                <w:rFonts w:hAnsi="標楷體" w:hint="eastAsia"/>
                                <w:color w:val="000000"/>
                                <w:sz w:val="20"/>
                              </w:rPr>
                              <w:t>農業部</w:t>
                            </w:r>
                          </w:p>
                        </w:tc>
                        <w:tc>
                          <w:tcPr>
                            <w:tcW w:w="2856" w:type="dxa"/>
                            <w:vAlign w:val="center"/>
                          </w:tcPr>
                          <w:p w14:paraId="119162CF"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農田水利署</w:t>
                            </w:r>
                          </w:p>
                        </w:tc>
                        <w:tc>
                          <w:tcPr>
                            <w:tcW w:w="756" w:type="dxa"/>
                            <w:vAlign w:val="center"/>
                          </w:tcPr>
                          <w:p w14:paraId="11885D8B"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55C97099" w14:textId="77777777" w:rsidTr="00A42147">
                        <w:trPr>
                          <w:trHeight w:val="113"/>
                        </w:trPr>
                        <w:tc>
                          <w:tcPr>
                            <w:tcW w:w="1218" w:type="dxa"/>
                            <w:vMerge/>
                            <w:vAlign w:val="center"/>
                          </w:tcPr>
                          <w:p w14:paraId="44DC29DA"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4D3E6E61"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農業科技園區管理中心</w:t>
                            </w:r>
                          </w:p>
                        </w:tc>
                        <w:tc>
                          <w:tcPr>
                            <w:tcW w:w="756" w:type="dxa"/>
                            <w:vAlign w:val="center"/>
                          </w:tcPr>
                          <w:p w14:paraId="6F1D6570"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15BF8C5D" w14:textId="77777777" w:rsidTr="00A42147">
                        <w:trPr>
                          <w:trHeight w:val="113"/>
                        </w:trPr>
                        <w:tc>
                          <w:tcPr>
                            <w:tcW w:w="1218" w:type="dxa"/>
                            <w:vMerge/>
                            <w:vAlign w:val="center"/>
                          </w:tcPr>
                          <w:p w14:paraId="2BF1819D" w14:textId="77777777" w:rsidR="00041245" w:rsidRPr="00D27675" w:rsidRDefault="00041245" w:rsidP="00A42147">
                            <w:pPr>
                              <w:pStyle w:val="a5"/>
                              <w:overflowPunct w:val="0"/>
                              <w:autoSpaceDE w:val="0"/>
                              <w:autoSpaceDN w:val="0"/>
                              <w:spacing w:line="240" w:lineRule="exact"/>
                              <w:jc w:val="center"/>
                              <w:rPr>
                                <w:rFonts w:hAnsi="標楷體" w:cs="新細明體"/>
                                <w:sz w:val="20"/>
                              </w:rPr>
                            </w:pPr>
                          </w:p>
                        </w:tc>
                        <w:tc>
                          <w:tcPr>
                            <w:tcW w:w="2856" w:type="dxa"/>
                            <w:vAlign w:val="center"/>
                          </w:tcPr>
                          <w:p w14:paraId="6B062A51"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農業藥物試驗所</w:t>
                            </w:r>
                          </w:p>
                        </w:tc>
                        <w:tc>
                          <w:tcPr>
                            <w:tcW w:w="756" w:type="dxa"/>
                            <w:vAlign w:val="center"/>
                          </w:tcPr>
                          <w:p w14:paraId="66924DCD"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6190E20C" w14:textId="77777777" w:rsidTr="00A42147">
                        <w:trPr>
                          <w:trHeight w:val="113"/>
                        </w:trPr>
                        <w:tc>
                          <w:tcPr>
                            <w:tcW w:w="1218" w:type="dxa"/>
                            <w:vAlign w:val="center"/>
                          </w:tcPr>
                          <w:p w14:paraId="70788BEC" w14:textId="77777777" w:rsidR="00041245" w:rsidRPr="00D27675" w:rsidRDefault="00041245" w:rsidP="00A42147">
                            <w:pPr>
                              <w:pStyle w:val="a5"/>
                              <w:overflowPunct w:val="0"/>
                              <w:autoSpaceDE w:val="0"/>
                              <w:autoSpaceDN w:val="0"/>
                              <w:spacing w:line="240" w:lineRule="exact"/>
                              <w:ind w:leftChars="-75" w:left="-30" w:rightChars="-77" w:right="-185" w:hangingChars="75" w:hanging="150"/>
                              <w:jc w:val="center"/>
                              <w:rPr>
                                <w:rFonts w:hAnsi="標楷體" w:cs="新細明體"/>
                                <w:sz w:val="20"/>
                              </w:rPr>
                            </w:pPr>
                            <w:r w:rsidRPr="00D27675">
                              <w:rPr>
                                <w:rFonts w:hAnsi="標楷體" w:hint="eastAsia"/>
                                <w:color w:val="000000"/>
                                <w:sz w:val="20"/>
                              </w:rPr>
                              <w:t>衛生福利部</w:t>
                            </w:r>
                          </w:p>
                        </w:tc>
                        <w:tc>
                          <w:tcPr>
                            <w:tcW w:w="2856" w:type="dxa"/>
                            <w:vAlign w:val="center"/>
                          </w:tcPr>
                          <w:p w14:paraId="5B9CC927"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社會及家庭署</w:t>
                            </w:r>
                          </w:p>
                        </w:tc>
                        <w:tc>
                          <w:tcPr>
                            <w:tcW w:w="756" w:type="dxa"/>
                            <w:vAlign w:val="center"/>
                          </w:tcPr>
                          <w:p w14:paraId="28DDD714"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7557B5CF" w14:textId="77777777" w:rsidTr="00A42147">
                        <w:trPr>
                          <w:trHeight w:val="113"/>
                        </w:trPr>
                        <w:tc>
                          <w:tcPr>
                            <w:tcW w:w="1218" w:type="dxa"/>
                            <w:vAlign w:val="center"/>
                          </w:tcPr>
                          <w:p w14:paraId="0E3CC0A7" w14:textId="77777777" w:rsidR="00041245" w:rsidRPr="00D27675" w:rsidRDefault="00041245" w:rsidP="00A42147">
                            <w:pPr>
                              <w:pStyle w:val="a5"/>
                              <w:overflowPunct w:val="0"/>
                              <w:autoSpaceDE w:val="0"/>
                              <w:autoSpaceDN w:val="0"/>
                              <w:spacing w:line="240" w:lineRule="exact"/>
                              <w:ind w:leftChars="-75" w:left="-30" w:rightChars="-77" w:right="-185" w:hangingChars="75" w:hanging="150"/>
                              <w:jc w:val="center"/>
                              <w:rPr>
                                <w:rFonts w:hAnsi="標楷體" w:cs="新細明體"/>
                                <w:sz w:val="20"/>
                              </w:rPr>
                            </w:pPr>
                            <w:r w:rsidRPr="00D27675">
                              <w:rPr>
                                <w:rFonts w:hAnsi="標楷體" w:hint="eastAsia"/>
                                <w:color w:val="000000"/>
                                <w:sz w:val="20"/>
                              </w:rPr>
                              <w:t>海洋委員會</w:t>
                            </w:r>
                          </w:p>
                        </w:tc>
                        <w:tc>
                          <w:tcPr>
                            <w:tcW w:w="2856" w:type="dxa"/>
                            <w:vAlign w:val="center"/>
                          </w:tcPr>
                          <w:p w14:paraId="4BB7756C"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國家海洋研究院</w:t>
                            </w:r>
                          </w:p>
                        </w:tc>
                        <w:tc>
                          <w:tcPr>
                            <w:tcW w:w="756" w:type="dxa"/>
                            <w:vAlign w:val="center"/>
                          </w:tcPr>
                          <w:p w14:paraId="58209742"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389F5F7D" w14:textId="77777777" w:rsidTr="00A42147">
                        <w:trPr>
                          <w:trHeight w:val="113"/>
                        </w:trPr>
                        <w:tc>
                          <w:tcPr>
                            <w:tcW w:w="1218" w:type="dxa"/>
                            <w:vAlign w:val="center"/>
                          </w:tcPr>
                          <w:p w14:paraId="40E6C98C" w14:textId="77777777" w:rsidR="00041245" w:rsidRPr="00D27675" w:rsidRDefault="00041245" w:rsidP="00CF2AF5">
                            <w:pPr>
                              <w:pStyle w:val="a5"/>
                              <w:overflowPunct w:val="0"/>
                              <w:autoSpaceDE w:val="0"/>
                              <w:autoSpaceDN w:val="0"/>
                              <w:spacing w:line="200" w:lineRule="exact"/>
                              <w:jc w:val="center"/>
                              <w:rPr>
                                <w:rFonts w:hAnsi="標楷體"/>
                                <w:color w:val="000000"/>
                                <w:sz w:val="20"/>
                              </w:rPr>
                            </w:pPr>
                            <w:r w:rsidRPr="00D27675">
                              <w:rPr>
                                <w:rFonts w:hAnsi="標楷體" w:hint="eastAsia"/>
                                <w:color w:val="000000"/>
                                <w:sz w:val="20"/>
                              </w:rPr>
                              <w:t>核能安全</w:t>
                            </w:r>
                          </w:p>
                          <w:p w14:paraId="70CEE9BB" w14:textId="77777777" w:rsidR="00041245" w:rsidRPr="00D27675" w:rsidRDefault="00041245" w:rsidP="00CF2AF5">
                            <w:pPr>
                              <w:pStyle w:val="a5"/>
                              <w:overflowPunct w:val="0"/>
                              <w:autoSpaceDE w:val="0"/>
                              <w:autoSpaceDN w:val="0"/>
                              <w:spacing w:line="200" w:lineRule="exact"/>
                              <w:jc w:val="center"/>
                              <w:rPr>
                                <w:rFonts w:hAnsi="標楷體"/>
                                <w:color w:val="000000"/>
                                <w:sz w:val="20"/>
                              </w:rPr>
                            </w:pPr>
                            <w:r w:rsidRPr="00D27675">
                              <w:rPr>
                                <w:rFonts w:hAnsi="標楷體" w:hint="eastAsia"/>
                                <w:color w:val="000000"/>
                                <w:sz w:val="20"/>
                              </w:rPr>
                              <w:t>委員會</w:t>
                            </w:r>
                          </w:p>
                        </w:tc>
                        <w:tc>
                          <w:tcPr>
                            <w:tcW w:w="2856" w:type="dxa"/>
                            <w:vAlign w:val="center"/>
                          </w:tcPr>
                          <w:p w14:paraId="4CE99E06" w14:textId="77777777" w:rsidR="00041245" w:rsidRPr="00D27675" w:rsidRDefault="00041245" w:rsidP="00A42147">
                            <w:pPr>
                              <w:pStyle w:val="a5"/>
                              <w:overflowPunct w:val="0"/>
                              <w:autoSpaceDE w:val="0"/>
                              <w:autoSpaceDN w:val="0"/>
                              <w:spacing w:line="240" w:lineRule="exact"/>
                              <w:rPr>
                                <w:rFonts w:hAnsi="標楷體" w:cs="新細明體"/>
                                <w:spacing w:val="-10"/>
                                <w:sz w:val="20"/>
                              </w:rPr>
                            </w:pPr>
                            <w:r w:rsidRPr="00D27675">
                              <w:rPr>
                                <w:rFonts w:hAnsi="標楷體" w:hint="eastAsia"/>
                                <w:color w:val="000000"/>
                                <w:spacing w:val="-10"/>
                                <w:sz w:val="20"/>
                              </w:rPr>
                              <w:t>核能安全委員會</w:t>
                            </w:r>
                          </w:p>
                        </w:tc>
                        <w:tc>
                          <w:tcPr>
                            <w:tcW w:w="756" w:type="dxa"/>
                            <w:vAlign w:val="center"/>
                          </w:tcPr>
                          <w:p w14:paraId="39602605" w14:textId="77777777" w:rsidR="00041245" w:rsidRPr="00D27675" w:rsidRDefault="00041245" w:rsidP="00D27675">
                            <w:pPr>
                              <w:pStyle w:val="a5"/>
                              <w:overflowPunct w:val="0"/>
                              <w:autoSpaceDE w:val="0"/>
                              <w:autoSpaceDN w:val="0"/>
                              <w:spacing w:line="240" w:lineRule="exact"/>
                              <w:jc w:val="right"/>
                              <w:rPr>
                                <w:rFonts w:hAnsi="標楷體" w:cs="新細明體"/>
                                <w:sz w:val="20"/>
                              </w:rPr>
                            </w:pPr>
                            <w:r w:rsidRPr="00D27675">
                              <w:rPr>
                                <w:rFonts w:hAnsi="標楷體" w:cs="新細明體" w:hint="eastAsia"/>
                                <w:sz w:val="20"/>
                              </w:rPr>
                              <w:t>1</w:t>
                            </w:r>
                          </w:p>
                        </w:tc>
                      </w:tr>
                      <w:tr w:rsidR="00041245" w:rsidRPr="00A42147" w14:paraId="21B3CEBC" w14:textId="77777777" w:rsidTr="00A42147">
                        <w:trPr>
                          <w:trHeight w:val="113"/>
                        </w:trPr>
                        <w:tc>
                          <w:tcPr>
                            <w:tcW w:w="1218" w:type="dxa"/>
                            <w:tcBorders>
                              <w:bottom w:val="single" w:sz="4" w:space="0" w:color="auto"/>
                            </w:tcBorders>
                            <w:vAlign w:val="center"/>
                          </w:tcPr>
                          <w:p w14:paraId="551F17CC" w14:textId="77777777" w:rsidR="00041245" w:rsidRPr="00D27675" w:rsidRDefault="00041245" w:rsidP="00CF2AF5">
                            <w:pPr>
                              <w:pStyle w:val="a5"/>
                              <w:overflowPunct w:val="0"/>
                              <w:autoSpaceDE w:val="0"/>
                              <w:autoSpaceDN w:val="0"/>
                              <w:spacing w:line="200" w:lineRule="exact"/>
                              <w:jc w:val="center"/>
                              <w:rPr>
                                <w:rFonts w:hAnsi="標楷體"/>
                                <w:color w:val="000000"/>
                                <w:sz w:val="20"/>
                                <w:szCs w:val="16"/>
                              </w:rPr>
                            </w:pPr>
                            <w:r w:rsidRPr="00D27675">
                              <w:rPr>
                                <w:rFonts w:hAnsi="標楷體" w:hint="eastAsia"/>
                                <w:color w:val="000000"/>
                                <w:sz w:val="20"/>
                                <w:szCs w:val="16"/>
                              </w:rPr>
                              <w:t>原住民族</w:t>
                            </w:r>
                          </w:p>
                          <w:p w14:paraId="24E0E1B3" w14:textId="77777777" w:rsidR="00041245" w:rsidRPr="00D27675" w:rsidRDefault="00041245" w:rsidP="00CF2AF5">
                            <w:pPr>
                              <w:pStyle w:val="a5"/>
                              <w:overflowPunct w:val="0"/>
                              <w:autoSpaceDE w:val="0"/>
                              <w:autoSpaceDN w:val="0"/>
                              <w:spacing w:line="200" w:lineRule="exact"/>
                              <w:jc w:val="center"/>
                              <w:rPr>
                                <w:rFonts w:hAnsi="標楷體"/>
                                <w:color w:val="000000"/>
                                <w:sz w:val="20"/>
                                <w:szCs w:val="16"/>
                              </w:rPr>
                            </w:pPr>
                            <w:r w:rsidRPr="00D27675">
                              <w:rPr>
                                <w:rFonts w:hAnsi="標楷體" w:hint="eastAsia"/>
                                <w:color w:val="000000"/>
                                <w:sz w:val="20"/>
                                <w:szCs w:val="16"/>
                              </w:rPr>
                              <w:t>委員會</w:t>
                            </w:r>
                          </w:p>
                        </w:tc>
                        <w:tc>
                          <w:tcPr>
                            <w:tcW w:w="2856" w:type="dxa"/>
                            <w:tcBorders>
                              <w:bottom w:val="single" w:sz="4" w:space="0" w:color="auto"/>
                            </w:tcBorders>
                            <w:vAlign w:val="center"/>
                          </w:tcPr>
                          <w:p w14:paraId="623F5BC7" w14:textId="77777777" w:rsidR="00041245" w:rsidRPr="00D27675" w:rsidRDefault="00041245" w:rsidP="00A42147">
                            <w:pPr>
                              <w:pStyle w:val="a5"/>
                              <w:overflowPunct w:val="0"/>
                              <w:autoSpaceDE w:val="0"/>
                              <w:autoSpaceDN w:val="0"/>
                              <w:spacing w:line="240" w:lineRule="exact"/>
                              <w:rPr>
                                <w:rFonts w:hAnsi="標楷體"/>
                                <w:color w:val="000000"/>
                                <w:spacing w:val="-10"/>
                                <w:sz w:val="20"/>
                                <w:szCs w:val="16"/>
                              </w:rPr>
                            </w:pPr>
                            <w:r w:rsidRPr="00D27675">
                              <w:rPr>
                                <w:rFonts w:hAnsi="標楷體" w:hint="eastAsia"/>
                                <w:color w:val="000000"/>
                                <w:spacing w:val="-10"/>
                                <w:sz w:val="20"/>
                                <w:szCs w:val="16"/>
                              </w:rPr>
                              <w:t>原住民族文化發展中心</w:t>
                            </w:r>
                          </w:p>
                        </w:tc>
                        <w:tc>
                          <w:tcPr>
                            <w:tcW w:w="756" w:type="dxa"/>
                            <w:tcBorders>
                              <w:bottom w:val="single" w:sz="4" w:space="0" w:color="auto"/>
                            </w:tcBorders>
                            <w:vAlign w:val="center"/>
                          </w:tcPr>
                          <w:p w14:paraId="33B0D3A2" w14:textId="77777777" w:rsidR="00041245" w:rsidRPr="00D27675" w:rsidRDefault="00041245" w:rsidP="00D27675">
                            <w:pPr>
                              <w:pStyle w:val="a5"/>
                              <w:overflowPunct w:val="0"/>
                              <w:autoSpaceDE w:val="0"/>
                              <w:autoSpaceDN w:val="0"/>
                              <w:spacing w:line="240" w:lineRule="exact"/>
                              <w:jc w:val="right"/>
                              <w:rPr>
                                <w:rFonts w:hAnsi="標楷體" w:cs="新細明體"/>
                                <w:sz w:val="20"/>
                                <w:szCs w:val="16"/>
                              </w:rPr>
                            </w:pPr>
                            <w:r w:rsidRPr="00D27675">
                              <w:rPr>
                                <w:rFonts w:hAnsi="標楷體" w:cs="新細明體" w:hint="eastAsia"/>
                                <w:sz w:val="20"/>
                                <w:szCs w:val="16"/>
                              </w:rPr>
                              <w:t>1</w:t>
                            </w:r>
                          </w:p>
                        </w:tc>
                      </w:tr>
                    </w:tbl>
                    <w:p w14:paraId="0A0ED6D2" w14:textId="77777777" w:rsidR="00041245" w:rsidRPr="002B5254" w:rsidRDefault="00041245" w:rsidP="00041245">
                      <w:pPr>
                        <w:spacing w:line="240" w:lineRule="exact"/>
                        <w:ind w:leftChars="-15" w:left="-36" w:firstLineChars="20" w:firstLine="36"/>
                        <w:rPr>
                          <w:sz w:val="18"/>
                          <w:szCs w:val="18"/>
                        </w:rPr>
                      </w:pPr>
                      <w:r w:rsidRPr="002B5254">
                        <w:rPr>
                          <w:rFonts w:ascii="標楷體" w:eastAsia="標楷體" w:hAnsi="標楷體" w:hint="eastAsia"/>
                          <w:sz w:val="18"/>
                          <w:szCs w:val="18"/>
                        </w:rPr>
                        <w:t>資料來源：</w:t>
                      </w:r>
                      <w:r w:rsidRPr="002B5254">
                        <w:rPr>
                          <w:rFonts w:ascii="標楷體" w:eastAsia="標楷體" w:hAnsi="標楷體"/>
                          <w:sz w:val="18"/>
                          <w:szCs w:val="18"/>
                        </w:rPr>
                        <w:t>整理自行政院所屬機關提供資料</w:t>
                      </w:r>
                      <w:r w:rsidRPr="002B5254">
                        <w:rPr>
                          <w:rFonts w:ascii="標楷體" w:eastAsia="標楷體" w:hAnsi="標楷體" w:hint="eastAsia"/>
                          <w:sz w:val="18"/>
                          <w:szCs w:val="18"/>
                        </w:rPr>
                        <w:t>。</w:t>
                      </w:r>
                    </w:p>
                  </w:txbxContent>
                </v:textbox>
                <w10:wrap type="tight" anchorx="margin"/>
              </v:shape>
            </w:pict>
          </mc:Fallback>
        </mc:AlternateContent>
      </w:r>
      <w:r w:rsidR="008E7AC8" w:rsidRPr="008E7AC8">
        <w:rPr>
          <w:rFonts w:ascii="標楷體" w:eastAsia="標楷體" w:hAnsi="標楷體" w:hint="eastAsia"/>
          <w:b/>
          <w:szCs w:val="24"/>
        </w:rPr>
        <w:t>3.</w:t>
      </w:r>
      <w:r w:rsidR="008E7AC8" w:rsidRPr="008E7AC8">
        <w:rPr>
          <w:rFonts w:ascii="標楷體" w:eastAsia="標楷體" w:hAnsi="標楷體" w:hint="eastAsia"/>
          <w:b/>
          <w:color w:val="4F81BD" w:themeColor="accent1"/>
          <w:szCs w:val="24"/>
        </w:rPr>
        <w:t xml:space="preserve">　</w:t>
      </w:r>
      <w:r w:rsidR="007C7B8D" w:rsidRPr="007C7B8D">
        <w:rPr>
          <w:rFonts w:ascii="標楷體" w:eastAsia="標楷體" w:hAnsi="標楷體" w:hint="eastAsia"/>
          <w:b/>
          <w:szCs w:val="24"/>
        </w:rPr>
        <w:t>行政院為留任及</w:t>
      </w:r>
      <w:proofErr w:type="gramStart"/>
      <w:r w:rsidR="007C7B8D" w:rsidRPr="007C7B8D">
        <w:rPr>
          <w:rFonts w:ascii="標楷體" w:eastAsia="標楷體" w:hAnsi="標楷體" w:hint="eastAsia"/>
          <w:b/>
          <w:szCs w:val="24"/>
        </w:rPr>
        <w:t>延攬資安人才</w:t>
      </w:r>
      <w:proofErr w:type="gramEnd"/>
      <w:r w:rsidR="007C7B8D" w:rsidRPr="007C7B8D">
        <w:rPr>
          <w:rFonts w:ascii="標楷體" w:eastAsia="標楷體" w:hAnsi="標楷體" w:hint="eastAsia"/>
          <w:b/>
          <w:szCs w:val="24"/>
        </w:rPr>
        <w:t>，</w:t>
      </w:r>
      <w:proofErr w:type="gramStart"/>
      <w:r w:rsidR="007C7B8D" w:rsidRPr="007C7B8D">
        <w:rPr>
          <w:rFonts w:ascii="標楷體" w:eastAsia="標楷體" w:hAnsi="標楷體" w:hint="eastAsia"/>
          <w:b/>
          <w:szCs w:val="24"/>
        </w:rPr>
        <w:t>給與資安專職</w:t>
      </w:r>
      <w:proofErr w:type="gramEnd"/>
      <w:r w:rsidR="007C7B8D" w:rsidRPr="007C7B8D">
        <w:rPr>
          <w:rFonts w:ascii="標楷體" w:eastAsia="標楷體" w:hAnsi="標楷體" w:hint="eastAsia"/>
          <w:b/>
          <w:szCs w:val="24"/>
        </w:rPr>
        <w:t>人員資訊專業加給及</w:t>
      </w:r>
      <w:proofErr w:type="gramStart"/>
      <w:r w:rsidR="007C7B8D" w:rsidRPr="007C7B8D">
        <w:rPr>
          <w:rFonts w:ascii="標楷體" w:eastAsia="標楷體" w:hAnsi="標楷體" w:hint="eastAsia"/>
          <w:b/>
          <w:szCs w:val="24"/>
        </w:rPr>
        <w:t>資安增</w:t>
      </w:r>
      <w:proofErr w:type="gramEnd"/>
      <w:r w:rsidR="007C7B8D" w:rsidRPr="007C7B8D">
        <w:rPr>
          <w:rFonts w:ascii="標楷體" w:eastAsia="標楷體" w:hAnsi="標楷體" w:hint="eastAsia"/>
          <w:b/>
          <w:szCs w:val="24"/>
        </w:rPr>
        <w:t>支加給，惟部分機關因未設立資訊單位，致資訊處理職</w:t>
      </w:r>
      <w:proofErr w:type="gramStart"/>
      <w:r w:rsidR="007C7B8D" w:rsidRPr="007C7B8D">
        <w:rPr>
          <w:rFonts w:ascii="標楷體" w:eastAsia="標楷體" w:hAnsi="標楷體" w:hint="eastAsia"/>
          <w:b/>
          <w:szCs w:val="24"/>
        </w:rPr>
        <w:t>系資安</w:t>
      </w:r>
      <w:proofErr w:type="gramEnd"/>
      <w:r w:rsidR="007C7B8D" w:rsidRPr="007C7B8D">
        <w:rPr>
          <w:rFonts w:ascii="標楷體" w:eastAsia="標楷體" w:hAnsi="標楷體" w:hint="eastAsia"/>
          <w:b/>
          <w:szCs w:val="24"/>
        </w:rPr>
        <w:t>專職人員無法支領資訊專業加給，</w:t>
      </w:r>
      <w:proofErr w:type="gramStart"/>
      <w:r w:rsidR="007C7B8D" w:rsidRPr="007C7B8D">
        <w:rPr>
          <w:rFonts w:ascii="標楷體" w:eastAsia="標楷體" w:hAnsi="標楷體" w:hint="eastAsia"/>
          <w:b/>
          <w:szCs w:val="24"/>
        </w:rPr>
        <w:t>又資安增</w:t>
      </w:r>
      <w:proofErr w:type="gramEnd"/>
      <w:r w:rsidR="007C7B8D" w:rsidRPr="007C7B8D">
        <w:rPr>
          <w:rFonts w:ascii="標楷體" w:eastAsia="標楷體" w:hAnsi="標楷體" w:hint="eastAsia"/>
          <w:b/>
          <w:szCs w:val="24"/>
        </w:rPr>
        <w:t>支加給適用範圍未包含</w:t>
      </w:r>
      <w:proofErr w:type="gramStart"/>
      <w:r w:rsidR="007C7B8D" w:rsidRPr="007C7B8D">
        <w:rPr>
          <w:rFonts w:ascii="標楷體" w:eastAsia="標楷體" w:hAnsi="標楷體" w:hint="eastAsia"/>
          <w:b/>
          <w:szCs w:val="24"/>
        </w:rPr>
        <w:t>多數資安責任</w:t>
      </w:r>
      <w:proofErr w:type="gramEnd"/>
      <w:r w:rsidR="007C7B8D" w:rsidRPr="007C7B8D">
        <w:rPr>
          <w:rFonts w:ascii="標楷體" w:eastAsia="標楷體" w:hAnsi="標楷體" w:hint="eastAsia"/>
          <w:b/>
          <w:szCs w:val="24"/>
        </w:rPr>
        <w:t>等級B級及C級機關，均影響留</w:t>
      </w:r>
      <w:proofErr w:type="gramStart"/>
      <w:r w:rsidR="007C7B8D" w:rsidRPr="007C7B8D">
        <w:rPr>
          <w:rFonts w:ascii="標楷體" w:eastAsia="標楷體" w:hAnsi="標楷體" w:hint="eastAsia"/>
          <w:b/>
          <w:szCs w:val="24"/>
        </w:rPr>
        <w:t>才攬才</w:t>
      </w:r>
      <w:proofErr w:type="gramEnd"/>
      <w:r w:rsidR="007C7B8D" w:rsidRPr="007C7B8D">
        <w:rPr>
          <w:rFonts w:ascii="標楷體" w:eastAsia="標楷體" w:hAnsi="標楷體" w:hint="eastAsia"/>
          <w:b/>
          <w:szCs w:val="24"/>
        </w:rPr>
        <w:t>成效：</w:t>
      </w:r>
      <w:r w:rsidR="007C7B8D" w:rsidRPr="007C7B8D">
        <w:rPr>
          <w:rFonts w:ascii="標楷體" w:eastAsia="標楷體" w:hAnsi="標楷體" w:hint="eastAsia"/>
          <w:bCs/>
          <w:szCs w:val="24"/>
        </w:rPr>
        <w:t>依據公務人員加給給與辦法規定，各種加給之適用對象、支給數額，依行政院所訂各種加給表辦理，其中公務人員專業加給表（二十），適用對象為職務歸列資訊處理</w:t>
      </w:r>
      <w:proofErr w:type="gramStart"/>
      <w:r w:rsidR="007C7B8D" w:rsidRPr="007C7B8D">
        <w:rPr>
          <w:rFonts w:ascii="標楷體" w:eastAsia="標楷體" w:hAnsi="標楷體" w:hint="eastAsia"/>
          <w:bCs/>
          <w:szCs w:val="24"/>
        </w:rPr>
        <w:t>職系且設立</w:t>
      </w:r>
      <w:proofErr w:type="gramEnd"/>
      <w:r w:rsidR="007C7B8D" w:rsidRPr="007C7B8D">
        <w:rPr>
          <w:rFonts w:ascii="標楷體" w:eastAsia="標楷體" w:hAnsi="標楷體" w:hint="eastAsia"/>
          <w:bCs/>
          <w:szCs w:val="24"/>
        </w:rPr>
        <w:t>專責資訊機構（單位）之資訊專業人員，截至113年底止，計有</w:t>
      </w:r>
      <w:proofErr w:type="gramStart"/>
      <w:r w:rsidR="007C7B8D" w:rsidRPr="007C7B8D">
        <w:rPr>
          <w:rFonts w:ascii="標楷體" w:eastAsia="標楷體" w:hAnsi="標楷體" w:hint="eastAsia"/>
          <w:bCs/>
          <w:szCs w:val="24"/>
        </w:rPr>
        <w:t>24個資安責任</w:t>
      </w:r>
      <w:proofErr w:type="gramEnd"/>
      <w:r w:rsidR="007C7B8D" w:rsidRPr="007C7B8D">
        <w:rPr>
          <w:rFonts w:ascii="標楷體" w:eastAsia="標楷體" w:hAnsi="標楷體" w:hint="eastAsia"/>
          <w:bCs/>
          <w:szCs w:val="24"/>
        </w:rPr>
        <w:t>等級B級及C級機關</w:t>
      </w:r>
      <w:proofErr w:type="gramStart"/>
      <w:r w:rsidR="007C7B8D" w:rsidRPr="007C7B8D">
        <w:rPr>
          <w:rFonts w:ascii="標楷體" w:eastAsia="標楷體" w:hAnsi="標楷體" w:hint="eastAsia"/>
          <w:bCs/>
          <w:szCs w:val="24"/>
        </w:rPr>
        <w:t>之資安專職</w:t>
      </w:r>
      <w:proofErr w:type="gramEnd"/>
      <w:r w:rsidR="007C7B8D" w:rsidRPr="007C7B8D">
        <w:rPr>
          <w:rFonts w:ascii="標楷體" w:eastAsia="標楷體" w:hAnsi="標楷體" w:hint="eastAsia"/>
          <w:bCs/>
          <w:szCs w:val="24"/>
        </w:rPr>
        <w:t>人員24人，其</w:t>
      </w:r>
      <w:proofErr w:type="gramStart"/>
      <w:r w:rsidR="007C7B8D" w:rsidRPr="007C7B8D">
        <w:rPr>
          <w:rFonts w:ascii="標楷體" w:eastAsia="標楷體" w:hAnsi="標楷體" w:hint="eastAsia"/>
          <w:bCs/>
          <w:szCs w:val="24"/>
        </w:rPr>
        <w:t>職務雖歸列</w:t>
      </w:r>
      <w:proofErr w:type="gramEnd"/>
      <w:r w:rsidR="007C7B8D" w:rsidRPr="007C7B8D">
        <w:rPr>
          <w:rFonts w:ascii="標楷體" w:eastAsia="標楷體" w:hAnsi="標楷體" w:hint="eastAsia"/>
          <w:bCs/>
          <w:szCs w:val="24"/>
        </w:rPr>
        <w:t>資訊處理職系，惟因所屬機關為3、4級機關而未設立資訊單位，致無法適用公務人員專業加給表（二十），未能領取資訊專業加給（表</w:t>
      </w:r>
      <w:r w:rsidR="00C90E68">
        <w:rPr>
          <w:rFonts w:ascii="標楷體" w:eastAsia="標楷體" w:hAnsi="標楷體"/>
          <w:bCs/>
          <w:szCs w:val="24"/>
        </w:rPr>
        <w:t>41</w:t>
      </w:r>
      <w:r w:rsidR="007C7B8D" w:rsidRPr="007C7B8D">
        <w:rPr>
          <w:rFonts w:ascii="標楷體" w:eastAsia="標楷體" w:hAnsi="標楷體" w:hint="eastAsia"/>
          <w:bCs/>
          <w:szCs w:val="24"/>
        </w:rPr>
        <w:t>）。另行政院為</w:t>
      </w:r>
      <w:proofErr w:type="gramStart"/>
      <w:r w:rsidR="007C7B8D" w:rsidRPr="007C7B8D">
        <w:rPr>
          <w:rFonts w:ascii="標楷體" w:eastAsia="標楷體" w:hAnsi="標楷體" w:hint="eastAsia"/>
          <w:bCs/>
          <w:szCs w:val="24"/>
        </w:rPr>
        <w:t>吸引資安人員</w:t>
      </w:r>
      <w:proofErr w:type="gramEnd"/>
      <w:r w:rsidR="007C7B8D" w:rsidRPr="007C7B8D">
        <w:rPr>
          <w:rFonts w:ascii="標楷體" w:eastAsia="標楷體" w:hAnsi="標楷體" w:hint="eastAsia"/>
          <w:bCs/>
          <w:szCs w:val="24"/>
        </w:rPr>
        <w:t>投入</w:t>
      </w:r>
      <w:proofErr w:type="gramStart"/>
      <w:r w:rsidR="007C7B8D" w:rsidRPr="007C7B8D">
        <w:rPr>
          <w:rFonts w:ascii="標楷體" w:eastAsia="標楷體" w:hAnsi="標楷體" w:hint="eastAsia"/>
          <w:bCs/>
          <w:szCs w:val="24"/>
        </w:rPr>
        <w:t>重點資安業務</w:t>
      </w:r>
      <w:proofErr w:type="gramEnd"/>
      <w:r w:rsidR="007C7B8D" w:rsidRPr="007C7B8D">
        <w:rPr>
          <w:rFonts w:ascii="標楷體" w:eastAsia="標楷體" w:hAnsi="標楷體" w:hint="eastAsia"/>
          <w:bCs/>
          <w:szCs w:val="24"/>
        </w:rPr>
        <w:t>機關，核定自112年7月1日起，</w:t>
      </w:r>
      <w:proofErr w:type="gramStart"/>
      <w:r w:rsidR="007C7B8D" w:rsidRPr="007C7B8D">
        <w:rPr>
          <w:rFonts w:ascii="標楷體" w:eastAsia="標楷體" w:hAnsi="標楷體" w:hint="eastAsia"/>
          <w:bCs/>
          <w:szCs w:val="24"/>
        </w:rPr>
        <w:t>資安責任</w:t>
      </w:r>
      <w:proofErr w:type="gramEnd"/>
      <w:r w:rsidR="007C7B8D" w:rsidRPr="007C7B8D">
        <w:rPr>
          <w:rFonts w:ascii="標楷體" w:eastAsia="標楷體" w:hAnsi="標楷體" w:hint="eastAsia"/>
          <w:bCs/>
          <w:szCs w:val="24"/>
        </w:rPr>
        <w:t>等級A級機關或關鍵基礎設施領域協調機關，支領上開資訊專業加給且實際</w:t>
      </w:r>
      <w:proofErr w:type="gramStart"/>
      <w:r w:rsidR="007C7B8D" w:rsidRPr="007C7B8D">
        <w:rPr>
          <w:rFonts w:ascii="標楷體" w:eastAsia="標楷體" w:hAnsi="標楷體" w:hint="eastAsia"/>
          <w:bCs/>
          <w:szCs w:val="24"/>
        </w:rPr>
        <w:t>從事資安業務</w:t>
      </w:r>
      <w:proofErr w:type="gramEnd"/>
      <w:r w:rsidR="007C7B8D" w:rsidRPr="007C7B8D">
        <w:rPr>
          <w:rFonts w:ascii="標楷體" w:eastAsia="標楷體" w:hAnsi="標楷體" w:hint="eastAsia"/>
          <w:bCs/>
          <w:szCs w:val="24"/>
        </w:rPr>
        <w:t>人員，按月領取</w:t>
      </w:r>
      <w:proofErr w:type="gramStart"/>
      <w:r w:rsidR="007C7B8D" w:rsidRPr="007C7B8D">
        <w:rPr>
          <w:rFonts w:ascii="標楷體" w:eastAsia="標楷體" w:hAnsi="標楷體" w:hint="eastAsia"/>
          <w:bCs/>
          <w:szCs w:val="24"/>
        </w:rPr>
        <w:t>資安增</w:t>
      </w:r>
      <w:proofErr w:type="gramEnd"/>
      <w:r w:rsidR="007C7B8D" w:rsidRPr="007C7B8D">
        <w:rPr>
          <w:rFonts w:ascii="標楷體" w:eastAsia="標楷體" w:hAnsi="標楷體" w:hint="eastAsia"/>
          <w:bCs/>
          <w:szCs w:val="24"/>
        </w:rPr>
        <w:t>支加給3</w:t>
      </w:r>
      <w:r w:rsidR="00E44F5A">
        <w:rPr>
          <w:rFonts w:ascii="標楷體" w:eastAsia="標楷體" w:hAnsi="標楷體" w:hint="eastAsia"/>
          <w:bCs/>
          <w:szCs w:val="24"/>
        </w:rPr>
        <w:t>千</w:t>
      </w:r>
      <w:r w:rsidR="007C7B8D" w:rsidRPr="007C7B8D">
        <w:rPr>
          <w:rFonts w:ascii="標楷體" w:eastAsia="標楷體" w:hAnsi="標楷體" w:hint="eastAsia"/>
          <w:bCs/>
          <w:szCs w:val="24"/>
        </w:rPr>
        <w:t>至5千元。經統計，符合上</w:t>
      </w:r>
      <w:proofErr w:type="gramStart"/>
      <w:r w:rsidR="007C7B8D" w:rsidRPr="007C7B8D">
        <w:rPr>
          <w:rFonts w:ascii="標楷體" w:eastAsia="標楷體" w:hAnsi="標楷體" w:hint="eastAsia"/>
          <w:bCs/>
          <w:szCs w:val="24"/>
        </w:rPr>
        <w:t>開資安增</w:t>
      </w:r>
      <w:proofErr w:type="gramEnd"/>
      <w:r w:rsidR="007C7B8D" w:rsidRPr="007C7B8D">
        <w:rPr>
          <w:rFonts w:ascii="標楷體" w:eastAsia="標楷體" w:hAnsi="標楷體" w:hint="eastAsia"/>
          <w:bCs/>
          <w:szCs w:val="24"/>
        </w:rPr>
        <w:t>支加給條件之機關計25個，占行政院及</w:t>
      </w:r>
      <w:proofErr w:type="gramStart"/>
      <w:r w:rsidR="007C7B8D" w:rsidRPr="007C7B8D">
        <w:rPr>
          <w:rFonts w:ascii="標楷體" w:eastAsia="標楷體" w:hAnsi="標楷體" w:hint="eastAsia"/>
          <w:bCs/>
          <w:szCs w:val="24"/>
        </w:rPr>
        <w:t>所屬資安責任</w:t>
      </w:r>
      <w:proofErr w:type="gramEnd"/>
      <w:r w:rsidR="007C7B8D" w:rsidRPr="007C7B8D">
        <w:rPr>
          <w:rFonts w:ascii="標楷體" w:eastAsia="標楷體" w:hAnsi="標楷體" w:hint="eastAsia"/>
          <w:bCs/>
          <w:szCs w:val="24"/>
        </w:rPr>
        <w:t>等級A至C級機關之比率僅5.29％，多數</w:t>
      </w:r>
      <w:proofErr w:type="gramStart"/>
      <w:r w:rsidR="007C7B8D" w:rsidRPr="007C7B8D">
        <w:rPr>
          <w:rFonts w:ascii="標楷體" w:eastAsia="標楷體" w:hAnsi="標楷體" w:hint="eastAsia"/>
          <w:bCs/>
          <w:szCs w:val="24"/>
        </w:rPr>
        <w:t>機關資安專</w:t>
      </w:r>
      <w:r w:rsidR="007C7B8D" w:rsidRPr="007C7B8D">
        <w:rPr>
          <w:rFonts w:ascii="標楷體" w:eastAsia="標楷體" w:hAnsi="標楷體" w:hint="eastAsia"/>
          <w:bCs/>
          <w:szCs w:val="24"/>
        </w:rPr>
        <w:lastRenderedPageBreak/>
        <w:t>職</w:t>
      </w:r>
      <w:proofErr w:type="gramEnd"/>
      <w:r w:rsidR="007C7B8D" w:rsidRPr="007C7B8D">
        <w:rPr>
          <w:rFonts w:ascii="標楷體" w:eastAsia="標楷體" w:hAnsi="標楷體" w:hint="eastAsia"/>
          <w:bCs/>
          <w:szCs w:val="24"/>
        </w:rPr>
        <w:t>人員，同屬</w:t>
      </w:r>
      <w:proofErr w:type="gramStart"/>
      <w:r w:rsidR="007C7B8D" w:rsidRPr="007C7B8D">
        <w:rPr>
          <w:rFonts w:ascii="標楷體" w:eastAsia="標楷體" w:hAnsi="標楷體" w:hint="eastAsia"/>
          <w:bCs/>
          <w:szCs w:val="24"/>
        </w:rPr>
        <w:t>辦理資安業務</w:t>
      </w:r>
      <w:proofErr w:type="gramEnd"/>
      <w:r w:rsidR="007C7B8D" w:rsidRPr="007C7B8D">
        <w:rPr>
          <w:rFonts w:ascii="標楷體" w:eastAsia="標楷體" w:hAnsi="標楷體" w:hint="eastAsia"/>
          <w:bCs/>
          <w:szCs w:val="24"/>
        </w:rPr>
        <w:t>，卻未能領取</w:t>
      </w:r>
      <w:proofErr w:type="gramStart"/>
      <w:r w:rsidR="007C7B8D" w:rsidRPr="007C7B8D">
        <w:rPr>
          <w:rFonts w:ascii="標楷體" w:eastAsia="標楷體" w:hAnsi="標楷體" w:hint="eastAsia"/>
          <w:bCs/>
          <w:szCs w:val="24"/>
        </w:rPr>
        <w:t>資安增</w:t>
      </w:r>
      <w:proofErr w:type="gramEnd"/>
      <w:r w:rsidR="007C7B8D" w:rsidRPr="007C7B8D">
        <w:rPr>
          <w:rFonts w:ascii="標楷體" w:eastAsia="標楷體" w:hAnsi="標楷體" w:hint="eastAsia"/>
          <w:bCs/>
          <w:szCs w:val="24"/>
        </w:rPr>
        <w:t>支加給，不利各該機關留才</w:t>
      </w:r>
      <w:proofErr w:type="gramStart"/>
      <w:r w:rsidR="007C7B8D" w:rsidRPr="007C7B8D">
        <w:rPr>
          <w:rFonts w:ascii="標楷體" w:eastAsia="標楷體" w:hAnsi="標楷體" w:hint="eastAsia"/>
          <w:bCs/>
          <w:szCs w:val="24"/>
        </w:rPr>
        <w:t>及攬才</w:t>
      </w:r>
      <w:proofErr w:type="gramEnd"/>
      <w:r w:rsidR="007C7B8D" w:rsidRPr="007C7B8D">
        <w:rPr>
          <w:rFonts w:ascii="標楷體" w:eastAsia="標楷體" w:hAnsi="標楷體" w:hint="eastAsia"/>
          <w:bCs/>
          <w:szCs w:val="24"/>
        </w:rPr>
        <w:t>，經函請行政院</w:t>
      </w:r>
      <w:proofErr w:type="gramStart"/>
      <w:r w:rsidR="007C7B8D" w:rsidRPr="007C7B8D">
        <w:rPr>
          <w:rFonts w:ascii="標楷體" w:eastAsia="標楷體" w:hAnsi="標楷體" w:hint="eastAsia"/>
          <w:bCs/>
          <w:szCs w:val="24"/>
        </w:rPr>
        <w:t>研</w:t>
      </w:r>
      <w:proofErr w:type="gramEnd"/>
      <w:r w:rsidR="007C7B8D" w:rsidRPr="007C7B8D">
        <w:rPr>
          <w:rFonts w:ascii="標楷體" w:eastAsia="標楷體" w:hAnsi="標楷體" w:hint="eastAsia"/>
          <w:bCs/>
          <w:szCs w:val="24"/>
        </w:rPr>
        <w:t>議</w:t>
      </w:r>
      <w:proofErr w:type="gramStart"/>
      <w:r w:rsidR="007C7B8D" w:rsidRPr="007C7B8D">
        <w:rPr>
          <w:rFonts w:ascii="標楷體" w:eastAsia="標楷體" w:hAnsi="標楷體" w:hint="eastAsia"/>
          <w:bCs/>
          <w:szCs w:val="24"/>
        </w:rPr>
        <w:t>檢討資安專職</w:t>
      </w:r>
      <w:proofErr w:type="gramEnd"/>
      <w:r w:rsidR="007C7B8D" w:rsidRPr="007C7B8D">
        <w:rPr>
          <w:rFonts w:ascii="標楷體" w:eastAsia="標楷體" w:hAnsi="標楷體" w:hint="eastAsia"/>
          <w:bCs/>
          <w:szCs w:val="24"/>
        </w:rPr>
        <w:t>人員資訊專業加給及</w:t>
      </w:r>
      <w:proofErr w:type="gramStart"/>
      <w:r w:rsidR="007C7B8D" w:rsidRPr="007C7B8D">
        <w:rPr>
          <w:rFonts w:ascii="標楷體" w:eastAsia="標楷體" w:hAnsi="標楷體" w:hint="eastAsia"/>
          <w:bCs/>
          <w:szCs w:val="24"/>
        </w:rPr>
        <w:t>資安增</w:t>
      </w:r>
      <w:proofErr w:type="gramEnd"/>
      <w:r w:rsidR="007C7B8D" w:rsidRPr="007C7B8D">
        <w:rPr>
          <w:rFonts w:ascii="標楷體" w:eastAsia="標楷體" w:hAnsi="標楷體" w:hint="eastAsia"/>
          <w:bCs/>
          <w:szCs w:val="24"/>
        </w:rPr>
        <w:t>支加給適用範圍之可行性，</w:t>
      </w:r>
      <w:proofErr w:type="gramStart"/>
      <w:r w:rsidR="007C7B8D" w:rsidRPr="007C7B8D">
        <w:rPr>
          <w:rFonts w:ascii="標楷體" w:eastAsia="標楷體" w:hAnsi="標楷體" w:hint="eastAsia"/>
          <w:bCs/>
          <w:szCs w:val="24"/>
        </w:rPr>
        <w:t>俾</w:t>
      </w:r>
      <w:proofErr w:type="gramEnd"/>
      <w:r w:rsidR="007C7B8D" w:rsidRPr="007C7B8D">
        <w:rPr>
          <w:rFonts w:ascii="標楷體" w:eastAsia="標楷體" w:hAnsi="標楷體" w:hint="eastAsia"/>
          <w:bCs/>
          <w:szCs w:val="24"/>
        </w:rPr>
        <w:t>利各機關充實及</w:t>
      </w:r>
      <w:proofErr w:type="gramStart"/>
      <w:r w:rsidR="007C7B8D" w:rsidRPr="007C7B8D">
        <w:rPr>
          <w:rFonts w:ascii="標楷體" w:eastAsia="標楷體" w:hAnsi="標楷體" w:hint="eastAsia"/>
          <w:bCs/>
          <w:szCs w:val="24"/>
        </w:rPr>
        <w:t>穩定資安</w:t>
      </w:r>
      <w:proofErr w:type="gramEnd"/>
      <w:r w:rsidR="007C7B8D" w:rsidRPr="007C7B8D">
        <w:rPr>
          <w:rFonts w:ascii="標楷體" w:eastAsia="標楷體" w:hAnsi="標楷體" w:hint="eastAsia"/>
          <w:bCs/>
          <w:szCs w:val="24"/>
        </w:rPr>
        <w:t>人力。據復：已由</w:t>
      </w:r>
      <w:proofErr w:type="gramStart"/>
      <w:r w:rsidR="007C7B8D" w:rsidRPr="007C7B8D">
        <w:rPr>
          <w:rFonts w:ascii="標楷體" w:eastAsia="標楷體" w:hAnsi="標楷體" w:hint="eastAsia"/>
          <w:bCs/>
          <w:szCs w:val="24"/>
        </w:rPr>
        <w:t>資安署</w:t>
      </w:r>
      <w:proofErr w:type="gramEnd"/>
      <w:r w:rsidR="007C7B8D" w:rsidRPr="007C7B8D">
        <w:rPr>
          <w:rFonts w:ascii="標楷體" w:eastAsia="標楷體" w:hAnsi="標楷體" w:hint="eastAsia"/>
          <w:bCs/>
          <w:szCs w:val="24"/>
        </w:rPr>
        <w:t>規劃</w:t>
      </w:r>
      <w:proofErr w:type="gramStart"/>
      <w:r w:rsidR="007C7B8D" w:rsidRPr="007C7B8D">
        <w:rPr>
          <w:rFonts w:ascii="標楷體" w:eastAsia="標楷體" w:hAnsi="標楷體" w:hint="eastAsia"/>
          <w:bCs/>
          <w:szCs w:val="24"/>
        </w:rPr>
        <w:t>針對資安責任</w:t>
      </w:r>
      <w:proofErr w:type="gramEnd"/>
      <w:r w:rsidR="007C7B8D" w:rsidRPr="007C7B8D">
        <w:rPr>
          <w:rFonts w:ascii="標楷體" w:eastAsia="標楷體" w:hAnsi="標楷體" w:hint="eastAsia"/>
          <w:bCs/>
          <w:szCs w:val="24"/>
        </w:rPr>
        <w:t>等級C級以上機關與人員，設置績效評核獎勵機制，</w:t>
      </w:r>
      <w:proofErr w:type="gramStart"/>
      <w:r w:rsidR="007C7B8D" w:rsidRPr="007C7B8D">
        <w:rPr>
          <w:rFonts w:ascii="標楷體" w:eastAsia="標楷體" w:hAnsi="標楷體" w:hint="eastAsia"/>
          <w:bCs/>
          <w:szCs w:val="24"/>
        </w:rPr>
        <w:t>並刻正</w:t>
      </w:r>
      <w:proofErr w:type="gramEnd"/>
      <w:r w:rsidR="007C7B8D" w:rsidRPr="007C7B8D">
        <w:rPr>
          <w:rFonts w:ascii="標楷體" w:eastAsia="標楷體" w:hAnsi="標楷體" w:hint="eastAsia"/>
          <w:bCs/>
          <w:szCs w:val="24"/>
        </w:rPr>
        <w:t>檢討</w:t>
      </w:r>
      <w:proofErr w:type="gramStart"/>
      <w:r w:rsidR="007C7B8D" w:rsidRPr="007C7B8D">
        <w:rPr>
          <w:rFonts w:ascii="標楷體" w:eastAsia="標楷體" w:hAnsi="標楷體" w:hint="eastAsia"/>
          <w:bCs/>
          <w:szCs w:val="24"/>
        </w:rPr>
        <w:t>資安增</w:t>
      </w:r>
      <w:proofErr w:type="gramEnd"/>
      <w:r w:rsidR="007C7B8D" w:rsidRPr="007C7B8D">
        <w:rPr>
          <w:rFonts w:ascii="標楷體" w:eastAsia="標楷體" w:hAnsi="標楷體" w:hint="eastAsia"/>
          <w:bCs/>
          <w:szCs w:val="24"/>
        </w:rPr>
        <w:t>支加給擴大適用範圍及相關配套措施，以吸引</w:t>
      </w:r>
      <w:proofErr w:type="gramStart"/>
      <w:r w:rsidR="007C7B8D" w:rsidRPr="007C7B8D">
        <w:rPr>
          <w:rFonts w:ascii="標楷體" w:eastAsia="標楷體" w:hAnsi="標楷體" w:hint="eastAsia"/>
          <w:bCs/>
          <w:szCs w:val="24"/>
        </w:rPr>
        <w:t>優秀資安人才</w:t>
      </w:r>
      <w:proofErr w:type="gramEnd"/>
      <w:r w:rsidR="007C7B8D" w:rsidRPr="007C7B8D">
        <w:rPr>
          <w:rFonts w:ascii="標楷體" w:eastAsia="標楷體" w:hAnsi="標楷體" w:hint="eastAsia"/>
          <w:bCs/>
          <w:szCs w:val="24"/>
        </w:rPr>
        <w:t>投入公務機關服務及留才。</w:t>
      </w:r>
    </w:p>
    <w:p w14:paraId="6690C13E" w14:textId="69EEF820" w:rsidR="00F532FB" w:rsidRPr="00AE35E0" w:rsidRDefault="00412838" w:rsidP="00AE35E0">
      <w:pPr>
        <w:overflowPunct w:val="0"/>
        <w:snapToGrid w:val="0"/>
        <w:spacing w:beforeLines="20" w:before="72" w:afterLines="20" w:after="72" w:line="420" w:lineRule="exact"/>
        <w:ind w:firstLineChars="200" w:firstLine="561"/>
        <w:jc w:val="both"/>
        <w:outlineLvl w:val="1"/>
        <w:rPr>
          <w:rFonts w:ascii="標楷體" w:eastAsia="標楷體" w:hAnsi="標楷體"/>
          <w:b/>
          <w:color w:val="000000" w:themeColor="text1"/>
          <w:spacing w:val="-2"/>
          <w:sz w:val="28"/>
          <w:szCs w:val="28"/>
        </w:rPr>
      </w:pPr>
      <w:r w:rsidRPr="00AE35E0">
        <w:rPr>
          <w:rFonts w:ascii="標楷體" w:eastAsia="標楷體" w:hAnsi="標楷體" w:hint="eastAsia"/>
          <w:b/>
          <w:color w:val="000000" w:themeColor="text1"/>
          <w:sz w:val="28"/>
          <w:szCs w:val="28"/>
        </w:rPr>
        <w:t>（二十</w:t>
      </w:r>
      <w:r w:rsidR="00781889" w:rsidRPr="00AE35E0">
        <w:rPr>
          <w:rFonts w:ascii="標楷體" w:eastAsia="標楷體" w:hAnsi="標楷體" w:hint="eastAsia"/>
          <w:b/>
          <w:color w:val="000000" w:themeColor="text1"/>
          <w:sz w:val="28"/>
          <w:szCs w:val="28"/>
        </w:rPr>
        <w:t>五</w:t>
      </w:r>
      <w:r w:rsidRPr="00AE35E0">
        <w:rPr>
          <w:rFonts w:ascii="標楷體" w:eastAsia="標楷體" w:hAnsi="標楷體" w:hint="eastAsia"/>
          <w:b/>
          <w:color w:val="000000" w:themeColor="text1"/>
          <w:sz w:val="28"/>
          <w:szCs w:val="28"/>
        </w:rPr>
        <w:t xml:space="preserve">）　</w:t>
      </w:r>
      <w:r w:rsidR="00AB2BA6" w:rsidRPr="00AE35E0">
        <w:rPr>
          <w:rFonts w:ascii="標楷體" w:eastAsia="標楷體" w:hAnsi="標楷體" w:hint="eastAsia"/>
          <w:b/>
          <w:color w:val="000000" w:themeColor="text1"/>
          <w:sz w:val="28"/>
          <w:szCs w:val="28"/>
        </w:rPr>
        <w:t>行政院人事行政總處</w:t>
      </w:r>
      <w:proofErr w:type="gramStart"/>
      <w:r w:rsidR="00AB2BA6" w:rsidRPr="00AE35E0">
        <w:rPr>
          <w:rFonts w:ascii="標楷體" w:eastAsia="標楷體" w:hAnsi="標楷體" w:hint="eastAsia"/>
          <w:b/>
          <w:color w:val="000000" w:themeColor="text1"/>
          <w:sz w:val="28"/>
          <w:szCs w:val="28"/>
        </w:rPr>
        <w:t>已函頒員工</w:t>
      </w:r>
      <w:proofErr w:type="gramEnd"/>
      <w:r w:rsidR="00AB2BA6" w:rsidRPr="00AE35E0">
        <w:rPr>
          <w:rFonts w:ascii="標楷體" w:eastAsia="標楷體" w:hAnsi="標楷體" w:hint="eastAsia"/>
          <w:b/>
          <w:color w:val="000000" w:themeColor="text1"/>
          <w:sz w:val="28"/>
          <w:szCs w:val="28"/>
        </w:rPr>
        <w:t>職</w:t>
      </w:r>
      <w:proofErr w:type="gramStart"/>
      <w:r w:rsidR="00AB2BA6" w:rsidRPr="00AE35E0">
        <w:rPr>
          <w:rFonts w:ascii="標楷體" w:eastAsia="標楷體" w:hAnsi="標楷體" w:hint="eastAsia"/>
          <w:b/>
          <w:color w:val="000000" w:themeColor="text1"/>
          <w:sz w:val="28"/>
          <w:szCs w:val="28"/>
        </w:rPr>
        <w:t>場霸凌</w:t>
      </w:r>
      <w:proofErr w:type="gramEnd"/>
      <w:r w:rsidR="00AB2BA6" w:rsidRPr="00AE35E0">
        <w:rPr>
          <w:rFonts w:ascii="標楷體" w:eastAsia="標楷體" w:hAnsi="標楷體" w:hint="eastAsia"/>
          <w:b/>
          <w:color w:val="000000" w:themeColor="text1"/>
          <w:sz w:val="28"/>
          <w:szCs w:val="28"/>
        </w:rPr>
        <w:t>防治與處</w:t>
      </w:r>
      <w:r w:rsidR="00C06EFA">
        <w:rPr>
          <w:rFonts w:ascii="標楷體" w:eastAsia="標楷體" w:hAnsi="標楷體" w:hint="eastAsia"/>
          <w:b/>
          <w:color w:val="000000" w:themeColor="text1"/>
          <w:sz w:val="28"/>
          <w:szCs w:val="28"/>
        </w:rPr>
        <w:t>置</w:t>
      </w:r>
      <w:r w:rsidR="00AB2BA6" w:rsidRPr="00AE35E0">
        <w:rPr>
          <w:rFonts w:ascii="標楷體" w:eastAsia="標楷體" w:hAnsi="標楷體" w:hint="eastAsia"/>
          <w:b/>
          <w:color w:val="000000" w:themeColor="text1"/>
          <w:sz w:val="28"/>
          <w:szCs w:val="28"/>
        </w:rPr>
        <w:t>建議作為及標準作業流程，惟部分機關（構）或未自訂規範，或所訂規範內容未</w:t>
      </w:r>
      <w:proofErr w:type="gramStart"/>
      <w:r w:rsidR="00AB2BA6" w:rsidRPr="00AE35E0">
        <w:rPr>
          <w:rFonts w:ascii="標楷體" w:eastAsia="標楷體" w:hAnsi="標楷體" w:hint="eastAsia"/>
          <w:b/>
          <w:color w:val="000000" w:themeColor="text1"/>
          <w:sz w:val="28"/>
          <w:szCs w:val="28"/>
        </w:rPr>
        <w:t>臻</w:t>
      </w:r>
      <w:proofErr w:type="gramEnd"/>
      <w:r w:rsidR="00AB2BA6" w:rsidRPr="00AE35E0">
        <w:rPr>
          <w:rFonts w:ascii="標楷體" w:eastAsia="標楷體" w:hAnsi="標楷體" w:hint="eastAsia"/>
          <w:b/>
          <w:color w:val="000000" w:themeColor="text1"/>
          <w:sz w:val="28"/>
          <w:szCs w:val="28"/>
        </w:rPr>
        <w:t>一致，</w:t>
      </w:r>
      <w:r w:rsidR="00AB2BA6" w:rsidRPr="00AE35E0">
        <w:rPr>
          <w:rFonts w:ascii="標楷體" w:eastAsia="標楷體" w:hAnsi="標楷體" w:hint="eastAsia"/>
          <w:b/>
          <w:color w:val="000000" w:themeColor="text1"/>
          <w:spacing w:val="-2"/>
          <w:sz w:val="28"/>
          <w:szCs w:val="28"/>
        </w:rPr>
        <w:t>允宜督促檢討改善；又近</w:t>
      </w:r>
      <w:proofErr w:type="gramStart"/>
      <w:r w:rsidR="00AB2BA6" w:rsidRPr="00AE35E0">
        <w:rPr>
          <w:rFonts w:ascii="標楷體" w:eastAsia="標楷體" w:hAnsi="標楷體" w:hint="eastAsia"/>
          <w:b/>
          <w:color w:val="000000" w:themeColor="text1"/>
          <w:spacing w:val="-2"/>
          <w:sz w:val="28"/>
          <w:szCs w:val="28"/>
        </w:rPr>
        <w:t>3年度霸凌申訴</w:t>
      </w:r>
      <w:proofErr w:type="gramEnd"/>
      <w:r w:rsidR="00AB2BA6" w:rsidRPr="00AE35E0">
        <w:rPr>
          <w:rFonts w:ascii="標楷體" w:eastAsia="標楷體" w:hAnsi="標楷體" w:hint="eastAsia"/>
          <w:b/>
          <w:color w:val="000000" w:themeColor="text1"/>
          <w:spacing w:val="-2"/>
          <w:sz w:val="28"/>
          <w:szCs w:val="28"/>
        </w:rPr>
        <w:t>案件逐年攀升，仍待擴大外部專家學者之參與，並建立全國案件統計資料庫，以維案件調查品質，並利持續策進防治作為。</w:t>
      </w:r>
    </w:p>
    <w:p w14:paraId="2E73FFE9" w14:textId="795DE532" w:rsidR="00F532FB" w:rsidRPr="00F532FB" w:rsidRDefault="00F532FB" w:rsidP="00AE35E0">
      <w:pPr>
        <w:overflowPunct w:val="0"/>
        <w:spacing w:line="410" w:lineRule="exact"/>
        <w:ind w:firstLineChars="200" w:firstLine="480"/>
        <w:jc w:val="both"/>
        <w:rPr>
          <w:rFonts w:ascii="標楷體" w:eastAsia="標楷體" w:hAnsi="標楷體"/>
          <w:color w:val="000000" w:themeColor="text1"/>
        </w:rPr>
      </w:pPr>
      <w:r w:rsidRPr="00F532FB">
        <w:rPr>
          <w:rFonts w:ascii="標楷體" w:eastAsia="標楷體" w:hAnsi="標楷體" w:hint="eastAsia"/>
          <w:color w:val="000000" w:themeColor="text1"/>
        </w:rPr>
        <w:t>行政院人事行政總處基於行政院人事主管機關立場，為建立友善職場及敦促各機關重視職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問題，避免公務人員於執行職務時遭受身體或精神不法侵害，參照公務人員保障法、公務人員安全及衛生防護辦法，及勞動部「執行職務遭不法侵害預防指引」等規定，於108年4月29日訂定「員工職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處理標準作業流程（範例）」及「員工職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防治與處置建議作為」（含事前防治、事中處理、事後作為），函請行政院及所屬、地方政府及議會等機關作為職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防治與處置參考；復於112年9月14日檢送有關首長涉及職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事件之處理程序，及修正後「員工職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處理標準作業流程（範例）」，參照職場性騷擾事件處理方式，由具管轄權之上級機關受理申訴事宜，以期</w:t>
      </w:r>
      <w:proofErr w:type="gramStart"/>
      <w:r w:rsidRPr="00F532FB">
        <w:rPr>
          <w:rFonts w:ascii="標楷體" w:eastAsia="標楷體" w:hAnsi="標楷體" w:hint="eastAsia"/>
          <w:color w:val="000000" w:themeColor="text1"/>
        </w:rPr>
        <w:t>建構公部門</w:t>
      </w:r>
      <w:proofErr w:type="gramEnd"/>
      <w:r w:rsidRPr="00F532FB">
        <w:rPr>
          <w:rFonts w:ascii="標楷體" w:eastAsia="標楷體" w:hAnsi="標楷體" w:hint="eastAsia"/>
          <w:color w:val="000000" w:themeColor="text1"/>
        </w:rPr>
        <w:t>健康友善之職場環境。各機關則依機關特性及業務性質，參照前開標準作業流程及建議作為，自行訂定各該機關防治與處置職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事件之處理程序及申訴規範，並據以受理及處理職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申訴案件，作成職</w:t>
      </w:r>
      <w:proofErr w:type="gramStart"/>
      <w:r w:rsidRPr="00F532FB">
        <w:rPr>
          <w:rFonts w:ascii="標楷體" w:eastAsia="標楷體" w:hAnsi="標楷體" w:hint="eastAsia"/>
          <w:color w:val="000000" w:themeColor="text1"/>
        </w:rPr>
        <w:t>場霸凌案</w:t>
      </w:r>
      <w:proofErr w:type="gramEnd"/>
      <w:r w:rsidRPr="00F532FB">
        <w:rPr>
          <w:rFonts w:ascii="標楷體" w:eastAsia="標楷體" w:hAnsi="標楷體" w:hint="eastAsia"/>
          <w:color w:val="000000" w:themeColor="text1"/>
        </w:rPr>
        <w:t>成立與否之決定。經查員工職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防治與處</w:t>
      </w:r>
      <w:r w:rsidR="00C06EFA">
        <w:rPr>
          <w:rFonts w:ascii="標楷體" w:eastAsia="標楷體" w:hAnsi="標楷體" w:hint="eastAsia"/>
          <w:color w:val="000000" w:themeColor="text1"/>
        </w:rPr>
        <w:t>置</w:t>
      </w:r>
      <w:r w:rsidRPr="00F532FB">
        <w:rPr>
          <w:rFonts w:ascii="標楷體" w:eastAsia="標楷體" w:hAnsi="標楷體" w:hint="eastAsia"/>
          <w:color w:val="000000" w:themeColor="text1"/>
        </w:rPr>
        <w:t>建議作為及標準作業流程執行情形，核有下列事項：</w:t>
      </w:r>
    </w:p>
    <w:p w14:paraId="077C8C51" w14:textId="537733BC" w:rsidR="00AE1C91" w:rsidRPr="00AE35E0" w:rsidRDefault="00F532FB" w:rsidP="00AE35E0">
      <w:pPr>
        <w:overflowPunct w:val="0"/>
        <w:spacing w:line="414" w:lineRule="exact"/>
        <w:ind w:firstLineChars="450" w:firstLine="1080"/>
        <w:jc w:val="both"/>
        <w:rPr>
          <w:rFonts w:ascii="標楷體" w:eastAsia="標楷體" w:hAnsi="標楷體"/>
          <w:color w:val="000000" w:themeColor="text1"/>
          <w:spacing w:val="-2"/>
        </w:rPr>
      </w:pPr>
      <w:r w:rsidRPr="00AE35E0">
        <w:rPr>
          <w:rFonts w:ascii="標楷體" w:eastAsia="標楷體" w:hAnsi="標楷體"/>
          <w:noProof/>
          <w:color w:val="000000" w:themeColor="text1"/>
          <w:spacing w:val="-2"/>
        </w:rPr>
        <mc:AlternateContent>
          <mc:Choice Requires="wps">
            <w:drawing>
              <wp:anchor distT="45720" distB="45720" distL="114300" distR="114300" simplePos="0" relativeHeight="251624448" behindDoc="0" locked="0" layoutInCell="1" allowOverlap="1" wp14:anchorId="1E287CC1" wp14:editId="2A61A76C">
                <wp:simplePos x="0" y="0"/>
                <wp:positionH relativeFrom="margin">
                  <wp:posOffset>3251200</wp:posOffset>
                </wp:positionH>
                <wp:positionV relativeFrom="paragraph">
                  <wp:posOffset>1382395</wp:posOffset>
                </wp:positionV>
                <wp:extent cx="3040380" cy="2046605"/>
                <wp:effectExtent l="0" t="0" r="7620" b="0"/>
                <wp:wrapSquare wrapText="bothSides"/>
                <wp:docPr id="20083270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0380" cy="2046605"/>
                        </a:xfrm>
                        <a:prstGeom prst="rect">
                          <a:avLst/>
                        </a:prstGeom>
                        <a:solidFill>
                          <a:srgbClr val="FFFFFF"/>
                        </a:solidFill>
                        <a:ln w="9525">
                          <a:noFill/>
                          <a:miter lim="800000"/>
                          <a:headEnd/>
                          <a:tailEnd/>
                        </a:ln>
                      </wps:spPr>
                      <wps:txbx>
                        <w:txbxContent>
                          <w:tbl>
                            <w:tblPr>
                              <w:tblStyle w:val="afff"/>
                              <w:tblW w:w="4536" w:type="dxa"/>
                              <w:tblLayout w:type="fixed"/>
                              <w:tblLook w:val="04A0" w:firstRow="1" w:lastRow="0" w:firstColumn="1" w:lastColumn="0" w:noHBand="0" w:noVBand="1"/>
                            </w:tblPr>
                            <w:tblGrid>
                              <w:gridCol w:w="1098"/>
                              <w:gridCol w:w="745"/>
                              <w:gridCol w:w="851"/>
                              <w:gridCol w:w="708"/>
                              <w:gridCol w:w="1134"/>
                            </w:tblGrid>
                            <w:tr w:rsidR="00F532FB" w:rsidRPr="005014A8" w14:paraId="0E08CFAE" w14:textId="77777777" w:rsidTr="004D42BA">
                              <w:trPr>
                                <w:trHeight w:val="20"/>
                              </w:trPr>
                              <w:tc>
                                <w:tcPr>
                                  <w:tcW w:w="4536" w:type="dxa"/>
                                  <w:gridSpan w:val="5"/>
                                  <w:tcBorders>
                                    <w:top w:val="nil"/>
                                    <w:left w:val="nil"/>
                                    <w:right w:val="nil"/>
                                  </w:tcBorders>
                                  <w:vAlign w:val="center"/>
                                </w:tcPr>
                                <w:p w14:paraId="69FD7146" w14:textId="07E72A86" w:rsidR="00F532FB" w:rsidRPr="005014A8" w:rsidRDefault="00F532FB" w:rsidP="004D5E8A">
                                  <w:pPr>
                                    <w:overflowPunct w:val="0"/>
                                    <w:snapToGrid w:val="0"/>
                                    <w:ind w:leftChars="-46" w:left="635" w:hangingChars="310" w:hanging="745"/>
                                    <w:jc w:val="both"/>
                                    <w:rPr>
                                      <w:rFonts w:ascii="標楷體" w:eastAsia="標楷體" w:hAnsi="標楷體"/>
                                      <w:b/>
                                      <w:szCs w:val="24"/>
                                    </w:rPr>
                                  </w:pPr>
                                  <w:r w:rsidRPr="005014A8">
                                    <w:rPr>
                                      <w:rFonts w:ascii="標楷體" w:eastAsia="標楷體" w:hAnsi="標楷體" w:hint="eastAsia"/>
                                      <w:b/>
                                      <w:szCs w:val="24"/>
                                    </w:rPr>
                                    <w:t>表</w:t>
                                  </w:r>
                                  <w:r w:rsidR="00752106">
                                    <w:rPr>
                                      <w:rFonts w:ascii="標楷體" w:eastAsia="標楷體" w:hAnsi="標楷體" w:hint="eastAsia"/>
                                      <w:b/>
                                      <w:szCs w:val="24"/>
                                    </w:rPr>
                                    <w:t>4</w:t>
                                  </w:r>
                                  <w:r w:rsidR="00794DCA">
                                    <w:rPr>
                                      <w:rFonts w:ascii="標楷體" w:eastAsia="標楷體" w:hAnsi="標楷體"/>
                                      <w:b/>
                                      <w:szCs w:val="24"/>
                                    </w:rPr>
                                    <w:t>2</w:t>
                                  </w:r>
                                  <w:r w:rsidRPr="005014A8">
                                    <w:rPr>
                                      <w:rFonts w:ascii="標楷體" w:eastAsia="標楷體" w:hAnsi="標楷體" w:hint="eastAsia"/>
                                      <w:b/>
                                      <w:szCs w:val="24"/>
                                    </w:rPr>
                                    <w:t xml:space="preserve">　截至113年11月底</w:t>
                                  </w:r>
                                  <w:r>
                                    <w:rPr>
                                      <w:rFonts w:ascii="標楷體" w:eastAsia="標楷體" w:hAnsi="標楷體" w:hint="eastAsia"/>
                                      <w:b/>
                                      <w:szCs w:val="24"/>
                                    </w:rPr>
                                    <w:t>全國</w:t>
                                  </w:r>
                                  <w:r w:rsidRPr="005014A8">
                                    <w:rPr>
                                      <w:rFonts w:ascii="標楷體" w:eastAsia="標楷體" w:hAnsi="標楷體" w:hint="eastAsia"/>
                                      <w:b/>
                                      <w:szCs w:val="24"/>
                                    </w:rPr>
                                    <w:t>各機關（構）</w:t>
                                  </w:r>
                                  <w:r w:rsidRPr="004D42BA">
                                    <w:rPr>
                                      <w:rFonts w:ascii="標楷體" w:eastAsia="標楷體" w:hAnsi="標楷體" w:hint="eastAsia"/>
                                      <w:b/>
                                      <w:szCs w:val="24"/>
                                    </w:rPr>
                                    <w:t>自行訂</w:t>
                                  </w:r>
                                  <w:proofErr w:type="gramStart"/>
                                  <w:r w:rsidRPr="004D42BA">
                                    <w:rPr>
                                      <w:rFonts w:ascii="標楷體" w:eastAsia="標楷體" w:hAnsi="標楷體" w:hint="eastAsia"/>
                                      <w:b/>
                                      <w:szCs w:val="24"/>
                                    </w:rPr>
                                    <w:t>定</w:t>
                                  </w:r>
                                  <w:r w:rsidRPr="008D1E3D">
                                    <w:rPr>
                                      <w:rFonts w:ascii="標楷體" w:eastAsia="標楷體" w:hAnsi="標楷體" w:hint="eastAsia"/>
                                      <w:b/>
                                      <w:szCs w:val="24"/>
                                    </w:rPr>
                                    <w:t>霸凌</w:t>
                                  </w:r>
                                  <w:proofErr w:type="gramEnd"/>
                                  <w:r w:rsidRPr="008D1E3D">
                                    <w:rPr>
                                      <w:rFonts w:ascii="標楷體" w:eastAsia="標楷體" w:hAnsi="標楷體" w:hint="eastAsia"/>
                                      <w:b/>
                                      <w:szCs w:val="24"/>
                                    </w:rPr>
                                    <w:t>防治與處置規範情形</w:t>
                                  </w:r>
                                </w:p>
                                <w:p w14:paraId="3AEF6BD6" w14:textId="77777777" w:rsidR="00F532FB" w:rsidRPr="005014A8" w:rsidRDefault="00F532FB" w:rsidP="005B11FD">
                                  <w:pPr>
                                    <w:overflowPunct w:val="0"/>
                                    <w:snapToGrid w:val="0"/>
                                    <w:jc w:val="right"/>
                                    <w:rPr>
                                      <w:rFonts w:ascii="標楷體" w:eastAsia="標楷體" w:hAnsi="標楷體"/>
                                      <w:b/>
                                      <w:szCs w:val="24"/>
                                    </w:rPr>
                                  </w:pPr>
                                  <w:r w:rsidRPr="005014A8">
                                    <w:rPr>
                                      <w:rFonts w:ascii="標楷體" w:eastAsia="標楷體" w:hAnsi="標楷體" w:hint="eastAsia"/>
                                      <w:sz w:val="20"/>
                                      <w:szCs w:val="24"/>
                                    </w:rPr>
                                    <w:t>單位：</w:t>
                                  </w:r>
                                  <w:proofErr w:type="gramStart"/>
                                  <w:r w:rsidRPr="005014A8">
                                    <w:rPr>
                                      <w:rFonts w:ascii="標楷體" w:eastAsia="標楷體" w:hAnsi="標楷體" w:hint="eastAsia"/>
                                      <w:sz w:val="20"/>
                                      <w:szCs w:val="24"/>
                                    </w:rPr>
                                    <w:t>個</w:t>
                                  </w:r>
                                  <w:proofErr w:type="gramEnd"/>
                                </w:p>
                              </w:tc>
                            </w:tr>
                            <w:tr w:rsidR="00F532FB" w:rsidRPr="005014A8" w14:paraId="0427A016" w14:textId="77777777" w:rsidTr="004D42BA">
                              <w:trPr>
                                <w:trHeight w:val="20"/>
                              </w:trPr>
                              <w:tc>
                                <w:tcPr>
                                  <w:tcW w:w="1098" w:type="dxa"/>
                                  <w:tcBorders>
                                    <w:tl2br w:val="single" w:sz="4" w:space="0" w:color="auto"/>
                                  </w:tcBorders>
                                  <w:vAlign w:val="center"/>
                                </w:tcPr>
                                <w:p w14:paraId="0313FF03" w14:textId="77777777" w:rsidR="00F532FB" w:rsidRDefault="00F532FB" w:rsidP="008D1E3D">
                                  <w:pPr>
                                    <w:overflowPunct w:val="0"/>
                                    <w:snapToGrid w:val="0"/>
                                    <w:jc w:val="right"/>
                                    <w:rPr>
                                      <w:rFonts w:ascii="標楷體" w:eastAsia="標楷體" w:hAnsi="標楷體"/>
                                      <w:sz w:val="20"/>
                                    </w:rPr>
                                  </w:pPr>
                                  <w:r>
                                    <w:rPr>
                                      <w:rFonts w:ascii="標楷體" w:eastAsia="標楷體" w:hAnsi="標楷體" w:hint="eastAsia"/>
                                      <w:sz w:val="20"/>
                                    </w:rPr>
                                    <w:t>辦理</w:t>
                                  </w:r>
                                </w:p>
                                <w:p w14:paraId="312ABD6E" w14:textId="77777777" w:rsidR="00F532FB" w:rsidRDefault="00F532FB" w:rsidP="008D1E3D">
                                  <w:pPr>
                                    <w:overflowPunct w:val="0"/>
                                    <w:snapToGrid w:val="0"/>
                                    <w:jc w:val="right"/>
                                    <w:rPr>
                                      <w:rFonts w:ascii="標楷體" w:eastAsia="標楷體" w:hAnsi="標楷體"/>
                                      <w:sz w:val="20"/>
                                    </w:rPr>
                                  </w:pPr>
                                  <w:r>
                                    <w:rPr>
                                      <w:rFonts w:ascii="標楷體" w:eastAsia="標楷體" w:hAnsi="標楷體" w:hint="eastAsia"/>
                                      <w:sz w:val="20"/>
                                    </w:rPr>
                                    <w:t>情形</w:t>
                                  </w:r>
                                </w:p>
                                <w:p w14:paraId="4FB1E64D" w14:textId="77777777" w:rsidR="00F532FB" w:rsidRDefault="00F532FB" w:rsidP="008D1E3D">
                                  <w:pPr>
                                    <w:overflowPunct w:val="0"/>
                                    <w:snapToGrid w:val="0"/>
                                    <w:jc w:val="right"/>
                                    <w:rPr>
                                      <w:rFonts w:ascii="標楷體" w:eastAsia="標楷體" w:hAnsi="標楷體"/>
                                      <w:sz w:val="20"/>
                                    </w:rPr>
                                  </w:pPr>
                                </w:p>
                                <w:p w14:paraId="76DCF16F" w14:textId="77777777" w:rsidR="00F532FB" w:rsidRPr="00F60CFF" w:rsidRDefault="00F532FB" w:rsidP="008D1E3D">
                                  <w:pPr>
                                    <w:overflowPunct w:val="0"/>
                                    <w:snapToGrid w:val="0"/>
                                    <w:rPr>
                                      <w:rFonts w:ascii="標楷體" w:eastAsia="標楷體" w:hAnsi="標楷體"/>
                                      <w:sz w:val="20"/>
                                    </w:rPr>
                                  </w:pPr>
                                  <w:r w:rsidRPr="00F60CFF">
                                    <w:rPr>
                                      <w:rFonts w:ascii="標楷體" w:eastAsia="標楷體" w:hAnsi="標楷體" w:hint="eastAsia"/>
                                      <w:sz w:val="20"/>
                                    </w:rPr>
                                    <w:t>政府別</w:t>
                                  </w:r>
                                </w:p>
                              </w:tc>
                              <w:tc>
                                <w:tcPr>
                                  <w:tcW w:w="745" w:type="dxa"/>
                                  <w:vAlign w:val="center"/>
                                </w:tcPr>
                                <w:p w14:paraId="15272AE2" w14:textId="77777777" w:rsidR="00F532FB" w:rsidRPr="00F60CFF" w:rsidRDefault="00F532FB" w:rsidP="008D1E3D">
                                  <w:pPr>
                                    <w:overflowPunct w:val="0"/>
                                    <w:snapToGrid w:val="0"/>
                                    <w:jc w:val="center"/>
                                    <w:rPr>
                                      <w:rFonts w:ascii="標楷體" w:eastAsia="標楷體" w:hAnsi="標楷體"/>
                                      <w:sz w:val="20"/>
                                    </w:rPr>
                                  </w:pPr>
                                  <w:r w:rsidRPr="00F60CFF">
                                    <w:rPr>
                                      <w:rFonts w:ascii="標楷體" w:eastAsia="標楷體" w:hAnsi="標楷體" w:hint="eastAsia"/>
                                      <w:sz w:val="20"/>
                                    </w:rPr>
                                    <w:t>合計</w:t>
                                  </w:r>
                                </w:p>
                              </w:tc>
                              <w:tc>
                                <w:tcPr>
                                  <w:tcW w:w="851" w:type="dxa"/>
                                  <w:vAlign w:val="center"/>
                                </w:tcPr>
                                <w:p w14:paraId="1AA4E7CF" w14:textId="77777777" w:rsidR="00F532FB" w:rsidRPr="00F60CFF" w:rsidRDefault="00F532FB" w:rsidP="008D1E3D">
                                  <w:pPr>
                                    <w:overflowPunct w:val="0"/>
                                    <w:snapToGrid w:val="0"/>
                                    <w:jc w:val="center"/>
                                    <w:rPr>
                                      <w:rFonts w:ascii="標楷體" w:eastAsia="標楷體" w:hAnsi="標楷體"/>
                                      <w:sz w:val="20"/>
                                    </w:rPr>
                                  </w:pPr>
                                  <w:r w:rsidRPr="008D1E3D">
                                    <w:rPr>
                                      <w:rFonts w:ascii="標楷體" w:eastAsia="標楷體" w:hAnsi="標楷體" w:hint="eastAsia"/>
                                      <w:sz w:val="20"/>
                                    </w:rPr>
                                    <w:t>已訂定</w:t>
                                  </w:r>
                                </w:p>
                              </w:tc>
                              <w:tc>
                                <w:tcPr>
                                  <w:tcW w:w="708" w:type="dxa"/>
                                  <w:vAlign w:val="center"/>
                                </w:tcPr>
                                <w:p w14:paraId="435DC385" w14:textId="77777777" w:rsidR="00F532FB" w:rsidRDefault="00F532FB" w:rsidP="008D1E3D">
                                  <w:pPr>
                                    <w:overflowPunct w:val="0"/>
                                    <w:snapToGrid w:val="0"/>
                                    <w:jc w:val="center"/>
                                    <w:rPr>
                                      <w:rFonts w:ascii="標楷體" w:eastAsia="標楷體" w:hAnsi="標楷體"/>
                                      <w:sz w:val="20"/>
                                    </w:rPr>
                                  </w:pPr>
                                  <w:r w:rsidRPr="008D1E3D">
                                    <w:rPr>
                                      <w:rFonts w:ascii="標楷體" w:eastAsia="標楷體" w:hAnsi="標楷體" w:hint="eastAsia"/>
                                      <w:sz w:val="20"/>
                                    </w:rPr>
                                    <w:t>尚</w:t>
                                  </w:r>
                                  <w:r>
                                    <w:rPr>
                                      <w:rFonts w:ascii="標楷體" w:eastAsia="標楷體" w:hAnsi="標楷體" w:hint="eastAsia"/>
                                      <w:sz w:val="20"/>
                                    </w:rPr>
                                    <w:t>待</w:t>
                                  </w:r>
                                </w:p>
                                <w:p w14:paraId="7F229E8D" w14:textId="77777777" w:rsidR="00F532FB" w:rsidRPr="00F60CFF" w:rsidRDefault="00F532FB" w:rsidP="008D1E3D">
                                  <w:pPr>
                                    <w:overflowPunct w:val="0"/>
                                    <w:snapToGrid w:val="0"/>
                                    <w:jc w:val="center"/>
                                    <w:rPr>
                                      <w:rFonts w:ascii="標楷體" w:eastAsia="標楷體" w:hAnsi="標楷體"/>
                                      <w:sz w:val="20"/>
                                    </w:rPr>
                                  </w:pPr>
                                  <w:r w:rsidRPr="008D1E3D">
                                    <w:rPr>
                                      <w:rFonts w:ascii="標楷體" w:eastAsia="標楷體" w:hAnsi="標楷體" w:hint="eastAsia"/>
                                      <w:sz w:val="20"/>
                                    </w:rPr>
                                    <w:t>訂</w:t>
                                  </w:r>
                                  <w:r>
                                    <w:rPr>
                                      <w:rFonts w:ascii="標楷體" w:eastAsia="標楷體" w:hAnsi="標楷體" w:hint="eastAsia"/>
                                      <w:sz w:val="20"/>
                                    </w:rPr>
                                    <w:t>定</w:t>
                                  </w:r>
                                </w:p>
                              </w:tc>
                              <w:tc>
                                <w:tcPr>
                                  <w:tcW w:w="1134" w:type="dxa"/>
                                  <w:vAlign w:val="center"/>
                                </w:tcPr>
                                <w:p w14:paraId="3A2A4F0E" w14:textId="1D51E28E" w:rsidR="00F532FB" w:rsidRPr="00F60CFF" w:rsidRDefault="00F532FB" w:rsidP="000554A0">
                                  <w:pPr>
                                    <w:overflowPunct w:val="0"/>
                                    <w:snapToGrid w:val="0"/>
                                    <w:jc w:val="center"/>
                                    <w:rPr>
                                      <w:rFonts w:ascii="標楷體" w:eastAsia="標楷體" w:hAnsi="標楷體"/>
                                      <w:sz w:val="20"/>
                                    </w:rPr>
                                  </w:pPr>
                                  <w:r w:rsidRPr="00F60CFF">
                                    <w:rPr>
                                      <w:rFonts w:ascii="標楷體" w:eastAsia="標楷體" w:hAnsi="標楷體" w:hint="eastAsia"/>
                                      <w:sz w:val="20"/>
                                    </w:rPr>
                                    <w:t>依職業安全衛生法或相關規定辦理</w:t>
                                  </w:r>
                                </w:p>
                              </w:tc>
                            </w:tr>
                            <w:tr w:rsidR="00F532FB" w:rsidRPr="005014A8" w14:paraId="5D9D908B" w14:textId="77777777" w:rsidTr="004D42BA">
                              <w:trPr>
                                <w:trHeight w:val="283"/>
                              </w:trPr>
                              <w:tc>
                                <w:tcPr>
                                  <w:tcW w:w="1098" w:type="dxa"/>
                                  <w:vAlign w:val="center"/>
                                </w:tcPr>
                                <w:p w14:paraId="7F3510DA" w14:textId="77777777" w:rsidR="00F532FB" w:rsidRPr="00A002B8" w:rsidRDefault="00F532FB" w:rsidP="008D1E3D">
                                  <w:pPr>
                                    <w:overflowPunct w:val="0"/>
                                    <w:snapToGrid w:val="0"/>
                                    <w:jc w:val="center"/>
                                    <w:rPr>
                                      <w:rFonts w:ascii="標楷體" w:eastAsia="標楷體" w:hAnsi="標楷體"/>
                                      <w:b/>
                                      <w:sz w:val="20"/>
                                    </w:rPr>
                                  </w:pPr>
                                  <w:r w:rsidRPr="00A002B8">
                                    <w:rPr>
                                      <w:rFonts w:ascii="標楷體" w:eastAsia="標楷體" w:hAnsi="標楷體" w:hint="eastAsia"/>
                                      <w:b/>
                                      <w:sz w:val="20"/>
                                    </w:rPr>
                                    <w:t>合計</w:t>
                                  </w:r>
                                </w:p>
                              </w:tc>
                              <w:tc>
                                <w:tcPr>
                                  <w:tcW w:w="745" w:type="dxa"/>
                                  <w:vAlign w:val="center"/>
                                </w:tcPr>
                                <w:p w14:paraId="31D4897C"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1,096</w:t>
                                  </w:r>
                                </w:p>
                              </w:tc>
                              <w:tc>
                                <w:tcPr>
                                  <w:tcW w:w="851" w:type="dxa"/>
                                </w:tcPr>
                                <w:p w14:paraId="41AB317D"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832</w:t>
                                  </w:r>
                                </w:p>
                              </w:tc>
                              <w:tc>
                                <w:tcPr>
                                  <w:tcW w:w="708" w:type="dxa"/>
                                </w:tcPr>
                                <w:p w14:paraId="5F966146"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74</w:t>
                                  </w:r>
                                </w:p>
                              </w:tc>
                              <w:tc>
                                <w:tcPr>
                                  <w:tcW w:w="1134" w:type="dxa"/>
                                </w:tcPr>
                                <w:p w14:paraId="271EA49B"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190</w:t>
                                  </w:r>
                                </w:p>
                              </w:tc>
                            </w:tr>
                            <w:tr w:rsidR="00F532FB" w:rsidRPr="005014A8" w14:paraId="02222C94" w14:textId="77777777" w:rsidTr="004D42BA">
                              <w:trPr>
                                <w:trHeight w:val="283"/>
                              </w:trPr>
                              <w:tc>
                                <w:tcPr>
                                  <w:tcW w:w="1098" w:type="dxa"/>
                                  <w:vAlign w:val="center"/>
                                </w:tcPr>
                                <w:p w14:paraId="00BF1438" w14:textId="77777777" w:rsidR="00F532FB" w:rsidRPr="00A002B8" w:rsidRDefault="00F532FB" w:rsidP="008D1E3D">
                                  <w:pPr>
                                    <w:overflowPunct w:val="0"/>
                                    <w:snapToGrid w:val="0"/>
                                    <w:jc w:val="center"/>
                                    <w:rPr>
                                      <w:rFonts w:ascii="標楷體" w:eastAsia="標楷體" w:hAnsi="標楷體"/>
                                      <w:sz w:val="20"/>
                                    </w:rPr>
                                  </w:pPr>
                                  <w:r w:rsidRPr="00A002B8">
                                    <w:rPr>
                                      <w:rFonts w:ascii="標楷體" w:eastAsia="標楷體" w:hAnsi="標楷體" w:hint="eastAsia"/>
                                      <w:sz w:val="20"/>
                                    </w:rPr>
                                    <w:t>中央政府</w:t>
                                  </w:r>
                                </w:p>
                              </w:tc>
                              <w:tc>
                                <w:tcPr>
                                  <w:tcW w:w="745" w:type="dxa"/>
                                  <w:vAlign w:val="center"/>
                                </w:tcPr>
                                <w:p w14:paraId="3D775527" w14:textId="77777777" w:rsidR="00F532FB" w:rsidRPr="00A002B8" w:rsidRDefault="00F532FB" w:rsidP="008D1E3D">
                                  <w:pPr>
                                    <w:overflowPunct w:val="0"/>
                                    <w:snapToGrid w:val="0"/>
                                    <w:jc w:val="right"/>
                                    <w:rPr>
                                      <w:rFonts w:ascii="標楷體" w:eastAsia="標楷體" w:hAnsi="標楷體"/>
                                      <w:b/>
                                      <w:sz w:val="20"/>
                                    </w:rPr>
                                  </w:pPr>
                                  <w:r w:rsidRPr="00A002B8">
                                    <w:rPr>
                                      <w:rFonts w:ascii="標楷體" w:eastAsia="標楷體" w:hAnsi="標楷體"/>
                                      <w:b/>
                                      <w:sz w:val="20"/>
                                    </w:rPr>
                                    <w:t>353</w:t>
                                  </w:r>
                                </w:p>
                              </w:tc>
                              <w:tc>
                                <w:tcPr>
                                  <w:tcW w:w="851" w:type="dxa"/>
                                </w:tcPr>
                                <w:p w14:paraId="260A8479"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242</w:t>
                                  </w:r>
                                </w:p>
                              </w:tc>
                              <w:tc>
                                <w:tcPr>
                                  <w:tcW w:w="708" w:type="dxa"/>
                                </w:tcPr>
                                <w:p w14:paraId="7C88E9F3"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28</w:t>
                                  </w:r>
                                </w:p>
                              </w:tc>
                              <w:tc>
                                <w:tcPr>
                                  <w:tcW w:w="1134" w:type="dxa"/>
                                </w:tcPr>
                                <w:p w14:paraId="2B8400DF"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83</w:t>
                                  </w:r>
                                </w:p>
                              </w:tc>
                            </w:tr>
                            <w:tr w:rsidR="00F532FB" w:rsidRPr="005014A8" w14:paraId="64A59D7B" w14:textId="77777777" w:rsidTr="004D42BA">
                              <w:trPr>
                                <w:trHeight w:val="283"/>
                              </w:trPr>
                              <w:tc>
                                <w:tcPr>
                                  <w:tcW w:w="1098" w:type="dxa"/>
                                  <w:tcBorders>
                                    <w:bottom w:val="single" w:sz="4" w:space="0" w:color="auto"/>
                                  </w:tcBorders>
                                  <w:vAlign w:val="center"/>
                                </w:tcPr>
                                <w:p w14:paraId="7414DAC4" w14:textId="77777777" w:rsidR="00F532FB" w:rsidRPr="00A002B8" w:rsidRDefault="00F532FB" w:rsidP="008D1E3D">
                                  <w:pPr>
                                    <w:overflowPunct w:val="0"/>
                                    <w:snapToGrid w:val="0"/>
                                    <w:jc w:val="center"/>
                                    <w:rPr>
                                      <w:rFonts w:ascii="標楷體" w:eastAsia="標楷體" w:hAnsi="標楷體"/>
                                      <w:sz w:val="20"/>
                                    </w:rPr>
                                  </w:pPr>
                                  <w:r w:rsidRPr="00A002B8">
                                    <w:rPr>
                                      <w:rFonts w:ascii="標楷體" w:eastAsia="標楷體" w:hAnsi="標楷體" w:hint="eastAsia"/>
                                      <w:sz w:val="20"/>
                                    </w:rPr>
                                    <w:t>地方政府</w:t>
                                  </w:r>
                                </w:p>
                              </w:tc>
                              <w:tc>
                                <w:tcPr>
                                  <w:tcW w:w="745" w:type="dxa"/>
                                  <w:tcBorders>
                                    <w:bottom w:val="single" w:sz="4" w:space="0" w:color="auto"/>
                                  </w:tcBorders>
                                  <w:vAlign w:val="center"/>
                                </w:tcPr>
                                <w:p w14:paraId="5F198977" w14:textId="77777777" w:rsidR="00F532FB" w:rsidRPr="00A002B8" w:rsidRDefault="00F532FB" w:rsidP="008D1E3D">
                                  <w:pPr>
                                    <w:overflowPunct w:val="0"/>
                                    <w:snapToGrid w:val="0"/>
                                    <w:jc w:val="right"/>
                                    <w:rPr>
                                      <w:rFonts w:ascii="標楷體" w:eastAsia="標楷體" w:hAnsi="標楷體"/>
                                      <w:b/>
                                      <w:sz w:val="20"/>
                                    </w:rPr>
                                  </w:pPr>
                                  <w:r w:rsidRPr="00A002B8">
                                    <w:rPr>
                                      <w:rFonts w:ascii="標楷體" w:eastAsia="標楷體" w:hAnsi="標楷體" w:hint="eastAsia"/>
                                      <w:b/>
                                      <w:sz w:val="20"/>
                                    </w:rPr>
                                    <w:t>7</w:t>
                                  </w:r>
                                  <w:r w:rsidRPr="00A002B8">
                                    <w:rPr>
                                      <w:rFonts w:ascii="標楷體" w:eastAsia="標楷體" w:hAnsi="標楷體"/>
                                      <w:b/>
                                      <w:sz w:val="20"/>
                                    </w:rPr>
                                    <w:t>43</w:t>
                                  </w:r>
                                </w:p>
                              </w:tc>
                              <w:tc>
                                <w:tcPr>
                                  <w:tcW w:w="851" w:type="dxa"/>
                                  <w:tcBorders>
                                    <w:bottom w:val="single" w:sz="4" w:space="0" w:color="auto"/>
                                  </w:tcBorders>
                                </w:tcPr>
                                <w:p w14:paraId="71BB7929"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590</w:t>
                                  </w:r>
                                </w:p>
                              </w:tc>
                              <w:tc>
                                <w:tcPr>
                                  <w:tcW w:w="708" w:type="dxa"/>
                                  <w:tcBorders>
                                    <w:bottom w:val="single" w:sz="4" w:space="0" w:color="auto"/>
                                  </w:tcBorders>
                                </w:tcPr>
                                <w:p w14:paraId="40241F6B"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46</w:t>
                                  </w:r>
                                </w:p>
                              </w:tc>
                              <w:tc>
                                <w:tcPr>
                                  <w:tcW w:w="1134" w:type="dxa"/>
                                  <w:tcBorders>
                                    <w:bottom w:val="single" w:sz="4" w:space="0" w:color="auto"/>
                                  </w:tcBorders>
                                </w:tcPr>
                                <w:p w14:paraId="44D619B9"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107</w:t>
                                  </w:r>
                                </w:p>
                              </w:tc>
                            </w:tr>
                            <w:tr w:rsidR="00F532FB" w:rsidRPr="00A002B8" w14:paraId="092207B7" w14:textId="77777777" w:rsidTr="004D42BA">
                              <w:trPr>
                                <w:trHeight w:val="20"/>
                              </w:trPr>
                              <w:tc>
                                <w:tcPr>
                                  <w:tcW w:w="4536" w:type="dxa"/>
                                  <w:gridSpan w:val="5"/>
                                  <w:tcBorders>
                                    <w:left w:val="nil"/>
                                    <w:bottom w:val="nil"/>
                                    <w:right w:val="nil"/>
                                  </w:tcBorders>
                                  <w:vAlign w:val="center"/>
                                </w:tcPr>
                                <w:p w14:paraId="40975844" w14:textId="77777777" w:rsidR="00F532FB" w:rsidRPr="00A002B8" w:rsidRDefault="00F532FB" w:rsidP="005B11FD">
                                  <w:pPr>
                                    <w:overflowPunct w:val="0"/>
                                    <w:snapToGrid w:val="0"/>
                                    <w:rPr>
                                      <w:rFonts w:ascii="標楷體" w:eastAsia="標楷體" w:hAnsi="標楷體"/>
                                      <w:sz w:val="18"/>
                                    </w:rPr>
                                  </w:pPr>
                                  <w:r w:rsidRPr="00A002B8">
                                    <w:rPr>
                                      <w:rFonts w:ascii="標楷體" w:eastAsia="標楷體" w:hAnsi="標楷體" w:hint="eastAsia"/>
                                      <w:sz w:val="18"/>
                                    </w:rPr>
                                    <w:t>資料來源：整理自各機關（構）</w:t>
                                  </w:r>
                                  <w:proofErr w:type="gramStart"/>
                                  <w:r w:rsidRPr="00A002B8">
                                    <w:rPr>
                                      <w:rFonts w:ascii="標楷體" w:eastAsia="標楷體" w:hAnsi="標楷體" w:hint="eastAsia"/>
                                      <w:sz w:val="18"/>
                                    </w:rPr>
                                    <w:t>查填資料</w:t>
                                  </w:r>
                                  <w:proofErr w:type="gramEnd"/>
                                  <w:r w:rsidRPr="00A002B8">
                                    <w:rPr>
                                      <w:rFonts w:ascii="標楷體" w:eastAsia="標楷體" w:hAnsi="標楷體" w:hint="eastAsia"/>
                                      <w:sz w:val="18"/>
                                    </w:rPr>
                                    <w:t>。</w:t>
                                  </w:r>
                                </w:p>
                              </w:tc>
                            </w:tr>
                          </w:tbl>
                          <w:p w14:paraId="798EB73E" w14:textId="77777777" w:rsidR="00F532FB" w:rsidRPr="005B11FD" w:rsidRDefault="00F532FB" w:rsidP="00F532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287CC1" id="_x0000_s1148" type="#_x0000_t202" style="position:absolute;left:0;text-align:left;margin-left:256pt;margin-top:108.85pt;width:239.4pt;height:161.15pt;z-index:251624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" stroked="f">
                <v:textbox>
                  <w:txbxContent>
                    <w:tbl>
                      <w:tblPr>
                        <w:tblStyle w:val="afff"/>
                        <w:tblW w:w="4536" w:type="dxa"/>
                        <w:tblLayout w:type="fixed"/>
                        <w:tblLook w:val="04A0" w:firstRow="1" w:lastRow="0" w:firstColumn="1" w:lastColumn="0" w:noHBand="0" w:noVBand="1"/>
                      </w:tblPr>
                      <w:tblGrid>
                        <w:gridCol w:w="1098"/>
                        <w:gridCol w:w="745"/>
                        <w:gridCol w:w="851"/>
                        <w:gridCol w:w="708"/>
                        <w:gridCol w:w="1134"/>
                      </w:tblGrid>
                      <w:tr w:rsidR="00F532FB" w:rsidRPr="005014A8" w14:paraId="0E08CFAE" w14:textId="77777777" w:rsidTr="004D42BA">
                        <w:trPr>
                          <w:trHeight w:val="20"/>
                        </w:trPr>
                        <w:tc>
                          <w:tcPr>
                            <w:tcW w:w="4536" w:type="dxa"/>
                            <w:gridSpan w:val="5"/>
                            <w:tcBorders>
                              <w:top w:val="nil"/>
                              <w:left w:val="nil"/>
                              <w:right w:val="nil"/>
                            </w:tcBorders>
                            <w:vAlign w:val="center"/>
                          </w:tcPr>
                          <w:p w14:paraId="69FD7146" w14:textId="07E72A86" w:rsidR="00F532FB" w:rsidRPr="005014A8" w:rsidRDefault="00F532FB" w:rsidP="004D5E8A">
                            <w:pPr>
                              <w:overflowPunct w:val="0"/>
                              <w:snapToGrid w:val="0"/>
                              <w:ind w:leftChars="-46" w:left="635" w:hangingChars="310" w:hanging="745"/>
                              <w:jc w:val="both"/>
                              <w:rPr>
                                <w:rFonts w:ascii="標楷體" w:eastAsia="標楷體" w:hAnsi="標楷體"/>
                                <w:b/>
                                <w:szCs w:val="24"/>
                              </w:rPr>
                            </w:pPr>
                            <w:r w:rsidRPr="005014A8">
                              <w:rPr>
                                <w:rFonts w:ascii="標楷體" w:eastAsia="標楷體" w:hAnsi="標楷體" w:hint="eastAsia"/>
                                <w:b/>
                                <w:szCs w:val="24"/>
                              </w:rPr>
                              <w:t>表</w:t>
                            </w:r>
                            <w:r w:rsidR="00752106">
                              <w:rPr>
                                <w:rFonts w:ascii="標楷體" w:eastAsia="標楷體" w:hAnsi="標楷體" w:hint="eastAsia"/>
                                <w:b/>
                                <w:szCs w:val="24"/>
                              </w:rPr>
                              <w:t>4</w:t>
                            </w:r>
                            <w:r w:rsidR="00794DCA">
                              <w:rPr>
                                <w:rFonts w:ascii="標楷體" w:eastAsia="標楷體" w:hAnsi="標楷體"/>
                                <w:b/>
                                <w:szCs w:val="24"/>
                              </w:rPr>
                              <w:t>2</w:t>
                            </w:r>
                            <w:r w:rsidRPr="005014A8">
                              <w:rPr>
                                <w:rFonts w:ascii="標楷體" w:eastAsia="標楷體" w:hAnsi="標楷體" w:hint="eastAsia"/>
                                <w:b/>
                                <w:szCs w:val="24"/>
                              </w:rPr>
                              <w:t xml:space="preserve">　截至113年11月底</w:t>
                            </w:r>
                            <w:r>
                              <w:rPr>
                                <w:rFonts w:ascii="標楷體" w:eastAsia="標楷體" w:hAnsi="標楷體" w:hint="eastAsia"/>
                                <w:b/>
                                <w:szCs w:val="24"/>
                              </w:rPr>
                              <w:t>全國</w:t>
                            </w:r>
                            <w:r w:rsidRPr="005014A8">
                              <w:rPr>
                                <w:rFonts w:ascii="標楷體" w:eastAsia="標楷體" w:hAnsi="標楷體" w:hint="eastAsia"/>
                                <w:b/>
                                <w:szCs w:val="24"/>
                              </w:rPr>
                              <w:t>各機關（構）</w:t>
                            </w:r>
                            <w:r w:rsidRPr="004D42BA">
                              <w:rPr>
                                <w:rFonts w:ascii="標楷體" w:eastAsia="標楷體" w:hAnsi="標楷體" w:hint="eastAsia"/>
                                <w:b/>
                                <w:szCs w:val="24"/>
                              </w:rPr>
                              <w:t>自行訂</w:t>
                            </w:r>
                            <w:proofErr w:type="gramStart"/>
                            <w:r w:rsidRPr="004D42BA">
                              <w:rPr>
                                <w:rFonts w:ascii="標楷體" w:eastAsia="標楷體" w:hAnsi="標楷體" w:hint="eastAsia"/>
                                <w:b/>
                                <w:szCs w:val="24"/>
                              </w:rPr>
                              <w:t>定</w:t>
                            </w:r>
                            <w:r w:rsidRPr="008D1E3D">
                              <w:rPr>
                                <w:rFonts w:ascii="標楷體" w:eastAsia="標楷體" w:hAnsi="標楷體" w:hint="eastAsia"/>
                                <w:b/>
                                <w:szCs w:val="24"/>
                              </w:rPr>
                              <w:t>霸凌</w:t>
                            </w:r>
                            <w:proofErr w:type="gramEnd"/>
                            <w:r w:rsidRPr="008D1E3D">
                              <w:rPr>
                                <w:rFonts w:ascii="標楷體" w:eastAsia="標楷體" w:hAnsi="標楷體" w:hint="eastAsia"/>
                                <w:b/>
                                <w:szCs w:val="24"/>
                              </w:rPr>
                              <w:t>防治與處置規範情形</w:t>
                            </w:r>
                          </w:p>
                          <w:p w14:paraId="3AEF6BD6" w14:textId="77777777" w:rsidR="00F532FB" w:rsidRPr="005014A8" w:rsidRDefault="00F532FB" w:rsidP="005B11FD">
                            <w:pPr>
                              <w:overflowPunct w:val="0"/>
                              <w:snapToGrid w:val="0"/>
                              <w:jc w:val="right"/>
                              <w:rPr>
                                <w:rFonts w:ascii="標楷體" w:eastAsia="標楷體" w:hAnsi="標楷體"/>
                                <w:b/>
                                <w:szCs w:val="24"/>
                              </w:rPr>
                            </w:pPr>
                            <w:r w:rsidRPr="005014A8">
                              <w:rPr>
                                <w:rFonts w:ascii="標楷體" w:eastAsia="標楷體" w:hAnsi="標楷體" w:hint="eastAsia"/>
                                <w:sz w:val="20"/>
                                <w:szCs w:val="24"/>
                              </w:rPr>
                              <w:t>單位：</w:t>
                            </w:r>
                            <w:proofErr w:type="gramStart"/>
                            <w:r w:rsidRPr="005014A8">
                              <w:rPr>
                                <w:rFonts w:ascii="標楷體" w:eastAsia="標楷體" w:hAnsi="標楷體" w:hint="eastAsia"/>
                                <w:sz w:val="20"/>
                                <w:szCs w:val="24"/>
                              </w:rPr>
                              <w:t>個</w:t>
                            </w:r>
                            <w:proofErr w:type="gramEnd"/>
                          </w:p>
                        </w:tc>
                      </w:tr>
                      <w:tr w:rsidR="00F532FB" w:rsidRPr="005014A8" w14:paraId="0427A016" w14:textId="77777777" w:rsidTr="004D42BA">
                        <w:trPr>
                          <w:trHeight w:val="20"/>
                        </w:trPr>
                        <w:tc>
                          <w:tcPr>
                            <w:tcW w:w="1098" w:type="dxa"/>
                            <w:tcBorders>
                              <w:tl2br w:val="single" w:sz="4" w:space="0" w:color="auto"/>
                            </w:tcBorders>
                            <w:vAlign w:val="center"/>
                          </w:tcPr>
                          <w:p w14:paraId="0313FF03" w14:textId="77777777" w:rsidR="00F532FB" w:rsidRDefault="00F532FB" w:rsidP="008D1E3D">
                            <w:pPr>
                              <w:overflowPunct w:val="0"/>
                              <w:snapToGrid w:val="0"/>
                              <w:jc w:val="right"/>
                              <w:rPr>
                                <w:rFonts w:ascii="標楷體" w:eastAsia="標楷體" w:hAnsi="標楷體"/>
                                <w:sz w:val="20"/>
                              </w:rPr>
                            </w:pPr>
                            <w:r>
                              <w:rPr>
                                <w:rFonts w:ascii="標楷體" w:eastAsia="標楷體" w:hAnsi="標楷體" w:hint="eastAsia"/>
                                <w:sz w:val="20"/>
                              </w:rPr>
                              <w:t>辦理</w:t>
                            </w:r>
                          </w:p>
                          <w:p w14:paraId="312ABD6E" w14:textId="77777777" w:rsidR="00F532FB" w:rsidRDefault="00F532FB" w:rsidP="008D1E3D">
                            <w:pPr>
                              <w:overflowPunct w:val="0"/>
                              <w:snapToGrid w:val="0"/>
                              <w:jc w:val="right"/>
                              <w:rPr>
                                <w:rFonts w:ascii="標楷體" w:eastAsia="標楷體" w:hAnsi="標楷體"/>
                                <w:sz w:val="20"/>
                              </w:rPr>
                            </w:pPr>
                            <w:r>
                              <w:rPr>
                                <w:rFonts w:ascii="標楷體" w:eastAsia="標楷體" w:hAnsi="標楷體" w:hint="eastAsia"/>
                                <w:sz w:val="20"/>
                              </w:rPr>
                              <w:t>情形</w:t>
                            </w:r>
                          </w:p>
                          <w:p w14:paraId="4FB1E64D" w14:textId="77777777" w:rsidR="00F532FB" w:rsidRDefault="00F532FB" w:rsidP="008D1E3D">
                            <w:pPr>
                              <w:overflowPunct w:val="0"/>
                              <w:snapToGrid w:val="0"/>
                              <w:jc w:val="right"/>
                              <w:rPr>
                                <w:rFonts w:ascii="標楷體" w:eastAsia="標楷體" w:hAnsi="標楷體"/>
                                <w:sz w:val="20"/>
                              </w:rPr>
                            </w:pPr>
                          </w:p>
                          <w:p w14:paraId="76DCF16F" w14:textId="77777777" w:rsidR="00F532FB" w:rsidRPr="00F60CFF" w:rsidRDefault="00F532FB" w:rsidP="008D1E3D">
                            <w:pPr>
                              <w:overflowPunct w:val="0"/>
                              <w:snapToGrid w:val="0"/>
                              <w:rPr>
                                <w:rFonts w:ascii="標楷體" w:eastAsia="標楷體" w:hAnsi="標楷體"/>
                                <w:sz w:val="20"/>
                              </w:rPr>
                            </w:pPr>
                            <w:r w:rsidRPr="00F60CFF">
                              <w:rPr>
                                <w:rFonts w:ascii="標楷體" w:eastAsia="標楷體" w:hAnsi="標楷體" w:hint="eastAsia"/>
                                <w:sz w:val="20"/>
                              </w:rPr>
                              <w:t>政府別</w:t>
                            </w:r>
                          </w:p>
                        </w:tc>
                        <w:tc>
                          <w:tcPr>
                            <w:tcW w:w="745" w:type="dxa"/>
                            <w:vAlign w:val="center"/>
                          </w:tcPr>
                          <w:p w14:paraId="15272AE2" w14:textId="77777777" w:rsidR="00F532FB" w:rsidRPr="00F60CFF" w:rsidRDefault="00F532FB" w:rsidP="008D1E3D">
                            <w:pPr>
                              <w:overflowPunct w:val="0"/>
                              <w:snapToGrid w:val="0"/>
                              <w:jc w:val="center"/>
                              <w:rPr>
                                <w:rFonts w:ascii="標楷體" w:eastAsia="標楷體" w:hAnsi="標楷體"/>
                                <w:sz w:val="20"/>
                              </w:rPr>
                            </w:pPr>
                            <w:r w:rsidRPr="00F60CFF">
                              <w:rPr>
                                <w:rFonts w:ascii="標楷體" w:eastAsia="標楷體" w:hAnsi="標楷體" w:hint="eastAsia"/>
                                <w:sz w:val="20"/>
                              </w:rPr>
                              <w:t>合計</w:t>
                            </w:r>
                          </w:p>
                        </w:tc>
                        <w:tc>
                          <w:tcPr>
                            <w:tcW w:w="851" w:type="dxa"/>
                            <w:vAlign w:val="center"/>
                          </w:tcPr>
                          <w:p w14:paraId="1AA4E7CF" w14:textId="77777777" w:rsidR="00F532FB" w:rsidRPr="00F60CFF" w:rsidRDefault="00F532FB" w:rsidP="008D1E3D">
                            <w:pPr>
                              <w:overflowPunct w:val="0"/>
                              <w:snapToGrid w:val="0"/>
                              <w:jc w:val="center"/>
                              <w:rPr>
                                <w:rFonts w:ascii="標楷體" w:eastAsia="標楷體" w:hAnsi="標楷體"/>
                                <w:sz w:val="20"/>
                              </w:rPr>
                            </w:pPr>
                            <w:r w:rsidRPr="008D1E3D">
                              <w:rPr>
                                <w:rFonts w:ascii="標楷體" w:eastAsia="標楷體" w:hAnsi="標楷體" w:hint="eastAsia"/>
                                <w:sz w:val="20"/>
                              </w:rPr>
                              <w:t>已訂定</w:t>
                            </w:r>
                          </w:p>
                        </w:tc>
                        <w:tc>
                          <w:tcPr>
                            <w:tcW w:w="708" w:type="dxa"/>
                            <w:vAlign w:val="center"/>
                          </w:tcPr>
                          <w:p w14:paraId="435DC385" w14:textId="77777777" w:rsidR="00F532FB" w:rsidRDefault="00F532FB" w:rsidP="008D1E3D">
                            <w:pPr>
                              <w:overflowPunct w:val="0"/>
                              <w:snapToGrid w:val="0"/>
                              <w:jc w:val="center"/>
                              <w:rPr>
                                <w:rFonts w:ascii="標楷體" w:eastAsia="標楷體" w:hAnsi="標楷體"/>
                                <w:sz w:val="20"/>
                              </w:rPr>
                            </w:pPr>
                            <w:r w:rsidRPr="008D1E3D">
                              <w:rPr>
                                <w:rFonts w:ascii="標楷體" w:eastAsia="標楷體" w:hAnsi="標楷體" w:hint="eastAsia"/>
                                <w:sz w:val="20"/>
                              </w:rPr>
                              <w:t>尚</w:t>
                            </w:r>
                            <w:r>
                              <w:rPr>
                                <w:rFonts w:ascii="標楷體" w:eastAsia="標楷體" w:hAnsi="標楷體" w:hint="eastAsia"/>
                                <w:sz w:val="20"/>
                              </w:rPr>
                              <w:t>待</w:t>
                            </w:r>
                          </w:p>
                          <w:p w14:paraId="7F229E8D" w14:textId="77777777" w:rsidR="00F532FB" w:rsidRPr="00F60CFF" w:rsidRDefault="00F532FB" w:rsidP="008D1E3D">
                            <w:pPr>
                              <w:overflowPunct w:val="0"/>
                              <w:snapToGrid w:val="0"/>
                              <w:jc w:val="center"/>
                              <w:rPr>
                                <w:rFonts w:ascii="標楷體" w:eastAsia="標楷體" w:hAnsi="標楷體"/>
                                <w:sz w:val="20"/>
                              </w:rPr>
                            </w:pPr>
                            <w:r w:rsidRPr="008D1E3D">
                              <w:rPr>
                                <w:rFonts w:ascii="標楷體" w:eastAsia="標楷體" w:hAnsi="標楷體" w:hint="eastAsia"/>
                                <w:sz w:val="20"/>
                              </w:rPr>
                              <w:t>訂</w:t>
                            </w:r>
                            <w:r>
                              <w:rPr>
                                <w:rFonts w:ascii="標楷體" w:eastAsia="標楷體" w:hAnsi="標楷體" w:hint="eastAsia"/>
                                <w:sz w:val="20"/>
                              </w:rPr>
                              <w:t>定</w:t>
                            </w:r>
                          </w:p>
                        </w:tc>
                        <w:tc>
                          <w:tcPr>
                            <w:tcW w:w="1134" w:type="dxa"/>
                            <w:vAlign w:val="center"/>
                          </w:tcPr>
                          <w:p w14:paraId="3A2A4F0E" w14:textId="1D51E28E" w:rsidR="00F532FB" w:rsidRPr="00F60CFF" w:rsidRDefault="00F532FB" w:rsidP="000554A0">
                            <w:pPr>
                              <w:overflowPunct w:val="0"/>
                              <w:snapToGrid w:val="0"/>
                              <w:jc w:val="center"/>
                              <w:rPr>
                                <w:rFonts w:ascii="標楷體" w:eastAsia="標楷體" w:hAnsi="標楷體"/>
                                <w:sz w:val="20"/>
                              </w:rPr>
                            </w:pPr>
                            <w:r w:rsidRPr="00F60CFF">
                              <w:rPr>
                                <w:rFonts w:ascii="標楷體" w:eastAsia="標楷體" w:hAnsi="標楷體" w:hint="eastAsia"/>
                                <w:sz w:val="20"/>
                              </w:rPr>
                              <w:t>依職業安全衛生法或相關規定辦理</w:t>
                            </w:r>
                          </w:p>
                        </w:tc>
                      </w:tr>
                      <w:tr w:rsidR="00F532FB" w:rsidRPr="005014A8" w14:paraId="5D9D908B" w14:textId="77777777" w:rsidTr="004D42BA">
                        <w:trPr>
                          <w:trHeight w:val="283"/>
                        </w:trPr>
                        <w:tc>
                          <w:tcPr>
                            <w:tcW w:w="1098" w:type="dxa"/>
                            <w:vAlign w:val="center"/>
                          </w:tcPr>
                          <w:p w14:paraId="7F3510DA" w14:textId="77777777" w:rsidR="00F532FB" w:rsidRPr="00A002B8" w:rsidRDefault="00F532FB" w:rsidP="008D1E3D">
                            <w:pPr>
                              <w:overflowPunct w:val="0"/>
                              <w:snapToGrid w:val="0"/>
                              <w:jc w:val="center"/>
                              <w:rPr>
                                <w:rFonts w:ascii="標楷體" w:eastAsia="標楷體" w:hAnsi="標楷體"/>
                                <w:b/>
                                <w:sz w:val="20"/>
                              </w:rPr>
                            </w:pPr>
                            <w:r w:rsidRPr="00A002B8">
                              <w:rPr>
                                <w:rFonts w:ascii="標楷體" w:eastAsia="標楷體" w:hAnsi="標楷體" w:hint="eastAsia"/>
                                <w:b/>
                                <w:sz w:val="20"/>
                              </w:rPr>
                              <w:t>合計</w:t>
                            </w:r>
                          </w:p>
                        </w:tc>
                        <w:tc>
                          <w:tcPr>
                            <w:tcW w:w="745" w:type="dxa"/>
                            <w:vAlign w:val="center"/>
                          </w:tcPr>
                          <w:p w14:paraId="31D4897C"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1,096</w:t>
                            </w:r>
                          </w:p>
                        </w:tc>
                        <w:tc>
                          <w:tcPr>
                            <w:tcW w:w="851" w:type="dxa"/>
                          </w:tcPr>
                          <w:p w14:paraId="41AB317D"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832</w:t>
                            </w:r>
                          </w:p>
                        </w:tc>
                        <w:tc>
                          <w:tcPr>
                            <w:tcW w:w="708" w:type="dxa"/>
                          </w:tcPr>
                          <w:p w14:paraId="5F966146"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74</w:t>
                            </w:r>
                          </w:p>
                        </w:tc>
                        <w:tc>
                          <w:tcPr>
                            <w:tcW w:w="1134" w:type="dxa"/>
                          </w:tcPr>
                          <w:p w14:paraId="271EA49B" w14:textId="77777777" w:rsidR="00F532FB" w:rsidRPr="003B2D1F" w:rsidRDefault="00F532FB" w:rsidP="008D1E3D">
                            <w:pPr>
                              <w:overflowPunct w:val="0"/>
                              <w:snapToGrid w:val="0"/>
                              <w:jc w:val="right"/>
                              <w:rPr>
                                <w:rFonts w:ascii="標楷體" w:eastAsia="標楷體" w:hAnsi="標楷體"/>
                                <w:b/>
                                <w:sz w:val="20"/>
                              </w:rPr>
                            </w:pPr>
                            <w:r w:rsidRPr="003B2D1F">
                              <w:rPr>
                                <w:rFonts w:ascii="標楷體" w:eastAsia="標楷體" w:hAnsi="標楷體"/>
                                <w:b/>
                                <w:sz w:val="20"/>
                              </w:rPr>
                              <w:t>190</w:t>
                            </w:r>
                          </w:p>
                        </w:tc>
                      </w:tr>
                      <w:tr w:rsidR="00F532FB" w:rsidRPr="005014A8" w14:paraId="02222C94" w14:textId="77777777" w:rsidTr="004D42BA">
                        <w:trPr>
                          <w:trHeight w:val="283"/>
                        </w:trPr>
                        <w:tc>
                          <w:tcPr>
                            <w:tcW w:w="1098" w:type="dxa"/>
                            <w:vAlign w:val="center"/>
                          </w:tcPr>
                          <w:p w14:paraId="00BF1438" w14:textId="77777777" w:rsidR="00F532FB" w:rsidRPr="00A002B8" w:rsidRDefault="00F532FB" w:rsidP="008D1E3D">
                            <w:pPr>
                              <w:overflowPunct w:val="0"/>
                              <w:snapToGrid w:val="0"/>
                              <w:jc w:val="center"/>
                              <w:rPr>
                                <w:rFonts w:ascii="標楷體" w:eastAsia="標楷體" w:hAnsi="標楷體"/>
                                <w:sz w:val="20"/>
                              </w:rPr>
                            </w:pPr>
                            <w:r w:rsidRPr="00A002B8">
                              <w:rPr>
                                <w:rFonts w:ascii="標楷體" w:eastAsia="標楷體" w:hAnsi="標楷體" w:hint="eastAsia"/>
                                <w:sz w:val="20"/>
                              </w:rPr>
                              <w:t>中央政府</w:t>
                            </w:r>
                          </w:p>
                        </w:tc>
                        <w:tc>
                          <w:tcPr>
                            <w:tcW w:w="745" w:type="dxa"/>
                            <w:vAlign w:val="center"/>
                          </w:tcPr>
                          <w:p w14:paraId="3D775527" w14:textId="77777777" w:rsidR="00F532FB" w:rsidRPr="00A002B8" w:rsidRDefault="00F532FB" w:rsidP="008D1E3D">
                            <w:pPr>
                              <w:overflowPunct w:val="0"/>
                              <w:snapToGrid w:val="0"/>
                              <w:jc w:val="right"/>
                              <w:rPr>
                                <w:rFonts w:ascii="標楷體" w:eastAsia="標楷體" w:hAnsi="標楷體"/>
                                <w:b/>
                                <w:sz w:val="20"/>
                              </w:rPr>
                            </w:pPr>
                            <w:r w:rsidRPr="00A002B8">
                              <w:rPr>
                                <w:rFonts w:ascii="標楷體" w:eastAsia="標楷體" w:hAnsi="標楷體"/>
                                <w:b/>
                                <w:sz w:val="20"/>
                              </w:rPr>
                              <w:t>353</w:t>
                            </w:r>
                          </w:p>
                        </w:tc>
                        <w:tc>
                          <w:tcPr>
                            <w:tcW w:w="851" w:type="dxa"/>
                          </w:tcPr>
                          <w:p w14:paraId="260A8479"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242</w:t>
                            </w:r>
                          </w:p>
                        </w:tc>
                        <w:tc>
                          <w:tcPr>
                            <w:tcW w:w="708" w:type="dxa"/>
                          </w:tcPr>
                          <w:p w14:paraId="7C88E9F3"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28</w:t>
                            </w:r>
                          </w:p>
                        </w:tc>
                        <w:tc>
                          <w:tcPr>
                            <w:tcW w:w="1134" w:type="dxa"/>
                          </w:tcPr>
                          <w:p w14:paraId="2B8400DF"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83</w:t>
                            </w:r>
                          </w:p>
                        </w:tc>
                      </w:tr>
                      <w:tr w:rsidR="00F532FB" w:rsidRPr="005014A8" w14:paraId="64A59D7B" w14:textId="77777777" w:rsidTr="004D42BA">
                        <w:trPr>
                          <w:trHeight w:val="283"/>
                        </w:trPr>
                        <w:tc>
                          <w:tcPr>
                            <w:tcW w:w="1098" w:type="dxa"/>
                            <w:tcBorders>
                              <w:bottom w:val="single" w:sz="4" w:space="0" w:color="auto"/>
                            </w:tcBorders>
                            <w:vAlign w:val="center"/>
                          </w:tcPr>
                          <w:p w14:paraId="7414DAC4" w14:textId="77777777" w:rsidR="00F532FB" w:rsidRPr="00A002B8" w:rsidRDefault="00F532FB" w:rsidP="008D1E3D">
                            <w:pPr>
                              <w:overflowPunct w:val="0"/>
                              <w:snapToGrid w:val="0"/>
                              <w:jc w:val="center"/>
                              <w:rPr>
                                <w:rFonts w:ascii="標楷體" w:eastAsia="標楷體" w:hAnsi="標楷體"/>
                                <w:sz w:val="20"/>
                              </w:rPr>
                            </w:pPr>
                            <w:r w:rsidRPr="00A002B8">
                              <w:rPr>
                                <w:rFonts w:ascii="標楷體" w:eastAsia="標楷體" w:hAnsi="標楷體" w:hint="eastAsia"/>
                                <w:sz w:val="20"/>
                              </w:rPr>
                              <w:t>地方政府</w:t>
                            </w:r>
                          </w:p>
                        </w:tc>
                        <w:tc>
                          <w:tcPr>
                            <w:tcW w:w="745" w:type="dxa"/>
                            <w:tcBorders>
                              <w:bottom w:val="single" w:sz="4" w:space="0" w:color="auto"/>
                            </w:tcBorders>
                            <w:vAlign w:val="center"/>
                          </w:tcPr>
                          <w:p w14:paraId="5F198977" w14:textId="77777777" w:rsidR="00F532FB" w:rsidRPr="00A002B8" w:rsidRDefault="00F532FB" w:rsidP="008D1E3D">
                            <w:pPr>
                              <w:overflowPunct w:val="0"/>
                              <w:snapToGrid w:val="0"/>
                              <w:jc w:val="right"/>
                              <w:rPr>
                                <w:rFonts w:ascii="標楷體" w:eastAsia="標楷體" w:hAnsi="標楷體"/>
                                <w:b/>
                                <w:sz w:val="20"/>
                              </w:rPr>
                            </w:pPr>
                            <w:r w:rsidRPr="00A002B8">
                              <w:rPr>
                                <w:rFonts w:ascii="標楷體" w:eastAsia="標楷體" w:hAnsi="標楷體" w:hint="eastAsia"/>
                                <w:b/>
                                <w:sz w:val="20"/>
                              </w:rPr>
                              <w:t>7</w:t>
                            </w:r>
                            <w:r w:rsidRPr="00A002B8">
                              <w:rPr>
                                <w:rFonts w:ascii="標楷體" w:eastAsia="標楷體" w:hAnsi="標楷體"/>
                                <w:b/>
                                <w:sz w:val="20"/>
                              </w:rPr>
                              <w:t>43</w:t>
                            </w:r>
                          </w:p>
                        </w:tc>
                        <w:tc>
                          <w:tcPr>
                            <w:tcW w:w="851" w:type="dxa"/>
                            <w:tcBorders>
                              <w:bottom w:val="single" w:sz="4" w:space="0" w:color="auto"/>
                            </w:tcBorders>
                          </w:tcPr>
                          <w:p w14:paraId="71BB7929"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590</w:t>
                            </w:r>
                          </w:p>
                        </w:tc>
                        <w:tc>
                          <w:tcPr>
                            <w:tcW w:w="708" w:type="dxa"/>
                            <w:tcBorders>
                              <w:bottom w:val="single" w:sz="4" w:space="0" w:color="auto"/>
                            </w:tcBorders>
                          </w:tcPr>
                          <w:p w14:paraId="40241F6B"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46</w:t>
                            </w:r>
                          </w:p>
                        </w:tc>
                        <w:tc>
                          <w:tcPr>
                            <w:tcW w:w="1134" w:type="dxa"/>
                            <w:tcBorders>
                              <w:bottom w:val="single" w:sz="4" w:space="0" w:color="auto"/>
                            </w:tcBorders>
                          </w:tcPr>
                          <w:p w14:paraId="44D619B9" w14:textId="77777777" w:rsidR="00F532FB" w:rsidRPr="00A002B8" w:rsidRDefault="00F532FB" w:rsidP="008D1E3D">
                            <w:pPr>
                              <w:overflowPunct w:val="0"/>
                              <w:snapToGrid w:val="0"/>
                              <w:jc w:val="right"/>
                              <w:rPr>
                                <w:rFonts w:ascii="標楷體" w:eastAsia="標楷體" w:hAnsi="標楷體"/>
                                <w:sz w:val="20"/>
                              </w:rPr>
                            </w:pPr>
                            <w:r w:rsidRPr="008D1E3D">
                              <w:rPr>
                                <w:rFonts w:ascii="標楷體" w:eastAsia="標楷體" w:hAnsi="標楷體"/>
                                <w:sz w:val="20"/>
                              </w:rPr>
                              <w:t>107</w:t>
                            </w:r>
                          </w:p>
                        </w:tc>
                      </w:tr>
                      <w:tr w:rsidR="00F532FB" w:rsidRPr="00A002B8" w14:paraId="092207B7" w14:textId="77777777" w:rsidTr="004D42BA">
                        <w:trPr>
                          <w:trHeight w:val="20"/>
                        </w:trPr>
                        <w:tc>
                          <w:tcPr>
                            <w:tcW w:w="4536" w:type="dxa"/>
                            <w:gridSpan w:val="5"/>
                            <w:tcBorders>
                              <w:left w:val="nil"/>
                              <w:bottom w:val="nil"/>
                              <w:right w:val="nil"/>
                            </w:tcBorders>
                            <w:vAlign w:val="center"/>
                          </w:tcPr>
                          <w:p w14:paraId="40975844" w14:textId="77777777" w:rsidR="00F532FB" w:rsidRPr="00A002B8" w:rsidRDefault="00F532FB" w:rsidP="005B11FD">
                            <w:pPr>
                              <w:overflowPunct w:val="0"/>
                              <w:snapToGrid w:val="0"/>
                              <w:rPr>
                                <w:rFonts w:ascii="標楷體" w:eastAsia="標楷體" w:hAnsi="標楷體"/>
                                <w:sz w:val="18"/>
                              </w:rPr>
                            </w:pPr>
                            <w:r w:rsidRPr="00A002B8">
                              <w:rPr>
                                <w:rFonts w:ascii="標楷體" w:eastAsia="標楷體" w:hAnsi="標楷體" w:hint="eastAsia"/>
                                <w:sz w:val="18"/>
                              </w:rPr>
                              <w:t>資料來源：整理自各機關（構）</w:t>
                            </w:r>
                            <w:proofErr w:type="gramStart"/>
                            <w:r w:rsidRPr="00A002B8">
                              <w:rPr>
                                <w:rFonts w:ascii="標楷體" w:eastAsia="標楷體" w:hAnsi="標楷體" w:hint="eastAsia"/>
                                <w:sz w:val="18"/>
                              </w:rPr>
                              <w:t>查填資料</w:t>
                            </w:r>
                            <w:proofErr w:type="gramEnd"/>
                            <w:r w:rsidRPr="00A002B8">
                              <w:rPr>
                                <w:rFonts w:ascii="標楷體" w:eastAsia="標楷體" w:hAnsi="標楷體" w:hint="eastAsia"/>
                                <w:sz w:val="18"/>
                              </w:rPr>
                              <w:t>。</w:t>
                            </w:r>
                          </w:p>
                        </w:tc>
                      </w:tr>
                    </w:tbl>
                    <w:p w14:paraId="798EB73E" w14:textId="77777777" w:rsidR="00F532FB" w:rsidRPr="005B11FD" w:rsidRDefault="00F532FB" w:rsidP="00F532FB"/>
                  </w:txbxContent>
                </v:textbox>
                <w10:wrap type="square" anchorx="margin"/>
              </v:shape>
            </w:pict>
          </mc:Fallback>
        </mc:AlternateContent>
      </w:r>
      <w:r w:rsidRPr="00AE35E0">
        <w:rPr>
          <w:rFonts w:ascii="標楷體" w:eastAsia="標楷體" w:hAnsi="標楷體" w:hint="eastAsia"/>
          <w:b/>
          <w:bCs/>
          <w:color w:val="000000" w:themeColor="text1"/>
          <w:spacing w:val="-2"/>
        </w:rPr>
        <w:t xml:space="preserve">1.　</w:t>
      </w:r>
      <w:bookmarkStart w:id="36" w:name="_Hlk201668089"/>
      <w:r w:rsidRPr="00AE35E0">
        <w:rPr>
          <w:rFonts w:ascii="標楷體" w:eastAsia="標楷體" w:hAnsi="標楷體" w:hint="eastAsia"/>
          <w:b/>
          <w:bCs/>
          <w:color w:val="000000" w:themeColor="text1"/>
          <w:spacing w:val="-2"/>
        </w:rPr>
        <w:t>部分機關（構）尚未依行政院人事行政總處函示，自訂防治與處置職</w:t>
      </w:r>
      <w:proofErr w:type="gramStart"/>
      <w:r w:rsidRPr="00AE35E0">
        <w:rPr>
          <w:rFonts w:ascii="標楷體" w:eastAsia="標楷體" w:hAnsi="標楷體" w:hint="eastAsia"/>
          <w:b/>
          <w:bCs/>
          <w:color w:val="000000" w:themeColor="text1"/>
          <w:spacing w:val="-2"/>
        </w:rPr>
        <w:t>場霸凌</w:t>
      </w:r>
      <w:proofErr w:type="gramEnd"/>
      <w:r w:rsidRPr="00AE35E0">
        <w:rPr>
          <w:rFonts w:ascii="標楷體" w:eastAsia="標楷體" w:hAnsi="標楷體" w:hint="eastAsia"/>
          <w:b/>
          <w:bCs/>
          <w:color w:val="000000" w:themeColor="text1"/>
          <w:spacing w:val="-2"/>
        </w:rPr>
        <w:t>事件之處理程序及申訴規範，或所訂規範適用對象、申訴時效及調查程序等事項未</w:t>
      </w:r>
      <w:proofErr w:type="gramStart"/>
      <w:r w:rsidRPr="00AE35E0">
        <w:rPr>
          <w:rFonts w:ascii="標楷體" w:eastAsia="標楷體" w:hAnsi="標楷體" w:hint="eastAsia"/>
          <w:b/>
          <w:bCs/>
          <w:color w:val="000000" w:themeColor="text1"/>
          <w:spacing w:val="-2"/>
        </w:rPr>
        <w:t>臻</w:t>
      </w:r>
      <w:proofErr w:type="gramEnd"/>
      <w:r w:rsidRPr="00AE35E0">
        <w:rPr>
          <w:rFonts w:ascii="標楷體" w:eastAsia="標楷體" w:hAnsi="標楷體" w:hint="eastAsia"/>
          <w:b/>
          <w:bCs/>
          <w:color w:val="000000" w:themeColor="text1"/>
          <w:spacing w:val="-2"/>
        </w:rPr>
        <w:t>一致，恐影響公務人員權益</w:t>
      </w:r>
      <w:bookmarkEnd w:id="36"/>
      <w:r w:rsidRPr="00AE35E0">
        <w:rPr>
          <w:rFonts w:ascii="標楷體" w:eastAsia="標楷體" w:hAnsi="標楷體" w:hint="eastAsia"/>
          <w:b/>
          <w:bCs/>
          <w:color w:val="000000" w:themeColor="text1"/>
          <w:spacing w:val="-2"/>
        </w:rPr>
        <w:t>：</w:t>
      </w:r>
      <w:r w:rsidRPr="00AE35E0">
        <w:rPr>
          <w:rFonts w:ascii="標楷體" w:eastAsia="標楷體" w:hAnsi="標楷體" w:hint="eastAsia"/>
          <w:color w:val="000000" w:themeColor="text1"/>
          <w:spacing w:val="-2"/>
        </w:rPr>
        <w:t>按行政院人事行政總處「員工職</w:t>
      </w:r>
      <w:proofErr w:type="gramStart"/>
      <w:r w:rsidRPr="00AE35E0">
        <w:rPr>
          <w:rFonts w:ascii="標楷體" w:eastAsia="標楷體" w:hAnsi="標楷體" w:hint="eastAsia"/>
          <w:color w:val="000000" w:themeColor="text1"/>
          <w:spacing w:val="-2"/>
        </w:rPr>
        <w:t>場霸凌</w:t>
      </w:r>
      <w:proofErr w:type="gramEnd"/>
      <w:r w:rsidRPr="00AE35E0">
        <w:rPr>
          <w:rFonts w:ascii="標楷體" w:eastAsia="標楷體" w:hAnsi="標楷體" w:hint="eastAsia"/>
          <w:color w:val="000000" w:themeColor="text1"/>
          <w:spacing w:val="-2"/>
        </w:rPr>
        <w:t>處理標準作業流程（範例）」及「員工職</w:t>
      </w:r>
      <w:proofErr w:type="gramStart"/>
      <w:r w:rsidRPr="00AE35E0">
        <w:rPr>
          <w:rFonts w:ascii="標楷體" w:eastAsia="標楷體" w:hAnsi="標楷體" w:hint="eastAsia"/>
          <w:color w:val="000000" w:themeColor="text1"/>
          <w:spacing w:val="-2"/>
        </w:rPr>
        <w:t>場霸凌</w:t>
      </w:r>
      <w:proofErr w:type="gramEnd"/>
      <w:r w:rsidRPr="00AE35E0">
        <w:rPr>
          <w:rFonts w:ascii="標楷體" w:eastAsia="標楷體" w:hAnsi="標楷體" w:hint="eastAsia"/>
          <w:color w:val="000000" w:themeColor="text1"/>
          <w:spacing w:val="-2"/>
        </w:rPr>
        <w:t>防治與處置建議作為」規定，各機關得依機關特性及業務性質，參照前開標準作業流程及建議作為，自行訂定各該機關防治與處置職</w:t>
      </w:r>
      <w:proofErr w:type="gramStart"/>
      <w:r w:rsidRPr="00AE35E0">
        <w:rPr>
          <w:rFonts w:ascii="標楷體" w:eastAsia="標楷體" w:hAnsi="標楷體" w:hint="eastAsia"/>
          <w:color w:val="000000" w:themeColor="text1"/>
          <w:spacing w:val="-2"/>
        </w:rPr>
        <w:t>場霸凌</w:t>
      </w:r>
      <w:proofErr w:type="gramEnd"/>
      <w:r w:rsidRPr="00AE35E0">
        <w:rPr>
          <w:rFonts w:ascii="標楷體" w:eastAsia="標楷體" w:hAnsi="標楷體" w:hint="eastAsia"/>
          <w:color w:val="000000" w:themeColor="text1"/>
          <w:spacing w:val="-2"/>
        </w:rPr>
        <w:t>事件之處理程序及申訴規範，並據以受理及處理職</w:t>
      </w:r>
      <w:proofErr w:type="gramStart"/>
      <w:r w:rsidRPr="00AE35E0">
        <w:rPr>
          <w:rFonts w:ascii="標楷體" w:eastAsia="標楷體" w:hAnsi="標楷體" w:hint="eastAsia"/>
          <w:color w:val="000000" w:themeColor="text1"/>
          <w:spacing w:val="-2"/>
        </w:rPr>
        <w:t>場霸凌</w:t>
      </w:r>
      <w:proofErr w:type="gramEnd"/>
      <w:r w:rsidRPr="00AE35E0">
        <w:rPr>
          <w:rFonts w:ascii="標楷體" w:eastAsia="標楷體" w:hAnsi="標楷體" w:hint="eastAsia"/>
          <w:color w:val="000000" w:themeColor="text1"/>
          <w:spacing w:val="-2"/>
        </w:rPr>
        <w:t>申訴案件，作成職</w:t>
      </w:r>
      <w:proofErr w:type="gramStart"/>
      <w:r w:rsidRPr="00AE35E0">
        <w:rPr>
          <w:rFonts w:ascii="標楷體" w:eastAsia="標楷體" w:hAnsi="標楷體" w:hint="eastAsia"/>
          <w:color w:val="000000" w:themeColor="text1"/>
          <w:spacing w:val="-2"/>
        </w:rPr>
        <w:t>場霸凌案</w:t>
      </w:r>
      <w:proofErr w:type="gramEnd"/>
      <w:r w:rsidRPr="00AE35E0">
        <w:rPr>
          <w:rFonts w:ascii="標楷體" w:eastAsia="標楷體" w:hAnsi="標楷體" w:hint="eastAsia"/>
          <w:color w:val="000000" w:themeColor="text1"/>
          <w:spacing w:val="-2"/>
        </w:rPr>
        <w:t>成立與否之決定。本部為瞭解全國各機關（構）組成安全及衛生防護小組及職</w:t>
      </w:r>
      <w:proofErr w:type="gramStart"/>
      <w:r w:rsidRPr="00AE35E0">
        <w:rPr>
          <w:rFonts w:ascii="標楷體" w:eastAsia="標楷體" w:hAnsi="標楷體" w:hint="eastAsia"/>
          <w:color w:val="000000" w:themeColor="text1"/>
          <w:spacing w:val="-2"/>
        </w:rPr>
        <w:t>場霸凌</w:t>
      </w:r>
      <w:proofErr w:type="gramEnd"/>
      <w:r w:rsidRPr="00AE35E0">
        <w:rPr>
          <w:rFonts w:ascii="標楷體" w:eastAsia="標楷體" w:hAnsi="標楷體" w:hint="eastAsia"/>
          <w:color w:val="000000" w:themeColor="text1"/>
          <w:spacing w:val="-2"/>
        </w:rPr>
        <w:t>防治與處置情形，經設計調查表函請1,096個機關（構）</w:t>
      </w:r>
      <w:proofErr w:type="gramStart"/>
      <w:r w:rsidRPr="00AE35E0">
        <w:rPr>
          <w:rFonts w:ascii="標楷體" w:eastAsia="標楷體" w:hAnsi="標楷體" w:hint="eastAsia"/>
          <w:color w:val="000000" w:themeColor="text1"/>
          <w:spacing w:val="-2"/>
        </w:rPr>
        <w:t>查填</w:t>
      </w:r>
      <w:proofErr w:type="gramEnd"/>
      <w:r w:rsidRPr="00AE35E0">
        <w:rPr>
          <w:rFonts w:ascii="標楷體" w:eastAsia="標楷體" w:hAnsi="標楷體" w:hint="eastAsia"/>
          <w:color w:val="000000" w:themeColor="text1"/>
          <w:spacing w:val="-2"/>
        </w:rPr>
        <w:t>，截至113年11月底止，計有74個機關（構）尚待自訂防治與處置職</w:t>
      </w:r>
      <w:proofErr w:type="gramStart"/>
      <w:r w:rsidRPr="00AE35E0">
        <w:rPr>
          <w:rFonts w:ascii="標楷體" w:eastAsia="標楷體" w:hAnsi="標楷體" w:hint="eastAsia"/>
          <w:color w:val="000000" w:themeColor="text1"/>
          <w:spacing w:val="-2"/>
        </w:rPr>
        <w:t>場霸凌</w:t>
      </w:r>
      <w:proofErr w:type="gramEnd"/>
      <w:r w:rsidRPr="00AE35E0">
        <w:rPr>
          <w:rFonts w:ascii="標楷體" w:eastAsia="標楷體" w:hAnsi="標楷體" w:hint="eastAsia"/>
          <w:color w:val="000000" w:themeColor="text1"/>
          <w:spacing w:val="-2"/>
        </w:rPr>
        <w:t>事件之處理程序及申訴規範（表</w:t>
      </w:r>
      <w:r w:rsidR="00752106" w:rsidRPr="00AE35E0">
        <w:rPr>
          <w:rFonts w:ascii="標楷體" w:eastAsia="標楷體" w:hAnsi="標楷體" w:hint="eastAsia"/>
          <w:color w:val="000000" w:themeColor="text1"/>
          <w:spacing w:val="-2"/>
        </w:rPr>
        <w:t>4</w:t>
      </w:r>
      <w:r w:rsidR="00794DCA" w:rsidRPr="00AE35E0">
        <w:rPr>
          <w:rFonts w:ascii="標楷體" w:eastAsia="標楷體" w:hAnsi="標楷體" w:hint="eastAsia"/>
          <w:color w:val="000000" w:themeColor="text1"/>
          <w:spacing w:val="-2"/>
        </w:rPr>
        <w:t>2</w:t>
      </w:r>
      <w:r w:rsidRPr="00AE35E0">
        <w:rPr>
          <w:rFonts w:ascii="標楷體" w:eastAsia="標楷體" w:hAnsi="標楷體" w:hint="eastAsia"/>
          <w:color w:val="000000" w:themeColor="text1"/>
          <w:spacing w:val="-2"/>
        </w:rPr>
        <w:t>）。</w:t>
      </w:r>
      <w:r w:rsidRPr="00F532FB">
        <w:rPr>
          <w:rFonts w:ascii="標楷體" w:eastAsia="標楷體" w:hAnsi="標楷體" w:hint="eastAsia"/>
          <w:color w:val="000000" w:themeColor="text1"/>
        </w:rPr>
        <w:t>復經檢視各機關（構）自訂職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防治及處</w:t>
      </w:r>
      <w:r w:rsidR="00C06EFA">
        <w:rPr>
          <w:rFonts w:ascii="標楷體" w:eastAsia="標楷體" w:hAnsi="標楷體" w:hint="eastAsia"/>
          <w:color w:val="000000" w:themeColor="text1"/>
        </w:rPr>
        <w:t>置</w:t>
      </w:r>
      <w:r w:rsidRPr="00F532FB">
        <w:rPr>
          <w:rFonts w:ascii="標楷體" w:eastAsia="標楷體" w:hAnsi="標楷體" w:hint="eastAsia"/>
          <w:color w:val="000000" w:themeColor="text1"/>
        </w:rPr>
        <w:t>作業規定，部分機關（構）對於適用</w:t>
      </w:r>
      <w:r w:rsidRPr="00F532FB">
        <w:rPr>
          <w:rFonts w:ascii="標楷體" w:eastAsia="標楷體" w:hAnsi="標楷體" w:hint="eastAsia"/>
          <w:color w:val="000000" w:themeColor="text1"/>
        </w:rPr>
        <w:lastRenderedPageBreak/>
        <w:t>對象（是否含</w:t>
      </w:r>
      <w:proofErr w:type="gramStart"/>
      <w:r w:rsidRPr="00F532FB">
        <w:rPr>
          <w:rFonts w:ascii="標楷體" w:eastAsia="標楷體" w:hAnsi="標楷體" w:hint="eastAsia"/>
          <w:color w:val="000000" w:themeColor="text1"/>
        </w:rPr>
        <w:t>括</w:t>
      </w:r>
      <w:proofErr w:type="gramEnd"/>
      <w:r w:rsidRPr="00F532FB">
        <w:rPr>
          <w:rFonts w:ascii="標楷體" w:eastAsia="標楷體" w:hAnsi="標楷體" w:hint="eastAsia"/>
          <w:color w:val="000000" w:themeColor="text1"/>
        </w:rPr>
        <w:t>約聘僱人員、技工、工友、駕駛、駐衛警察及臨時人員等）、申訴時效（須於事實發生之一定期間內提出申訴始為受理，期間有訂為1年或未訂定者）、申訴案件受理及處理程序、調查處理時限（如調查結果應完成時限、調查結果得延長之次數及時限等）、調查小組調查結果效力（有列為參考性質或具實質約束力者）等事項規範內容未</w:t>
      </w:r>
      <w:proofErr w:type="gramStart"/>
      <w:r w:rsidRPr="00F532FB">
        <w:rPr>
          <w:rFonts w:ascii="標楷體" w:eastAsia="標楷體" w:hAnsi="標楷體" w:hint="eastAsia"/>
          <w:color w:val="000000" w:themeColor="text1"/>
        </w:rPr>
        <w:t>臻</w:t>
      </w:r>
      <w:proofErr w:type="gramEnd"/>
      <w:r w:rsidRPr="00F532FB">
        <w:rPr>
          <w:rFonts w:ascii="標楷體" w:eastAsia="標楷體" w:hAnsi="標楷體" w:hint="eastAsia"/>
          <w:color w:val="000000" w:themeColor="text1"/>
        </w:rPr>
        <w:t>一致，恐影響公務人員權益。經函請行政院人事行政總處就職</w:t>
      </w:r>
      <w:proofErr w:type="gramStart"/>
      <w:r w:rsidRPr="00F532FB">
        <w:rPr>
          <w:rFonts w:ascii="標楷體" w:eastAsia="標楷體" w:hAnsi="標楷體" w:hint="eastAsia"/>
          <w:color w:val="000000" w:themeColor="text1"/>
        </w:rPr>
        <w:t>場霸凌</w:t>
      </w:r>
      <w:proofErr w:type="gramEnd"/>
      <w:r w:rsidRPr="00F532FB">
        <w:rPr>
          <w:rFonts w:ascii="標楷體" w:eastAsia="標楷體" w:hAnsi="標楷體" w:hint="eastAsia"/>
          <w:color w:val="000000" w:themeColor="text1"/>
        </w:rPr>
        <w:t>處理及申訴程序內容</w:t>
      </w:r>
      <w:proofErr w:type="gramStart"/>
      <w:r w:rsidRPr="00F532FB">
        <w:rPr>
          <w:rFonts w:ascii="標楷體" w:eastAsia="標楷體" w:hAnsi="標楷體" w:hint="eastAsia"/>
          <w:color w:val="000000" w:themeColor="text1"/>
        </w:rPr>
        <w:t>研</w:t>
      </w:r>
      <w:proofErr w:type="gramEnd"/>
      <w:r w:rsidRPr="00F532FB">
        <w:rPr>
          <w:rFonts w:ascii="標楷體" w:eastAsia="標楷體" w:hAnsi="標楷體" w:hint="eastAsia"/>
          <w:color w:val="000000" w:themeColor="text1"/>
        </w:rPr>
        <w:t>議一致或合宜標準，</w:t>
      </w:r>
      <w:proofErr w:type="gramStart"/>
      <w:r w:rsidRPr="00F532FB">
        <w:rPr>
          <w:rFonts w:ascii="標楷體" w:eastAsia="標楷體" w:hAnsi="標楷體" w:hint="eastAsia"/>
          <w:color w:val="000000" w:themeColor="text1"/>
        </w:rPr>
        <w:t>俾</w:t>
      </w:r>
      <w:proofErr w:type="gramEnd"/>
      <w:r w:rsidRPr="00F532FB">
        <w:rPr>
          <w:rFonts w:ascii="標楷體" w:eastAsia="標楷體" w:hAnsi="標楷體" w:hint="eastAsia"/>
          <w:color w:val="000000" w:themeColor="text1"/>
        </w:rPr>
        <w:t>供各機關參考建置，並督促落實辦理。據復：已於113年11月20日通函要求各機關，針對現行</w:t>
      </w:r>
      <w:proofErr w:type="gramStart"/>
      <w:r w:rsidRPr="00F532FB">
        <w:rPr>
          <w:rFonts w:ascii="標楷體" w:eastAsia="標楷體" w:hAnsi="標楷體" w:hint="eastAsia"/>
          <w:color w:val="000000" w:themeColor="text1"/>
        </w:rPr>
        <w:t>機關霸凌防治</w:t>
      </w:r>
      <w:proofErr w:type="gramEnd"/>
      <w:r w:rsidRPr="00F532FB">
        <w:rPr>
          <w:rFonts w:ascii="標楷體" w:eastAsia="標楷體" w:hAnsi="標楷體" w:hint="eastAsia"/>
          <w:color w:val="000000" w:themeColor="text1"/>
        </w:rPr>
        <w:t>作業規定，持續強化員工保護、縮短調查時程及落實執行等相關機制，並參酌機關之實務處理經驗，重行檢視修正相關建議作為及標準作業流程（範例），於114年1月21日通函請各機關參考運用；另經請行政院中央及地方各主管機關督導並彙整回報所屬機關檢視情形，截至114年3月18日止，各機關已全數完成檢修。</w:t>
      </w:r>
    </w:p>
    <w:p w14:paraId="485B16B3" w14:textId="47C02835" w:rsidR="00412838" w:rsidRPr="00385961" w:rsidRDefault="00276EEB" w:rsidP="00276EEB">
      <w:pPr>
        <w:overflowPunct w:val="0"/>
        <w:spacing w:line="448" w:lineRule="exact"/>
        <w:ind w:firstLineChars="450" w:firstLine="1080"/>
        <w:jc w:val="both"/>
        <w:rPr>
          <w:rFonts w:ascii="標楷體" w:eastAsia="標楷體" w:hAnsi="標楷體"/>
          <w:color w:val="000000" w:themeColor="text1"/>
        </w:rPr>
      </w:pPr>
      <w:r w:rsidRPr="00F532FB">
        <w:rPr>
          <w:rFonts w:ascii="標楷體" w:eastAsia="標楷體" w:hAnsi="標楷體"/>
          <w:noProof/>
          <w:color w:val="000000" w:themeColor="text1"/>
        </w:rPr>
        <mc:AlternateContent>
          <mc:Choice Requires="wps">
            <w:drawing>
              <wp:anchor distT="45720" distB="45720" distL="114300" distR="114300" simplePos="0" relativeHeight="251628544" behindDoc="0" locked="0" layoutInCell="1" allowOverlap="1" wp14:anchorId="1B146042" wp14:editId="7F609413">
                <wp:simplePos x="0" y="0"/>
                <wp:positionH relativeFrom="margin">
                  <wp:posOffset>1656080</wp:posOffset>
                </wp:positionH>
                <wp:positionV relativeFrom="paragraph">
                  <wp:posOffset>1889125</wp:posOffset>
                </wp:positionV>
                <wp:extent cx="4610735" cy="1658620"/>
                <wp:effectExtent l="0" t="0" r="0" b="0"/>
                <wp:wrapSquare wrapText="bothSides"/>
                <wp:docPr id="20083270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735" cy="1658620"/>
                        </a:xfrm>
                        <a:prstGeom prst="rect">
                          <a:avLst/>
                        </a:prstGeom>
                        <a:solidFill>
                          <a:srgbClr val="FFFFFF"/>
                        </a:solidFill>
                        <a:ln w="9525">
                          <a:noFill/>
                          <a:miter lim="800000"/>
                          <a:headEnd/>
                          <a:tailEnd/>
                        </a:ln>
                      </wps:spPr>
                      <wps:txbx>
                        <w:txbxContent>
                          <w:tbl>
                            <w:tblPr>
                              <w:tblStyle w:val="afff"/>
                              <w:tblW w:w="0" w:type="auto"/>
                              <w:jc w:val="right"/>
                              <w:tblLayout w:type="fixed"/>
                              <w:tblLook w:val="04A0" w:firstRow="1" w:lastRow="0" w:firstColumn="1" w:lastColumn="0" w:noHBand="0" w:noVBand="1"/>
                            </w:tblPr>
                            <w:tblGrid>
                              <w:gridCol w:w="1016"/>
                              <w:gridCol w:w="517"/>
                              <w:gridCol w:w="517"/>
                              <w:gridCol w:w="1466"/>
                              <w:gridCol w:w="1016"/>
                              <w:gridCol w:w="516"/>
                              <w:gridCol w:w="516"/>
                              <w:gridCol w:w="1466"/>
                            </w:tblGrid>
                            <w:tr w:rsidR="00AE1C91" w:rsidRPr="005014A8" w14:paraId="08261CC6" w14:textId="77777777" w:rsidTr="009C0B72">
                              <w:trPr>
                                <w:jc w:val="right"/>
                              </w:trPr>
                              <w:tc>
                                <w:tcPr>
                                  <w:tcW w:w="7030" w:type="dxa"/>
                                  <w:gridSpan w:val="8"/>
                                  <w:tcBorders>
                                    <w:top w:val="nil"/>
                                    <w:left w:val="nil"/>
                                    <w:right w:val="nil"/>
                                  </w:tcBorders>
                                  <w:vAlign w:val="center"/>
                                </w:tcPr>
                                <w:p w14:paraId="6B848A83" w14:textId="56B857D9" w:rsidR="00AE1C91" w:rsidRPr="005014A8" w:rsidRDefault="00AE1C91" w:rsidP="009C0B72">
                                  <w:pPr>
                                    <w:overflowPunct w:val="0"/>
                                    <w:snapToGrid w:val="0"/>
                                    <w:ind w:left="661" w:hangingChars="275" w:hanging="661"/>
                                    <w:jc w:val="center"/>
                                    <w:rPr>
                                      <w:rFonts w:ascii="標楷體" w:eastAsia="標楷體" w:hAnsi="標楷體"/>
                                      <w:b/>
                                      <w:szCs w:val="24"/>
                                    </w:rPr>
                                  </w:pPr>
                                  <w:r w:rsidRPr="005014A8">
                                    <w:rPr>
                                      <w:rFonts w:ascii="標楷體" w:eastAsia="標楷體" w:hAnsi="標楷體" w:hint="eastAsia"/>
                                      <w:b/>
                                      <w:szCs w:val="24"/>
                                    </w:rPr>
                                    <w:t>表</w:t>
                                  </w:r>
                                  <w:r>
                                    <w:rPr>
                                      <w:rFonts w:ascii="標楷體" w:eastAsia="標楷體" w:hAnsi="標楷體" w:hint="eastAsia"/>
                                      <w:b/>
                                      <w:szCs w:val="24"/>
                                    </w:rPr>
                                    <w:t>4</w:t>
                                  </w:r>
                                  <w:r w:rsidR="00CA5563">
                                    <w:rPr>
                                      <w:rFonts w:ascii="標楷體" w:eastAsia="標楷體" w:hAnsi="標楷體"/>
                                      <w:b/>
                                      <w:szCs w:val="24"/>
                                    </w:rPr>
                                    <w:t>3</w:t>
                                  </w:r>
                                  <w:r w:rsidRPr="005014A8">
                                    <w:rPr>
                                      <w:rFonts w:ascii="標楷體" w:eastAsia="標楷體" w:hAnsi="標楷體" w:hint="eastAsia"/>
                                      <w:b/>
                                      <w:szCs w:val="24"/>
                                    </w:rPr>
                                    <w:t xml:space="preserve">　職</w:t>
                                  </w:r>
                                  <w:proofErr w:type="gramStart"/>
                                  <w:r w:rsidRPr="005014A8">
                                    <w:rPr>
                                      <w:rFonts w:ascii="標楷體" w:eastAsia="標楷體" w:hAnsi="標楷體" w:hint="eastAsia"/>
                                      <w:b/>
                                      <w:szCs w:val="24"/>
                                    </w:rPr>
                                    <w:t>場霸凌</w:t>
                                  </w:r>
                                  <w:proofErr w:type="gramEnd"/>
                                  <w:r w:rsidRPr="005014A8">
                                    <w:rPr>
                                      <w:rFonts w:ascii="標楷體" w:eastAsia="標楷體" w:hAnsi="標楷體" w:hint="eastAsia"/>
                                      <w:b/>
                                      <w:szCs w:val="24"/>
                                    </w:rPr>
                                    <w:t>申訴及職</w:t>
                                  </w:r>
                                  <w:proofErr w:type="gramStart"/>
                                  <w:r w:rsidRPr="005014A8">
                                    <w:rPr>
                                      <w:rFonts w:ascii="標楷體" w:eastAsia="標楷體" w:hAnsi="標楷體" w:hint="eastAsia"/>
                                      <w:b/>
                                      <w:szCs w:val="24"/>
                                    </w:rPr>
                                    <w:t>場霸凌案</w:t>
                                  </w:r>
                                  <w:proofErr w:type="gramEnd"/>
                                  <w:r w:rsidRPr="005014A8">
                                    <w:rPr>
                                      <w:rFonts w:ascii="標楷體" w:eastAsia="標楷體" w:hAnsi="標楷體" w:hint="eastAsia"/>
                                      <w:b/>
                                      <w:szCs w:val="24"/>
                                    </w:rPr>
                                    <w:t>成立件數</w:t>
                                  </w:r>
                                </w:p>
                                <w:p w14:paraId="56C2BEFF" w14:textId="77777777" w:rsidR="00AE1C91" w:rsidRPr="005014A8" w:rsidRDefault="00AE1C91" w:rsidP="009C0B72">
                                  <w:pPr>
                                    <w:overflowPunct w:val="0"/>
                                    <w:snapToGrid w:val="0"/>
                                    <w:jc w:val="right"/>
                                    <w:rPr>
                                      <w:rFonts w:ascii="標楷體" w:eastAsia="標楷體" w:hAnsi="標楷體"/>
                                      <w:b/>
                                      <w:szCs w:val="24"/>
                                    </w:rPr>
                                  </w:pPr>
                                  <w:r w:rsidRPr="005014A8">
                                    <w:rPr>
                                      <w:rFonts w:ascii="標楷體" w:eastAsia="標楷體" w:hAnsi="標楷體" w:hint="eastAsia"/>
                                      <w:sz w:val="20"/>
                                      <w:szCs w:val="24"/>
                                    </w:rPr>
                                    <w:t>單位：件</w:t>
                                  </w:r>
                                </w:p>
                              </w:tc>
                            </w:tr>
                            <w:tr w:rsidR="00AE1C91" w:rsidRPr="009C0B72" w14:paraId="14134D05" w14:textId="77777777" w:rsidTr="009C0B72">
                              <w:trPr>
                                <w:jc w:val="right"/>
                              </w:trPr>
                              <w:tc>
                                <w:tcPr>
                                  <w:tcW w:w="3516" w:type="dxa"/>
                                  <w:gridSpan w:val="4"/>
                                  <w:tcBorders>
                                    <w:right w:val="double" w:sz="4" w:space="0" w:color="auto"/>
                                  </w:tcBorders>
                                  <w:vAlign w:val="center"/>
                                </w:tcPr>
                                <w:p w14:paraId="392A8D21"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職</w:t>
                                  </w:r>
                                  <w:proofErr w:type="gramStart"/>
                                  <w:r w:rsidRPr="009C0B72">
                                    <w:rPr>
                                      <w:rFonts w:ascii="標楷體" w:eastAsia="標楷體" w:hAnsi="標楷體" w:hint="eastAsia"/>
                                      <w:sz w:val="20"/>
                                    </w:rPr>
                                    <w:t>場霸凌</w:t>
                                  </w:r>
                                  <w:proofErr w:type="gramEnd"/>
                                  <w:r w:rsidRPr="009C0B72">
                                    <w:rPr>
                                      <w:rFonts w:ascii="標楷體" w:eastAsia="標楷體" w:hAnsi="標楷體" w:hint="eastAsia"/>
                                      <w:sz w:val="20"/>
                                    </w:rPr>
                                    <w:t>申訴件數</w:t>
                                  </w:r>
                                </w:p>
                              </w:tc>
                              <w:tc>
                                <w:tcPr>
                                  <w:tcW w:w="3514" w:type="dxa"/>
                                  <w:gridSpan w:val="4"/>
                                  <w:tcBorders>
                                    <w:left w:val="double" w:sz="4" w:space="0" w:color="auto"/>
                                  </w:tcBorders>
                                  <w:vAlign w:val="center"/>
                                </w:tcPr>
                                <w:p w14:paraId="3075037B"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職</w:t>
                                  </w:r>
                                  <w:proofErr w:type="gramStart"/>
                                  <w:r w:rsidRPr="009C0B72">
                                    <w:rPr>
                                      <w:rFonts w:ascii="標楷體" w:eastAsia="標楷體" w:hAnsi="標楷體" w:hint="eastAsia"/>
                                      <w:sz w:val="20"/>
                                    </w:rPr>
                                    <w:t>場霸凌案</w:t>
                                  </w:r>
                                  <w:proofErr w:type="gramEnd"/>
                                  <w:r w:rsidRPr="009C0B72">
                                    <w:rPr>
                                      <w:rFonts w:ascii="標楷體" w:eastAsia="標楷體" w:hAnsi="標楷體" w:hint="eastAsia"/>
                                      <w:sz w:val="20"/>
                                    </w:rPr>
                                    <w:t>成立件數</w:t>
                                  </w:r>
                                </w:p>
                              </w:tc>
                            </w:tr>
                            <w:tr w:rsidR="00AE1C91" w:rsidRPr="009C0B72" w14:paraId="55CAFE80" w14:textId="77777777" w:rsidTr="009C0B72">
                              <w:trPr>
                                <w:jc w:val="right"/>
                              </w:trPr>
                              <w:tc>
                                <w:tcPr>
                                  <w:tcW w:w="1016" w:type="dxa"/>
                                  <w:vAlign w:val="center"/>
                                </w:tcPr>
                                <w:p w14:paraId="437E694C"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年度</w:t>
                                  </w:r>
                                </w:p>
                              </w:tc>
                              <w:tc>
                                <w:tcPr>
                                  <w:tcW w:w="517" w:type="dxa"/>
                                  <w:vAlign w:val="center"/>
                                </w:tcPr>
                                <w:p w14:paraId="639A5017"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11</w:t>
                                  </w:r>
                                </w:p>
                              </w:tc>
                              <w:tc>
                                <w:tcPr>
                                  <w:tcW w:w="517" w:type="dxa"/>
                                  <w:vAlign w:val="center"/>
                                </w:tcPr>
                                <w:p w14:paraId="31FF6723"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12</w:t>
                                  </w:r>
                                </w:p>
                              </w:tc>
                              <w:tc>
                                <w:tcPr>
                                  <w:tcW w:w="1466" w:type="dxa"/>
                                  <w:tcBorders>
                                    <w:right w:val="double" w:sz="4" w:space="0" w:color="auto"/>
                                  </w:tcBorders>
                                  <w:vAlign w:val="center"/>
                                </w:tcPr>
                                <w:p w14:paraId="2E2468F5"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13</w:t>
                                  </w:r>
                                </w:p>
                                <w:p w14:paraId="45DB3E2B"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（1至1</w:t>
                                  </w:r>
                                  <w:r w:rsidRPr="009C0B72">
                                    <w:rPr>
                                      <w:rFonts w:ascii="標楷體" w:eastAsia="標楷體" w:hAnsi="標楷體"/>
                                      <w:sz w:val="20"/>
                                    </w:rPr>
                                    <w:t>1</w:t>
                                  </w:r>
                                  <w:r w:rsidRPr="009C0B72">
                                    <w:rPr>
                                      <w:rFonts w:ascii="標楷體" w:eastAsia="標楷體" w:hAnsi="標楷體" w:hint="eastAsia"/>
                                      <w:sz w:val="20"/>
                                    </w:rPr>
                                    <w:t>月）</w:t>
                                  </w:r>
                                </w:p>
                              </w:tc>
                              <w:tc>
                                <w:tcPr>
                                  <w:tcW w:w="1016" w:type="dxa"/>
                                  <w:tcBorders>
                                    <w:left w:val="double" w:sz="4" w:space="0" w:color="auto"/>
                                  </w:tcBorders>
                                  <w:vAlign w:val="center"/>
                                </w:tcPr>
                                <w:p w14:paraId="06ECD62F"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年度</w:t>
                                  </w:r>
                                </w:p>
                              </w:tc>
                              <w:tc>
                                <w:tcPr>
                                  <w:tcW w:w="516" w:type="dxa"/>
                                  <w:vAlign w:val="center"/>
                                </w:tcPr>
                                <w:p w14:paraId="46E18564"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11</w:t>
                                  </w:r>
                                </w:p>
                              </w:tc>
                              <w:tc>
                                <w:tcPr>
                                  <w:tcW w:w="516" w:type="dxa"/>
                                  <w:vAlign w:val="center"/>
                                </w:tcPr>
                                <w:p w14:paraId="54C72FA2"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12</w:t>
                                  </w:r>
                                </w:p>
                              </w:tc>
                              <w:tc>
                                <w:tcPr>
                                  <w:tcW w:w="1466" w:type="dxa"/>
                                  <w:vAlign w:val="center"/>
                                </w:tcPr>
                                <w:p w14:paraId="787B3FAD"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13</w:t>
                                  </w:r>
                                </w:p>
                                <w:p w14:paraId="2B46CA48"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（1至1</w:t>
                                  </w:r>
                                  <w:r w:rsidRPr="009C0B72">
                                    <w:rPr>
                                      <w:rFonts w:ascii="標楷體" w:eastAsia="標楷體" w:hAnsi="標楷體"/>
                                      <w:sz w:val="20"/>
                                    </w:rPr>
                                    <w:t>1</w:t>
                                  </w:r>
                                  <w:r w:rsidRPr="009C0B72">
                                    <w:rPr>
                                      <w:rFonts w:ascii="標楷體" w:eastAsia="標楷體" w:hAnsi="標楷體" w:hint="eastAsia"/>
                                      <w:sz w:val="20"/>
                                    </w:rPr>
                                    <w:t>月）</w:t>
                                  </w:r>
                                </w:p>
                              </w:tc>
                            </w:tr>
                            <w:tr w:rsidR="00AE1C91" w:rsidRPr="009C0B72" w14:paraId="1907D4F2" w14:textId="77777777" w:rsidTr="009C0B72">
                              <w:trPr>
                                <w:jc w:val="right"/>
                              </w:trPr>
                              <w:tc>
                                <w:tcPr>
                                  <w:tcW w:w="1016" w:type="dxa"/>
                                  <w:vAlign w:val="center"/>
                                </w:tcPr>
                                <w:p w14:paraId="6792663D" w14:textId="77777777" w:rsidR="00AE1C91" w:rsidRPr="009C0B72" w:rsidRDefault="00AE1C91" w:rsidP="009C0B72">
                                  <w:pPr>
                                    <w:overflowPunct w:val="0"/>
                                    <w:snapToGrid w:val="0"/>
                                    <w:jc w:val="center"/>
                                    <w:rPr>
                                      <w:rFonts w:ascii="標楷體" w:eastAsia="標楷體" w:hAnsi="標楷體"/>
                                      <w:b/>
                                      <w:sz w:val="20"/>
                                    </w:rPr>
                                  </w:pPr>
                                  <w:r w:rsidRPr="009C0B72">
                                    <w:rPr>
                                      <w:rFonts w:ascii="標楷體" w:eastAsia="標楷體" w:hAnsi="標楷體" w:hint="eastAsia"/>
                                      <w:b/>
                                      <w:sz w:val="20"/>
                                    </w:rPr>
                                    <w:t>合計</w:t>
                                  </w:r>
                                </w:p>
                              </w:tc>
                              <w:tc>
                                <w:tcPr>
                                  <w:tcW w:w="517" w:type="dxa"/>
                                  <w:vAlign w:val="center"/>
                                </w:tcPr>
                                <w:p w14:paraId="76692805"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150</w:t>
                                  </w:r>
                                </w:p>
                              </w:tc>
                              <w:tc>
                                <w:tcPr>
                                  <w:tcW w:w="517" w:type="dxa"/>
                                  <w:vAlign w:val="center"/>
                                </w:tcPr>
                                <w:p w14:paraId="3B313D4E"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341</w:t>
                                  </w:r>
                                </w:p>
                              </w:tc>
                              <w:tc>
                                <w:tcPr>
                                  <w:tcW w:w="1466" w:type="dxa"/>
                                  <w:tcBorders>
                                    <w:right w:val="double" w:sz="4" w:space="0" w:color="auto"/>
                                  </w:tcBorders>
                                  <w:vAlign w:val="center"/>
                                </w:tcPr>
                                <w:p w14:paraId="6B09ABFB"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472</w:t>
                                  </w:r>
                                </w:p>
                              </w:tc>
                              <w:tc>
                                <w:tcPr>
                                  <w:tcW w:w="1016" w:type="dxa"/>
                                  <w:tcBorders>
                                    <w:left w:val="double" w:sz="4" w:space="0" w:color="auto"/>
                                  </w:tcBorders>
                                  <w:vAlign w:val="center"/>
                                </w:tcPr>
                                <w:p w14:paraId="6D17A36F" w14:textId="77777777" w:rsidR="00AE1C91" w:rsidRPr="009C0B72" w:rsidRDefault="00AE1C91" w:rsidP="009C0B72">
                                  <w:pPr>
                                    <w:overflowPunct w:val="0"/>
                                    <w:snapToGrid w:val="0"/>
                                    <w:jc w:val="center"/>
                                    <w:rPr>
                                      <w:rFonts w:ascii="標楷體" w:eastAsia="標楷體" w:hAnsi="標楷體"/>
                                      <w:b/>
                                      <w:sz w:val="20"/>
                                    </w:rPr>
                                  </w:pPr>
                                  <w:r w:rsidRPr="009C0B72">
                                    <w:rPr>
                                      <w:rFonts w:ascii="標楷體" w:eastAsia="標楷體" w:hAnsi="標楷體" w:hint="eastAsia"/>
                                      <w:b/>
                                      <w:sz w:val="20"/>
                                    </w:rPr>
                                    <w:t>合計</w:t>
                                  </w:r>
                                </w:p>
                              </w:tc>
                              <w:tc>
                                <w:tcPr>
                                  <w:tcW w:w="516" w:type="dxa"/>
                                  <w:vAlign w:val="center"/>
                                </w:tcPr>
                                <w:p w14:paraId="3EE5BEDA"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23</w:t>
                                  </w:r>
                                </w:p>
                              </w:tc>
                              <w:tc>
                                <w:tcPr>
                                  <w:tcW w:w="516" w:type="dxa"/>
                                  <w:vAlign w:val="center"/>
                                </w:tcPr>
                                <w:p w14:paraId="0ED78FD5"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43</w:t>
                                  </w:r>
                                </w:p>
                              </w:tc>
                              <w:tc>
                                <w:tcPr>
                                  <w:tcW w:w="1466" w:type="dxa"/>
                                  <w:vAlign w:val="center"/>
                                </w:tcPr>
                                <w:p w14:paraId="7EB5A1A9"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32</w:t>
                                  </w:r>
                                </w:p>
                              </w:tc>
                            </w:tr>
                            <w:tr w:rsidR="00AE1C91" w:rsidRPr="009C0B72" w14:paraId="409290F5" w14:textId="77777777" w:rsidTr="009C0B72">
                              <w:trPr>
                                <w:jc w:val="right"/>
                              </w:trPr>
                              <w:tc>
                                <w:tcPr>
                                  <w:tcW w:w="1016" w:type="dxa"/>
                                  <w:vAlign w:val="center"/>
                                </w:tcPr>
                                <w:p w14:paraId="5C8107D4"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中央政府</w:t>
                                  </w:r>
                                </w:p>
                              </w:tc>
                              <w:tc>
                                <w:tcPr>
                                  <w:tcW w:w="517" w:type="dxa"/>
                                  <w:vAlign w:val="center"/>
                                </w:tcPr>
                                <w:p w14:paraId="5D162788"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105</w:t>
                                  </w:r>
                                </w:p>
                              </w:tc>
                              <w:tc>
                                <w:tcPr>
                                  <w:tcW w:w="517" w:type="dxa"/>
                                  <w:vAlign w:val="center"/>
                                </w:tcPr>
                                <w:p w14:paraId="35F76C3E"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230</w:t>
                                  </w:r>
                                </w:p>
                              </w:tc>
                              <w:tc>
                                <w:tcPr>
                                  <w:tcW w:w="1466" w:type="dxa"/>
                                  <w:tcBorders>
                                    <w:right w:val="double" w:sz="4" w:space="0" w:color="auto"/>
                                  </w:tcBorders>
                                  <w:vAlign w:val="center"/>
                                </w:tcPr>
                                <w:p w14:paraId="70004636"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324</w:t>
                                  </w:r>
                                </w:p>
                              </w:tc>
                              <w:tc>
                                <w:tcPr>
                                  <w:tcW w:w="1016" w:type="dxa"/>
                                  <w:tcBorders>
                                    <w:left w:val="double" w:sz="4" w:space="0" w:color="auto"/>
                                  </w:tcBorders>
                                  <w:vAlign w:val="center"/>
                                </w:tcPr>
                                <w:p w14:paraId="55926E97"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中央政府</w:t>
                                  </w:r>
                                </w:p>
                              </w:tc>
                              <w:tc>
                                <w:tcPr>
                                  <w:tcW w:w="516" w:type="dxa"/>
                                  <w:vAlign w:val="center"/>
                                </w:tcPr>
                                <w:p w14:paraId="6DA98320"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21</w:t>
                                  </w:r>
                                </w:p>
                              </w:tc>
                              <w:tc>
                                <w:tcPr>
                                  <w:tcW w:w="516" w:type="dxa"/>
                                  <w:vAlign w:val="center"/>
                                </w:tcPr>
                                <w:p w14:paraId="1B184E86"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39</w:t>
                                  </w:r>
                                </w:p>
                              </w:tc>
                              <w:tc>
                                <w:tcPr>
                                  <w:tcW w:w="1466" w:type="dxa"/>
                                  <w:vAlign w:val="center"/>
                                </w:tcPr>
                                <w:p w14:paraId="0E8933BD"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27</w:t>
                                  </w:r>
                                </w:p>
                              </w:tc>
                            </w:tr>
                            <w:tr w:rsidR="00AE1C91" w:rsidRPr="009C0B72" w14:paraId="17773B50" w14:textId="77777777" w:rsidTr="009C0B72">
                              <w:trPr>
                                <w:jc w:val="right"/>
                              </w:trPr>
                              <w:tc>
                                <w:tcPr>
                                  <w:tcW w:w="1016" w:type="dxa"/>
                                  <w:tcBorders>
                                    <w:bottom w:val="single" w:sz="4" w:space="0" w:color="auto"/>
                                  </w:tcBorders>
                                  <w:vAlign w:val="center"/>
                                </w:tcPr>
                                <w:p w14:paraId="51CFE2CA"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地方政府</w:t>
                                  </w:r>
                                </w:p>
                              </w:tc>
                              <w:tc>
                                <w:tcPr>
                                  <w:tcW w:w="517" w:type="dxa"/>
                                  <w:tcBorders>
                                    <w:bottom w:val="single" w:sz="4" w:space="0" w:color="auto"/>
                                  </w:tcBorders>
                                  <w:vAlign w:val="center"/>
                                </w:tcPr>
                                <w:p w14:paraId="2F3C4CC8"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4</w:t>
                                  </w:r>
                                  <w:r w:rsidRPr="009C0B72">
                                    <w:rPr>
                                      <w:rFonts w:ascii="標楷體" w:eastAsia="標楷體" w:hAnsi="標楷體"/>
                                      <w:sz w:val="20"/>
                                    </w:rPr>
                                    <w:t>5</w:t>
                                  </w:r>
                                </w:p>
                              </w:tc>
                              <w:tc>
                                <w:tcPr>
                                  <w:tcW w:w="517" w:type="dxa"/>
                                  <w:tcBorders>
                                    <w:bottom w:val="single" w:sz="4" w:space="0" w:color="auto"/>
                                  </w:tcBorders>
                                  <w:vAlign w:val="center"/>
                                </w:tcPr>
                                <w:p w14:paraId="375A4FA0"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11</w:t>
                                  </w:r>
                                </w:p>
                              </w:tc>
                              <w:tc>
                                <w:tcPr>
                                  <w:tcW w:w="1466" w:type="dxa"/>
                                  <w:tcBorders>
                                    <w:bottom w:val="single" w:sz="4" w:space="0" w:color="auto"/>
                                    <w:right w:val="double" w:sz="4" w:space="0" w:color="auto"/>
                                  </w:tcBorders>
                                  <w:vAlign w:val="center"/>
                                </w:tcPr>
                                <w:p w14:paraId="1EAD8518"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48</w:t>
                                  </w:r>
                                </w:p>
                              </w:tc>
                              <w:tc>
                                <w:tcPr>
                                  <w:tcW w:w="1016" w:type="dxa"/>
                                  <w:tcBorders>
                                    <w:left w:val="double" w:sz="4" w:space="0" w:color="auto"/>
                                    <w:bottom w:val="single" w:sz="4" w:space="0" w:color="auto"/>
                                  </w:tcBorders>
                                  <w:vAlign w:val="center"/>
                                </w:tcPr>
                                <w:p w14:paraId="01D7A6A4"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地方政府</w:t>
                                  </w:r>
                                </w:p>
                              </w:tc>
                              <w:tc>
                                <w:tcPr>
                                  <w:tcW w:w="516" w:type="dxa"/>
                                  <w:tcBorders>
                                    <w:bottom w:val="single" w:sz="4" w:space="0" w:color="auto"/>
                                  </w:tcBorders>
                                  <w:vAlign w:val="center"/>
                                </w:tcPr>
                                <w:p w14:paraId="4920888A"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2</w:t>
                                  </w:r>
                                </w:p>
                              </w:tc>
                              <w:tc>
                                <w:tcPr>
                                  <w:tcW w:w="516" w:type="dxa"/>
                                  <w:tcBorders>
                                    <w:bottom w:val="single" w:sz="4" w:space="0" w:color="auto"/>
                                  </w:tcBorders>
                                  <w:vAlign w:val="center"/>
                                </w:tcPr>
                                <w:p w14:paraId="0023015D"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4</w:t>
                                  </w:r>
                                </w:p>
                              </w:tc>
                              <w:tc>
                                <w:tcPr>
                                  <w:tcW w:w="1466" w:type="dxa"/>
                                  <w:tcBorders>
                                    <w:bottom w:val="single" w:sz="4" w:space="0" w:color="auto"/>
                                  </w:tcBorders>
                                  <w:vAlign w:val="center"/>
                                </w:tcPr>
                                <w:p w14:paraId="59F7EE21"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5</w:t>
                                  </w:r>
                                </w:p>
                              </w:tc>
                            </w:tr>
                            <w:tr w:rsidR="00AE1C91" w:rsidRPr="005014A8" w14:paraId="1776AB03" w14:textId="77777777" w:rsidTr="009C0B72">
                              <w:trPr>
                                <w:jc w:val="right"/>
                              </w:trPr>
                              <w:tc>
                                <w:tcPr>
                                  <w:tcW w:w="7030" w:type="dxa"/>
                                  <w:gridSpan w:val="8"/>
                                  <w:tcBorders>
                                    <w:left w:val="nil"/>
                                    <w:bottom w:val="nil"/>
                                    <w:right w:val="nil"/>
                                  </w:tcBorders>
                                  <w:vAlign w:val="center"/>
                                </w:tcPr>
                                <w:p w14:paraId="542B2D53" w14:textId="77777777" w:rsidR="00AE1C91" w:rsidRPr="005014A8" w:rsidRDefault="00AE1C91" w:rsidP="009C0B72">
                                  <w:pPr>
                                    <w:overflowPunct w:val="0"/>
                                    <w:snapToGrid w:val="0"/>
                                    <w:rPr>
                                      <w:rFonts w:ascii="標楷體" w:eastAsia="標楷體" w:hAnsi="標楷體"/>
                                      <w:sz w:val="20"/>
                                      <w:szCs w:val="24"/>
                                    </w:rPr>
                                  </w:pPr>
                                  <w:r w:rsidRPr="00A002B8">
                                    <w:rPr>
                                      <w:rFonts w:ascii="標楷體" w:eastAsia="標楷體" w:hAnsi="標楷體" w:hint="eastAsia"/>
                                      <w:sz w:val="18"/>
                                    </w:rPr>
                                    <w:t>資料來源：整理自各機關（構）</w:t>
                                  </w:r>
                                  <w:proofErr w:type="gramStart"/>
                                  <w:r w:rsidRPr="00A002B8">
                                    <w:rPr>
                                      <w:rFonts w:ascii="標楷體" w:eastAsia="標楷體" w:hAnsi="標楷體" w:hint="eastAsia"/>
                                      <w:sz w:val="18"/>
                                    </w:rPr>
                                    <w:t>查填資料</w:t>
                                  </w:r>
                                  <w:proofErr w:type="gramEnd"/>
                                  <w:r w:rsidRPr="00A002B8">
                                    <w:rPr>
                                      <w:rFonts w:ascii="標楷體" w:eastAsia="標楷體" w:hAnsi="標楷體" w:hint="eastAsia"/>
                                      <w:sz w:val="18"/>
                                    </w:rPr>
                                    <w:t>。</w:t>
                                  </w:r>
                                </w:p>
                              </w:tc>
                            </w:tr>
                          </w:tbl>
                          <w:p w14:paraId="3E8B4E1C" w14:textId="77777777" w:rsidR="00AE1C91" w:rsidRPr="009C0B72" w:rsidRDefault="00AE1C91" w:rsidP="00AE1C9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46042" id="_x0000_s1149" type="#_x0000_t202" style="position:absolute;left:0;text-align:left;margin-left:130.4pt;margin-top:148.75pt;width:363.05pt;height:130.6pt;z-index:251628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" stroked="f">
                <v:textbox>
                  <w:txbxContent>
                    <w:tbl>
                      <w:tblPr>
                        <w:tblStyle w:val="afff"/>
                        <w:tblW w:w="0" w:type="auto"/>
                        <w:jc w:val="right"/>
                        <w:tblLayout w:type="fixed"/>
                        <w:tblLook w:val="04A0" w:firstRow="1" w:lastRow="0" w:firstColumn="1" w:lastColumn="0" w:noHBand="0" w:noVBand="1"/>
                      </w:tblPr>
                      <w:tblGrid>
                        <w:gridCol w:w="1016"/>
                        <w:gridCol w:w="517"/>
                        <w:gridCol w:w="517"/>
                        <w:gridCol w:w="1466"/>
                        <w:gridCol w:w="1016"/>
                        <w:gridCol w:w="516"/>
                        <w:gridCol w:w="516"/>
                        <w:gridCol w:w="1466"/>
                      </w:tblGrid>
                      <w:tr w:rsidR="00AE1C91" w:rsidRPr="005014A8" w14:paraId="08261CC6" w14:textId="77777777" w:rsidTr="009C0B72">
                        <w:trPr>
                          <w:jc w:val="right"/>
                        </w:trPr>
                        <w:tc>
                          <w:tcPr>
                            <w:tcW w:w="7030" w:type="dxa"/>
                            <w:gridSpan w:val="8"/>
                            <w:tcBorders>
                              <w:top w:val="nil"/>
                              <w:left w:val="nil"/>
                              <w:right w:val="nil"/>
                            </w:tcBorders>
                            <w:vAlign w:val="center"/>
                          </w:tcPr>
                          <w:p w14:paraId="6B848A83" w14:textId="56B857D9" w:rsidR="00AE1C91" w:rsidRPr="005014A8" w:rsidRDefault="00AE1C91" w:rsidP="009C0B72">
                            <w:pPr>
                              <w:overflowPunct w:val="0"/>
                              <w:snapToGrid w:val="0"/>
                              <w:ind w:left="661" w:hangingChars="275" w:hanging="661"/>
                              <w:jc w:val="center"/>
                              <w:rPr>
                                <w:rFonts w:ascii="標楷體" w:eastAsia="標楷體" w:hAnsi="標楷體"/>
                                <w:b/>
                                <w:szCs w:val="24"/>
                              </w:rPr>
                            </w:pPr>
                            <w:r w:rsidRPr="005014A8">
                              <w:rPr>
                                <w:rFonts w:ascii="標楷體" w:eastAsia="標楷體" w:hAnsi="標楷體" w:hint="eastAsia"/>
                                <w:b/>
                                <w:szCs w:val="24"/>
                              </w:rPr>
                              <w:t>表</w:t>
                            </w:r>
                            <w:r>
                              <w:rPr>
                                <w:rFonts w:ascii="標楷體" w:eastAsia="標楷體" w:hAnsi="標楷體" w:hint="eastAsia"/>
                                <w:b/>
                                <w:szCs w:val="24"/>
                              </w:rPr>
                              <w:t>4</w:t>
                            </w:r>
                            <w:r w:rsidR="00CA5563">
                              <w:rPr>
                                <w:rFonts w:ascii="標楷體" w:eastAsia="標楷體" w:hAnsi="標楷體"/>
                                <w:b/>
                                <w:szCs w:val="24"/>
                              </w:rPr>
                              <w:t>3</w:t>
                            </w:r>
                            <w:r w:rsidRPr="005014A8">
                              <w:rPr>
                                <w:rFonts w:ascii="標楷體" w:eastAsia="標楷體" w:hAnsi="標楷體" w:hint="eastAsia"/>
                                <w:b/>
                                <w:szCs w:val="24"/>
                              </w:rPr>
                              <w:t xml:space="preserve">　職</w:t>
                            </w:r>
                            <w:proofErr w:type="gramStart"/>
                            <w:r w:rsidRPr="005014A8">
                              <w:rPr>
                                <w:rFonts w:ascii="標楷體" w:eastAsia="標楷體" w:hAnsi="標楷體" w:hint="eastAsia"/>
                                <w:b/>
                                <w:szCs w:val="24"/>
                              </w:rPr>
                              <w:t>場霸凌</w:t>
                            </w:r>
                            <w:proofErr w:type="gramEnd"/>
                            <w:r w:rsidRPr="005014A8">
                              <w:rPr>
                                <w:rFonts w:ascii="標楷體" w:eastAsia="標楷體" w:hAnsi="標楷體" w:hint="eastAsia"/>
                                <w:b/>
                                <w:szCs w:val="24"/>
                              </w:rPr>
                              <w:t>申訴及職</w:t>
                            </w:r>
                            <w:proofErr w:type="gramStart"/>
                            <w:r w:rsidRPr="005014A8">
                              <w:rPr>
                                <w:rFonts w:ascii="標楷體" w:eastAsia="標楷體" w:hAnsi="標楷體" w:hint="eastAsia"/>
                                <w:b/>
                                <w:szCs w:val="24"/>
                              </w:rPr>
                              <w:t>場霸凌案</w:t>
                            </w:r>
                            <w:proofErr w:type="gramEnd"/>
                            <w:r w:rsidRPr="005014A8">
                              <w:rPr>
                                <w:rFonts w:ascii="標楷體" w:eastAsia="標楷體" w:hAnsi="標楷體" w:hint="eastAsia"/>
                                <w:b/>
                                <w:szCs w:val="24"/>
                              </w:rPr>
                              <w:t>成立件數</w:t>
                            </w:r>
                          </w:p>
                          <w:p w14:paraId="56C2BEFF" w14:textId="77777777" w:rsidR="00AE1C91" w:rsidRPr="005014A8" w:rsidRDefault="00AE1C91" w:rsidP="009C0B72">
                            <w:pPr>
                              <w:overflowPunct w:val="0"/>
                              <w:snapToGrid w:val="0"/>
                              <w:jc w:val="right"/>
                              <w:rPr>
                                <w:rFonts w:ascii="標楷體" w:eastAsia="標楷體" w:hAnsi="標楷體"/>
                                <w:b/>
                                <w:szCs w:val="24"/>
                              </w:rPr>
                            </w:pPr>
                            <w:r w:rsidRPr="005014A8">
                              <w:rPr>
                                <w:rFonts w:ascii="標楷體" w:eastAsia="標楷體" w:hAnsi="標楷體" w:hint="eastAsia"/>
                                <w:sz w:val="20"/>
                                <w:szCs w:val="24"/>
                              </w:rPr>
                              <w:t>單位：件</w:t>
                            </w:r>
                          </w:p>
                        </w:tc>
                      </w:tr>
                      <w:tr w:rsidR="00AE1C91" w:rsidRPr="009C0B72" w14:paraId="14134D05" w14:textId="77777777" w:rsidTr="009C0B72">
                        <w:trPr>
                          <w:jc w:val="right"/>
                        </w:trPr>
                        <w:tc>
                          <w:tcPr>
                            <w:tcW w:w="3516" w:type="dxa"/>
                            <w:gridSpan w:val="4"/>
                            <w:tcBorders>
                              <w:right w:val="double" w:sz="4" w:space="0" w:color="auto"/>
                            </w:tcBorders>
                            <w:vAlign w:val="center"/>
                          </w:tcPr>
                          <w:p w14:paraId="392A8D21"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職</w:t>
                            </w:r>
                            <w:proofErr w:type="gramStart"/>
                            <w:r w:rsidRPr="009C0B72">
                              <w:rPr>
                                <w:rFonts w:ascii="標楷體" w:eastAsia="標楷體" w:hAnsi="標楷體" w:hint="eastAsia"/>
                                <w:sz w:val="20"/>
                              </w:rPr>
                              <w:t>場霸凌</w:t>
                            </w:r>
                            <w:proofErr w:type="gramEnd"/>
                            <w:r w:rsidRPr="009C0B72">
                              <w:rPr>
                                <w:rFonts w:ascii="標楷體" w:eastAsia="標楷體" w:hAnsi="標楷體" w:hint="eastAsia"/>
                                <w:sz w:val="20"/>
                              </w:rPr>
                              <w:t>申訴件數</w:t>
                            </w:r>
                          </w:p>
                        </w:tc>
                        <w:tc>
                          <w:tcPr>
                            <w:tcW w:w="3514" w:type="dxa"/>
                            <w:gridSpan w:val="4"/>
                            <w:tcBorders>
                              <w:left w:val="double" w:sz="4" w:space="0" w:color="auto"/>
                            </w:tcBorders>
                            <w:vAlign w:val="center"/>
                          </w:tcPr>
                          <w:p w14:paraId="3075037B"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職</w:t>
                            </w:r>
                            <w:proofErr w:type="gramStart"/>
                            <w:r w:rsidRPr="009C0B72">
                              <w:rPr>
                                <w:rFonts w:ascii="標楷體" w:eastAsia="標楷體" w:hAnsi="標楷體" w:hint="eastAsia"/>
                                <w:sz w:val="20"/>
                              </w:rPr>
                              <w:t>場霸凌案</w:t>
                            </w:r>
                            <w:proofErr w:type="gramEnd"/>
                            <w:r w:rsidRPr="009C0B72">
                              <w:rPr>
                                <w:rFonts w:ascii="標楷體" w:eastAsia="標楷體" w:hAnsi="標楷體" w:hint="eastAsia"/>
                                <w:sz w:val="20"/>
                              </w:rPr>
                              <w:t>成立件數</w:t>
                            </w:r>
                          </w:p>
                        </w:tc>
                      </w:tr>
                      <w:tr w:rsidR="00AE1C91" w:rsidRPr="009C0B72" w14:paraId="55CAFE80" w14:textId="77777777" w:rsidTr="009C0B72">
                        <w:trPr>
                          <w:jc w:val="right"/>
                        </w:trPr>
                        <w:tc>
                          <w:tcPr>
                            <w:tcW w:w="1016" w:type="dxa"/>
                            <w:vAlign w:val="center"/>
                          </w:tcPr>
                          <w:p w14:paraId="437E694C"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年度</w:t>
                            </w:r>
                          </w:p>
                        </w:tc>
                        <w:tc>
                          <w:tcPr>
                            <w:tcW w:w="517" w:type="dxa"/>
                            <w:vAlign w:val="center"/>
                          </w:tcPr>
                          <w:p w14:paraId="639A5017"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11</w:t>
                            </w:r>
                          </w:p>
                        </w:tc>
                        <w:tc>
                          <w:tcPr>
                            <w:tcW w:w="517" w:type="dxa"/>
                            <w:vAlign w:val="center"/>
                          </w:tcPr>
                          <w:p w14:paraId="31FF6723"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12</w:t>
                            </w:r>
                          </w:p>
                        </w:tc>
                        <w:tc>
                          <w:tcPr>
                            <w:tcW w:w="1466" w:type="dxa"/>
                            <w:tcBorders>
                              <w:right w:val="double" w:sz="4" w:space="0" w:color="auto"/>
                            </w:tcBorders>
                            <w:vAlign w:val="center"/>
                          </w:tcPr>
                          <w:p w14:paraId="2E2468F5"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13</w:t>
                            </w:r>
                          </w:p>
                          <w:p w14:paraId="45DB3E2B"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（1至1</w:t>
                            </w:r>
                            <w:r w:rsidRPr="009C0B72">
                              <w:rPr>
                                <w:rFonts w:ascii="標楷體" w:eastAsia="標楷體" w:hAnsi="標楷體"/>
                                <w:sz w:val="20"/>
                              </w:rPr>
                              <w:t>1</w:t>
                            </w:r>
                            <w:r w:rsidRPr="009C0B72">
                              <w:rPr>
                                <w:rFonts w:ascii="標楷體" w:eastAsia="標楷體" w:hAnsi="標楷體" w:hint="eastAsia"/>
                                <w:sz w:val="20"/>
                              </w:rPr>
                              <w:t>月）</w:t>
                            </w:r>
                          </w:p>
                        </w:tc>
                        <w:tc>
                          <w:tcPr>
                            <w:tcW w:w="1016" w:type="dxa"/>
                            <w:tcBorders>
                              <w:left w:val="double" w:sz="4" w:space="0" w:color="auto"/>
                            </w:tcBorders>
                            <w:vAlign w:val="center"/>
                          </w:tcPr>
                          <w:p w14:paraId="06ECD62F"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年度</w:t>
                            </w:r>
                          </w:p>
                        </w:tc>
                        <w:tc>
                          <w:tcPr>
                            <w:tcW w:w="516" w:type="dxa"/>
                            <w:vAlign w:val="center"/>
                          </w:tcPr>
                          <w:p w14:paraId="46E18564"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11</w:t>
                            </w:r>
                          </w:p>
                        </w:tc>
                        <w:tc>
                          <w:tcPr>
                            <w:tcW w:w="516" w:type="dxa"/>
                            <w:vAlign w:val="center"/>
                          </w:tcPr>
                          <w:p w14:paraId="54C72FA2"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12</w:t>
                            </w:r>
                          </w:p>
                        </w:tc>
                        <w:tc>
                          <w:tcPr>
                            <w:tcW w:w="1466" w:type="dxa"/>
                            <w:vAlign w:val="center"/>
                          </w:tcPr>
                          <w:p w14:paraId="787B3FAD"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13</w:t>
                            </w:r>
                          </w:p>
                          <w:p w14:paraId="2B46CA48"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（1至1</w:t>
                            </w:r>
                            <w:r w:rsidRPr="009C0B72">
                              <w:rPr>
                                <w:rFonts w:ascii="標楷體" w:eastAsia="標楷體" w:hAnsi="標楷體"/>
                                <w:sz w:val="20"/>
                              </w:rPr>
                              <w:t>1</w:t>
                            </w:r>
                            <w:r w:rsidRPr="009C0B72">
                              <w:rPr>
                                <w:rFonts w:ascii="標楷體" w:eastAsia="標楷體" w:hAnsi="標楷體" w:hint="eastAsia"/>
                                <w:sz w:val="20"/>
                              </w:rPr>
                              <w:t>月）</w:t>
                            </w:r>
                          </w:p>
                        </w:tc>
                      </w:tr>
                      <w:tr w:rsidR="00AE1C91" w:rsidRPr="009C0B72" w14:paraId="1907D4F2" w14:textId="77777777" w:rsidTr="009C0B72">
                        <w:trPr>
                          <w:jc w:val="right"/>
                        </w:trPr>
                        <w:tc>
                          <w:tcPr>
                            <w:tcW w:w="1016" w:type="dxa"/>
                            <w:vAlign w:val="center"/>
                          </w:tcPr>
                          <w:p w14:paraId="6792663D" w14:textId="77777777" w:rsidR="00AE1C91" w:rsidRPr="009C0B72" w:rsidRDefault="00AE1C91" w:rsidP="009C0B72">
                            <w:pPr>
                              <w:overflowPunct w:val="0"/>
                              <w:snapToGrid w:val="0"/>
                              <w:jc w:val="center"/>
                              <w:rPr>
                                <w:rFonts w:ascii="標楷體" w:eastAsia="標楷體" w:hAnsi="標楷體"/>
                                <w:b/>
                                <w:sz w:val="20"/>
                              </w:rPr>
                            </w:pPr>
                            <w:r w:rsidRPr="009C0B72">
                              <w:rPr>
                                <w:rFonts w:ascii="標楷體" w:eastAsia="標楷體" w:hAnsi="標楷體" w:hint="eastAsia"/>
                                <w:b/>
                                <w:sz w:val="20"/>
                              </w:rPr>
                              <w:t>合計</w:t>
                            </w:r>
                          </w:p>
                        </w:tc>
                        <w:tc>
                          <w:tcPr>
                            <w:tcW w:w="517" w:type="dxa"/>
                            <w:vAlign w:val="center"/>
                          </w:tcPr>
                          <w:p w14:paraId="76692805"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150</w:t>
                            </w:r>
                          </w:p>
                        </w:tc>
                        <w:tc>
                          <w:tcPr>
                            <w:tcW w:w="517" w:type="dxa"/>
                            <w:vAlign w:val="center"/>
                          </w:tcPr>
                          <w:p w14:paraId="3B313D4E"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341</w:t>
                            </w:r>
                          </w:p>
                        </w:tc>
                        <w:tc>
                          <w:tcPr>
                            <w:tcW w:w="1466" w:type="dxa"/>
                            <w:tcBorders>
                              <w:right w:val="double" w:sz="4" w:space="0" w:color="auto"/>
                            </w:tcBorders>
                            <w:vAlign w:val="center"/>
                          </w:tcPr>
                          <w:p w14:paraId="6B09ABFB"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472</w:t>
                            </w:r>
                          </w:p>
                        </w:tc>
                        <w:tc>
                          <w:tcPr>
                            <w:tcW w:w="1016" w:type="dxa"/>
                            <w:tcBorders>
                              <w:left w:val="double" w:sz="4" w:space="0" w:color="auto"/>
                            </w:tcBorders>
                            <w:vAlign w:val="center"/>
                          </w:tcPr>
                          <w:p w14:paraId="6D17A36F" w14:textId="77777777" w:rsidR="00AE1C91" w:rsidRPr="009C0B72" w:rsidRDefault="00AE1C91" w:rsidP="009C0B72">
                            <w:pPr>
                              <w:overflowPunct w:val="0"/>
                              <w:snapToGrid w:val="0"/>
                              <w:jc w:val="center"/>
                              <w:rPr>
                                <w:rFonts w:ascii="標楷體" w:eastAsia="標楷體" w:hAnsi="標楷體"/>
                                <w:b/>
                                <w:sz w:val="20"/>
                              </w:rPr>
                            </w:pPr>
                            <w:r w:rsidRPr="009C0B72">
                              <w:rPr>
                                <w:rFonts w:ascii="標楷體" w:eastAsia="標楷體" w:hAnsi="標楷體" w:hint="eastAsia"/>
                                <w:b/>
                                <w:sz w:val="20"/>
                              </w:rPr>
                              <w:t>合計</w:t>
                            </w:r>
                          </w:p>
                        </w:tc>
                        <w:tc>
                          <w:tcPr>
                            <w:tcW w:w="516" w:type="dxa"/>
                            <w:vAlign w:val="center"/>
                          </w:tcPr>
                          <w:p w14:paraId="3EE5BEDA"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23</w:t>
                            </w:r>
                          </w:p>
                        </w:tc>
                        <w:tc>
                          <w:tcPr>
                            <w:tcW w:w="516" w:type="dxa"/>
                            <w:vAlign w:val="center"/>
                          </w:tcPr>
                          <w:p w14:paraId="0ED78FD5"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43</w:t>
                            </w:r>
                          </w:p>
                        </w:tc>
                        <w:tc>
                          <w:tcPr>
                            <w:tcW w:w="1466" w:type="dxa"/>
                            <w:vAlign w:val="center"/>
                          </w:tcPr>
                          <w:p w14:paraId="7EB5A1A9" w14:textId="77777777" w:rsidR="00AE1C91" w:rsidRPr="009C0B72" w:rsidRDefault="00AE1C91" w:rsidP="009C0B72">
                            <w:pPr>
                              <w:overflowPunct w:val="0"/>
                              <w:snapToGrid w:val="0"/>
                              <w:jc w:val="right"/>
                              <w:rPr>
                                <w:rFonts w:ascii="標楷體" w:eastAsia="標楷體" w:hAnsi="標楷體"/>
                                <w:b/>
                                <w:sz w:val="20"/>
                              </w:rPr>
                            </w:pPr>
                            <w:r w:rsidRPr="009C0B72">
                              <w:rPr>
                                <w:rFonts w:ascii="標楷體" w:eastAsia="標楷體" w:hAnsi="標楷體"/>
                                <w:b/>
                                <w:sz w:val="20"/>
                              </w:rPr>
                              <w:t>32</w:t>
                            </w:r>
                          </w:p>
                        </w:tc>
                      </w:tr>
                      <w:tr w:rsidR="00AE1C91" w:rsidRPr="009C0B72" w14:paraId="409290F5" w14:textId="77777777" w:rsidTr="009C0B72">
                        <w:trPr>
                          <w:jc w:val="right"/>
                        </w:trPr>
                        <w:tc>
                          <w:tcPr>
                            <w:tcW w:w="1016" w:type="dxa"/>
                            <w:vAlign w:val="center"/>
                          </w:tcPr>
                          <w:p w14:paraId="5C8107D4"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中央政府</w:t>
                            </w:r>
                          </w:p>
                        </w:tc>
                        <w:tc>
                          <w:tcPr>
                            <w:tcW w:w="517" w:type="dxa"/>
                            <w:vAlign w:val="center"/>
                          </w:tcPr>
                          <w:p w14:paraId="5D162788"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105</w:t>
                            </w:r>
                          </w:p>
                        </w:tc>
                        <w:tc>
                          <w:tcPr>
                            <w:tcW w:w="517" w:type="dxa"/>
                            <w:vAlign w:val="center"/>
                          </w:tcPr>
                          <w:p w14:paraId="35F76C3E"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230</w:t>
                            </w:r>
                          </w:p>
                        </w:tc>
                        <w:tc>
                          <w:tcPr>
                            <w:tcW w:w="1466" w:type="dxa"/>
                            <w:tcBorders>
                              <w:right w:val="double" w:sz="4" w:space="0" w:color="auto"/>
                            </w:tcBorders>
                            <w:vAlign w:val="center"/>
                          </w:tcPr>
                          <w:p w14:paraId="70004636"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324</w:t>
                            </w:r>
                          </w:p>
                        </w:tc>
                        <w:tc>
                          <w:tcPr>
                            <w:tcW w:w="1016" w:type="dxa"/>
                            <w:tcBorders>
                              <w:left w:val="double" w:sz="4" w:space="0" w:color="auto"/>
                            </w:tcBorders>
                            <w:vAlign w:val="center"/>
                          </w:tcPr>
                          <w:p w14:paraId="55926E97"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中央政府</w:t>
                            </w:r>
                          </w:p>
                        </w:tc>
                        <w:tc>
                          <w:tcPr>
                            <w:tcW w:w="516" w:type="dxa"/>
                            <w:vAlign w:val="center"/>
                          </w:tcPr>
                          <w:p w14:paraId="6DA98320"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21</w:t>
                            </w:r>
                          </w:p>
                        </w:tc>
                        <w:tc>
                          <w:tcPr>
                            <w:tcW w:w="516" w:type="dxa"/>
                            <w:vAlign w:val="center"/>
                          </w:tcPr>
                          <w:p w14:paraId="1B184E86"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39</w:t>
                            </w:r>
                          </w:p>
                        </w:tc>
                        <w:tc>
                          <w:tcPr>
                            <w:tcW w:w="1466" w:type="dxa"/>
                            <w:vAlign w:val="center"/>
                          </w:tcPr>
                          <w:p w14:paraId="0E8933BD"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27</w:t>
                            </w:r>
                          </w:p>
                        </w:tc>
                      </w:tr>
                      <w:tr w:rsidR="00AE1C91" w:rsidRPr="009C0B72" w14:paraId="17773B50" w14:textId="77777777" w:rsidTr="009C0B72">
                        <w:trPr>
                          <w:jc w:val="right"/>
                        </w:trPr>
                        <w:tc>
                          <w:tcPr>
                            <w:tcW w:w="1016" w:type="dxa"/>
                            <w:tcBorders>
                              <w:bottom w:val="single" w:sz="4" w:space="0" w:color="auto"/>
                            </w:tcBorders>
                            <w:vAlign w:val="center"/>
                          </w:tcPr>
                          <w:p w14:paraId="51CFE2CA"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地方政府</w:t>
                            </w:r>
                          </w:p>
                        </w:tc>
                        <w:tc>
                          <w:tcPr>
                            <w:tcW w:w="517" w:type="dxa"/>
                            <w:tcBorders>
                              <w:bottom w:val="single" w:sz="4" w:space="0" w:color="auto"/>
                            </w:tcBorders>
                            <w:vAlign w:val="center"/>
                          </w:tcPr>
                          <w:p w14:paraId="2F3C4CC8"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4</w:t>
                            </w:r>
                            <w:r w:rsidRPr="009C0B72">
                              <w:rPr>
                                <w:rFonts w:ascii="標楷體" w:eastAsia="標楷體" w:hAnsi="標楷體"/>
                                <w:sz w:val="20"/>
                              </w:rPr>
                              <w:t>5</w:t>
                            </w:r>
                          </w:p>
                        </w:tc>
                        <w:tc>
                          <w:tcPr>
                            <w:tcW w:w="517" w:type="dxa"/>
                            <w:tcBorders>
                              <w:bottom w:val="single" w:sz="4" w:space="0" w:color="auto"/>
                            </w:tcBorders>
                            <w:vAlign w:val="center"/>
                          </w:tcPr>
                          <w:p w14:paraId="375A4FA0"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11</w:t>
                            </w:r>
                          </w:p>
                        </w:tc>
                        <w:tc>
                          <w:tcPr>
                            <w:tcW w:w="1466" w:type="dxa"/>
                            <w:tcBorders>
                              <w:bottom w:val="single" w:sz="4" w:space="0" w:color="auto"/>
                              <w:right w:val="double" w:sz="4" w:space="0" w:color="auto"/>
                            </w:tcBorders>
                            <w:vAlign w:val="center"/>
                          </w:tcPr>
                          <w:p w14:paraId="1EAD8518"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1</w:t>
                            </w:r>
                            <w:r w:rsidRPr="009C0B72">
                              <w:rPr>
                                <w:rFonts w:ascii="標楷體" w:eastAsia="標楷體" w:hAnsi="標楷體"/>
                                <w:sz w:val="20"/>
                              </w:rPr>
                              <w:t>48</w:t>
                            </w:r>
                          </w:p>
                        </w:tc>
                        <w:tc>
                          <w:tcPr>
                            <w:tcW w:w="1016" w:type="dxa"/>
                            <w:tcBorders>
                              <w:left w:val="double" w:sz="4" w:space="0" w:color="auto"/>
                              <w:bottom w:val="single" w:sz="4" w:space="0" w:color="auto"/>
                            </w:tcBorders>
                            <w:vAlign w:val="center"/>
                          </w:tcPr>
                          <w:p w14:paraId="01D7A6A4" w14:textId="77777777" w:rsidR="00AE1C91" w:rsidRPr="009C0B72" w:rsidRDefault="00AE1C91" w:rsidP="009C0B72">
                            <w:pPr>
                              <w:overflowPunct w:val="0"/>
                              <w:snapToGrid w:val="0"/>
                              <w:jc w:val="center"/>
                              <w:rPr>
                                <w:rFonts w:ascii="標楷體" w:eastAsia="標楷體" w:hAnsi="標楷體"/>
                                <w:sz w:val="20"/>
                              </w:rPr>
                            </w:pPr>
                            <w:r w:rsidRPr="009C0B72">
                              <w:rPr>
                                <w:rFonts w:ascii="標楷體" w:eastAsia="標楷體" w:hAnsi="標楷體" w:hint="eastAsia"/>
                                <w:sz w:val="20"/>
                              </w:rPr>
                              <w:t>地方政府</w:t>
                            </w:r>
                          </w:p>
                        </w:tc>
                        <w:tc>
                          <w:tcPr>
                            <w:tcW w:w="516" w:type="dxa"/>
                            <w:tcBorders>
                              <w:bottom w:val="single" w:sz="4" w:space="0" w:color="auto"/>
                            </w:tcBorders>
                            <w:vAlign w:val="center"/>
                          </w:tcPr>
                          <w:p w14:paraId="4920888A"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hint="eastAsia"/>
                                <w:sz w:val="20"/>
                              </w:rPr>
                              <w:t>2</w:t>
                            </w:r>
                          </w:p>
                        </w:tc>
                        <w:tc>
                          <w:tcPr>
                            <w:tcW w:w="516" w:type="dxa"/>
                            <w:tcBorders>
                              <w:bottom w:val="single" w:sz="4" w:space="0" w:color="auto"/>
                            </w:tcBorders>
                            <w:vAlign w:val="center"/>
                          </w:tcPr>
                          <w:p w14:paraId="0023015D"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4</w:t>
                            </w:r>
                          </w:p>
                        </w:tc>
                        <w:tc>
                          <w:tcPr>
                            <w:tcW w:w="1466" w:type="dxa"/>
                            <w:tcBorders>
                              <w:bottom w:val="single" w:sz="4" w:space="0" w:color="auto"/>
                            </w:tcBorders>
                            <w:vAlign w:val="center"/>
                          </w:tcPr>
                          <w:p w14:paraId="59F7EE21" w14:textId="77777777" w:rsidR="00AE1C91" w:rsidRPr="009C0B72" w:rsidRDefault="00AE1C91" w:rsidP="009C0B72">
                            <w:pPr>
                              <w:overflowPunct w:val="0"/>
                              <w:snapToGrid w:val="0"/>
                              <w:jc w:val="right"/>
                              <w:rPr>
                                <w:rFonts w:ascii="標楷體" w:eastAsia="標楷體" w:hAnsi="標楷體"/>
                                <w:sz w:val="20"/>
                              </w:rPr>
                            </w:pPr>
                            <w:r w:rsidRPr="009C0B72">
                              <w:rPr>
                                <w:rFonts w:ascii="標楷體" w:eastAsia="標楷體" w:hAnsi="標楷體"/>
                                <w:sz w:val="20"/>
                              </w:rPr>
                              <w:t>5</w:t>
                            </w:r>
                          </w:p>
                        </w:tc>
                      </w:tr>
                      <w:tr w:rsidR="00AE1C91" w:rsidRPr="005014A8" w14:paraId="1776AB03" w14:textId="77777777" w:rsidTr="009C0B72">
                        <w:trPr>
                          <w:jc w:val="right"/>
                        </w:trPr>
                        <w:tc>
                          <w:tcPr>
                            <w:tcW w:w="7030" w:type="dxa"/>
                            <w:gridSpan w:val="8"/>
                            <w:tcBorders>
                              <w:left w:val="nil"/>
                              <w:bottom w:val="nil"/>
                              <w:right w:val="nil"/>
                            </w:tcBorders>
                            <w:vAlign w:val="center"/>
                          </w:tcPr>
                          <w:p w14:paraId="542B2D53" w14:textId="77777777" w:rsidR="00AE1C91" w:rsidRPr="005014A8" w:rsidRDefault="00AE1C91" w:rsidP="009C0B72">
                            <w:pPr>
                              <w:overflowPunct w:val="0"/>
                              <w:snapToGrid w:val="0"/>
                              <w:rPr>
                                <w:rFonts w:ascii="標楷體" w:eastAsia="標楷體" w:hAnsi="標楷體"/>
                                <w:sz w:val="20"/>
                                <w:szCs w:val="24"/>
                              </w:rPr>
                            </w:pPr>
                            <w:r w:rsidRPr="00A002B8">
                              <w:rPr>
                                <w:rFonts w:ascii="標楷體" w:eastAsia="標楷體" w:hAnsi="標楷體" w:hint="eastAsia"/>
                                <w:sz w:val="18"/>
                              </w:rPr>
                              <w:t>資料來源：整理自各機關（構）</w:t>
                            </w:r>
                            <w:proofErr w:type="gramStart"/>
                            <w:r w:rsidRPr="00A002B8">
                              <w:rPr>
                                <w:rFonts w:ascii="標楷體" w:eastAsia="標楷體" w:hAnsi="標楷體" w:hint="eastAsia"/>
                                <w:sz w:val="18"/>
                              </w:rPr>
                              <w:t>查填資料</w:t>
                            </w:r>
                            <w:proofErr w:type="gramEnd"/>
                            <w:r w:rsidRPr="00A002B8">
                              <w:rPr>
                                <w:rFonts w:ascii="標楷體" w:eastAsia="標楷體" w:hAnsi="標楷體" w:hint="eastAsia"/>
                                <w:sz w:val="18"/>
                              </w:rPr>
                              <w:t>。</w:t>
                            </w:r>
                          </w:p>
                        </w:tc>
                      </w:tr>
                    </w:tbl>
                    <w:p w14:paraId="3E8B4E1C" w14:textId="77777777" w:rsidR="00AE1C91" w:rsidRPr="009C0B72" w:rsidRDefault="00AE1C91" w:rsidP="00AE1C91"/>
                  </w:txbxContent>
                </v:textbox>
                <w10:wrap type="square" anchorx="margin"/>
              </v:shape>
            </w:pict>
          </mc:Fallback>
        </mc:AlternateContent>
      </w:r>
      <w:r w:rsidR="00F532FB" w:rsidRPr="00F532FB">
        <w:rPr>
          <w:rFonts w:ascii="標楷體" w:eastAsia="標楷體" w:hAnsi="標楷體" w:hint="eastAsia"/>
          <w:b/>
          <w:bCs/>
          <w:color w:val="000000" w:themeColor="text1"/>
        </w:rPr>
        <w:t xml:space="preserve">2.　</w:t>
      </w:r>
      <w:bookmarkStart w:id="37" w:name="_Hlk201668104"/>
      <w:r w:rsidR="00F532FB" w:rsidRPr="00F532FB">
        <w:rPr>
          <w:rFonts w:ascii="標楷體" w:eastAsia="標楷體" w:hAnsi="標楷體" w:hint="eastAsia"/>
          <w:b/>
          <w:bCs/>
          <w:color w:val="000000" w:themeColor="text1"/>
        </w:rPr>
        <w:t>各機關（構）</w:t>
      </w:r>
      <w:proofErr w:type="gramStart"/>
      <w:r w:rsidR="00F532FB" w:rsidRPr="00F532FB">
        <w:rPr>
          <w:rFonts w:ascii="標楷體" w:eastAsia="標楷體" w:hAnsi="標楷體" w:hint="eastAsia"/>
          <w:b/>
          <w:bCs/>
          <w:color w:val="000000" w:themeColor="text1"/>
        </w:rPr>
        <w:t>霸凌申訴</w:t>
      </w:r>
      <w:proofErr w:type="gramEnd"/>
      <w:r w:rsidR="00F532FB" w:rsidRPr="00F532FB">
        <w:rPr>
          <w:rFonts w:ascii="標楷體" w:eastAsia="標楷體" w:hAnsi="標楷體" w:hint="eastAsia"/>
          <w:b/>
          <w:bCs/>
          <w:color w:val="000000" w:themeColor="text1"/>
        </w:rPr>
        <w:t>案件呈逐年攀升趨勢，惟部分機關職</w:t>
      </w:r>
      <w:proofErr w:type="gramStart"/>
      <w:r w:rsidR="00F532FB" w:rsidRPr="00F532FB">
        <w:rPr>
          <w:rFonts w:ascii="標楷體" w:eastAsia="標楷體" w:hAnsi="標楷體" w:hint="eastAsia"/>
          <w:b/>
          <w:bCs/>
          <w:color w:val="000000" w:themeColor="text1"/>
        </w:rPr>
        <w:t>場霸凌</w:t>
      </w:r>
      <w:proofErr w:type="gramEnd"/>
      <w:r w:rsidR="00F532FB" w:rsidRPr="00F532FB">
        <w:rPr>
          <w:rFonts w:ascii="標楷體" w:eastAsia="標楷體" w:hAnsi="標楷體" w:hint="eastAsia"/>
          <w:b/>
          <w:bCs/>
          <w:color w:val="000000" w:themeColor="text1"/>
        </w:rPr>
        <w:t>申訴處理調查小組未納入外部專家學者，另新建置之職</w:t>
      </w:r>
      <w:proofErr w:type="gramStart"/>
      <w:r w:rsidR="00F532FB" w:rsidRPr="00F532FB">
        <w:rPr>
          <w:rFonts w:ascii="標楷體" w:eastAsia="標楷體" w:hAnsi="標楷體" w:hint="eastAsia"/>
          <w:b/>
          <w:bCs/>
          <w:color w:val="000000" w:themeColor="text1"/>
        </w:rPr>
        <w:t>場霸凌</w:t>
      </w:r>
      <w:proofErr w:type="gramEnd"/>
      <w:r w:rsidR="00F532FB" w:rsidRPr="00F532FB">
        <w:rPr>
          <w:rFonts w:ascii="標楷體" w:eastAsia="標楷體" w:hAnsi="標楷體" w:hint="eastAsia"/>
          <w:b/>
          <w:bCs/>
          <w:color w:val="000000" w:themeColor="text1"/>
        </w:rPr>
        <w:t>案件通報平</w:t>
      </w:r>
      <w:proofErr w:type="gramStart"/>
      <w:r w:rsidR="00F532FB" w:rsidRPr="00F532FB">
        <w:rPr>
          <w:rFonts w:ascii="標楷體" w:eastAsia="標楷體" w:hAnsi="標楷體" w:hint="eastAsia"/>
          <w:b/>
          <w:bCs/>
          <w:color w:val="000000" w:themeColor="text1"/>
        </w:rPr>
        <w:t>臺</w:t>
      </w:r>
      <w:proofErr w:type="gramEnd"/>
      <w:r w:rsidR="00F532FB" w:rsidRPr="00F532FB">
        <w:rPr>
          <w:rFonts w:ascii="標楷體" w:eastAsia="標楷體" w:hAnsi="標楷體" w:hint="eastAsia"/>
          <w:b/>
          <w:bCs/>
          <w:color w:val="000000" w:themeColor="text1"/>
        </w:rPr>
        <w:t>尚未將相關資訊予以統計分析態樣，不利案件調查及後續防治</w:t>
      </w:r>
      <w:bookmarkEnd w:id="37"/>
      <w:r w:rsidR="00F532FB" w:rsidRPr="00F532FB">
        <w:rPr>
          <w:rFonts w:ascii="標楷體" w:eastAsia="標楷體" w:hAnsi="標楷體" w:hint="eastAsia"/>
          <w:b/>
          <w:bCs/>
          <w:color w:val="000000" w:themeColor="text1"/>
        </w:rPr>
        <w:t>：</w:t>
      </w:r>
      <w:r w:rsidR="00F532FB" w:rsidRPr="00F532FB">
        <w:rPr>
          <w:rFonts w:ascii="標楷體" w:eastAsia="標楷體" w:hAnsi="標楷體" w:hint="eastAsia"/>
          <w:color w:val="000000" w:themeColor="text1"/>
        </w:rPr>
        <w:t>本部為瞭解全國各機關（構）職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申訴及職</w:t>
      </w:r>
      <w:proofErr w:type="gramStart"/>
      <w:r w:rsidR="00F532FB" w:rsidRPr="00F532FB">
        <w:rPr>
          <w:rFonts w:ascii="標楷體" w:eastAsia="標楷體" w:hAnsi="標楷體" w:hint="eastAsia"/>
          <w:color w:val="000000" w:themeColor="text1"/>
        </w:rPr>
        <w:t>場霸凌案</w:t>
      </w:r>
      <w:proofErr w:type="gramEnd"/>
      <w:r w:rsidR="00F532FB" w:rsidRPr="00F532FB">
        <w:rPr>
          <w:rFonts w:ascii="標楷體" w:eastAsia="標楷體" w:hAnsi="標楷體" w:hint="eastAsia"/>
          <w:color w:val="000000" w:themeColor="text1"/>
        </w:rPr>
        <w:t>成立情形，經設計調查表函請1,096個機關（構）</w:t>
      </w:r>
      <w:proofErr w:type="gramStart"/>
      <w:r w:rsidR="00F532FB" w:rsidRPr="00F532FB">
        <w:rPr>
          <w:rFonts w:ascii="標楷體" w:eastAsia="標楷體" w:hAnsi="標楷體" w:hint="eastAsia"/>
          <w:color w:val="000000" w:themeColor="text1"/>
        </w:rPr>
        <w:t>查填</w:t>
      </w:r>
      <w:proofErr w:type="gramEnd"/>
      <w:r w:rsidR="00F532FB" w:rsidRPr="00F532FB">
        <w:rPr>
          <w:rFonts w:ascii="標楷體" w:eastAsia="標楷體" w:hAnsi="標楷體" w:hint="eastAsia"/>
          <w:color w:val="000000" w:themeColor="text1"/>
        </w:rPr>
        <w:t>，</w:t>
      </w:r>
      <w:bookmarkStart w:id="38" w:name="_Hlk201150211"/>
      <w:r w:rsidR="00F532FB" w:rsidRPr="00F532FB">
        <w:rPr>
          <w:rFonts w:ascii="標楷體" w:eastAsia="標楷體" w:hAnsi="標楷體" w:hint="eastAsia"/>
          <w:color w:val="000000" w:themeColor="text1"/>
        </w:rPr>
        <w:t>111至113年度（截至11月底止）</w:t>
      </w:r>
      <w:bookmarkEnd w:id="38"/>
      <w:r w:rsidR="00F532FB" w:rsidRPr="00F532FB">
        <w:rPr>
          <w:rFonts w:ascii="標楷體" w:eastAsia="標楷體" w:hAnsi="標楷體" w:hint="eastAsia"/>
          <w:color w:val="000000" w:themeColor="text1"/>
        </w:rPr>
        <w:t>各機關（構）職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申訴案件各為150件、341件及472件，呈逐年攀升趨勢，其中職</w:t>
      </w:r>
      <w:proofErr w:type="gramStart"/>
      <w:r w:rsidR="00F532FB" w:rsidRPr="00F532FB">
        <w:rPr>
          <w:rFonts w:ascii="標楷體" w:eastAsia="標楷體" w:hAnsi="標楷體" w:hint="eastAsia"/>
          <w:color w:val="000000" w:themeColor="text1"/>
        </w:rPr>
        <w:t>場霸凌案</w:t>
      </w:r>
      <w:proofErr w:type="gramEnd"/>
      <w:r w:rsidR="00F532FB" w:rsidRPr="00F532FB">
        <w:rPr>
          <w:rFonts w:ascii="標楷體" w:eastAsia="標楷體" w:hAnsi="標楷體" w:hint="eastAsia"/>
          <w:color w:val="000000" w:themeColor="text1"/>
        </w:rPr>
        <w:t>成立件數則分別為23件、43件、32件（表</w:t>
      </w:r>
      <w:r w:rsidR="00AE1C91">
        <w:rPr>
          <w:rFonts w:ascii="標楷體" w:eastAsia="標楷體" w:hAnsi="標楷體" w:hint="eastAsia"/>
          <w:color w:val="000000" w:themeColor="text1"/>
        </w:rPr>
        <w:t>4</w:t>
      </w:r>
      <w:r w:rsidR="00CA5563">
        <w:rPr>
          <w:rFonts w:ascii="標楷體" w:eastAsia="標楷體" w:hAnsi="標楷體" w:hint="eastAsia"/>
          <w:color w:val="000000" w:themeColor="text1"/>
        </w:rPr>
        <w:t>3</w:t>
      </w:r>
      <w:r w:rsidR="00F532FB" w:rsidRPr="00F532FB">
        <w:rPr>
          <w:rFonts w:ascii="標楷體" w:eastAsia="標楷體" w:hAnsi="標楷體" w:hint="eastAsia"/>
          <w:color w:val="000000" w:themeColor="text1"/>
        </w:rPr>
        <w:t>）。復據各</w:t>
      </w:r>
      <w:proofErr w:type="gramStart"/>
      <w:r w:rsidR="00F532FB" w:rsidRPr="00F532FB">
        <w:rPr>
          <w:rFonts w:ascii="標楷體" w:eastAsia="標楷體" w:hAnsi="標楷體" w:hint="eastAsia"/>
          <w:color w:val="000000" w:themeColor="text1"/>
        </w:rPr>
        <w:t>機關填復調查表</w:t>
      </w:r>
      <w:proofErr w:type="gramEnd"/>
      <w:r w:rsidR="00F532FB" w:rsidRPr="00F532FB">
        <w:rPr>
          <w:rFonts w:ascii="標楷體" w:eastAsia="標楷體" w:hAnsi="標楷體" w:hint="eastAsia"/>
          <w:color w:val="000000" w:themeColor="text1"/>
        </w:rPr>
        <w:t>，截至113年11月底止，1,096個機關（構）中已成立職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申訴處理調查小組者計573個，其中有</w:t>
      </w:r>
      <w:proofErr w:type="gramStart"/>
      <w:r w:rsidR="00F532FB" w:rsidRPr="00F532FB">
        <w:rPr>
          <w:rFonts w:ascii="標楷體" w:eastAsia="標楷體" w:hAnsi="標楷體" w:hint="eastAsia"/>
          <w:color w:val="000000" w:themeColor="text1"/>
        </w:rPr>
        <w:t>遴</w:t>
      </w:r>
      <w:proofErr w:type="gramEnd"/>
      <w:r w:rsidR="00F532FB" w:rsidRPr="00F532FB">
        <w:rPr>
          <w:rFonts w:ascii="標楷體" w:eastAsia="標楷體" w:hAnsi="標楷體" w:hint="eastAsia"/>
          <w:color w:val="000000" w:themeColor="text1"/>
        </w:rPr>
        <w:t>聘外部專家學者參加小組者計414個，部分機關（構）職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申訴處理調查小組成員尚未納入外部專家學者，恐影響案件調查處理之客觀性。另查</w:t>
      </w:r>
      <w:r w:rsidR="00745C49">
        <w:rPr>
          <w:rFonts w:ascii="標楷體" w:eastAsia="標楷體" w:hAnsi="標楷體" w:hint="eastAsia"/>
          <w:color w:val="000000" w:themeColor="text1"/>
        </w:rPr>
        <w:t>，</w:t>
      </w:r>
      <w:r w:rsidR="00F532FB" w:rsidRPr="00F532FB">
        <w:rPr>
          <w:rFonts w:ascii="標楷體" w:eastAsia="標楷體" w:hAnsi="標楷體" w:hint="eastAsia"/>
          <w:color w:val="000000" w:themeColor="text1"/>
        </w:rPr>
        <w:t>行政院人事行政總處為強化職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防治，除各機關（構）現有之申訴管道外，為使公務機關員工能有其他安心申訴途徑，業於全球資訊網首頁建置職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案件通報平</w:t>
      </w:r>
      <w:proofErr w:type="gramStart"/>
      <w:r w:rsidR="00F532FB" w:rsidRPr="00F532FB">
        <w:rPr>
          <w:rFonts w:ascii="標楷體" w:eastAsia="標楷體" w:hAnsi="標楷體" w:hint="eastAsia"/>
          <w:color w:val="000000" w:themeColor="text1"/>
        </w:rPr>
        <w:t>臺</w:t>
      </w:r>
      <w:proofErr w:type="gramEnd"/>
      <w:r w:rsidR="00F532FB" w:rsidRPr="00F532FB">
        <w:rPr>
          <w:rFonts w:ascii="標楷體" w:eastAsia="標楷體" w:hAnsi="標楷體" w:hint="eastAsia"/>
          <w:color w:val="000000" w:themeColor="text1"/>
        </w:rPr>
        <w:t>，並於113年12月13日正式上線，該總處雖已將通報案件轉交權責機關處理，並追蹤列管結案情形，惟尚未將相關資訊予以統計分類，進行態樣分析應用。</w:t>
      </w:r>
      <w:proofErr w:type="gramStart"/>
      <w:r w:rsidR="00F532FB" w:rsidRPr="00F532FB">
        <w:rPr>
          <w:rFonts w:ascii="標楷體" w:eastAsia="標楷體" w:hAnsi="標楷體" w:hint="eastAsia"/>
          <w:color w:val="000000" w:themeColor="text1"/>
        </w:rPr>
        <w:t>鑑</w:t>
      </w:r>
      <w:proofErr w:type="gramEnd"/>
      <w:r w:rsidR="00F532FB" w:rsidRPr="00F532FB">
        <w:rPr>
          <w:rFonts w:ascii="標楷體" w:eastAsia="標楷體" w:hAnsi="標楷體" w:hint="eastAsia"/>
          <w:color w:val="000000" w:themeColor="text1"/>
        </w:rPr>
        <w:t>於職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申訴之處理調查，涉及心理衛生或法律領域等專業判斷，為利案件調查及後續防治需要，經函請行政院人事行政總處</w:t>
      </w:r>
      <w:bookmarkStart w:id="39" w:name="_Hlk201655277"/>
      <w:r w:rsidR="00F532FB" w:rsidRPr="00F532FB">
        <w:rPr>
          <w:rFonts w:ascii="標楷體" w:eastAsia="標楷體" w:hAnsi="標楷體" w:hint="eastAsia"/>
          <w:color w:val="000000" w:themeColor="text1"/>
        </w:rPr>
        <w:t>擴大外部專家學者之參與，以維案件調查品質，並建立全國案件統計資料庫，定期分析</w:t>
      </w:r>
      <w:proofErr w:type="gramStart"/>
      <w:r w:rsidR="00F532FB" w:rsidRPr="00F532FB">
        <w:rPr>
          <w:rFonts w:ascii="標楷體" w:eastAsia="標楷體" w:hAnsi="標楷體" w:hint="eastAsia"/>
          <w:color w:val="000000" w:themeColor="text1"/>
        </w:rPr>
        <w:t>攸</w:t>
      </w:r>
      <w:proofErr w:type="gramEnd"/>
      <w:r w:rsidR="00F532FB" w:rsidRPr="00F532FB">
        <w:rPr>
          <w:rFonts w:ascii="標楷體" w:eastAsia="標楷體" w:hAnsi="標楷體" w:hint="eastAsia"/>
          <w:color w:val="000000" w:themeColor="text1"/>
        </w:rPr>
        <w:t>關資料，以利持續策進防治作為</w:t>
      </w:r>
      <w:bookmarkEnd w:id="39"/>
      <w:r w:rsidR="00F532FB" w:rsidRPr="00F532FB">
        <w:rPr>
          <w:rFonts w:ascii="標楷體" w:eastAsia="標楷體" w:hAnsi="標楷體" w:hint="eastAsia"/>
          <w:color w:val="000000" w:themeColor="text1"/>
        </w:rPr>
        <w:t>。據復：已建議公務人員保障暨培訓委員會建立專家學者人才資料庫，以供各機關延聘委員時參考運用；除持續檢視統計通報平</w:t>
      </w:r>
      <w:proofErr w:type="gramStart"/>
      <w:r w:rsidR="00F532FB" w:rsidRPr="00F532FB">
        <w:rPr>
          <w:rFonts w:ascii="標楷體" w:eastAsia="標楷體" w:hAnsi="標楷體" w:hint="eastAsia"/>
          <w:color w:val="000000" w:themeColor="text1"/>
        </w:rPr>
        <w:t>臺</w:t>
      </w:r>
      <w:proofErr w:type="gramEnd"/>
      <w:r w:rsidR="00F532FB" w:rsidRPr="00F532FB">
        <w:rPr>
          <w:rFonts w:ascii="標楷體" w:eastAsia="標楷體" w:hAnsi="標楷體" w:hint="eastAsia"/>
          <w:color w:val="000000" w:themeColor="text1"/>
        </w:rPr>
        <w:t>案件受理及處理結果等數據，作為強化職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防治措施</w:t>
      </w:r>
      <w:proofErr w:type="gramStart"/>
      <w:r w:rsidR="00F532FB" w:rsidRPr="00F532FB">
        <w:rPr>
          <w:rFonts w:ascii="標楷體" w:eastAsia="標楷體" w:hAnsi="標楷體" w:hint="eastAsia"/>
          <w:color w:val="000000" w:themeColor="text1"/>
        </w:rPr>
        <w:t>之</w:t>
      </w:r>
      <w:r w:rsidR="00F532FB" w:rsidRPr="00F532FB">
        <w:rPr>
          <w:rFonts w:ascii="標楷體" w:eastAsia="標楷體" w:hAnsi="標楷體" w:hint="eastAsia"/>
          <w:color w:val="000000" w:themeColor="text1"/>
        </w:rPr>
        <w:lastRenderedPageBreak/>
        <w:t>參據外</w:t>
      </w:r>
      <w:proofErr w:type="gramEnd"/>
      <w:r w:rsidR="00F532FB" w:rsidRPr="00F532FB">
        <w:rPr>
          <w:rFonts w:ascii="標楷體" w:eastAsia="標楷體" w:hAnsi="標楷體" w:hint="eastAsia"/>
          <w:color w:val="000000" w:themeColor="text1"/>
        </w:rPr>
        <w:t>，亦將適時轉知主管機關，瞭解所屬機關職</w:t>
      </w:r>
      <w:proofErr w:type="gramStart"/>
      <w:r w:rsidR="00F532FB" w:rsidRPr="00F532FB">
        <w:rPr>
          <w:rFonts w:ascii="標楷體" w:eastAsia="標楷體" w:hAnsi="標楷體" w:hint="eastAsia"/>
          <w:color w:val="000000" w:themeColor="text1"/>
        </w:rPr>
        <w:t>場霸凌</w:t>
      </w:r>
      <w:proofErr w:type="gramEnd"/>
      <w:r w:rsidR="00F532FB" w:rsidRPr="00F532FB">
        <w:rPr>
          <w:rFonts w:ascii="標楷體" w:eastAsia="標楷體" w:hAnsi="標楷體" w:hint="eastAsia"/>
          <w:color w:val="000000" w:themeColor="text1"/>
        </w:rPr>
        <w:t>案件統計情形，並發揮及時介入協處之功能，未來將配合檢視優化通報平</w:t>
      </w:r>
      <w:proofErr w:type="gramStart"/>
      <w:r w:rsidR="00F532FB" w:rsidRPr="00F532FB">
        <w:rPr>
          <w:rFonts w:ascii="標楷體" w:eastAsia="標楷體" w:hAnsi="標楷體" w:hint="eastAsia"/>
          <w:color w:val="000000" w:themeColor="text1"/>
        </w:rPr>
        <w:t>臺</w:t>
      </w:r>
      <w:proofErr w:type="gramEnd"/>
      <w:r w:rsidR="00F532FB" w:rsidRPr="00F532FB">
        <w:rPr>
          <w:rFonts w:ascii="標楷體" w:eastAsia="標楷體" w:hAnsi="標楷體" w:hint="eastAsia"/>
          <w:color w:val="000000" w:themeColor="text1"/>
        </w:rPr>
        <w:t>運作方式或功能，以強化通報資料之整體運用。</w:t>
      </w:r>
    </w:p>
    <w:p w14:paraId="5C45F5E3" w14:textId="01DAA60B" w:rsidR="009C6696" w:rsidRDefault="009C6696" w:rsidP="00A17411">
      <w:pPr>
        <w:pStyle w:val="2"/>
        <w:overflowPunct w:val="0"/>
        <w:spacing w:beforeLines="20" w:before="72" w:afterLines="20" w:after="72" w:line="440" w:lineRule="exact"/>
        <w:ind w:left="0" w:firstLineChars="200" w:firstLine="561"/>
        <w:rPr>
          <w:rFonts w:hAnsi="標楷體"/>
          <w:b/>
          <w:color w:val="000000" w:themeColor="text1"/>
          <w:sz w:val="28"/>
          <w:szCs w:val="28"/>
        </w:rPr>
      </w:pPr>
      <w:r>
        <w:rPr>
          <w:rFonts w:hAnsi="標楷體" w:hint="eastAsia"/>
          <w:b/>
          <w:color w:val="000000" w:themeColor="text1"/>
          <w:sz w:val="28"/>
          <w:szCs w:val="28"/>
        </w:rPr>
        <w:t>（二十</w:t>
      </w:r>
      <w:r w:rsidR="00781889">
        <w:rPr>
          <w:rFonts w:hAnsi="標楷體" w:hint="eastAsia"/>
          <w:b/>
          <w:color w:val="000000" w:themeColor="text1"/>
          <w:sz w:val="28"/>
          <w:szCs w:val="28"/>
        </w:rPr>
        <w:t>六</w:t>
      </w:r>
      <w:r w:rsidRPr="007B30E9">
        <w:rPr>
          <w:rFonts w:hAnsi="標楷體" w:hint="eastAsia"/>
          <w:b/>
          <w:color w:val="000000" w:themeColor="text1"/>
          <w:sz w:val="28"/>
          <w:szCs w:val="28"/>
        </w:rPr>
        <w:t xml:space="preserve">）　</w:t>
      </w:r>
      <w:r w:rsidR="00692C1B" w:rsidRPr="00692C1B">
        <w:rPr>
          <w:rFonts w:hAnsi="標楷體" w:hint="eastAsia"/>
          <w:b/>
          <w:color w:val="000000" w:themeColor="text1"/>
          <w:sz w:val="28"/>
          <w:szCs w:val="28"/>
        </w:rPr>
        <w:t>行政院所屬各機關風險管理整合新制已自110年起正式實施4個年度，惟仍有部分機關未依規定落實風險管理及內部控制監督作業，恐不利應對潛藏施政挑戰及發揮內部控制</w:t>
      </w:r>
      <w:proofErr w:type="gramStart"/>
      <w:r w:rsidR="00692C1B" w:rsidRPr="00692C1B">
        <w:rPr>
          <w:rFonts w:hAnsi="標楷體" w:hint="eastAsia"/>
          <w:b/>
          <w:color w:val="000000" w:themeColor="text1"/>
          <w:sz w:val="28"/>
          <w:szCs w:val="28"/>
        </w:rPr>
        <w:t>興利防弊</w:t>
      </w:r>
      <w:proofErr w:type="gramEnd"/>
      <w:r w:rsidR="00692C1B" w:rsidRPr="00692C1B">
        <w:rPr>
          <w:rFonts w:hAnsi="標楷體" w:hint="eastAsia"/>
          <w:b/>
          <w:color w:val="000000" w:themeColor="text1"/>
          <w:sz w:val="28"/>
          <w:szCs w:val="28"/>
        </w:rPr>
        <w:t>功能，允宜加強相關宣導訓練及督促切實執行，</w:t>
      </w:r>
      <w:proofErr w:type="gramStart"/>
      <w:r w:rsidR="00692C1B" w:rsidRPr="00692C1B">
        <w:rPr>
          <w:rFonts w:hAnsi="標楷體" w:hint="eastAsia"/>
          <w:b/>
          <w:color w:val="000000" w:themeColor="text1"/>
          <w:sz w:val="28"/>
          <w:szCs w:val="28"/>
        </w:rPr>
        <w:t>俾</w:t>
      </w:r>
      <w:proofErr w:type="gramEnd"/>
      <w:r w:rsidR="00692C1B" w:rsidRPr="00692C1B">
        <w:rPr>
          <w:rFonts w:hAnsi="標楷體" w:hint="eastAsia"/>
          <w:b/>
          <w:color w:val="000000" w:themeColor="text1"/>
          <w:sz w:val="28"/>
          <w:szCs w:val="28"/>
        </w:rPr>
        <w:t>強化行政機關風險自主控管能力，提升公部門整體治理韌性，合理確保達成關鍵施政目標及增進政府施政效能。</w:t>
      </w:r>
    </w:p>
    <w:p w14:paraId="4166A1EC" w14:textId="77777777" w:rsidR="00692C1B" w:rsidRPr="004850A2" w:rsidRDefault="00692C1B" w:rsidP="00A17411">
      <w:pPr>
        <w:overflowPunct w:val="0"/>
        <w:spacing w:line="430" w:lineRule="exact"/>
        <w:ind w:firstLineChars="200" w:firstLine="480"/>
        <w:jc w:val="both"/>
        <w:rPr>
          <w:rFonts w:ascii="標楷體" w:eastAsia="標楷體" w:hAnsi="標楷體"/>
          <w:szCs w:val="24"/>
        </w:rPr>
      </w:pPr>
      <w:r w:rsidRPr="004850A2">
        <w:rPr>
          <w:rFonts w:ascii="標楷體" w:eastAsia="標楷體" w:hAnsi="標楷體" w:hint="eastAsia"/>
          <w:szCs w:val="24"/>
        </w:rPr>
        <w:t>行政院為督促所屬各機關（下稱各機關）將風險管理融入日常作業及決策運作，透過內部控制等處理機制合理確保施政目標之達成，自94年起由國家發展委員會（下稱國發會）、行政院主計總處（下稱主計總處）陸續訂定相關方案、基準、手冊等，漸進推動各機關落實風險管理及內部控制作業。</w:t>
      </w:r>
      <w:proofErr w:type="gramStart"/>
      <w:r w:rsidRPr="004850A2">
        <w:rPr>
          <w:rFonts w:ascii="標楷體" w:eastAsia="標楷體" w:hAnsi="標楷體" w:hint="eastAsia"/>
          <w:szCs w:val="24"/>
        </w:rPr>
        <w:t>嗣</w:t>
      </w:r>
      <w:proofErr w:type="gramEnd"/>
      <w:r w:rsidRPr="004850A2">
        <w:rPr>
          <w:rFonts w:ascii="標楷體" w:eastAsia="標楷體" w:hAnsi="標楷體" w:hint="eastAsia"/>
          <w:szCs w:val="24"/>
        </w:rPr>
        <w:t>行政院</w:t>
      </w:r>
      <w:proofErr w:type="gramStart"/>
      <w:r w:rsidRPr="004850A2">
        <w:rPr>
          <w:rFonts w:ascii="標楷體" w:eastAsia="標楷體" w:hAnsi="標楷體" w:hint="eastAsia"/>
          <w:szCs w:val="24"/>
        </w:rPr>
        <w:t>鑑</w:t>
      </w:r>
      <w:proofErr w:type="gramEnd"/>
      <w:r w:rsidRPr="004850A2">
        <w:rPr>
          <w:rFonts w:ascii="標楷體" w:eastAsia="標楷體" w:hAnsi="標楷體" w:hint="eastAsia"/>
          <w:szCs w:val="24"/>
        </w:rPr>
        <w:t>於內部控制及風險管理皆為協助政府機關達成施政目標之重要管理工具，為利各機關合併</w:t>
      </w:r>
      <w:proofErr w:type="gramStart"/>
      <w:r w:rsidRPr="004850A2">
        <w:rPr>
          <w:rFonts w:ascii="標楷體" w:eastAsia="標楷體" w:hAnsi="標楷體" w:hint="eastAsia"/>
          <w:szCs w:val="24"/>
        </w:rPr>
        <w:t>運用以管控</w:t>
      </w:r>
      <w:proofErr w:type="gramEnd"/>
      <w:r w:rsidRPr="004850A2">
        <w:rPr>
          <w:rFonts w:ascii="標楷體" w:eastAsia="標楷體" w:hAnsi="標楷體" w:hint="eastAsia"/>
          <w:szCs w:val="24"/>
        </w:rPr>
        <w:t>各項施政風險，由國發會及主計總處依管考作業簡化之「減</w:t>
      </w:r>
      <w:proofErr w:type="gramStart"/>
      <w:r w:rsidRPr="004850A2">
        <w:rPr>
          <w:rFonts w:ascii="標楷體" w:eastAsia="標楷體" w:hAnsi="標楷體" w:hint="eastAsia"/>
          <w:szCs w:val="24"/>
        </w:rPr>
        <w:t>併</w:t>
      </w:r>
      <w:proofErr w:type="gramEnd"/>
      <w:r w:rsidRPr="004850A2">
        <w:rPr>
          <w:rFonts w:ascii="標楷體" w:eastAsia="標楷體" w:hAnsi="標楷體" w:hint="eastAsia"/>
          <w:szCs w:val="24"/>
        </w:rPr>
        <w:t>簡」原則，整</w:t>
      </w:r>
      <w:proofErr w:type="gramStart"/>
      <w:r w:rsidRPr="004850A2">
        <w:rPr>
          <w:rFonts w:ascii="標楷體" w:eastAsia="標楷體" w:hAnsi="標楷體" w:hint="eastAsia"/>
          <w:szCs w:val="24"/>
        </w:rPr>
        <w:t>併</w:t>
      </w:r>
      <w:proofErr w:type="gramEnd"/>
      <w:r w:rsidRPr="004850A2">
        <w:rPr>
          <w:rFonts w:ascii="標楷體" w:eastAsia="標楷體" w:hAnsi="標楷體" w:hint="eastAsia"/>
          <w:szCs w:val="24"/>
        </w:rPr>
        <w:t>、簡化原有風險管理及內部控制規範後，於106年間</w:t>
      </w:r>
      <w:proofErr w:type="gramStart"/>
      <w:r w:rsidRPr="004850A2">
        <w:rPr>
          <w:rFonts w:ascii="標楷體" w:eastAsia="標楷體" w:hAnsi="標楷體" w:hint="eastAsia"/>
          <w:szCs w:val="24"/>
        </w:rPr>
        <w:t>研</w:t>
      </w:r>
      <w:proofErr w:type="gramEnd"/>
      <w:r w:rsidRPr="004850A2">
        <w:rPr>
          <w:rFonts w:ascii="標楷體" w:eastAsia="標楷體" w:hAnsi="標楷體" w:hint="eastAsia"/>
          <w:szCs w:val="24"/>
        </w:rPr>
        <w:t>訂「行政院及所屬各機關風險管理及危機處理作業原則」（下稱風險管理作業原則）草案及「行政院及所屬各機關風險管理及危機處理作業手冊」（下稱風險管理作業手冊）草案，經108、109年試辦風險管理、內部控制、績效管理整合新制</w:t>
      </w:r>
      <w:r w:rsidRPr="004850A2">
        <w:rPr>
          <w:rFonts w:ascii="標楷體" w:eastAsia="標楷體" w:hAnsi="標楷體" w:hint="eastAsia"/>
          <w:bCs/>
        </w:rPr>
        <w:t>（</w:t>
      </w:r>
      <w:r w:rsidRPr="004850A2">
        <w:rPr>
          <w:rFonts w:ascii="標楷體" w:eastAsia="標楷體" w:hAnsi="標楷體" w:hint="eastAsia"/>
        </w:rPr>
        <w:t>下稱整合新制</w:t>
      </w:r>
      <w:r w:rsidRPr="004850A2">
        <w:rPr>
          <w:rFonts w:ascii="標楷體" w:eastAsia="標楷體" w:hAnsi="標楷體" w:hint="eastAsia"/>
          <w:bCs/>
        </w:rPr>
        <w:t>）</w:t>
      </w:r>
      <w:r w:rsidRPr="004850A2">
        <w:rPr>
          <w:rFonts w:ascii="標楷體" w:eastAsia="標楷體" w:hAnsi="標楷體" w:hint="eastAsia"/>
          <w:szCs w:val="24"/>
        </w:rPr>
        <w:t>後，報經行政院核定自110年1月起正式實施。經查各機關依風險管理作業原則及手冊辦理整合性風險管理及內部控制監督作業情形，核有下列事項：</w:t>
      </w:r>
    </w:p>
    <w:p w14:paraId="2BB741E8" w14:textId="75162565" w:rsidR="004850A2" w:rsidRPr="004850A2" w:rsidRDefault="00692C1B" w:rsidP="00A17411">
      <w:pPr>
        <w:overflowPunct w:val="0"/>
        <w:spacing w:line="430" w:lineRule="exact"/>
        <w:ind w:firstLineChars="450" w:firstLine="1081"/>
        <w:jc w:val="both"/>
        <w:rPr>
          <w:rFonts w:ascii="標楷體" w:eastAsia="標楷體" w:hAnsi="標楷體"/>
          <w:szCs w:val="24"/>
        </w:rPr>
      </w:pPr>
      <w:r w:rsidRPr="004850A2">
        <w:rPr>
          <w:rFonts w:ascii="標楷體" w:eastAsia="標楷體" w:hAnsi="標楷體" w:hint="eastAsia"/>
          <w:b/>
          <w:bCs/>
          <w:szCs w:val="24"/>
        </w:rPr>
        <w:t>1.</w:t>
      </w:r>
      <w:r w:rsidRPr="004850A2">
        <w:rPr>
          <w:rFonts w:ascii="標楷體" w:eastAsia="標楷體" w:hAnsi="標楷體" w:hint="eastAsia"/>
          <w:b/>
          <w:bCs/>
        </w:rPr>
        <w:t xml:space="preserve">　</w:t>
      </w:r>
      <w:r w:rsidRPr="004850A2">
        <w:rPr>
          <w:rFonts w:ascii="標楷體" w:eastAsia="標楷體" w:hAnsi="標楷體" w:hint="eastAsia"/>
          <w:b/>
          <w:bCs/>
          <w:szCs w:val="24"/>
        </w:rPr>
        <w:t>部分機關未依規定落實風險管理作業及逐級督導機制，或未於年度施政績效報告揭露整體風險管理（含內部控制）推動情形，不利應對潛藏施政挑戰及落實資訊公開透明</w:t>
      </w:r>
      <w:r w:rsidRPr="004850A2">
        <w:rPr>
          <w:rFonts w:ascii="標楷體" w:eastAsia="標楷體" w:hAnsi="標楷體" w:hint="eastAsia"/>
          <w:szCs w:val="24"/>
        </w:rPr>
        <w:t>：依風險管理作業手冊參、一、行政機關整合性風險管理（含內部控制）之規定，行政機關風險管理之目的及功能，係藉由預先辨識可能造成機關年度施政目標及重要計畫（方案或措施）無法達成，或違背職務、行政效率</w:t>
      </w:r>
      <w:proofErr w:type="gramStart"/>
      <w:r w:rsidRPr="004850A2">
        <w:rPr>
          <w:rFonts w:ascii="標楷體" w:eastAsia="標楷體" w:hAnsi="標楷體" w:hint="eastAsia"/>
          <w:szCs w:val="24"/>
        </w:rPr>
        <w:t>不</w:t>
      </w:r>
      <w:proofErr w:type="gramEnd"/>
      <w:r w:rsidRPr="004850A2">
        <w:rPr>
          <w:rFonts w:ascii="標楷體" w:eastAsia="標楷體" w:hAnsi="標楷體" w:hint="eastAsia"/>
          <w:szCs w:val="24"/>
        </w:rPr>
        <w:t>彰等影響政府公信力之各項風險，</w:t>
      </w:r>
      <w:proofErr w:type="gramStart"/>
      <w:r w:rsidRPr="004850A2">
        <w:rPr>
          <w:rFonts w:ascii="標楷體" w:eastAsia="標楷體" w:hAnsi="標楷體" w:hint="eastAsia"/>
          <w:szCs w:val="24"/>
        </w:rPr>
        <w:t>研</w:t>
      </w:r>
      <w:proofErr w:type="gramEnd"/>
      <w:r w:rsidRPr="004850A2">
        <w:rPr>
          <w:rFonts w:ascii="標楷體" w:eastAsia="標楷體" w:hAnsi="標楷體" w:hint="eastAsia"/>
          <w:szCs w:val="24"/>
        </w:rPr>
        <w:t>析其發生之可能性及影響程度，透過施以有效之內部控制或其他處理機制後，降低風險發生機率並使其影響衝擊最小化，以達成促進政府機關提供更好之服務、更有效率使用資源、更佳計畫管理、減少無謂浪費、避免貪瀆與浪費公</w:t>
      </w:r>
      <w:proofErr w:type="gramStart"/>
      <w:r w:rsidRPr="004850A2">
        <w:rPr>
          <w:rFonts w:ascii="標楷體" w:eastAsia="標楷體" w:hAnsi="標楷體" w:hint="eastAsia"/>
          <w:szCs w:val="24"/>
        </w:rPr>
        <w:t>帑</w:t>
      </w:r>
      <w:proofErr w:type="gramEnd"/>
      <w:r w:rsidRPr="004850A2">
        <w:rPr>
          <w:rFonts w:ascii="標楷體" w:eastAsia="標楷體" w:hAnsi="標楷體" w:hint="eastAsia"/>
          <w:szCs w:val="24"/>
        </w:rPr>
        <w:t>之目的。國發會並會同主計總處於風險管理作業原則及手冊中，訂定風險管理之作業時程及重點步驟，引導各機關依整合新制架構進行實務性操作，並要求各</w:t>
      </w:r>
      <w:proofErr w:type="gramStart"/>
      <w:r w:rsidRPr="004850A2">
        <w:rPr>
          <w:rFonts w:ascii="標楷體" w:eastAsia="標楷體" w:hAnsi="標楷體" w:hint="eastAsia"/>
          <w:szCs w:val="24"/>
        </w:rPr>
        <w:t>機關綜整所</w:t>
      </w:r>
      <w:proofErr w:type="gramEnd"/>
      <w:r w:rsidRPr="004850A2">
        <w:rPr>
          <w:rFonts w:ascii="標楷體" w:eastAsia="標楷體" w:hAnsi="標楷體" w:hint="eastAsia"/>
          <w:szCs w:val="24"/>
        </w:rPr>
        <w:t>發掘之各項風險，透過建立風險評估及處理彙總表（下稱風險彙總表）及機關風險圖像（下稱風險圖像）予以文件化，以利後續作業。經抽查行政院等60個機關</w:t>
      </w:r>
      <w:proofErr w:type="gramStart"/>
      <w:r w:rsidRPr="004850A2">
        <w:rPr>
          <w:rFonts w:ascii="標楷體" w:eastAsia="標楷體" w:hAnsi="標楷體" w:hint="eastAsia"/>
          <w:szCs w:val="24"/>
        </w:rPr>
        <w:t>113</w:t>
      </w:r>
      <w:proofErr w:type="gramEnd"/>
      <w:r w:rsidRPr="004850A2">
        <w:rPr>
          <w:rFonts w:ascii="標楷體" w:eastAsia="標楷體" w:hAnsi="標楷體" w:hint="eastAsia"/>
          <w:szCs w:val="24"/>
        </w:rPr>
        <w:t>年度依風險管理作業原則及手冊規定辦理風險管理作業結果，核有：（1）行政院（本院）截至113年底尚未建立風險</w:t>
      </w:r>
      <w:proofErr w:type="gramStart"/>
      <w:r w:rsidRPr="004850A2">
        <w:rPr>
          <w:rFonts w:ascii="標楷體" w:eastAsia="標楷體" w:hAnsi="標楷體" w:hint="eastAsia"/>
          <w:szCs w:val="24"/>
        </w:rPr>
        <w:t>彙整表及</w:t>
      </w:r>
      <w:proofErr w:type="gramEnd"/>
      <w:r w:rsidRPr="004850A2">
        <w:rPr>
          <w:rFonts w:ascii="標楷體" w:eastAsia="標楷體" w:hAnsi="標楷體" w:hint="eastAsia"/>
          <w:szCs w:val="24"/>
        </w:rPr>
        <w:t>風險圖像，另內政部國家公園署於112年9月20日成立，惟未及時依據</w:t>
      </w:r>
      <w:proofErr w:type="gramStart"/>
      <w:r w:rsidRPr="004850A2">
        <w:rPr>
          <w:rFonts w:ascii="標楷體" w:eastAsia="標楷體" w:hAnsi="標楷體" w:hint="eastAsia"/>
          <w:szCs w:val="24"/>
        </w:rPr>
        <w:t>113</w:t>
      </w:r>
      <w:proofErr w:type="gramEnd"/>
      <w:r w:rsidRPr="004850A2">
        <w:rPr>
          <w:rFonts w:ascii="標楷體" w:eastAsia="標楷體" w:hAnsi="標楷體" w:hint="eastAsia"/>
          <w:szCs w:val="24"/>
        </w:rPr>
        <w:t>年度施政目標及重要計畫（方案或措施）項目，建立當年度風險</w:t>
      </w:r>
      <w:proofErr w:type="gramStart"/>
      <w:r w:rsidRPr="004850A2">
        <w:rPr>
          <w:rFonts w:ascii="標楷體" w:eastAsia="標楷體" w:hAnsi="標楷體" w:hint="eastAsia"/>
          <w:szCs w:val="24"/>
        </w:rPr>
        <w:t>彙整表及</w:t>
      </w:r>
      <w:proofErr w:type="gramEnd"/>
      <w:r w:rsidRPr="004850A2">
        <w:rPr>
          <w:rFonts w:ascii="標楷體" w:eastAsia="標楷體" w:hAnsi="標楷體" w:hint="eastAsia"/>
          <w:szCs w:val="24"/>
        </w:rPr>
        <w:t>風險圖像，風險管理作業未盡</w:t>
      </w:r>
      <w:r w:rsidRPr="004850A2">
        <w:rPr>
          <w:rFonts w:ascii="標楷體" w:eastAsia="標楷體" w:hAnsi="標楷體" w:hint="eastAsia"/>
          <w:szCs w:val="24"/>
        </w:rPr>
        <w:lastRenderedPageBreak/>
        <w:t>落實；（2）原住民族委員會等14個機關，</w:t>
      </w:r>
      <w:r w:rsidR="00BC79F0">
        <w:rPr>
          <w:rFonts w:ascii="標楷體" w:eastAsia="標楷體" w:hAnsi="標楷體" w:hint="eastAsia"/>
          <w:szCs w:val="24"/>
        </w:rPr>
        <w:t>未</w:t>
      </w:r>
      <w:r w:rsidRPr="004850A2">
        <w:rPr>
          <w:rFonts w:ascii="標楷體" w:eastAsia="標楷體" w:hAnsi="標楷體" w:hint="eastAsia"/>
          <w:szCs w:val="24"/>
        </w:rPr>
        <w:t>於</w:t>
      </w:r>
      <w:r w:rsidR="00BC79F0">
        <w:rPr>
          <w:rFonts w:ascii="標楷體" w:eastAsia="標楷體" w:hAnsi="標楷體" w:hint="eastAsia"/>
          <w:szCs w:val="24"/>
        </w:rPr>
        <w:t>規定期限（</w:t>
      </w:r>
      <w:r w:rsidRPr="004850A2">
        <w:rPr>
          <w:rFonts w:ascii="標楷體" w:eastAsia="標楷體" w:hAnsi="標楷體" w:hint="eastAsia"/>
          <w:szCs w:val="24"/>
        </w:rPr>
        <w:t>113年2月28日</w:t>
      </w:r>
      <w:r w:rsidR="00BC79F0">
        <w:rPr>
          <w:rFonts w:ascii="標楷體" w:eastAsia="標楷體" w:hAnsi="標楷體" w:hint="eastAsia"/>
          <w:szCs w:val="24"/>
        </w:rPr>
        <w:t>）前</w:t>
      </w:r>
      <w:r w:rsidRPr="004850A2">
        <w:rPr>
          <w:rFonts w:ascii="標楷體" w:eastAsia="標楷體" w:hAnsi="標楷體" w:hint="eastAsia"/>
          <w:szCs w:val="24"/>
        </w:rPr>
        <w:t>完成</w:t>
      </w:r>
      <w:proofErr w:type="gramStart"/>
      <w:r w:rsidR="00BC79F0">
        <w:rPr>
          <w:rFonts w:ascii="標楷體" w:eastAsia="標楷體" w:hAnsi="標楷體" w:hint="eastAsia"/>
          <w:szCs w:val="24"/>
        </w:rPr>
        <w:t>1</w:t>
      </w:r>
      <w:r w:rsidR="00BC79F0">
        <w:rPr>
          <w:rFonts w:ascii="標楷體" w:eastAsia="標楷體" w:hAnsi="標楷體"/>
          <w:szCs w:val="24"/>
        </w:rPr>
        <w:t>13</w:t>
      </w:r>
      <w:proofErr w:type="gramEnd"/>
      <w:r w:rsidRPr="004850A2">
        <w:rPr>
          <w:rFonts w:ascii="標楷體" w:eastAsia="標楷體" w:hAnsi="標楷體" w:hint="eastAsia"/>
          <w:szCs w:val="24"/>
        </w:rPr>
        <w:t>年度風險彙總表及風險圖像修正作業，</w:t>
      </w:r>
      <w:proofErr w:type="gramStart"/>
      <w:r w:rsidRPr="004850A2">
        <w:rPr>
          <w:rFonts w:ascii="標楷體" w:eastAsia="標楷體" w:hAnsi="標楷體" w:hint="eastAsia"/>
          <w:szCs w:val="24"/>
        </w:rPr>
        <w:t>核與依風險</w:t>
      </w:r>
      <w:proofErr w:type="gramEnd"/>
      <w:r w:rsidRPr="004850A2">
        <w:rPr>
          <w:rFonts w:ascii="標楷體" w:eastAsia="標楷體" w:hAnsi="標楷體" w:hint="eastAsia"/>
          <w:szCs w:val="24"/>
        </w:rPr>
        <w:t>管理作業原則第14點第1項及風險管理作業手冊</w:t>
      </w:r>
      <w:proofErr w:type="gramStart"/>
      <w:r w:rsidRPr="004850A2">
        <w:rPr>
          <w:rFonts w:ascii="標楷體" w:eastAsia="標楷體" w:hAnsi="標楷體" w:hint="eastAsia"/>
          <w:szCs w:val="24"/>
        </w:rPr>
        <w:t>—</w:t>
      </w:r>
      <w:proofErr w:type="gramEnd"/>
      <w:r w:rsidRPr="004850A2">
        <w:rPr>
          <w:rFonts w:ascii="標楷體" w:eastAsia="標楷體" w:hAnsi="標楷體" w:hint="eastAsia"/>
          <w:szCs w:val="24"/>
        </w:rPr>
        <w:t>風險管理作業</w:t>
      </w:r>
      <w:proofErr w:type="gramStart"/>
      <w:r w:rsidRPr="004850A2">
        <w:rPr>
          <w:rFonts w:ascii="標楷體" w:eastAsia="標楷體" w:hAnsi="標楷體" w:hint="eastAsia"/>
          <w:szCs w:val="24"/>
        </w:rPr>
        <w:t>時程圖之</w:t>
      </w:r>
      <w:proofErr w:type="gramEnd"/>
      <w:r w:rsidRPr="004850A2">
        <w:rPr>
          <w:rFonts w:ascii="標楷體" w:eastAsia="標楷體" w:hAnsi="標楷體" w:hint="eastAsia"/>
          <w:szCs w:val="24"/>
        </w:rPr>
        <w:t>規定未合；（3）外交部、</w:t>
      </w:r>
      <w:r w:rsidRPr="004850A2">
        <w:rPr>
          <w:rFonts w:ascii="標楷體" w:eastAsia="標楷體" w:hAnsi="標楷體" w:hint="eastAsia"/>
        </w:rPr>
        <w:t>國防部等</w:t>
      </w:r>
      <w:r w:rsidRPr="004850A2">
        <w:rPr>
          <w:rFonts w:ascii="標楷體" w:eastAsia="標楷體" w:hAnsi="標楷體" w:hint="eastAsia"/>
          <w:szCs w:val="24"/>
        </w:rPr>
        <w:t>機關近年經監察院等外部監督機關提報涉及行政違失或效能</w:t>
      </w:r>
      <w:proofErr w:type="gramStart"/>
      <w:r w:rsidRPr="004850A2">
        <w:rPr>
          <w:rFonts w:ascii="標楷體" w:eastAsia="標楷體" w:hAnsi="標楷體" w:hint="eastAsia"/>
          <w:szCs w:val="24"/>
        </w:rPr>
        <w:t>不</w:t>
      </w:r>
      <w:proofErr w:type="gramEnd"/>
      <w:r w:rsidRPr="004850A2">
        <w:rPr>
          <w:rFonts w:ascii="標楷體" w:eastAsia="標楷體" w:hAnsi="標楷體" w:hint="eastAsia"/>
          <w:szCs w:val="24"/>
        </w:rPr>
        <w:t>彰等重大案件，係社會各界關注或</w:t>
      </w:r>
      <w:proofErr w:type="gramStart"/>
      <w:r w:rsidRPr="004850A2">
        <w:rPr>
          <w:rFonts w:ascii="標楷體" w:eastAsia="標楷體" w:hAnsi="標楷體" w:hint="eastAsia"/>
          <w:szCs w:val="24"/>
        </w:rPr>
        <w:t>攸</w:t>
      </w:r>
      <w:proofErr w:type="gramEnd"/>
      <w:r w:rsidRPr="004850A2">
        <w:rPr>
          <w:rFonts w:ascii="標楷體" w:eastAsia="標楷體" w:hAnsi="標楷體" w:hint="eastAsia"/>
          <w:szCs w:val="24"/>
        </w:rPr>
        <w:t>關人民權益事項，似屬影響機關施政目標達成或損及政府公信力之事件，惟未見其依風險管理原則第12點第1款及第14點第2項、風險管理作業手冊參、一、（二）等規定予以留意及辨識，並衡酌其重大性及</w:t>
      </w:r>
      <w:proofErr w:type="gramStart"/>
      <w:r w:rsidRPr="004850A2">
        <w:rPr>
          <w:rFonts w:ascii="標楷體" w:eastAsia="標楷體" w:hAnsi="標楷體" w:hint="eastAsia"/>
          <w:szCs w:val="24"/>
        </w:rPr>
        <w:t>攸關性後</w:t>
      </w:r>
      <w:proofErr w:type="gramEnd"/>
      <w:r w:rsidRPr="004850A2">
        <w:rPr>
          <w:rFonts w:ascii="標楷體" w:eastAsia="標楷體" w:hAnsi="標楷體" w:hint="eastAsia"/>
          <w:szCs w:val="24"/>
        </w:rPr>
        <w:t>，據以納入風險彙總表進行後續控管，恐遺漏潛在風險事項；（4）客家委員會、環境部、文化部、</w:t>
      </w:r>
      <w:proofErr w:type="gramStart"/>
      <w:r w:rsidRPr="004850A2">
        <w:rPr>
          <w:rFonts w:ascii="標楷體" w:eastAsia="標楷體" w:hAnsi="標楷體" w:hint="eastAsia"/>
          <w:szCs w:val="24"/>
        </w:rPr>
        <w:t>勞動部等主管機關</w:t>
      </w:r>
      <w:proofErr w:type="gramEnd"/>
      <w:r w:rsidRPr="004850A2">
        <w:rPr>
          <w:rFonts w:ascii="標楷體" w:eastAsia="標楷體" w:hAnsi="標楷體" w:hint="eastAsia"/>
          <w:szCs w:val="24"/>
        </w:rPr>
        <w:t>尚未建置對所屬機關風險管理作業逐級督導機制，</w:t>
      </w:r>
      <w:proofErr w:type="gramStart"/>
      <w:r w:rsidRPr="004850A2">
        <w:rPr>
          <w:rFonts w:ascii="標楷體" w:eastAsia="標楷體" w:hAnsi="標楷體" w:hint="eastAsia"/>
          <w:szCs w:val="24"/>
        </w:rPr>
        <w:t>113</w:t>
      </w:r>
      <w:proofErr w:type="gramEnd"/>
      <w:r w:rsidRPr="004850A2">
        <w:rPr>
          <w:rFonts w:ascii="標楷體" w:eastAsia="標楷體" w:hAnsi="標楷體" w:hint="eastAsia"/>
          <w:szCs w:val="24"/>
        </w:rPr>
        <w:t>年度未予訪查所屬機關（構）推動風險管理情形，核與風險管理作業原則第16點規定未合；（5）原住民族委員會迄至本部查核日（114年2月28日）止尚未公開</w:t>
      </w:r>
      <w:proofErr w:type="gramStart"/>
      <w:r w:rsidRPr="004850A2">
        <w:rPr>
          <w:rFonts w:ascii="標楷體" w:eastAsia="標楷體" w:hAnsi="標楷體" w:hint="eastAsia"/>
          <w:szCs w:val="24"/>
        </w:rPr>
        <w:t>112</w:t>
      </w:r>
      <w:proofErr w:type="gramEnd"/>
      <w:r w:rsidRPr="004850A2">
        <w:rPr>
          <w:rFonts w:ascii="標楷體" w:eastAsia="標楷體" w:hAnsi="標楷體" w:hint="eastAsia"/>
          <w:szCs w:val="24"/>
        </w:rPr>
        <w:t>年度施政績效報告，另衛生</w:t>
      </w:r>
      <w:proofErr w:type="gramStart"/>
      <w:r w:rsidRPr="004850A2">
        <w:rPr>
          <w:rFonts w:ascii="標楷體" w:eastAsia="標楷體" w:hAnsi="標楷體" w:hint="eastAsia"/>
          <w:szCs w:val="24"/>
        </w:rPr>
        <w:t>福利部未於112</w:t>
      </w:r>
      <w:proofErr w:type="gramEnd"/>
      <w:r w:rsidRPr="004850A2">
        <w:rPr>
          <w:rFonts w:ascii="標楷體" w:eastAsia="標楷體" w:hAnsi="標楷體" w:hint="eastAsia"/>
          <w:szCs w:val="24"/>
        </w:rPr>
        <w:t>年度施政績效報告揭露所屬機關內部控制聲明書簽署情形，</w:t>
      </w:r>
      <w:proofErr w:type="gramStart"/>
      <w:r w:rsidRPr="004850A2">
        <w:rPr>
          <w:rFonts w:ascii="標楷體" w:eastAsia="標楷體" w:hAnsi="標楷體" w:hint="eastAsia"/>
          <w:szCs w:val="24"/>
        </w:rPr>
        <w:t>均核與</w:t>
      </w:r>
      <w:proofErr w:type="gramEnd"/>
      <w:r w:rsidRPr="004850A2">
        <w:rPr>
          <w:rFonts w:ascii="標楷體" w:eastAsia="標楷體" w:hAnsi="標楷體" w:hint="eastAsia"/>
          <w:szCs w:val="24"/>
        </w:rPr>
        <w:t>風險管理作業手冊三、一、(六)規定</w:t>
      </w:r>
      <w:proofErr w:type="gramStart"/>
      <w:r w:rsidRPr="004850A2">
        <w:rPr>
          <w:rFonts w:ascii="標楷體" w:eastAsia="標楷體" w:hAnsi="標楷體" w:hint="eastAsia"/>
          <w:szCs w:val="24"/>
        </w:rPr>
        <w:t>未符等情事</w:t>
      </w:r>
      <w:proofErr w:type="gramEnd"/>
      <w:r w:rsidRPr="004850A2">
        <w:rPr>
          <w:rFonts w:ascii="標楷體" w:eastAsia="標楷體" w:hAnsi="標楷體" w:hint="eastAsia"/>
          <w:szCs w:val="24"/>
        </w:rPr>
        <w:t>。經函請行政院督促國發會適時依機關近年實務運作情形、常見缺失態</w:t>
      </w:r>
      <w:proofErr w:type="gramStart"/>
      <w:r w:rsidRPr="004850A2">
        <w:rPr>
          <w:rFonts w:ascii="標楷體" w:eastAsia="標楷體" w:hAnsi="標楷體" w:hint="eastAsia"/>
          <w:szCs w:val="24"/>
        </w:rPr>
        <w:t>樣等，研</w:t>
      </w:r>
      <w:proofErr w:type="gramEnd"/>
      <w:r w:rsidRPr="004850A2">
        <w:rPr>
          <w:rFonts w:ascii="標楷體" w:eastAsia="標楷體" w:hAnsi="標楷體" w:hint="eastAsia"/>
          <w:szCs w:val="24"/>
        </w:rPr>
        <w:t>議檢討修訂風險管理作業手冊並加強輔導各機關提升風險管理知能及風險管理意識。據復：國發會將依行政機關近年實務運作情形、常見缺</w:t>
      </w:r>
      <w:proofErr w:type="gramStart"/>
      <w:r w:rsidRPr="004850A2">
        <w:rPr>
          <w:rFonts w:ascii="標楷體" w:eastAsia="標楷體" w:hAnsi="標楷體" w:hint="eastAsia"/>
          <w:szCs w:val="24"/>
        </w:rPr>
        <w:t>失態樣及相關</w:t>
      </w:r>
      <w:proofErr w:type="gramEnd"/>
      <w:r w:rsidRPr="004850A2">
        <w:rPr>
          <w:rFonts w:ascii="標楷體" w:eastAsia="標楷體" w:hAnsi="標楷體" w:hint="eastAsia"/>
          <w:szCs w:val="24"/>
        </w:rPr>
        <w:t>法規變動實況等，檢討修訂風險管理作業手冊及增列風險管理優良實務案例，另將提升研習訓練量能，持續推廣及建立行政機關風險管理（含內部控制）觀念。</w:t>
      </w:r>
    </w:p>
    <w:p w14:paraId="02F6DA10" w14:textId="2EFE09CB" w:rsidR="009C6696" w:rsidRPr="00E54F59" w:rsidRDefault="00692C1B" w:rsidP="00F92829">
      <w:pPr>
        <w:overflowPunct w:val="0"/>
        <w:spacing w:line="444" w:lineRule="exact"/>
        <w:ind w:firstLineChars="450" w:firstLine="1081"/>
        <w:jc w:val="both"/>
        <w:rPr>
          <w:rFonts w:ascii="標楷體" w:eastAsia="標楷體" w:hAnsi="標楷體"/>
          <w:szCs w:val="24"/>
        </w:rPr>
      </w:pPr>
      <w:r w:rsidRPr="00E54F59">
        <w:rPr>
          <w:rFonts w:ascii="標楷體" w:eastAsia="標楷體" w:hAnsi="標楷體" w:hint="eastAsia"/>
          <w:b/>
          <w:bCs/>
          <w:kern w:val="0"/>
          <w:szCs w:val="24"/>
        </w:rPr>
        <w:t>2.</w:t>
      </w:r>
      <w:r w:rsidRPr="00E54F59">
        <w:rPr>
          <w:rFonts w:ascii="標楷體" w:eastAsia="標楷體" w:hAnsi="標楷體" w:hint="eastAsia"/>
          <w:b/>
          <w:bCs/>
          <w:kern w:val="0"/>
        </w:rPr>
        <w:t xml:space="preserve">　</w:t>
      </w:r>
      <w:r w:rsidRPr="00E54F59">
        <w:rPr>
          <w:rFonts w:ascii="標楷體" w:eastAsia="標楷體" w:hAnsi="標楷體" w:hint="eastAsia"/>
          <w:b/>
          <w:bCs/>
          <w:kern w:val="0"/>
          <w:szCs w:val="24"/>
        </w:rPr>
        <w:t>部分機關自行認定風險管理工具可彈性取代自行評估及內部稽核，或</w:t>
      </w:r>
      <w:proofErr w:type="gramStart"/>
      <w:r w:rsidRPr="00E54F59">
        <w:rPr>
          <w:rFonts w:ascii="標楷體" w:eastAsia="標楷體" w:hAnsi="標楷體" w:hint="eastAsia"/>
          <w:b/>
          <w:bCs/>
          <w:kern w:val="0"/>
          <w:szCs w:val="24"/>
        </w:rPr>
        <w:t>未妥適擇定</w:t>
      </w:r>
      <w:proofErr w:type="gramEnd"/>
      <w:r w:rsidRPr="00E54F59">
        <w:rPr>
          <w:rFonts w:ascii="標楷體" w:eastAsia="標楷體" w:hAnsi="標楷體" w:hint="eastAsia"/>
          <w:b/>
          <w:bCs/>
          <w:kern w:val="0"/>
          <w:szCs w:val="24"/>
        </w:rPr>
        <w:t>稽核項目、未完整追蹤內部控制缺失及興革建議</w:t>
      </w:r>
      <w:r w:rsidRPr="00E54F59">
        <w:rPr>
          <w:rFonts w:ascii="標楷體" w:eastAsia="標楷體" w:hAnsi="標楷體" w:hint="eastAsia"/>
          <w:kern w:val="0"/>
          <w:szCs w:val="24"/>
        </w:rPr>
        <w:t>：依據整合新制架構及</w:t>
      </w:r>
      <w:r w:rsidRPr="00E54F59">
        <w:rPr>
          <w:rFonts w:ascii="標楷體" w:eastAsia="標楷體" w:hAnsi="標楷體" w:hint="eastAsia"/>
          <w:kern w:val="0"/>
        </w:rPr>
        <w:t>主</w:t>
      </w:r>
      <w:r w:rsidRPr="00E54F59">
        <w:rPr>
          <w:rFonts w:ascii="標楷體" w:eastAsia="標楷體" w:hAnsi="標楷體" w:hint="eastAsia"/>
          <w:kern w:val="0"/>
          <w:szCs w:val="24"/>
        </w:rPr>
        <w:t>計總處訂定之政府內部控制監督作業要點、政府內部控制聲明書簽署作業要點等規定，各機關應隨時監督風險環境之變化，透過內部控制監督作業追蹤檢討風險對策之有效性及風險處理步驟之正確性，並經由機關首長簽署內部控制聲明書，對外揭露機關整體內部控制有效程度，以發揮內外部監督之效，合理確保機關內部控制有效運作。經抽查行政院等60個機關</w:t>
      </w:r>
      <w:proofErr w:type="gramStart"/>
      <w:r w:rsidRPr="00E54F59">
        <w:rPr>
          <w:rFonts w:ascii="標楷體" w:eastAsia="標楷體" w:hAnsi="標楷體" w:hint="eastAsia"/>
          <w:kern w:val="0"/>
          <w:szCs w:val="24"/>
        </w:rPr>
        <w:t>113</w:t>
      </w:r>
      <w:proofErr w:type="gramEnd"/>
      <w:r w:rsidRPr="00E54F59">
        <w:rPr>
          <w:rFonts w:ascii="標楷體" w:eastAsia="標楷體" w:hAnsi="標楷體" w:hint="eastAsia"/>
          <w:kern w:val="0"/>
          <w:szCs w:val="24"/>
        </w:rPr>
        <w:t>年度辦理內部控制監督及內部控制聲明書簽署情形，核有：（1）國發會等13個機關辦理內部控制監督作業，係依據政府內部控制監督作業要點第21點之彈性調整規定，</w:t>
      </w:r>
      <w:proofErr w:type="gramStart"/>
      <w:r w:rsidRPr="00E54F59">
        <w:rPr>
          <w:rFonts w:ascii="標楷體" w:eastAsia="標楷體" w:hAnsi="標楷體" w:hint="eastAsia"/>
          <w:kern w:val="0"/>
          <w:szCs w:val="24"/>
        </w:rPr>
        <w:t>採</w:t>
      </w:r>
      <w:proofErr w:type="gramEnd"/>
      <w:r w:rsidRPr="00E54F59">
        <w:rPr>
          <w:rFonts w:ascii="標楷體" w:eastAsia="標楷體" w:hAnsi="標楷體" w:hint="eastAsia"/>
          <w:kern w:val="0"/>
          <w:szCs w:val="24"/>
        </w:rPr>
        <w:t>以機關各單位自行運用風險管理工具，自主稽核評估內部控制有效程度</w:t>
      </w:r>
      <w:bookmarkStart w:id="40" w:name="_Hlk192189815"/>
      <w:r w:rsidRPr="00E54F59">
        <w:rPr>
          <w:rFonts w:ascii="標楷體" w:eastAsia="標楷體" w:hAnsi="標楷體" w:hint="eastAsia"/>
          <w:kern w:val="0"/>
          <w:szCs w:val="24"/>
        </w:rPr>
        <w:t>之作法</w:t>
      </w:r>
      <w:bookmarkEnd w:id="40"/>
      <w:r w:rsidRPr="00E54F59">
        <w:rPr>
          <w:rFonts w:ascii="標楷體" w:eastAsia="標楷體" w:hAnsi="標楷體" w:hint="eastAsia"/>
          <w:kern w:val="0"/>
          <w:szCs w:val="24"/>
        </w:rPr>
        <w:t>，取代該作業要點第2點、第8點、第11點、第12點所定有關內部控制自行評估或內部稽核等作業事宜，不利內部稽核功能發揮及有效落實內部控制監督作業</w:t>
      </w:r>
      <w:r w:rsidRPr="00E54F59">
        <w:rPr>
          <w:rFonts w:ascii="標楷體" w:eastAsia="標楷體" w:hAnsi="標楷體" w:hint="eastAsia"/>
          <w:kern w:val="0"/>
        </w:rPr>
        <w:t>；</w:t>
      </w:r>
      <w:r w:rsidRPr="00E54F59">
        <w:rPr>
          <w:rFonts w:ascii="標楷體" w:eastAsia="標楷體" w:hAnsi="標楷體" w:hint="eastAsia"/>
          <w:kern w:val="0"/>
          <w:szCs w:val="24"/>
        </w:rPr>
        <w:t>（2）國家科學及技術委員會、農業部農業試驗所等2個機關，辦理內部控制自行評估之範圍分別為施政目標對應之重要計畫、國家科學及技術委員會補助專題研究計畫，未完整涵蓋機關內部各單位業務，核與政府內部控制監督作業要點第8點</w:t>
      </w:r>
      <w:proofErr w:type="gramStart"/>
      <w:r w:rsidRPr="00E54F59">
        <w:rPr>
          <w:rFonts w:ascii="標楷體" w:eastAsia="標楷體" w:hAnsi="標楷體" w:hint="eastAsia"/>
          <w:kern w:val="0"/>
          <w:szCs w:val="24"/>
        </w:rPr>
        <w:t>規定欠合</w:t>
      </w:r>
      <w:proofErr w:type="gramEnd"/>
      <w:r w:rsidRPr="00E54F59">
        <w:rPr>
          <w:rFonts w:ascii="標楷體" w:eastAsia="標楷體" w:hAnsi="標楷體" w:hint="eastAsia"/>
          <w:kern w:val="0"/>
          <w:szCs w:val="24"/>
        </w:rPr>
        <w:t>；（3）中央選舉委員會等11個機關擇選內部稽核項目範圍，並未運用系統性方法為之，致稽核項目</w:t>
      </w:r>
      <w:proofErr w:type="gramStart"/>
      <w:r w:rsidRPr="00E54F59">
        <w:rPr>
          <w:rFonts w:ascii="標楷體" w:eastAsia="標楷體" w:hAnsi="標楷體" w:hint="eastAsia"/>
          <w:kern w:val="0"/>
          <w:szCs w:val="24"/>
        </w:rPr>
        <w:t>縮</w:t>
      </w:r>
      <w:proofErr w:type="gramEnd"/>
      <w:r w:rsidRPr="00E54F59">
        <w:rPr>
          <w:rFonts w:ascii="標楷體" w:eastAsia="標楷體" w:hAnsi="標楷體" w:hint="eastAsia"/>
          <w:kern w:val="0"/>
          <w:szCs w:val="24"/>
        </w:rPr>
        <w:t>限於風險評估辨識之風險項目或單一事項；又行政院亦未運用系統性方法擇定稽核項目，而係將稽核評估職能</w:t>
      </w:r>
      <w:r w:rsidR="008102EB">
        <w:rPr>
          <w:rFonts w:ascii="標楷體" w:eastAsia="標楷體" w:hAnsi="標楷體" w:hint="eastAsia"/>
          <w:kern w:val="0"/>
          <w:szCs w:val="24"/>
        </w:rPr>
        <w:t>（如政風查核、資安稽核、政府採購稽核等）單位依相關法令規定辦理稽核</w:t>
      </w:r>
      <w:r w:rsidRPr="00E54F59">
        <w:rPr>
          <w:rFonts w:ascii="標楷體" w:eastAsia="標楷體" w:hAnsi="標楷體" w:hint="eastAsia"/>
          <w:kern w:val="0"/>
          <w:szCs w:val="24"/>
        </w:rPr>
        <w:t>之結果，</w:t>
      </w:r>
      <w:proofErr w:type="gramStart"/>
      <w:r w:rsidRPr="00E54F59">
        <w:rPr>
          <w:rFonts w:ascii="標楷體" w:eastAsia="標楷體" w:hAnsi="標楷體" w:hint="eastAsia"/>
          <w:kern w:val="0"/>
          <w:szCs w:val="24"/>
        </w:rPr>
        <w:t>逕</w:t>
      </w:r>
      <w:proofErr w:type="gramEnd"/>
      <w:r w:rsidRPr="00E54F59">
        <w:rPr>
          <w:rFonts w:ascii="標楷體" w:eastAsia="標楷體" w:hAnsi="標楷體" w:hint="eastAsia"/>
          <w:kern w:val="0"/>
          <w:szCs w:val="24"/>
        </w:rPr>
        <w:t>作為該</w:t>
      </w:r>
      <w:r w:rsidRPr="00E54F59">
        <w:rPr>
          <w:rFonts w:ascii="標楷體" w:eastAsia="標楷體" w:hAnsi="標楷體" w:hint="eastAsia"/>
          <w:kern w:val="0"/>
          <w:szCs w:val="24"/>
        </w:rPr>
        <w:lastRenderedPageBreak/>
        <w:t>院內部稽核實施成果，核與政府內部控制監督作業要點第13點規定及主計總處108年8月2日訂定之「內部稽核</w:t>
      </w:r>
      <w:proofErr w:type="gramStart"/>
      <w:r w:rsidRPr="00E54F59">
        <w:rPr>
          <w:rFonts w:ascii="標楷體" w:eastAsia="標楷體" w:hAnsi="標楷體" w:hint="eastAsia"/>
          <w:kern w:val="0"/>
          <w:szCs w:val="24"/>
        </w:rPr>
        <w:t>範例－擇定</w:t>
      </w:r>
      <w:proofErr w:type="gramEnd"/>
      <w:r w:rsidRPr="00E54F59">
        <w:rPr>
          <w:rFonts w:ascii="標楷體" w:eastAsia="標楷體" w:hAnsi="標楷體" w:hint="eastAsia"/>
          <w:kern w:val="0"/>
          <w:szCs w:val="24"/>
        </w:rPr>
        <w:t>稽核項目」引導方向未合；（4）原住民族委員會等33個機關於113年間彙整及追蹤內部控制缺失及興革建議時，未完整納入稽核評估職能所發現缺失及所提興革建議，或未完整考量外部機關</w:t>
      </w:r>
      <w:proofErr w:type="gramStart"/>
      <w:r w:rsidRPr="00E54F59">
        <w:rPr>
          <w:rFonts w:ascii="標楷體" w:eastAsia="標楷體" w:hAnsi="標楷體" w:hint="eastAsia"/>
          <w:kern w:val="0"/>
          <w:szCs w:val="24"/>
        </w:rPr>
        <w:t>研</w:t>
      </w:r>
      <w:proofErr w:type="gramEnd"/>
      <w:r w:rsidRPr="00E54F59">
        <w:rPr>
          <w:rFonts w:ascii="標楷體" w:eastAsia="標楷體" w:hAnsi="標楷體" w:hint="eastAsia"/>
          <w:kern w:val="0"/>
          <w:szCs w:val="24"/>
        </w:rPr>
        <w:t>提意見涉及內部控制缺失事項，影響各機關內部控制聲明書簽署</w:t>
      </w:r>
      <w:proofErr w:type="gramStart"/>
      <w:r w:rsidRPr="00E54F59">
        <w:rPr>
          <w:rFonts w:ascii="標楷體" w:eastAsia="標楷體" w:hAnsi="標楷體" w:hint="eastAsia"/>
          <w:kern w:val="0"/>
          <w:szCs w:val="24"/>
        </w:rPr>
        <w:t>參據適</w:t>
      </w:r>
      <w:proofErr w:type="gramEnd"/>
      <w:r w:rsidRPr="00E54F59">
        <w:rPr>
          <w:rFonts w:ascii="標楷體" w:eastAsia="標楷體" w:hAnsi="標楷體" w:hint="eastAsia"/>
          <w:kern w:val="0"/>
          <w:szCs w:val="24"/>
        </w:rPr>
        <w:t>足性等情事。經函請行政院督促主計總處明確內部控制自行評估及內部稽核彈性調整規範，並加強相關宣導訓練及督促各</w:t>
      </w:r>
      <w:proofErr w:type="gramStart"/>
      <w:r w:rsidRPr="00E54F59">
        <w:rPr>
          <w:rFonts w:ascii="標楷體" w:eastAsia="標楷體" w:hAnsi="標楷體" w:hint="eastAsia"/>
          <w:kern w:val="0"/>
          <w:szCs w:val="24"/>
        </w:rPr>
        <w:t>機關確依相關</w:t>
      </w:r>
      <w:proofErr w:type="gramEnd"/>
      <w:r w:rsidRPr="00E54F59">
        <w:rPr>
          <w:rFonts w:ascii="標楷體" w:eastAsia="標楷體" w:hAnsi="標楷體" w:hint="eastAsia"/>
          <w:kern w:val="0"/>
          <w:szCs w:val="24"/>
        </w:rPr>
        <w:t>規定辦理，及引導各機關落實風險導向之內部稽核工作，</w:t>
      </w:r>
      <w:proofErr w:type="gramStart"/>
      <w:r w:rsidRPr="00E54F59">
        <w:rPr>
          <w:rFonts w:ascii="標楷體" w:eastAsia="標楷體" w:hAnsi="標楷體" w:hint="eastAsia"/>
          <w:kern w:val="0"/>
          <w:szCs w:val="24"/>
        </w:rPr>
        <w:t>俾</w:t>
      </w:r>
      <w:proofErr w:type="gramEnd"/>
      <w:r w:rsidRPr="00E54F59">
        <w:rPr>
          <w:rFonts w:ascii="標楷體" w:eastAsia="標楷體" w:hAnsi="標楷體" w:hint="eastAsia"/>
          <w:kern w:val="0"/>
          <w:szCs w:val="24"/>
        </w:rPr>
        <w:t>合理確保機關內部控制有效運作，發揮</w:t>
      </w:r>
      <w:proofErr w:type="gramStart"/>
      <w:r w:rsidRPr="00E54F59">
        <w:rPr>
          <w:rFonts w:ascii="標楷體" w:eastAsia="標楷體" w:hAnsi="標楷體" w:hint="eastAsia"/>
          <w:kern w:val="0"/>
          <w:szCs w:val="24"/>
        </w:rPr>
        <w:t>興利防弊</w:t>
      </w:r>
      <w:proofErr w:type="gramEnd"/>
      <w:r w:rsidRPr="00E54F59">
        <w:rPr>
          <w:rFonts w:ascii="標楷體" w:eastAsia="標楷體" w:hAnsi="標楷體" w:hint="eastAsia"/>
          <w:kern w:val="0"/>
          <w:szCs w:val="24"/>
        </w:rPr>
        <w:t>功能。據復：主計總處已於114年5月27日通函各機關界定政府內部控制監督作業要點第21點之彈性作法，適用於未實質影響機關評估整體內部控制有效程度之作業方式（如內部稽核之單位組設、辦理時程、稽核項目及項數等），至於</w:t>
      </w:r>
      <w:proofErr w:type="gramStart"/>
      <w:r w:rsidRPr="00E54F59">
        <w:rPr>
          <w:rFonts w:ascii="標楷體" w:eastAsia="標楷體" w:hAnsi="標楷體" w:hint="eastAsia"/>
          <w:kern w:val="0"/>
          <w:szCs w:val="24"/>
        </w:rPr>
        <w:t>攸</w:t>
      </w:r>
      <w:proofErr w:type="gramEnd"/>
      <w:r w:rsidRPr="00E54F59">
        <w:rPr>
          <w:rFonts w:ascii="標楷體" w:eastAsia="標楷體" w:hAnsi="標楷體" w:hint="eastAsia"/>
          <w:kern w:val="0"/>
          <w:szCs w:val="24"/>
        </w:rPr>
        <w:t>關內部控制機制有效運作部分（如內部控制評估重點應涵蓋5項組成要素、稽核人員應公正客觀、稽核範圍應包含全體業務等），</w:t>
      </w:r>
      <w:proofErr w:type="gramStart"/>
      <w:r w:rsidRPr="00E54F59">
        <w:rPr>
          <w:rFonts w:ascii="標楷體" w:eastAsia="標楷體" w:hAnsi="標楷體" w:hint="eastAsia"/>
          <w:kern w:val="0"/>
          <w:szCs w:val="24"/>
        </w:rPr>
        <w:t>非屬得彈性</w:t>
      </w:r>
      <w:proofErr w:type="gramEnd"/>
      <w:r w:rsidRPr="00E54F59">
        <w:rPr>
          <w:rFonts w:ascii="標楷體" w:eastAsia="標楷體" w:hAnsi="標楷體" w:hint="eastAsia"/>
          <w:kern w:val="0"/>
          <w:szCs w:val="24"/>
        </w:rPr>
        <w:t>調整範圍；另將</w:t>
      </w:r>
      <w:proofErr w:type="gramStart"/>
      <w:r w:rsidRPr="00E54F59">
        <w:rPr>
          <w:rFonts w:ascii="標楷體" w:eastAsia="標楷體" w:hAnsi="標楷體" w:hint="eastAsia"/>
          <w:kern w:val="0"/>
          <w:szCs w:val="24"/>
        </w:rPr>
        <w:t>賡</w:t>
      </w:r>
      <w:proofErr w:type="gramEnd"/>
      <w:r w:rsidRPr="00E54F59">
        <w:rPr>
          <w:rFonts w:ascii="標楷體" w:eastAsia="標楷體" w:hAnsi="標楷體" w:hint="eastAsia"/>
          <w:kern w:val="0"/>
          <w:szCs w:val="24"/>
        </w:rPr>
        <w:t>續於內部控制監督作業教育訓練加強宣導，並督促行政院及所屬各一級主管機關就共同性缺失態樣注意檢討改進，落實逐級督導，以強化自我監督機制且合理確保內部控制之有效性。</w:t>
      </w:r>
    </w:p>
    <w:p w14:paraId="4F259962" w14:textId="13AB3C57" w:rsidR="00A15E84" w:rsidRPr="00D6249E" w:rsidRDefault="00D6249E" w:rsidP="00A45424">
      <w:pPr>
        <w:widowControl/>
        <w:overflowPunct w:val="0"/>
        <w:spacing w:beforeLines="20" w:before="72" w:afterLines="20" w:after="72" w:line="430" w:lineRule="exact"/>
        <w:ind w:firstLineChars="200" w:firstLine="561"/>
        <w:jc w:val="both"/>
        <w:outlineLvl w:val="1"/>
        <w:rPr>
          <w:rFonts w:hAnsi="標楷體"/>
          <w:color w:val="000000" w:themeColor="text1"/>
          <w:szCs w:val="24"/>
        </w:rPr>
      </w:pPr>
      <w:r w:rsidRPr="00757893">
        <w:rPr>
          <w:rFonts w:ascii="標楷體" w:eastAsia="標楷體" w:hAnsi="標楷體" w:hint="eastAsia"/>
          <w:b/>
          <w:color w:val="000000" w:themeColor="text1"/>
          <w:sz w:val="28"/>
          <w:szCs w:val="28"/>
        </w:rPr>
        <w:t>（</w:t>
      </w:r>
      <w:r w:rsidR="001752E4">
        <w:rPr>
          <w:rFonts w:ascii="標楷體" w:eastAsia="標楷體" w:hAnsi="標楷體" w:hint="eastAsia"/>
          <w:b/>
          <w:color w:val="000000" w:themeColor="text1"/>
          <w:sz w:val="28"/>
          <w:szCs w:val="28"/>
        </w:rPr>
        <w:t>二</w:t>
      </w:r>
      <w:r>
        <w:rPr>
          <w:rFonts w:ascii="標楷體" w:eastAsia="標楷體" w:hAnsi="標楷體" w:hint="eastAsia"/>
          <w:b/>
          <w:color w:val="000000" w:themeColor="text1"/>
          <w:sz w:val="28"/>
          <w:szCs w:val="28"/>
        </w:rPr>
        <w:t>十</w:t>
      </w:r>
      <w:r w:rsidR="00781889">
        <w:rPr>
          <w:rFonts w:ascii="標楷體" w:eastAsia="標楷體" w:hAnsi="標楷體" w:hint="eastAsia"/>
          <w:b/>
          <w:color w:val="000000" w:themeColor="text1"/>
          <w:sz w:val="28"/>
          <w:szCs w:val="28"/>
        </w:rPr>
        <w:t>七</w:t>
      </w:r>
      <w:r w:rsidRPr="00757893">
        <w:rPr>
          <w:rFonts w:ascii="標楷體" w:eastAsia="標楷體" w:hAnsi="標楷體" w:hint="eastAsia"/>
          <w:b/>
          <w:color w:val="000000" w:themeColor="text1"/>
          <w:sz w:val="28"/>
          <w:szCs w:val="28"/>
        </w:rPr>
        <w:t>）</w:t>
      </w:r>
      <w:r w:rsidRPr="00D6249E">
        <w:rPr>
          <w:rFonts w:ascii="標楷體" w:eastAsia="標楷體" w:hAnsi="標楷體" w:hint="eastAsia"/>
          <w:b/>
          <w:color w:val="000000" w:themeColor="text1"/>
          <w:sz w:val="28"/>
          <w:szCs w:val="28"/>
        </w:rPr>
        <w:t xml:space="preserve">　</w:t>
      </w:r>
      <w:r w:rsidR="00BA548F" w:rsidRPr="00BA548F">
        <w:rPr>
          <w:rFonts w:ascii="標楷體" w:eastAsia="標楷體" w:hAnsi="標楷體" w:hint="eastAsia"/>
          <w:b/>
          <w:color w:val="000000" w:themeColor="text1"/>
          <w:sz w:val="28"/>
          <w:szCs w:val="28"/>
        </w:rPr>
        <w:t>各中央目的事業主管機關依產業創新條例規定補助（獎勵）之公司或企業，近</w:t>
      </w:r>
      <w:proofErr w:type="gramStart"/>
      <w:r w:rsidR="00BA548F" w:rsidRPr="00BA548F">
        <w:rPr>
          <w:rFonts w:ascii="標楷體" w:eastAsia="標楷體" w:hAnsi="標楷體" w:hint="eastAsia"/>
          <w:b/>
          <w:color w:val="000000" w:themeColor="text1"/>
          <w:sz w:val="28"/>
          <w:szCs w:val="28"/>
        </w:rPr>
        <w:t>3</w:t>
      </w:r>
      <w:proofErr w:type="gramEnd"/>
      <w:r w:rsidR="00BA548F" w:rsidRPr="00BA548F">
        <w:rPr>
          <w:rFonts w:ascii="標楷體" w:eastAsia="標楷體" w:hAnsi="標楷體" w:hint="eastAsia"/>
          <w:b/>
          <w:color w:val="000000" w:themeColor="text1"/>
          <w:sz w:val="28"/>
          <w:szCs w:val="28"/>
        </w:rPr>
        <w:t>年度違反環境保護、勞工及食品安全衛生相關法律者逾4千家，危害環境、勞工權益、生命及民眾健康安全，又違反前揭法令情節重大之認定基準及審認情形</w:t>
      </w:r>
      <w:proofErr w:type="gramStart"/>
      <w:r w:rsidR="00BA548F" w:rsidRPr="00BA548F">
        <w:rPr>
          <w:rFonts w:ascii="標楷體" w:eastAsia="標楷體" w:hAnsi="標楷體" w:hint="eastAsia"/>
          <w:b/>
          <w:color w:val="000000" w:themeColor="text1"/>
          <w:sz w:val="28"/>
          <w:szCs w:val="28"/>
        </w:rPr>
        <w:t>未盡周妥</w:t>
      </w:r>
      <w:proofErr w:type="gramEnd"/>
      <w:r w:rsidR="00BA548F" w:rsidRPr="00BA548F">
        <w:rPr>
          <w:rFonts w:ascii="標楷體" w:eastAsia="標楷體" w:hAnsi="標楷體" w:hint="eastAsia"/>
          <w:b/>
          <w:color w:val="000000" w:themeColor="text1"/>
          <w:sz w:val="28"/>
          <w:szCs w:val="28"/>
        </w:rPr>
        <w:t>，允宜督促相關主管機關檢討</w:t>
      </w:r>
      <w:proofErr w:type="gramStart"/>
      <w:r w:rsidR="00BA548F" w:rsidRPr="00BA548F">
        <w:rPr>
          <w:rFonts w:ascii="標楷體" w:eastAsia="標楷體" w:hAnsi="標楷體" w:hint="eastAsia"/>
          <w:b/>
          <w:color w:val="000000" w:themeColor="text1"/>
          <w:sz w:val="28"/>
          <w:szCs w:val="28"/>
        </w:rPr>
        <w:t>研</w:t>
      </w:r>
      <w:proofErr w:type="gramEnd"/>
      <w:r w:rsidR="00BA548F" w:rsidRPr="00BA548F">
        <w:rPr>
          <w:rFonts w:ascii="標楷體" w:eastAsia="標楷體" w:hAnsi="標楷體" w:hint="eastAsia"/>
          <w:b/>
          <w:color w:val="000000" w:themeColor="text1"/>
          <w:sz w:val="28"/>
          <w:szCs w:val="28"/>
        </w:rPr>
        <w:t>謀改善，及加強受領政府補助經費公司或企業之審核輔（督）導，以提升公司或企業對社會責任之重視。</w:t>
      </w:r>
    </w:p>
    <w:p w14:paraId="24ABD172" w14:textId="77777777" w:rsidR="00864047" w:rsidRPr="0031215D" w:rsidRDefault="00864047" w:rsidP="00A45424">
      <w:pPr>
        <w:overflowPunct w:val="0"/>
        <w:spacing w:line="424" w:lineRule="exact"/>
        <w:ind w:firstLineChars="200" w:firstLine="480"/>
        <w:jc w:val="both"/>
        <w:rPr>
          <w:rFonts w:ascii="標楷體" w:eastAsia="標楷體" w:hAnsi="標楷體"/>
          <w:snapToGrid w:val="0"/>
          <w:kern w:val="0"/>
          <w:szCs w:val="24"/>
        </w:rPr>
      </w:pPr>
      <w:r w:rsidRPr="00D13C38">
        <w:rPr>
          <w:rFonts w:ascii="標楷體" w:eastAsia="標楷體" w:hAnsi="標楷體" w:hint="eastAsia"/>
          <w:bCs/>
          <w:szCs w:val="32"/>
        </w:rPr>
        <w:t>政府為促進產業創新，改善產業環境，提升產業競爭力，制定產業創新條例，補助</w:t>
      </w:r>
      <w:r>
        <w:rPr>
          <w:rFonts w:ascii="標楷體" w:eastAsia="標楷體" w:hAnsi="標楷體" w:hint="eastAsia"/>
          <w:bCs/>
          <w:szCs w:val="32"/>
        </w:rPr>
        <w:t>（</w:t>
      </w:r>
      <w:r w:rsidRPr="00D13C38">
        <w:rPr>
          <w:rFonts w:ascii="標楷體" w:eastAsia="標楷體" w:hAnsi="標楷體" w:hint="eastAsia"/>
          <w:bCs/>
          <w:szCs w:val="32"/>
        </w:rPr>
        <w:t>獎勵</w:t>
      </w:r>
      <w:r>
        <w:rPr>
          <w:rFonts w:ascii="標楷體" w:eastAsia="標楷體" w:hAnsi="標楷體" w:hint="eastAsia"/>
          <w:bCs/>
          <w:szCs w:val="32"/>
        </w:rPr>
        <w:t>）</w:t>
      </w:r>
      <w:r w:rsidRPr="00D13C38">
        <w:rPr>
          <w:rFonts w:ascii="標楷體" w:eastAsia="標楷體" w:hAnsi="標楷體" w:hint="eastAsia"/>
          <w:bCs/>
          <w:szCs w:val="32"/>
        </w:rPr>
        <w:t>公司或企業推動產業創新或研究發展事項，</w:t>
      </w:r>
      <w:proofErr w:type="gramStart"/>
      <w:r w:rsidRPr="00D13C38">
        <w:rPr>
          <w:rFonts w:ascii="標楷體" w:eastAsia="標楷體" w:hAnsi="標楷體" w:hint="eastAsia"/>
          <w:bCs/>
          <w:szCs w:val="32"/>
        </w:rPr>
        <w:t>嗣</w:t>
      </w:r>
      <w:proofErr w:type="gramEnd"/>
      <w:r w:rsidRPr="00D13C38">
        <w:rPr>
          <w:rFonts w:ascii="標楷體" w:eastAsia="標楷體" w:hAnsi="標楷體" w:hint="eastAsia"/>
          <w:bCs/>
          <w:szCs w:val="32"/>
        </w:rPr>
        <w:t>為提高企業社會責任之意識，促進產業創新並兼顧環境保護、勞工、食品安全衛生之落實，於103年5月修正增列產業創新條例第70條第2項規定：「公司或企業最近3年因嚴重違反環境保護、勞工或食品安全衛生相關法律且情節重大經各中央目的事業主管機關認定者，不得申請本條例之獎勵或補助，並應追回違法期間內依本條例申請所獲得之獎勵或補助。」111至113年度經濟部、農業部及</w:t>
      </w:r>
      <w:r w:rsidRPr="00F53A3D">
        <w:rPr>
          <w:rFonts w:ascii="標楷體" w:eastAsia="標楷體" w:hAnsi="標楷體" w:hint="eastAsia"/>
          <w:bCs/>
          <w:szCs w:val="32"/>
        </w:rPr>
        <w:t>數位發展部（下稱數發部）</w:t>
      </w:r>
      <w:r w:rsidRPr="00D13C38">
        <w:rPr>
          <w:rFonts w:ascii="標楷體" w:eastAsia="標楷體" w:hAnsi="標楷體" w:hint="eastAsia"/>
          <w:bCs/>
          <w:szCs w:val="32"/>
        </w:rPr>
        <w:t>依據產業創新條例規定補助</w:t>
      </w:r>
      <w:r>
        <w:rPr>
          <w:rFonts w:ascii="標楷體" w:eastAsia="標楷體" w:hAnsi="標楷體" w:hint="eastAsia"/>
          <w:bCs/>
          <w:szCs w:val="32"/>
        </w:rPr>
        <w:t>（</w:t>
      </w:r>
      <w:r w:rsidRPr="00D13C38">
        <w:rPr>
          <w:rFonts w:ascii="標楷體" w:eastAsia="標楷體" w:hAnsi="標楷體" w:hint="eastAsia"/>
          <w:bCs/>
          <w:szCs w:val="32"/>
        </w:rPr>
        <w:t>獎勵</w:t>
      </w:r>
      <w:r>
        <w:rPr>
          <w:rFonts w:ascii="標楷體" w:eastAsia="標楷體" w:hAnsi="標楷體" w:hint="eastAsia"/>
          <w:bCs/>
          <w:szCs w:val="32"/>
        </w:rPr>
        <w:t>）</w:t>
      </w:r>
      <w:r w:rsidRPr="00D13C38">
        <w:rPr>
          <w:rFonts w:ascii="標楷體" w:eastAsia="標楷體" w:hAnsi="標楷體" w:hint="eastAsia"/>
          <w:bCs/>
          <w:szCs w:val="32"/>
        </w:rPr>
        <w:t>轄管公司或企業案件分別計有8,475件</w:t>
      </w:r>
      <w:r>
        <w:rPr>
          <w:rFonts w:ascii="標楷體" w:eastAsia="標楷體" w:hAnsi="標楷體" w:hint="eastAsia"/>
          <w:bCs/>
          <w:szCs w:val="32"/>
        </w:rPr>
        <w:t>（</w:t>
      </w:r>
      <w:r w:rsidRPr="00D13C38">
        <w:rPr>
          <w:rFonts w:ascii="標楷體" w:eastAsia="標楷體" w:hAnsi="標楷體" w:hint="eastAsia"/>
          <w:bCs/>
          <w:szCs w:val="32"/>
        </w:rPr>
        <w:t>4,842家</w:t>
      </w:r>
      <w:r>
        <w:rPr>
          <w:rFonts w:ascii="標楷體" w:eastAsia="標楷體" w:hAnsi="標楷體" w:hint="eastAsia"/>
          <w:bCs/>
          <w:szCs w:val="32"/>
        </w:rPr>
        <w:t>）</w:t>
      </w:r>
      <w:r w:rsidRPr="00D13C38">
        <w:rPr>
          <w:rFonts w:ascii="標楷體" w:eastAsia="標楷體" w:hAnsi="標楷體" w:hint="eastAsia"/>
          <w:bCs/>
          <w:szCs w:val="32"/>
        </w:rPr>
        <w:t>、213件</w:t>
      </w:r>
      <w:r>
        <w:rPr>
          <w:rFonts w:ascii="標楷體" w:eastAsia="標楷體" w:hAnsi="標楷體" w:hint="eastAsia"/>
          <w:bCs/>
          <w:szCs w:val="32"/>
        </w:rPr>
        <w:t>（</w:t>
      </w:r>
      <w:r w:rsidRPr="00D13C38">
        <w:rPr>
          <w:rFonts w:ascii="標楷體" w:eastAsia="標楷體" w:hAnsi="標楷體" w:hint="eastAsia"/>
          <w:bCs/>
          <w:szCs w:val="32"/>
        </w:rPr>
        <w:t>153家</w:t>
      </w:r>
      <w:r>
        <w:rPr>
          <w:rFonts w:ascii="標楷體" w:eastAsia="標楷體" w:hAnsi="標楷體" w:hint="eastAsia"/>
          <w:bCs/>
          <w:szCs w:val="32"/>
        </w:rPr>
        <w:t>）</w:t>
      </w:r>
      <w:r w:rsidRPr="00D13C38">
        <w:rPr>
          <w:rFonts w:ascii="標楷體" w:eastAsia="標楷體" w:hAnsi="標楷體" w:hint="eastAsia"/>
          <w:bCs/>
          <w:szCs w:val="32"/>
        </w:rPr>
        <w:t>及28,264件</w:t>
      </w:r>
      <w:r>
        <w:rPr>
          <w:rFonts w:ascii="標楷體" w:eastAsia="標楷體" w:hAnsi="標楷體" w:hint="eastAsia"/>
          <w:bCs/>
          <w:szCs w:val="32"/>
        </w:rPr>
        <w:t>（</w:t>
      </w:r>
      <w:r w:rsidRPr="00D13C38">
        <w:rPr>
          <w:rFonts w:ascii="標楷體" w:eastAsia="標楷體" w:hAnsi="標楷體" w:hint="eastAsia"/>
          <w:bCs/>
          <w:szCs w:val="32"/>
        </w:rPr>
        <w:t>28,117家</w:t>
      </w:r>
      <w:r>
        <w:rPr>
          <w:rFonts w:ascii="標楷體" w:eastAsia="標楷體" w:hAnsi="標楷體" w:hint="eastAsia"/>
          <w:bCs/>
          <w:szCs w:val="32"/>
        </w:rPr>
        <w:t>）</w:t>
      </w:r>
      <w:r w:rsidRPr="00D13C38">
        <w:rPr>
          <w:rFonts w:ascii="標楷體" w:eastAsia="標楷體" w:hAnsi="標楷體" w:hint="eastAsia"/>
          <w:bCs/>
          <w:szCs w:val="32"/>
        </w:rPr>
        <w:t>，補助</w:t>
      </w:r>
      <w:r>
        <w:rPr>
          <w:rFonts w:ascii="標楷體" w:eastAsia="標楷體" w:hAnsi="標楷體" w:hint="eastAsia"/>
          <w:bCs/>
          <w:szCs w:val="32"/>
        </w:rPr>
        <w:t>（</w:t>
      </w:r>
      <w:r w:rsidRPr="00D13C38">
        <w:rPr>
          <w:rFonts w:ascii="標楷體" w:eastAsia="標楷體" w:hAnsi="標楷體" w:hint="eastAsia"/>
          <w:bCs/>
          <w:szCs w:val="32"/>
        </w:rPr>
        <w:t>獎勵</w:t>
      </w:r>
      <w:r>
        <w:rPr>
          <w:rFonts w:ascii="標楷體" w:eastAsia="標楷體" w:hAnsi="標楷體" w:hint="eastAsia"/>
          <w:bCs/>
          <w:szCs w:val="32"/>
        </w:rPr>
        <w:t>）</w:t>
      </w:r>
      <w:r w:rsidRPr="00D13C38">
        <w:rPr>
          <w:rFonts w:ascii="標楷體" w:eastAsia="標楷體" w:hAnsi="標楷體" w:hint="eastAsia"/>
          <w:bCs/>
          <w:szCs w:val="32"/>
        </w:rPr>
        <w:t>金額分別為371億9,138萬餘元、4億5,753萬餘元及28億6,724萬餘元。經</w:t>
      </w:r>
      <w:proofErr w:type="gramStart"/>
      <w:r w:rsidRPr="00D13C38">
        <w:rPr>
          <w:rFonts w:ascii="標楷體" w:eastAsia="標楷體" w:hAnsi="標楷體" w:hint="eastAsia"/>
          <w:bCs/>
          <w:szCs w:val="32"/>
        </w:rPr>
        <w:t>查上開受</w:t>
      </w:r>
      <w:proofErr w:type="gramEnd"/>
      <w:r w:rsidRPr="00D13C38">
        <w:rPr>
          <w:rFonts w:ascii="標楷體" w:eastAsia="標楷體" w:hAnsi="標楷體" w:hint="eastAsia"/>
          <w:bCs/>
          <w:szCs w:val="32"/>
        </w:rPr>
        <w:t>補助公司或企業違反環境保護、勞工或食品安全衛生相關法律及主管機關處理情形，核有下列事項</w:t>
      </w:r>
      <w:r w:rsidRPr="00AD6D2F">
        <w:rPr>
          <w:rFonts w:ascii="標楷體" w:eastAsia="標楷體" w:hAnsi="標楷體" w:hint="eastAsia"/>
          <w:bCs/>
          <w:szCs w:val="32"/>
        </w:rPr>
        <w:t>：</w:t>
      </w:r>
    </w:p>
    <w:p w14:paraId="66599C67" w14:textId="49A03BEA" w:rsidR="00AE2083" w:rsidRPr="00825598" w:rsidRDefault="00864047" w:rsidP="00A45424">
      <w:pPr>
        <w:overflowPunct w:val="0"/>
        <w:spacing w:line="420" w:lineRule="exact"/>
        <w:ind w:firstLineChars="450" w:firstLine="1081"/>
        <w:jc w:val="both"/>
        <w:rPr>
          <w:rFonts w:ascii="標楷體" w:eastAsia="標楷體" w:hAnsi="標楷體"/>
          <w:color w:val="000000" w:themeColor="text1"/>
          <w:kern w:val="0"/>
          <w:szCs w:val="32"/>
        </w:rPr>
      </w:pPr>
      <w:r w:rsidRPr="0031215D">
        <w:rPr>
          <w:rFonts w:ascii="標楷體" w:eastAsia="標楷體" w:hAnsi="標楷體" w:hint="eastAsia"/>
          <w:b/>
          <w:snapToGrid w:val="0"/>
          <w:kern w:val="0"/>
          <w:szCs w:val="24"/>
        </w:rPr>
        <w:t xml:space="preserve">1.　</w:t>
      </w:r>
      <w:r w:rsidRPr="00D13C38">
        <w:rPr>
          <w:rFonts w:ascii="標楷體" w:eastAsia="標楷體" w:hAnsi="標楷體" w:hint="eastAsia"/>
          <w:b/>
          <w:color w:val="000000" w:themeColor="text1"/>
        </w:rPr>
        <w:t>受補助</w:t>
      </w:r>
      <w:r>
        <w:rPr>
          <w:rFonts w:ascii="標楷體" w:eastAsia="標楷體" w:hAnsi="標楷體" w:hint="eastAsia"/>
          <w:b/>
          <w:color w:val="000000" w:themeColor="text1"/>
        </w:rPr>
        <w:t>（</w:t>
      </w:r>
      <w:r w:rsidRPr="00D13C38">
        <w:rPr>
          <w:rFonts w:ascii="標楷體" w:eastAsia="標楷體" w:hAnsi="標楷體" w:hint="eastAsia"/>
          <w:b/>
          <w:color w:val="000000" w:themeColor="text1"/>
        </w:rPr>
        <w:t>獎勵</w:t>
      </w:r>
      <w:r>
        <w:rPr>
          <w:rFonts w:ascii="標楷體" w:eastAsia="標楷體" w:hAnsi="標楷體" w:hint="eastAsia"/>
          <w:b/>
          <w:color w:val="000000" w:themeColor="text1"/>
        </w:rPr>
        <w:t>）</w:t>
      </w:r>
      <w:r w:rsidRPr="00D13C38">
        <w:rPr>
          <w:rFonts w:ascii="標楷體" w:eastAsia="標楷體" w:hAnsi="標楷體" w:hint="eastAsia"/>
          <w:b/>
          <w:color w:val="000000" w:themeColor="text1"/>
        </w:rPr>
        <w:t>公司或企業涉違反環境保護、勞工及食品安全衛生相關法律者</w:t>
      </w:r>
      <w:r w:rsidRPr="00E01A4F">
        <w:rPr>
          <w:rFonts w:ascii="標楷體" w:eastAsia="標楷體" w:hAnsi="標楷體" w:hint="eastAsia"/>
          <w:b/>
          <w:color w:val="000000" w:themeColor="text1"/>
        </w:rPr>
        <w:t>逾4千家，危害環境、勞工權益、生命及民眾健康安全</w:t>
      </w:r>
      <w:r w:rsidRPr="00F054A9">
        <w:rPr>
          <w:rFonts w:ascii="標楷體" w:eastAsia="標楷體" w:hAnsi="標楷體" w:hint="eastAsia"/>
          <w:b/>
          <w:color w:val="000000" w:themeColor="text1"/>
        </w:rPr>
        <w:t>：</w:t>
      </w:r>
      <w:r w:rsidRPr="00F054A9">
        <w:rPr>
          <w:rFonts w:ascii="標楷體" w:eastAsia="標楷體" w:hAnsi="標楷體" w:hint="eastAsia"/>
          <w:bCs/>
          <w:color w:val="000000" w:themeColor="text1"/>
        </w:rPr>
        <w:t>經濟部、農業部及</w:t>
      </w:r>
      <w:r w:rsidRPr="00F53A3D">
        <w:rPr>
          <w:rFonts w:ascii="標楷體" w:eastAsia="標楷體" w:hAnsi="標楷體" w:hint="eastAsia"/>
          <w:bCs/>
        </w:rPr>
        <w:t>數發部</w:t>
      </w:r>
      <w:r w:rsidRPr="00F054A9">
        <w:rPr>
          <w:rFonts w:ascii="標楷體" w:eastAsia="標楷體" w:hAnsi="標楷體" w:hint="eastAsia"/>
          <w:bCs/>
          <w:color w:val="000000" w:themeColor="text1"/>
        </w:rPr>
        <w:t>111至113年度補助</w:t>
      </w:r>
      <w:r>
        <w:rPr>
          <w:rFonts w:ascii="標楷體" w:eastAsia="標楷體" w:hAnsi="標楷體" w:hint="eastAsia"/>
          <w:bCs/>
          <w:color w:val="000000" w:themeColor="text1"/>
        </w:rPr>
        <w:t>（</w:t>
      </w:r>
      <w:r w:rsidRPr="00F054A9">
        <w:rPr>
          <w:rFonts w:ascii="標楷體" w:eastAsia="標楷體" w:hAnsi="標楷體" w:hint="eastAsia"/>
          <w:bCs/>
          <w:color w:val="000000" w:themeColor="text1"/>
        </w:rPr>
        <w:t>獎勵</w:t>
      </w:r>
      <w:r>
        <w:rPr>
          <w:rFonts w:ascii="標楷體" w:eastAsia="標楷體" w:hAnsi="標楷體" w:hint="eastAsia"/>
          <w:bCs/>
          <w:color w:val="000000" w:themeColor="text1"/>
        </w:rPr>
        <w:t>）之</w:t>
      </w:r>
      <w:r w:rsidRPr="00F054A9">
        <w:rPr>
          <w:rFonts w:ascii="標楷體" w:eastAsia="標楷體" w:hAnsi="標楷體" w:hint="eastAsia"/>
          <w:bCs/>
          <w:color w:val="000000" w:themeColor="text1"/>
        </w:rPr>
        <w:t>公司或企業於</w:t>
      </w:r>
      <w:r w:rsidRPr="00D13C38">
        <w:rPr>
          <w:rFonts w:ascii="標楷體" w:eastAsia="標楷體" w:hAnsi="標楷體" w:hint="eastAsia"/>
          <w:kern w:val="0"/>
          <w:szCs w:val="32"/>
        </w:rPr>
        <w:t>109至113年度涉違反環境保護、勞工及食品安全衛生相關法律者計有4,062家，補助金額計256億餘元，經分析受補助公司或企業違反相關規定情形，主要</w:t>
      </w:r>
      <w:r w:rsidRPr="00D13C38">
        <w:rPr>
          <w:rFonts w:ascii="標楷體" w:eastAsia="標楷體" w:hAnsi="標楷體" w:hint="eastAsia"/>
          <w:kern w:val="0"/>
          <w:szCs w:val="32"/>
        </w:rPr>
        <w:lastRenderedPageBreak/>
        <w:t>係廢棄物清理及貯存不當、未依固定污染源設置與操作許可證內容進行操作、排放未符合放流水標準之廢水、延長工作時間超過法令規定、於工作場所未設置必要之安全衛生設備及措施、未按時繳納勞工退休金、食品廣告不實、誇大或易生誤解等，經法律主管機關依法裁處罰鍰、停工</w:t>
      </w:r>
      <w:r>
        <w:rPr>
          <w:rFonts w:ascii="標楷體" w:eastAsia="標楷體" w:hAnsi="標楷體" w:hint="eastAsia"/>
          <w:kern w:val="0"/>
          <w:szCs w:val="32"/>
        </w:rPr>
        <w:t>（</w:t>
      </w:r>
      <w:r w:rsidRPr="00D13C38">
        <w:rPr>
          <w:rFonts w:ascii="標楷體" w:eastAsia="標楷體" w:hAnsi="標楷體" w:hint="eastAsia"/>
          <w:kern w:val="0"/>
          <w:szCs w:val="32"/>
        </w:rPr>
        <w:t>業</w:t>
      </w:r>
      <w:r>
        <w:rPr>
          <w:rFonts w:ascii="標楷體" w:eastAsia="標楷體" w:hAnsi="標楷體" w:hint="eastAsia"/>
          <w:kern w:val="0"/>
          <w:szCs w:val="32"/>
        </w:rPr>
        <w:t>）</w:t>
      </w:r>
      <w:r w:rsidRPr="00D13C38">
        <w:rPr>
          <w:rFonts w:ascii="標楷體" w:eastAsia="標楷體" w:hAnsi="標楷體" w:hint="eastAsia"/>
          <w:kern w:val="0"/>
          <w:szCs w:val="32"/>
        </w:rPr>
        <w:t>、勒令歇業、撤銷或廢止許可等，其中111至113年度連續</w:t>
      </w:r>
      <w:proofErr w:type="gramStart"/>
      <w:r w:rsidRPr="00D13C38">
        <w:rPr>
          <w:rFonts w:ascii="標楷體" w:eastAsia="標楷體" w:hAnsi="標楷體" w:hint="eastAsia"/>
          <w:kern w:val="0"/>
          <w:szCs w:val="32"/>
        </w:rPr>
        <w:t>3年度均有違反</w:t>
      </w:r>
      <w:proofErr w:type="gramEnd"/>
      <w:r w:rsidRPr="00D13C38">
        <w:rPr>
          <w:rFonts w:ascii="標楷體" w:eastAsia="標楷體" w:hAnsi="標楷體" w:hint="eastAsia"/>
          <w:kern w:val="0"/>
          <w:szCs w:val="32"/>
        </w:rPr>
        <w:t>環境保護、勞工及食品安全衛生相關法律案件者，計有84家，政府補助金額共6億餘元，另有38家公司或企業違反環境保護、勞動及食品安全衛生相關法律案件達20件以上，最高達370件，</w:t>
      </w:r>
      <w:proofErr w:type="gramStart"/>
      <w:r w:rsidRPr="00D13C38">
        <w:rPr>
          <w:rFonts w:ascii="標楷體" w:eastAsia="標楷體" w:hAnsi="標楷體" w:hint="eastAsia"/>
          <w:kern w:val="0"/>
          <w:szCs w:val="32"/>
        </w:rPr>
        <w:t>上開受補助</w:t>
      </w:r>
      <w:proofErr w:type="gramEnd"/>
      <w:r>
        <w:rPr>
          <w:rFonts w:ascii="標楷體" w:eastAsia="標楷體" w:hAnsi="標楷體" w:hint="eastAsia"/>
          <w:kern w:val="0"/>
          <w:szCs w:val="32"/>
        </w:rPr>
        <w:t>（</w:t>
      </w:r>
      <w:r w:rsidRPr="00D13C38">
        <w:rPr>
          <w:rFonts w:ascii="標楷體" w:eastAsia="標楷體" w:hAnsi="標楷體" w:hint="eastAsia"/>
          <w:kern w:val="0"/>
          <w:szCs w:val="32"/>
        </w:rPr>
        <w:t>獎勵</w:t>
      </w:r>
      <w:r>
        <w:rPr>
          <w:rFonts w:ascii="標楷體" w:eastAsia="標楷體" w:hAnsi="標楷體" w:hint="eastAsia"/>
          <w:kern w:val="0"/>
          <w:szCs w:val="32"/>
        </w:rPr>
        <w:t>）</w:t>
      </w:r>
      <w:r w:rsidRPr="00D13C38">
        <w:rPr>
          <w:rFonts w:ascii="標楷體" w:eastAsia="標楷體" w:hAnsi="標楷體" w:hint="eastAsia"/>
          <w:kern w:val="0"/>
          <w:szCs w:val="32"/>
        </w:rPr>
        <w:t>公司或企業之違規行為，已危害環境、勞工權益、生命及民眾健康安全，有損政府公信力與形象</w:t>
      </w:r>
      <w:r>
        <w:rPr>
          <w:rFonts w:ascii="標楷體" w:eastAsia="標楷體" w:hAnsi="標楷體" w:hint="eastAsia"/>
          <w:kern w:val="0"/>
          <w:szCs w:val="32"/>
        </w:rPr>
        <w:t>。</w:t>
      </w:r>
      <w:r w:rsidRPr="00AD6D2F">
        <w:rPr>
          <w:rFonts w:ascii="標楷體" w:eastAsia="標楷體" w:hAnsi="標楷體" w:hint="eastAsia"/>
          <w:kern w:val="0"/>
          <w:szCs w:val="32"/>
        </w:rPr>
        <w:t>經函</w:t>
      </w:r>
      <w:r w:rsidRPr="00D13C38">
        <w:rPr>
          <w:rFonts w:ascii="標楷體" w:eastAsia="標楷體" w:hAnsi="標楷體" w:hint="eastAsia"/>
          <w:kern w:val="0"/>
          <w:szCs w:val="32"/>
        </w:rPr>
        <w:t>請</w:t>
      </w:r>
      <w:r>
        <w:rPr>
          <w:rFonts w:ascii="標楷體" w:eastAsia="標楷體" w:hAnsi="標楷體" w:hint="eastAsia"/>
          <w:kern w:val="0"/>
          <w:szCs w:val="32"/>
        </w:rPr>
        <w:t>行政院</w:t>
      </w:r>
      <w:r w:rsidRPr="00D13C38">
        <w:rPr>
          <w:rFonts w:ascii="標楷體" w:eastAsia="標楷體" w:hAnsi="標楷體" w:hint="eastAsia"/>
          <w:kern w:val="0"/>
          <w:szCs w:val="32"/>
        </w:rPr>
        <w:t>督促相關主管機關加強受領政府補助經費公司或企業之審核輔</w:t>
      </w:r>
      <w:r>
        <w:rPr>
          <w:rFonts w:ascii="標楷體" w:eastAsia="標楷體" w:hAnsi="標楷體" w:hint="eastAsia"/>
          <w:kern w:val="0"/>
          <w:szCs w:val="32"/>
        </w:rPr>
        <w:t>（</w:t>
      </w:r>
      <w:r w:rsidRPr="00D13C38">
        <w:rPr>
          <w:rFonts w:ascii="標楷體" w:eastAsia="標楷體" w:hAnsi="標楷體" w:hint="eastAsia"/>
          <w:kern w:val="0"/>
          <w:szCs w:val="32"/>
        </w:rPr>
        <w:t>督</w:t>
      </w:r>
      <w:r>
        <w:rPr>
          <w:rFonts w:ascii="標楷體" w:eastAsia="標楷體" w:hAnsi="標楷體" w:hint="eastAsia"/>
          <w:kern w:val="0"/>
          <w:szCs w:val="32"/>
        </w:rPr>
        <w:t>）</w:t>
      </w:r>
      <w:r w:rsidRPr="00D13C38">
        <w:rPr>
          <w:rFonts w:ascii="標楷體" w:eastAsia="標楷體" w:hAnsi="標楷體" w:hint="eastAsia"/>
          <w:kern w:val="0"/>
          <w:szCs w:val="32"/>
        </w:rPr>
        <w:t>導，提升其對社會責任之重視。</w:t>
      </w:r>
      <w:r w:rsidR="00B4531F" w:rsidRPr="00B4531F">
        <w:rPr>
          <w:rFonts w:ascii="標楷體" w:eastAsia="標楷體" w:hAnsi="標楷體" w:hint="eastAsia"/>
          <w:color w:val="000000" w:themeColor="text1"/>
          <w:kern w:val="0"/>
          <w:szCs w:val="32"/>
        </w:rPr>
        <w:t>據復：為強化受領政府補助經費公司或企業對社會責任之重視，將加強宣導公司或企業恪遵相關法律，以確實維護環境永續發展、勞工權益、生命及民眾健康安全。</w:t>
      </w:r>
    </w:p>
    <w:p w14:paraId="7EF23FC0" w14:textId="232765D6" w:rsidR="003E5CC1" w:rsidRPr="000521EE" w:rsidRDefault="00AB0F39" w:rsidP="00AB0F39">
      <w:pPr>
        <w:overflowPunct w:val="0"/>
        <w:spacing w:line="446" w:lineRule="exact"/>
        <w:ind w:firstLineChars="450" w:firstLine="1080"/>
        <w:jc w:val="both"/>
        <w:rPr>
          <w:rFonts w:ascii="標楷體" w:eastAsia="標楷體" w:hAnsi="標楷體"/>
          <w:color w:val="000000" w:themeColor="text1"/>
          <w:kern w:val="0"/>
          <w:szCs w:val="32"/>
        </w:rPr>
      </w:pPr>
      <w:r w:rsidRPr="00AB0F39">
        <w:rPr>
          <w:rFonts w:ascii="標楷體" w:eastAsia="標楷體" w:hAnsi="標楷體"/>
          <w:noProof/>
          <w:color w:val="F79646" w:themeColor="accent6"/>
          <w:spacing w:val="-2"/>
          <w:kern w:val="0"/>
          <w:szCs w:val="24"/>
        </w:rPr>
        <mc:AlternateContent>
          <mc:Choice Requires="wps">
            <w:drawing>
              <wp:anchor distT="45720" distB="45720" distL="114300" distR="114300" simplePos="0" relativeHeight="251686912" behindDoc="1" locked="0" layoutInCell="1" allowOverlap="1" wp14:anchorId="27E9238F" wp14:editId="371DA5CC">
                <wp:simplePos x="0" y="0"/>
                <wp:positionH relativeFrom="margin">
                  <wp:posOffset>1463675</wp:posOffset>
                </wp:positionH>
                <wp:positionV relativeFrom="margin">
                  <wp:posOffset>6455410</wp:posOffset>
                </wp:positionV>
                <wp:extent cx="4895850" cy="2324100"/>
                <wp:effectExtent l="0" t="0" r="0" b="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0" cy="2324100"/>
                        </a:xfrm>
                        <a:prstGeom prst="rect">
                          <a:avLst/>
                        </a:prstGeom>
                        <a:noFill/>
                        <a:ln w="9525">
                          <a:noFill/>
                          <a:miter lim="800000"/>
                          <a:headEnd/>
                          <a:tailEnd/>
                        </a:ln>
                      </wps:spPr>
                      <wps:txbx>
                        <w:txbxContent>
                          <w:tbl>
                            <w:tblPr>
                              <w:tblStyle w:val="afff"/>
                              <w:tblW w:w="7513" w:type="dxa"/>
                              <w:tblLook w:val="04A0" w:firstRow="1" w:lastRow="0" w:firstColumn="1" w:lastColumn="0" w:noHBand="0" w:noVBand="1"/>
                            </w:tblPr>
                            <w:tblGrid>
                              <w:gridCol w:w="2977"/>
                              <w:gridCol w:w="4536"/>
                            </w:tblGrid>
                            <w:tr w:rsidR="00B64F39" w:rsidRPr="00980BE8" w14:paraId="30ED83F5" w14:textId="77777777" w:rsidTr="00201205">
                              <w:tc>
                                <w:tcPr>
                                  <w:tcW w:w="7513" w:type="dxa"/>
                                  <w:gridSpan w:val="2"/>
                                  <w:tcBorders>
                                    <w:top w:val="nil"/>
                                    <w:left w:val="nil"/>
                                    <w:right w:val="nil"/>
                                  </w:tcBorders>
                                </w:tcPr>
                                <w:p w14:paraId="2FFCB024" w14:textId="78186A28" w:rsidR="00B64F39" w:rsidRDefault="00B64F39" w:rsidP="00B64F39">
                                  <w:pPr>
                                    <w:adjustRightInd w:val="0"/>
                                    <w:snapToGrid w:val="0"/>
                                    <w:ind w:leftChars="-35" w:left="709" w:hangingChars="330" w:hanging="793"/>
                                    <w:jc w:val="center"/>
                                    <w:rPr>
                                      <w:rFonts w:ascii="標楷體" w:eastAsia="標楷體" w:hAnsi="標楷體"/>
                                      <w:b/>
                                      <w:szCs w:val="24"/>
                                    </w:rPr>
                                  </w:pPr>
                                  <w:r w:rsidRPr="00B64F39">
                                    <w:rPr>
                                      <w:rFonts w:ascii="標楷體" w:eastAsia="標楷體" w:hAnsi="標楷體" w:hint="eastAsia"/>
                                      <w:b/>
                                      <w:szCs w:val="24"/>
                                    </w:rPr>
                                    <w:t>表4</w:t>
                                  </w:r>
                                  <w:r w:rsidRPr="00B64F39">
                                    <w:rPr>
                                      <w:rFonts w:ascii="標楷體" w:eastAsia="標楷體" w:hAnsi="標楷體"/>
                                      <w:b/>
                                      <w:szCs w:val="24"/>
                                    </w:rPr>
                                    <w:t>4</w:t>
                                  </w:r>
                                  <w:r>
                                    <w:rPr>
                                      <w:rFonts w:ascii="標楷體" w:eastAsia="標楷體" w:hAnsi="標楷體"/>
                                      <w:b/>
                                      <w:color w:val="FF0000"/>
                                      <w:szCs w:val="24"/>
                                    </w:rPr>
                                    <w:t xml:space="preserve"> </w:t>
                                  </w:r>
                                  <w:r w:rsidRPr="00201205">
                                    <w:rPr>
                                      <w:rFonts w:ascii="標楷體" w:eastAsia="標楷體" w:hAnsi="標楷體" w:hint="eastAsia"/>
                                      <w:b/>
                                      <w:szCs w:val="24"/>
                                    </w:rPr>
                                    <w:t xml:space="preserve"> 勞動部職業訓練補助計畫規定涉事業單位「違反勞動法令情</w:t>
                                  </w:r>
                                  <w:r>
                                    <w:rPr>
                                      <w:rFonts w:ascii="標楷體" w:eastAsia="標楷體" w:hAnsi="標楷體" w:hint="eastAsia"/>
                                      <w:b/>
                                      <w:szCs w:val="24"/>
                                    </w:rPr>
                                    <w:t>節</w:t>
                                  </w:r>
                                </w:p>
                                <w:p w14:paraId="0BFE2C13" w14:textId="77777777" w:rsidR="00B64F39" w:rsidRPr="00201205" w:rsidRDefault="00B64F39" w:rsidP="00696A2A">
                                  <w:pPr>
                                    <w:adjustRightInd w:val="0"/>
                                    <w:snapToGrid w:val="0"/>
                                    <w:ind w:leftChars="278" w:left="667" w:firstLineChars="30" w:firstLine="72"/>
                                    <w:jc w:val="both"/>
                                    <w:rPr>
                                      <w:rFonts w:ascii="標楷體" w:eastAsia="標楷體" w:hAnsi="標楷體"/>
                                      <w:szCs w:val="24"/>
                                    </w:rPr>
                                  </w:pPr>
                                  <w:r w:rsidRPr="00201205">
                                    <w:rPr>
                                      <w:rFonts w:ascii="標楷體" w:eastAsia="標楷體" w:hAnsi="標楷體" w:hint="eastAsia"/>
                                      <w:b/>
                                      <w:szCs w:val="24"/>
                                    </w:rPr>
                                    <w:t>重大」適用範圍</w:t>
                                  </w:r>
                                </w:p>
                              </w:tc>
                            </w:tr>
                            <w:tr w:rsidR="00B64F39" w:rsidRPr="00980BE8" w14:paraId="0EB93189" w14:textId="77777777" w:rsidTr="00201205">
                              <w:tc>
                                <w:tcPr>
                                  <w:tcW w:w="2977" w:type="dxa"/>
                                </w:tcPr>
                                <w:p w14:paraId="22EC2A8B" w14:textId="77777777" w:rsidR="00B64F39" w:rsidRPr="00204092" w:rsidRDefault="00B64F39" w:rsidP="00201205">
                                  <w:pPr>
                                    <w:adjustRightInd w:val="0"/>
                                    <w:snapToGrid w:val="0"/>
                                    <w:jc w:val="center"/>
                                    <w:rPr>
                                      <w:rFonts w:ascii="標楷體" w:eastAsia="標楷體" w:hAnsi="標楷體"/>
                                      <w:sz w:val="20"/>
                                    </w:rPr>
                                  </w:pPr>
                                  <w:r w:rsidRPr="00204092">
                                    <w:rPr>
                                      <w:rFonts w:ascii="標楷體" w:eastAsia="標楷體" w:hAnsi="標楷體" w:hint="eastAsia"/>
                                      <w:sz w:val="20"/>
                                    </w:rPr>
                                    <w:t>勞動法令範圍</w:t>
                                  </w:r>
                                </w:p>
                              </w:tc>
                              <w:tc>
                                <w:tcPr>
                                  <w:tcW w:w="4536" w:type="dxa"/>
                                </w:tcPr>
                                <w:p w14:paraId="5928D67C" w14:textId="77777777" w:rsidR="00B64F39" w:rsidRPr="00204092" w:rsidRDefault="00B64F39" w:rsidP="00201205">
                                  <w:pPr>
                                    <w:adjustRightInd w:val="0"/>
                                    <w:snapToGrid w:val="0"/>
                                    <w:jc w:val="center"/>
                                    <w:rPr>
                                      <w:rFonts w:ascii="標楷體" w:eastAsia="標楷體" w:hAnsi="標楷體"/>
                                      <w:sz w:val="20"/>
                                    </w:rPr>
                                  </w:pPr>
                                  <w:r w:rsidRPr="00204092">
                                    <w:rPr>
                                      <w:rFonts w:ascii="標楷體" w:eastAsia="標楷體" w:hAnsi="標楷體" w:hint="eastAsia"/>
                                      <w:sz w:val="20"/>
                                    </w:rPr>
                                    <w:t>情節重大態樣</w:t>
                                  </w:r>
                                </w:p>
                              </w:tc>
                            </w:tr>
                            <w:tr w:rsidR="00B64F39" w:rsidRPr="00980BE8" w14:paraId="1E814D26" w14:textId="77777777" w:rsidTr="00201205">
                              <w:trPr>
                                <w:trHeight w:val="126"/>
                              </w:trPr>
                              <w:tc>
                                <w:tcPr>
                                  <w:tcW w:w="2977" w:type="dxa"/>
                                  <w:tcBorders>
                                    <w:bottom w:val="single" w:sz="4" w:space="0" w:color="auto"/>
                                  </w:tcBorders>
                                </w:tcPr>
                                <w:p w14:paraId="71AE0A1E" w14:textId="77777777" w:rsidR="00B64F39" w:rsidRPr="00204092" w:rsidRDefault="00B64F39" w:rsidP="00201205">
                                  <w:pPr>
                                    <w:adjustRightInd w:val="0"/>
                                    <w:snapToGrid w:val="0"/>
                                    <w:jc w:val="both"/>
                                    <w:rPr>
                                      <w:rFonts w:ascii="標楷體" w:eastAsia="標楷體" w:hAnsi="標楷體"/>
                                      <w:sz w:val="20"/>
                                    </w:rPr>
                                  </w:pPr>
                                  <w:r w:rsidRPr="00204092">
                                    <w:rPr>
                                      <w:rFonts w:ascii="標楷體" w:eastAsia="標楷體" w:hAnsi="標楷體" w:hint="eastAsia"/>
                                      <w:sz w:val="20"/>
                                    </w:rPr>
                                    <w:t>勞動基準法、性別平等工作法、就業服務法、職業安全衛生法、勞工退休金條例、勞工保險條例、工會法、中高齡者及高齡者就業促進法及勞動檢查法。</w:t>
                                  </w:r>
                                </w:p>
                              </w:tc>
                              <w:tc>
                                <w:tcPr>
                                  <w:tcW w:w="4536" w:type="dxa"/>
                                  <w:tcBorders>
                                    <w:bottom w:val="single" w:sz="4" w:space="0" w:color="auto"/>
                                  </w:tcBorders>
                                </w:tcPr>
                                <w:p w14:paraId="3CC70753" w14:textId="77777777" w:rsidR="00B64F39" w:rsidRPr="00204092" w:rsidRDefault="00B64F39" w:rsidP="009D1142">
                                  <w:pPr>
                                    <w:adjustRightInd w:val="0"/>
                                    <w:snapToGrid w:val="0"/>
                                    <w:ind w:left="532" w:hangingChars="266" w:hanging="532"/>
                                    <w:jc w:val="both"/>
                                    <w:rPr>
                                      <w:rFonts w:ascii="標楷體" w:eastAsia="標楷體" w:hAnsi="標楷體"/>
                                      <w:sz w:val="20"/>
                                    </w:rPr>
                                  </w:pPr>
                                  <w:r w:rsidRPr="00204092">
                                    <w:rPr>
                                      <w:rFonts w:ascii="標楷體" w:eastAsia="標楷體" w:hAnsi="標楷體" w:hint="eastAsia"/>
                                      <w:sz w:val="20"/>
                                    </w:rPr>
                                    <w:t>（一）因違反相關勞動法令經處一定金額以上罰金或罰鍰：</w:t>
                                  </w:r>
                                </w:p>
                                <w:p w14:paraId="3A70E0AE"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1.累計被處新臺幣100萬元以上。</w:t>
                                  </w:r>
                                </w:p>
                                <w:p w14:paraId="176851C6"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2.單次被處新臺幣50萬元以上。</w:t>
                                  </w:r>
                                </w:p>
                                <w:p w14:paraId="1815D540" w14:textId="77777777" w:rsidR="00B64F39" w:rsidRPr="00204092" w:rsidRDefault="00B64F39" w:rsidP="009D1142">
                                  <w:pPr>
                                    <w:adjustRightInd w:val="0"/>
                                    <w:snapToGrid w:val="0"/>
                                    <w:ind w:left="560" w:hangingChars="280" w:hanging="560"/>
                                    <w:jc w:val="both"/>
                                    <w:rPr>
                                      <w:rFonts w:ascii="標楷體" w:eastAsia="標楷體" w:hAnsi="標楷體"/>
                                      <w:sz w:val="20"/>
                                    </w:rPr>
                                  </w:pPr>
                                  <w:r w:rsidRPr="00204092">
                                    <w:rPr>
                                      <w:rFonts w:ascii="標楷體" w:eastAsia="標楷體" w:hAnsi="標楷體" w:hint="eastAsia"/>
                                      <w:sz w:val="20"/>
                                    </w:rPr>
                                    <w:t>（二）違反職業安全衛生法或勞動檢查法，受主管機關處部分或全部停工處分者。</w:t>
                                  </w:r>
                                </w:p>
                                <w:p w14:paraId="18A2B432" w14:textId="77777777" w:rsidR="00B64F39" w:rsidRPr="00204092" w:rsidRDefault="00B64F39" w:rsidP="00201205">
                                  <w:pPr>
                                    <w:adjustRightInd w:val="0"/>
                                    <w:snapToGrid w:val="0"/>
                                    <w:jc w:val="both"/>
                                    <w:rPr>
                                      <w:rFonts w:ascii="標楷體" w:eastAsia="標楷體" w:hAnsi="標楷體"/>
                                      <w:sz w:val="20"/>
                                    </w:rPr>
                                  </w:pPr>
                                  <w:r w:rsidRPr="00204092">
                                    <w:rPr>
                                      <w:rFonts w:ascii="標楷體" w:eastAsia="標楷體" w:hAnsi="標楷體" w:hint="eastAsia"/>
                                      <w:sz w:val="20"/>
                                    </w:rPr>
                                    <w:t>（三）違反職業安全衛生法，發生下列職業災害者：</w:t>
                                  </w:r>
                                </w:p>
                                <w:p w14:paraId="34E7A1A1"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1.有發生死亡災害。</w:t>
                                  </w:r>
                                </w:p>
                                <w:p w14:paraId="3530718F"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2.發生災害之</w:t>
                                  </w:r>
                                  <w:proofErr w:type="gramStart"/>
                                  <w:r w:rsidRPr="00204092">
                                    <w:rPr>
                                      <w:rFonts w:ascii="標楷體" w:eastAsia="標楷體" w:hAnsi="標楷體" w:hint="eastAsia"/>
                                      <w:sz w:val="20"/>
                                    </w:rPr>
                                    <w:t>罹</w:t>
                                  </w:r>
                                  <w:proofErr w:type="gramEnd"/>
                                  <w:r w:rsidRPr="00204092">
                                    <w:rPr>
                                      <w:rFonts w:ascii="標楷體" w:eastAsia="標楷體" w:hAnsi="標楷體" w:hint="eastAsia"/>
                                      <w:sz w:val="20"/>
                                    </w:rPr>
                                    <w:t>災人數在3人以上。</w:t>
                                  </w:r>
                                </w:p>
                              </w:tc>
                            </w:tr>
                            <w:tr w:rsidR="00B64F39" w:rsidRPr="00980BE8" w14:paraId="09A110A2" w14:textId="77777777" w:rsidTr="00201205">
                              <w:trPr>
                                <w:trHeight w:val="405"/>
                              </w:trPr>
                              <w:tc>
                                <w:tcPr>
                                  <w:tcW w:w="7513" w:type="dxa"/>
                                  <w:gridSpan w:val="2"/>
                                  <w:tcBorders>
                                    <w:left w:val="nil"/>
                                    <w:bottom w:val="nil"/>
                                    <w:right w:val="nil"/>
                                  </w:tcBorders>
                                </w:tcPr>
                                <w:p w14:paraId="6179683F" w14:textId="77777777" w:rsidR="00B64F39" w:rsidRPr="00201205" w:rsidRDefault="00B64F39" w:rsidP="00201205">
                                  <w:pPr>
                                    <w:adjustRightInd w:val="0"/>
                                    <w:snapToGrid w:val="0"/>
                                    <w:ind w:left="342" w:hangingChars="190" w:hanging="342"/>
                                    <w:jc w:val="both"/>
                                    <w:rPr>
                                      <w:rFonts w:ascii="標楷體" w:eastAsia="標楷體" w:hAnsi="標楷體"/>
                                      <w:sz w:val="18"/>
                                      <w:szCs w:val="18"/>
                                    </w:rPr>
                                  </w:pPr>
                                  <w:r w:rsidRPr="00201205">
                                    <w:rPr>
                                      <w:rFonts w:ascii="標楷體" w:eastAsia="標楷體" w:hAnsi="標楷體" w:hint="eastAsia"/>
                                      <w:sz w:val="18"/>
                                      <w:szCs w:val="18"/>
                                    </w:rPr>
                                    <w:t>資料來源：</w:t>
                                  </w:r>
                                  <w:r>
                                    <w:rPr>
                                      <w:rFonts w:ascii="標楷體" w:eastAsia="標楷體" w:hAnsi="標楷體" w:hint="eastAsia"/>
                                      <w:sz w:val="18"/>
                                      <w:szCs w:val="18"/>
                                    </w:rPr>
                                    <w:t>整理自</w:t>
                                  </w:r>
                                  <w:r w:rsidRPr="00201205">
                                    <w:rPr>
                                      <w:rFonts w:ascii="標楷體" w:eastAsia="標楷體" w:hAnsi="標楷體" w:hint="eastAsia"/>
                                      <w:sz w:val="18"/>
                                      <w:szCs w:val="18"/>
                                    </w:rPr>
                                    <w:t>勞動部勞動力發展署網站</w:t>
                                  </w:r>
                                  <w:r>
                                    <w:rPr>
                                      <w:rFonts w:ascii="標楷體" w:eastAsia="標楷體" w:hAnsi="標楷體" w:hint="eastAsia"/>
                                      <w:sz w:val="18"/>
                                      <w:szCs w:val="18"/>
                                    </w:rPr>
                                    <w:t>資料</w:t>
                                  </w:r>
                                  <w:r w:rsidRPr="00201205">
                                    <w:rPr>
                                      <w:rFonts w:ascii="標楷體" w:eastAsia="標楷體" w:hAnsi="標楷體" w:hint="eastAsia"/>
                                      <w:sz w:val="18"/>
                                      <w:szCs w:val="18"/>
                                    </w:rPr>
                                    <w:t>。</w:t>
                                  </w:r>
                                </w:p>
                              </w:tc>
                            </w:tr>
                          </w:tbl>
                          <w:p w14:paraId="0307BEDE" w14:textId="77777777" w:rsidR="00B64F39" w:rsidRPr="00211040" w:rsidRDefault="00B64F39" w:rsidP="00B64F39">
                            <w:pPr>
                              <w:adjustRightInd w:val="0"/>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9238F" id="_x0000_s1150" type="#_x0000_t202" style="position:absolute;left:0;text-align:left;margin-left:115.25pt;margin-top:508.3pt;width:385.5pt;height:183pt;z-index:-251629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" filled="f" stroked="f">
                <v:textbox>
                  <w:txbxContent>
                    <w:tbl>
                      <w:tblPr>
                        <w:tblStyle w:val="afff"/>
                        <w:tblW w:w="7513" w:type="dxa"/>
                        <w:tblLook w:val="04A0" w:firstRow="1" w:lastRow="0" w:firstColumn="1" w:lastColumn="0" w:noHBand="0" w:noVBand="1"/>
                      </w:tblPr>
                      <w:tblGrid>
                        <w:gridCol w:w="2977"/>
                        <w:gridCol w:w="4536"/>
                      </w:tblGrid>
                      <w:tr w:rsidR="00B64F39" w:rsidRPr="00980BE8" w14:paraId="30ED83F5" w14:textId="77777777" w:rsidTr="00201205">
                        <w:tc>
                          <w:tcPr>
                            <w:tcW w:w="7513" w:type="dxa"/>
                            <w:gridSpan w:val="2"/>
                            <w:tcBorders>
                              <w:top w:val="nil"/>
                              <w:left w:val="nil"/>
                              <w:right w:val="nil"/>
                            </w:tcBorders>
                          </w:tcPr>
                          <w:p w14:paraId="2FFCB024" w14:textId="78186A28" w:rsidR="00B64F39" w:rsidRDefault="00B64F39" w:rsidP="00B64F39">
                            <w:pPr>
                              <w:adjustRightInd w:val="0"/>
                              <w:snapToGrid w:val="0"/>
                              <w:ind w:leftChars="-35" w:left="709" w:hangingChars="330" w:hanging="793"/>
                              <w:jc w:val="center"/>
                              <w:rPr>
                                <w:rFonts w:ascii="標楷體" w:eastAsia="標楷體" w:hAnsi="標楷體"/>
                                <w:b/>
                                <w:szCs w:val="24"/>
                              </w:rPr>
                            </w:pPr>
                            <w:r w:rsidRPr="00B64F39">
                              <w:rPr>
                                <w:rFonts w:ascii="標楷體" w:eastAsia="標楷體" w:hAnsi="標楷體" w:hint="eastAsia"/>
                                <w:b/>
                                <w:szCs w:val="24"/>
                              </w:rPr>
                              <w:t>表4</w:t>
                            </w:r>
                            <w:r w:rsidRPr="00B64F39">
                              <w:rPr>
                                <w:rFonts w:ascii="標楷體" w:eastAsia="標楷體" w:hAnsi="標楷體"/>
                                <w:b/>
                                <w:szCs w:val="24"/>
                              </w:rPr>
                              <w:t>4</w:t>
                            </w:r>
                            <w:r>
                              <w:rPr>
                                <w:rFonts w:ascii="標楷體" w:eastAsia="標楷體" w:hAnsi="標楷體"/>
                                <w:b/>
                                <w:color w:val="FF0000"/>
                                <w:szCs w:val="24"/>
                              </w:rPr>
                              <w:t xml:space="preserve"> </w:t>
                            </w:r>
                            <w:r w:rsidRPr="00201205">
                              <w:rPr>
                                <w:rFonts w:ascii="標楷體" w:eastAsia="標楷體" w:hAnsi="標楷體" w:hint="eastAsia"/>
                                <w:b/>
                                <w:szCs w:val="24"/>
                              </w:rPr>
                              <w:t xml:space="preserve"> 勞動部職業訓練補助計畫規定涉事業單位「違反勞動法令情</w:t>
                            </w:r>
                            <w:r>
                              <w:rPr>
                                <w:rFonts w:ascii="標楷體" w:eastAsia="標楷體" w:hAnsi="標楷體" w:hint="eastAsia"/>
                                <w:b/>
                                <w:szCs w:val="24"/>
                              </w:rPr>
                              <w:t>節</w:t>
                            </w:r>
                          </w:p>
                          <w:p w14:paraId="0BFE2C13" w14:textId="77777777" w:rsidR="00B64F39" w:rsidRPr="00201205" w:rsidRDefault="00B64F39" w:rsidP="00696A2A">
                            <w:pPr>
                              <w:adjustRightInd w:val="0"/>
                              <w:snapToGrid w:val="0"/>
                              <w:ind w:leftChars="278" w:left="667" w:firstLineChars="30" w:firstLine="72"/>
                              <w:jc w:val="both"/>
                              <w:rPr>
                                <w:rFonts w:ascii="標楷體" w:eastAsia="標楷體" w:hAnsi="標楷體"/>
                                <w:szCs w:val="24"/>
                              </w:rPr>
                            </w:pPr>
                            <w:r w:rsidRPr="00201205">
                              <w:rPr>
                                <w:rFonts w:ascii="標楷體" w:eastAsia="標楷體" w:hAnsi="標楷體" w:hint="eastAsia"/>
                                <w:b/>
                                <w:szCs w:val="24"/>
                              </w:rPr>
                              <w:t>重大」適用範圍</w:t>
                            </w:r>
                          </w:p>
                        </w:tc>
                      </w:tr>
                      <w:tr w:rsidR="00B64F39" w:rsidRPr="00980BE8" w14:paraId="0EB93189" w14:textId="77777777" w:rsidTr="00201205">
                        <w:tc>
                          <w:tcPr>
                            <w:tcW w:w="2977" w:type="dxa"/>
                          </w:tcPr>
                          <w:p w14:paraId="22EC2A8B" w14:textId="77777777" w:rsidR="00B64F39" w:rsidRPr="00204092" w:rsidRDefault="00B64F39" w:rsidP="00201205">
                            <w:pPr>
                              <w:adjustRightInd w:val="0"/>
                              <w:snapToGrid w:val="0"/>
                              <w:jc w:val="center"/>
                              <w:rPr>
                                <w:rFonts w:ascii="標楷體" w:eastAsia="標楷體" w:hAnsi="標楷體"/>
                                <w:sz w:val="20"/>
                              </w:rPr>
                            </w:pPr>
                            <w:r w:rsidRPr="00204092">
                              <w:rPr>
                                <w:rFonts w:ascii="標楷體" w:eastAsia="標楷體" w:hAnsi="標楷體" w:hint="eastAsia"/>
                                <w:sz w:val="20"/>
                              </w:rPr>
                              <w:t>勞動法令範圍</w:t>
                            </w:r>
                          </w:p>
                        </w:tc>
                        <w:tc>
                          <w:tcPr>
                            <w:tcW w:w="4536" w:type="dxa"/>
                          </w:tcPr>
                          <w:p w14:paraId="5928D67C" w14:textId="77777777" w:rsidR="00B64F39" w:rsidRPr="00204092" w:rsidRDefault="00B64F39" w:rsidP="00201205">
                            <w:pPr>
                              <w:adjustRightInd w:val="0"/>
                              <w:snapToGrid w:val="0"/>
                              <w:jc w:val="center"/>
                              <w:rPr>
                                <w:rFonts w:ascii="標楷體" w:eastAsia="標楷體" w:hAnsi="標楷體"/>
                                <w:sz w:val="20"/>
                              </w:rPr>
                            </w:pPr>
                            <w:r w:rsidRPr="00204092">
                              <w:rPr>
                                <w:rFonts w:ascii="標楷體" w:eastAsia="標楷體" w:hAnsi="標楷體" w:hint="eastAsia"/>
                                <w:sz w:val="20"/>
                              </w:rPr>
                              <w:t>情節重大態樣</w:t>
                            </w:r>
                          </w:p>
                        </w:tc>
                      </w:tr>
                      <w:tr w:rsidR="00B64F39" w:rsidRPr="00980BE8" w14:paraId="1E814D26" w14:textId="77777777" w:rsidTr="00201205">
                        <w:trPr>
                          <w:trHeight w:val="126"/>
                        </w:trPr>
                        <w:tc>
                          <w:tcPr>
                            <w:tcW w:w="2977" w:type="dxa"/>
                            <w:tcBorders>
                              <w:bottom w:val="single" w:sz="4" w:space="0" w:color="auto"/>
                            </w:tcBorders>
                          </w:tcPr>
                          <w:p w14:paraId="71AE0A1E" w14:textId="77777777" w:rsidR="00B64F39" w:rsidRPr="00204092" w:rsidRDefault="00B64F39" w:rsidP="00201205">
                            <w:pPr>
                              <w:adjustRightInd w:val="0"/>
                              <w:snapToGrid w:val="0"/>
                              <w:jc w:val="both"/>
                              <w:rPr>
                                <w:rFonts w:ascii="標楷體" w:eastAsia="標楷體" w:hAnsi="標楷體"/>
                                <w:sz w:val="20"/>
                              </w:rPr>
                            </w:pPr>
                            <w:r w:rsidRPr="00204092">
                              <w:rPr>
                                <w:rFonts w:ascii="標楷體" w:eastAsia="標楷體" w:hAnsi="標楷體" w:hint="eastAsia"/>
                                <w:sz w:val="20"/>
                              </w:rPr>
                              <w:t>勞動基準法、性別平等工作法、就業服務法、職業安全衛生法、勞工退休金條例、勞工保險條例、工會法、中高齡者及高齡者就業促進法及勞動檢查法。</w:t>
                            </w:r>
                          </w:p>
                        </w:tc>
                        <w:tc>
                          <w:tcPr>
                            <w:tcW w:w="4536" w:type="dxa"/>
                            <w:tcBorders>
                              <w:bottom w:val="single" w:sz="4" w:space="0" w:color="auto"/>
                            </w:tcBorders>
                          </w:tcPr>
                          <w:p w14:paraId="3CC70753" w14:textId="77777777" w:rsidR="00B64F39" w:rsidRPr="00204092" w:rsidRDefault="00B64F39" w:rsidP="009D1142">
                            <w:pPr>
                              <w:adjustRightInd w:val="0"/>
                              <w:snapToGrid w:val="0"/>
                              <w:ind w:left="532" w:hangingChars="266" w:hanging="532"/>
                              <w:jc w:val="both"/>
                              <w:rPr>
                                <w:rFonts w:ascii="標楷體" w:eastAsia="標楷體" w:hAnsi="標楷體"/>
                                <w:sz w:val="20"/>
                              </w:rPr>
                            </w:pPr>
                            <w:r w:rsidRPr="00204092">
                              <w:rPr>
                                <w:rFonts w:ascii="標楷體" w:eastAsia="標楷體" w:hAnsi="標楷體" w:hint="eastAsia"/>
                                <w:sz w:val="20"/>
                              </w:rPr>
                              <w:t>（一）因違反相關勞動法令經處一定金額以上罰金或罰鍰：</w:t>
                            </w:r>
                          </w:p>
                          <w:p w14:paraId="3A70E0AE"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1.累計被處新臺幣100萬元以上。</w:t>
                            </w:r>
                          </w:p>
                          <w:p w14:paraId="176851C6"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2.單次被處新臺幣50萬元以上。</w:t>
                            </w:r>
                          </w:p>
                          <w:p w14:paraId="1815D540" w14:textId="77777777" w:rsidR="00B64F39" w:rsidRPr="00204092" w:rsidRDefault="00B64F39" w:rsidP="009D1142">
                            <w:pPr>
                              <w:adjustRightInd w:val="0"/>
                              <w:snapToGrid w:val="0"/>
                              <w:ind w:left="560" w:hangingChars="280" w:hanging="560"/>
                              <w:jc w:val="both"/>
                              <w:rPr>
                                <w:rFonts w:ascii="標楷體" w:eastAsia="標楷體" w:hAnsi="標楷體"/>
                                <w:sz w:val="20"/>
                              </w:rPr>
                            </w:pPr>
                            <w:r w:rsidRPr="00204092">
                              <w:rPr>
                                <w:rFonts w:ascii="標楷體" w:eastAsia="標楷體" w:hAnsi="標楷體" w:hint="eastAsia"/>
                                <w:sz w:val="20"/>
                              </w:rPr>
                              <w:t>（二）違反職業安全衛生法或勞動檢查法，受主管機關處部分或全部停工處分者。</w:t>
                            </w:r>
                          </w:p>
                          <w:p w14:paraId="18A2B432" w14:textId="77777777" w:rsidR="00B64F39" w:rsidRPr="00204092" w:rsidRDefault="00B64F39" w:rsidP="00201205">
                            <w:pPr>
                              <w:adjustRightInd w:val="0"/>
                              <w:snapToGrid w:val="0"/>
                              <w:jc w:val="both"/>
                              <w:rPr>
                                <w:rFonts w:ascii="標楷體" w:eastAsia="標楷體" w:hAnsi="標楷體"/>
                                <w:sz w:val="20"/>
                              </w:rPr>
                            </w:pPr>
                            <w:r w:rsidRPr="00204092">
                              <w:rPr>
                                <w:rFonts w:ascii="標楷體" w:eastAsia="標楷體" w:hAnsi="標楷體" w:hint="eastAsia"/>
                                <w:sz w:val="20"/>
                              </w:rPr>
                              <w:t>（三）違反職業安全衛生法，發生下列職業災害者：</w:t>
                            </w:r>
                          </w:p>
                          <w:p w14:paraId="34E7A1A1"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1.有發生死亡災害。</w:t>
                            </w:r>
                          </w:p>
                          <w:p w14:paraId="3530718F" w14:textId="77777777" w:rsidR="00B64F39" w:rsidRPr="00204092" w:rsidRDefault="00B64F39" w:rsidP="00201205">
                            <w:pPr>
                              <w:adjustRightInd w:val="0"/>
                              <w:snapToGrid w:val="0"/>
                              <w:ind w:leftChars="135" w:left="324"/>
                              <w:jc w:val="both"/>
                              <w:rPr>
                                <w:rFonts w:ascii="標楷體" w:eastAsia="標楷體" w:hAnsi="標楷體"/>
                                <w:sz w:val="20"/>
                              </w:rPr>
                            </w:pPr>
                            <w:r w:rsidRPr="00204092">
                              <w:rPr>
                                <w:rFonts w:ascii="標楷體" w:eastAsia="標楷體" w:hAnsi="標楷體" w:hint="eastAsia"/>
                                <w:sz w:val="20"/>
                              </w:rPr>
                              <w:t>2.發生災害之</w:t>
                            </w:r>
                            <w:proofErr w:type="gramStart"/>
                            <w:r w:rsidRPr="00204092">
                              <w:rPr>
                                <w:rFonts w:ascii="標楷體" w:eastAsia="標楷體" w:hAnsi="標楷體" w:hint="eastAsia"/>
                                <w:sz w:val="20"/>
                              </w:rPr>
                              <w:t>罹</w:t>
                            </w:r>
                            <w:proofErr w:type="gramEnd"/>
                            <w:r w:rsidRPr="00204092">
                              <w:rPr>
                                <w:rFonts w:ascii="標楷體" w:eastAsia="標楷體" w:hAnsi="標楷體" w:hint="eastAsia"/>
                                <w:sz w:val="20"/>
                              </w:rPr>
                              <w:t>災人數在3人以上。</w:t>
                            </w:r>
                          </w:p>
                        </w:tc>
                      </w:tr>
                      <w:tr w:rsidR="00B64F39" w:rsidRPr="00980BE8" w14:paraId="09A110A2" w14:textId="77777777" w:rsidTr="00201205">
                        <w:trPr>
                          <w:trHeight w:val="405"/>
                        </w:trPr>
                        <w:tc>
                          <w:tcPr>
                            <w:tcW w:w="7513" w:type="dxa"/>
                            <w:gridSpan w:val="2"/>
                            <w:tcBorders>
                              <w:left w:val="nil"/>
                              <w:bottom w:val="nil"/>
                              <w:right w:val="nil"/>
                            </w:tcBorders>
                          </w:tcPr>
                          <w:p w14:paraId="6179683F" w14:textId="77777777" w:rsidR="00B64F39" w:rsidRPr="00201205" w:rsidRDefault="00B64F39" w:rsidP="00201205">
                            <w:pPr>
                              <w:adjustRightInd w:val="0"/>
                              <w:snapToGrid w:val="0"/>
                              <w:ind w:left="342" w:hangingChars="190" w:hanging="342"/>
                              <w:jc w:val="both"/>
                              <w:rPr>
                                <w:rFonts w:ascii="標楷體" w:eastAsia="標楷體" w:hAnsi="標楷體"/>
                                <w:sz w:val="18"/>
                                <w:szCs w:val="18"/>
                              </w:rPr>
                            </w:pPr>
                            <w:r w:rsidRPr="00201205">
                              <w:rPr>
                                <w:rFonts w:ascii="標楷體" w:eastAsia="標楷體" w:hAnsi="標楷體" w:hint="eastAsia"/>
                                <w:sz w:val="18"/>
                                <w:szCs w:val="18"/>
                              </w:rPr>
                              <w:t>資料來源：</w:t>
                            </w:r>
                            <w:r>
                              <w:rPr>
                                <w:rFonts w:ascii="標楷體" w:eastAsia="標楷體" w:hAnsi="標楷體" w:hint="eastAsia"/>
                                <w:sz w:val="18"/>
                                <w:szCs w:val="18"/>
                              </w:rPr>
                              <w:t>整理自</w:t>
                            </w:r>
                            <w:r w:rsidRPr="00201205">
                              <w:rPr>
                                <w:rFonts w:ascii="標楷體" w:eastAsia="標楷體" w:hAnsi="標楷體" w:hint="eastAsia"/>
                                <w:sz w:val="18"/>
                                <w:szCs w:val="18"/>
                              </w:rPr>
                              <w:t>勞動部勞動力發展署網站</w:t>
                            </w:r>
                            <w:r>
                              <w:rPr>
                                <w:rFonts w:ascii="標楷體" w:eastAsia="標楷體" w:hAnsi="標楷體" w:hint="eastAsia"/>
                                <w:sz w:val="18"/>
                                <w:szCs w:val="18"/>
                              </w:rPr>
                              <w:t>資料</w:t>
                            </w:r>
                            <w:r w:rsidRPr="00201205">
                              <w:rPr>
                                <w:rFonts w:ascii="標楷體" w:eastAsia="標楷體" w:hAnsi="標楷體" w:hint="eastAsia"/>
                                <w:sz w:val="18"/>
                                <w:szCs w:val="18"/>
                              </w:rPr>
                              <w:t>。</w:t>
                            </w:r>
                          </w:p>
                        </w:tc>
                      </w:tr>
                    </w:tbl>
                    <w:p w14:paraId="0307BEDE" w14:textId="77777777" w:rsidR="00B64F39" w:rsidRPr="00211040" w:rsidRDefault="00B64F39" w:rsidP="00B64F39">
                      <w:pPr>
                        <w:adjustRightInd w:val="0"/>
                        <w:snapToGrid w:val="0"/>
                      </w:pPr>
                    </w:p>
                  </w:txbxContent>
                </v:textbox>
                <w10:wrap type="square" anchorx="margin" anchory="margin"/>
              </v:shape>
            </w:pict>
          </mc:Fallback>
        </mc:AlternateContent>
      </w:r>
      <w:r w:rsidR="00864047" w:rsidRPr="00AB0F39">
        <w:rPr>
          <w:rFonts w:ascii="標楷體" w:eastAsia="標楷體" w:hAnsi="標楷體" w:hint="eastAsia"/>
          <w:b/>
          <w:snapToGrid w:val="0"/>
          <w:spacing w:val="-2"/>
          <w:kern w:val="0"/>
          <w:szCs w:val="32"/>
        </w:rPr>
        <w:t xml:space="preserve">2.　</w:t>
      </w:r>
      <w:r w:rsidR="00B64F39" w:rsidRPr="00AB0F39">
        <w:rPr>
          <w:rFonts w:hint="eastAsia"/>
          <w:spacing w:val="-2"/>
        </w:rPr>
        <w:t xml:space="preserve"> </w:t>
      </w:r>
      <w:r w:rsidR="00B64F39" w:rsidRPr="00AB0F39">
        <w:rPr>
          <w:rFonts w:ascii="標楷體" w:eastAsia="標楷體" w:hAnsi="標楷體" w:hint="eastAsia"/>
          <w:b/>
          <w:spacing w:val="-2"/>
          <w:kern w:val="0"/>
          <w:szCs w:val="32"/>
        </w:rPr>
        <w:t>受補助（獎勵）公司或企業發生重大職業災害，或違反勞工退休金</w:t>
      </w:r>
      <w:proofErr w:type="gramStart"/>
      <w:r w:rsidR="00B64F39" w:rsidRPr="00AB0F39">
        <w:rPr>
          <w:rFonts w:ascii="標楷體" w:eastAsia="標楷體" w:hAnsi="標楷體" w:hint="eastAsia"/>
          <w:b/>
          <w:spacing w:val="-2"/>
          <w:kern w:val="0"/>
          <w:szCs w:val="32"/>
        </w:rPr>
        <w:t>條例遭裁罰</w:t>
      </w:r>
      <w:proofErr w:type="gramEnd"/>
      <w:r w:rsidR="00B64F39" w:rsidRPr="00AB0F39">
        <w:rPr>
          <w:rFonts w:ascii="標楷體" w:eastAsia="標楷體" w:hAnsi="標楷體" w:hint="eastAsia"/>
          <w:b/>
          <w:spacing w:val="-2"/>
          <w:kern w:val="0"/>
          <w:szCs w:val="32"/>
        </w:rPr>
        <w:t>百萬元以上罰鍰，</w:t>
      </w:r>
      <w:proofErr w:type="gramStart"/>
      <w:r w:rsidR="00B64F39" w:rsidRPr="00AB0F39">
        <w:rPr>
          <w:rFonts w:ascii="標楷體" w:eastAsia="標楷體" w:hAnsi="標楷體" w:hint="eastAsia"/>
          <w:b/>
          <w:spacing w:val="-2"/>
          <w:kern w:val="0"/>
          <w:szCs w:val="32"/>
        </w:rPr>
        <w:t>均未列入</w:t>
      </w:r>
      <w:proofErr w:type="gramEnd"/>
      <w:r w:rsidR="00B64F39" w:rsidRPr="00AB0F39">
        <w:rPr>
          <w:rFonts w:ascii="標楷體" w:eastAsia="標楷體" w:hAnsi="標楷體" w:hint="eastAsia"/>
          <w:b/>
          <w:spacing w:val="-2"/>
          <w:kern w:val="0"/>
          <w:szCs w:val="32"/>
        </w:rPr>
        <w:t>情節重大處理：</w:t>
      </w:r>
      <w:r w:rsidR="00B64F39" w:rsidRPr="00AB0F39">
        <w:rPr>
          <w:rFonts w:ascii="標楷體" w:eastAsia="標楷體" w:hAnsi="標楷體" w:hint="eastAsia"/>
          <w:bCs/>
          <w:spacing w:val="-2"/>
          <w:kern w:val="0"/>
          <w:szCs w:val="32"/>
        </w:rPr>
        <w:t>經本部於重大職業災害公開網查詢，111至113年度經濟部、農業部及數發部補助（獎勵）之公司或企業，於109至113年度內有發生重大職業災害【死亡（1人以上）或罹災3人以上】計38家（63件，補助金額計6億7,469萬餘元），造成41名勞工死亡；另查詢勞動部「違反勞動法令事業單位（雇主）查詢系統」，111至114年度受補助之公司或企業，其中有4家公司（補助金額計2,742萬餘元）違反勞工退休金條例，經主管機關</w:t>
      </w:r>
      <w:proofErr w:type="gramStart"/>
      <w:r w:rsidR="00B64F39" w:rsidRPr="00AB0F39">
        <w:rPr>
          <w:rFonts w:ascii="標楷體" w:eastAsia="標楷體" w:hAnsi="標楷體" w:hint="eastAsia"/>
          <w:bCs/>
          <w:spacing w:val="-2"/>
          <w:kern w:val="0"/>
          <w:szCs w:val="32"/>
        </w:rPr>
        <w:t>裁</w:t>
      </w:r>
      <w:proofErr w:type="gramEnd"/>
      <w:r w:rsidR="00B64F39" w:rsidRPr="00AB0F39">
        <w:rPr>
          <w:rFonts w:ascii="標楷體" w:eastAsia="標楷體" w:hAnsi="標楷體" w:hint="eastAsia"/>
          <w:bCs/>
          <w:spacing w:val="-2"/>
          <w:kern w:val="0"/>
          <w:szCs w:val="32"/>
        </w:rPr>
        <w:t>罰金額達100萬元以上，惟經濟部、農業部及數發部數位產業</w:t>
      </w:r>
      <w:proofErr w:type="gramStart"/>
      <w:r w:rsidR="00B64F39" w:rsidRPr="00AB0F39">
        <w:rPr>
          <w:rFonts w:ascii="標楷體" w:eastAsia="標楷體" w:hAnsi="標楷體" w:hint="eastAsia"/>
          <w:bCs/>
          <w:spacing w:val="-2"/>
          <w:kern w:val="0"/>
          <w:szCs w:val="32"/>
        </w:rPr>
        <w:t>署均未列入</w:t>
      </w:r>
      <w:proofErr w:type="gramEnd"/>
      <w:r w:rsidR="00B64F39" w:rsidRPr="00AB0F39">
        <w:rPr>
          <w:rFonts w:ascii="標楷體" w:eastAsia="標楷體" w:hAnsi="標楷體" w:hint="eastAsia"/>
          <w:bCs/>
          <w:spacing w:val="-2"/>
          <w:kern w:val="0"/>
          <w:szCs w:val="32"/>
        </w:rPr>
        <w:t>情節重大處理，核有欠當。按勞動部辦理多項補助公司或企業之計畫，為利所屬各補助機關（單位）審核，已於114年3月公布「職業訓練補助計畫規定涉事業單位『違反勞動法令情節重大』適用範圍」，明定適用之勞動法令（勞動基準法等10項法律）及情節重大範圍【違反勞動相關法令經處一定金額以上罰鍰（累計被開罰100萬元以上、單次被罰50萬元以上）等3種態樣，表</w:t>
      </w:r>
      <w:r w:rsidR="00B64F39" w:rsidRPr="00AB0F39">
        <w:rPr>
          <w:rFonts w:ascii="標楷體" w:eastAsia="標楷體" w:hAnsi="標楷體"/>
          <w:bCs/>
          <w:spacing w:val="-2"/>
          <w:kern w:val="0"/>
          <w:szCs w:val="32"/>
        </w:rPr>
        <w:t>44</w:t>
      </w:r>
      <w:r w:rsidR="00B64F39" w:rsidRPr="00AB0F39">
        <w:rPr>
          <w:rFonts w:ascii="標楷體" w:eastAsia="標楷體" w:hAnsi="標楷體" w:hint="eastAsia"/>
          <w:bCs/>
          <w:spacing w:val="-2"/>
          <w:kern w:val="0"/>
          <w:szCs w:val="32"/>
        </w:rPr>
        <w:t>】。經函請行政院督促相關機關檢討參照勞動部規定，作為受補助公司或企業違反勞動相關法令是否屬情節重大範圍之認定依據。據復：經濟部、農業部及數</w:t>
      </w:r>
      <w:proofErr w:type="gramStart"/>
      <w:r w:rsidR="00B64F39" w:rsidRPr="00AB0F39">
        <w:rPr>
          <w:rFonts w:ascii="標楷體" w:eastAsia="標楷體" w:hAnsi="標楷體" w:hint="eastAsia"/>
          <w:bCs/>
          <w:spacing w:val="-2"/>
          <w:kern w:val="0"/>
          <w:szCs w:val="32"/>
        </w:rPr>
        <w:t>發部刻正</w:t>
      </w:r>
      <w:proofErr w:type="gramEnd"/>
      <w:r w:rsidR="00B64F39" w:rsidRPr="00AB0F39">
        <w:rPr>
          <w:rFonts w:ascii="標楷體" w:eastAsia="標楷體" w:hAnsi="標楷體" w:hint="eastAsia"/>
          <w:bCs/>
          <w:spacing w:val="-2"/>
          <w:kern w:val="0"/>
          <w:szCs w:val="32"/>
        </w:rPr>
        <w:t>檢討參照勞動部規定，同時考量實際作業需求，修正及訂定違反環境保護、勞工或食品安全衛生相關法律且情節重大之適用範圍。</w:t>
      </w:r>
    </w:p>
    <w:p w14:paraId="4CC95988" w14:textId="7DECDC1A" w:rsidR="00A15E84" w:rsidRPr="008B7616" w:rsidRDefault="00864047" w:rsidP="00F55AA3">
      <w:pPr>
        <w:overflowPunct w:val="0"/>
        <w:adjustRightInd w:val="0"/>
        <w:snapToGrid w:val="0"/>
        <w:spacing w:line="430" w:lineRule="exact"/>
        <w:ind w:firstLineChars="450" w:firstLine="1099"/>
        <w:jc w:val="both"/>
        <w:rPr>
          <w:rFonts w:ascii="標楷體" w:eastAsia="標楷體" w:hAnsi="標楷體"/>
          <w:bCs/>
          <w:spacing w:val="2"/>
          <w:szCs w:val="24"/>
        </w:rPr>
      </w:pPr>
      <w:r w:rsidRPr="008B7616">
        <w:rPr>
          <w:rFonts w:ascii="標楷體" w:eastAsia="標楷體" w:hAnsi="標楷體" w:cstheme="minorBidi" w:hint="eastAsia"/>
          <w:b/>
          <w:bCs/>
          <w:spacing w:val="2"/>
          <w:szCs w:val="24"/>
        </w:rPr>
        <w:lastRenderedPageBreak/>
        <w:t>3.</w:t>
      </w:r>
      <w:r w:rsidRPr="008B7616">
        <w:rPr>
          <w:rFonts w:ascii="標楷體" w:eastAsia="標楷體" w:hAnsi="標楷體" w:cs="標楷體" w:hint="eastAsia"/>
          <w:spacing w:val="2"/>
          <w:kern w:val="52"/>
          <w:szCs w:val="32"/>
        </w:rPr>
        <w:t xml:space="preserve">　</w:t>
      </w:r>
      <w:r w:rsidRPr="008B7616">
        <w:rPr>
          <w:rFonts w:ascii="標楷體" w:eastAsia="標楷體" w:hAnsi="標楷體" w:hint="eastAsia"/>
          <w:b/>
          <w:spacing w:val="2"/>
          <w:kern w:val="0"/>
          <w:szCs w:val="24"/>
        </w:rPr>
        <w:t>法律主管機關認定受補助公司違法情節重大，經濟部卻以各該公司事後已</w:t>
      </w:r>
      <w:proofErr w:type="gramStart"/>
      <w:r w:rsidRPr="008B7616">
        <w:rPr>
          <w:rFonts w:ascii="標楷體" w:eastAsia="標楷體" w:hAnsi="標楷體" w:hint="eastAsia"/>
          <w:b/>
          <w:spacing w:val="2"/>
          <w:kern w:val="0"/>
          <w:szCs w:val="24"/>
        </w:rPr>
        <w:t>研</w:t>
      </w:r>
      <w:proofErr w:type="gramEnd"/>
      <w:r w:rsidRPr="008B7616">
        <w:rPr>
          <w:rFonts w:ascii="標楷體" w:eastAsia="標楷體" w:hAnsi="標楷體" w:hint="eastAsia"/>
          <w:b/>
          <w:spacing w:val="2"/>
          <w:kern w:val="0"/>
          <w:szCs w:val="24"/>
        </w:rPr>
        <w:t>提改善措施為由，</w:t>
      </w:r>
      <w:r w:rsidR="00EC5E3E">
        <w:rPr>
          <w:rFonts w:ascii="標楷體" w:eastAsia="標楷體" w:hAnsi="標楷體" w:hint="eastAsia"/>
          <w:b/>
          <w:spacing w:val="2"/>
          <w:kern w:val="0"/>
          <w:szCs w:val="24"/>
        </w:rPr>
        <w:t>審認非屬情節重大</w:t>
      </w:r>
      <w:r w:rsidRPr="008B7616">
        <w:rPr>
          <w:rFonts w:ascii="標楷體" w:eastAsia="標楷體" w:hAnsi="標楷體" w:hint="eastAsia"/>
          <w:b/>
          <w:spacing w:val="2"/>
          <w:kern w:val="0"/>
          <w:szCs w:val="24"/>
        </w:rPr>
        <w:t>：</w:t>
      </w:r>
      <w:r w:rsidRPr="008B7616">
        <w:rPr>
          <w:rFonts w:ascii="標楷體" w:eastAsia="標楷體" w:hAnsi="標楷體" w:hint="eastAsia"/>
          <w:spacing w:val="2"/>
          <w:kern w:val="0"/>
          <w:szCs w:val="24"/>
        </w:rPr>
        <w:t>依據經濟部租稅優惠及補助或獎勵案件有違反環境保護勞工或食品安全衛生相關法律且情節重大認定要點規定，該部產業發展署每年度函請該部相關機關於12月底前提供補助或獎勵之企業名單，彙整通知各法律主管機關於翌年1月底前，查復名單內企業最近3年有無違法情事，再由該部組成審查會議認定違法情節是否重大。經查，</w:t>
      </w:r>
      <w:proofErr w:type="gramStart"/>
      <w:r w:rsidRPr="008B7616">
        <w:rPr>
          <w:rFonts w:ascii="標楷體" w:eastAsia="標楷體" w:hAnsi="標楷體" w:hint="eastAsia"/>
          <w:spacing w:val="2"/>
          <w:kern w:val="0"/>
          <w:szCs w:val="24"/>
        </w:rPr>
        <w:t>該部於111年12月29日</w:t>
      </w:r>
      <w:proofErr w:type="gramEnd"/>
      <w:r w:rsidRPr="008B7616">
        <w:rPr>
          <w:rFonts w:ascii="標楷體" w:eastAsia="標楷體" w:hAnsi="標楷體" w:hint="eastAsia"/>
          <w:spacing w:val="2"/>
          <w:kern w:val="0"/>
          <w:szCs w:val="24"/>
        </w:rPr>
        <w:t>及112年12月28日函請各法律主管機關，協助清查111及</w:t>
      </w:r>
      <w:proofErr w:type="gramStart"/>
      <w:r w:rsidRPr="008B7616">
        <w:rPr>
          <w:rFonts w:ascii="標楷體" w:eastAsia="標楷體" w:hAnsi="標楷體" w:hint="eastAsia"/>
          <w:spacing w:val="2"/>
          <w:kern w:val="0"/>
          <w:szCs w:val="24"/>
        </w:rPr>
        <w:t>112</w:t>
      </w:r>
      <w:proofErr w:type="gramEnd"/>
      <w:r w:rsidRPr="008B7616">
        <w:rPr>
          <w:rFonts w:ascii="標楷體" w:eastAsia="標楷體" w:hAnsi="標楷體" w:hint="eastAsia"/>
          <w:spacing w:val="2"/>
          <w:kern w:val="0"/>
          <w:szCs w:val="24"/>
        </w:rPr>
        <w:t>年度補助（獎勵）公司或企業，是否為最近3年重大違法企業，經</w:t>
      </w:r>
      <w:proofErr w:type="gramStart"/>
      <w:r w:rsidRPr="008B7616">
        <w:rPr>
          <w:rFonts w:ascii="標楷體" w:eastAsia="標楷體" w:hAnsi="標楷體" w:hint="eastAsia"/>
          <w:spacing w:val="2"/>
          <w:kern w:val="0"/>
          <w:szCs w:val="24"/>
        </w:rPr>
        <w:t>環境部及勞動</w:t>
      </w:r>
      <w:proofErr w:type="gramEnd"/>
      <w:r w:rsidRPr="008B7616">
        <w:rPr>
          <w:rFonts w:ascii="標楷體" w:eastAsia="標楷體" w:hAnsi="標楷體" w:hint="eastAsia"/>
          <w:spacing w:val="2"/>
          <w:kern w:val="0"/>
          <w:szCs w:val="24"/>
        </w:rPr>
        <w:t>部提供</w:t>
      </w:r>
      <w:proofErr w:type="gramStart"/>
      <w:r w:rsidRPr="008B7616">
        <w:rPr>
          <w:rFonts w:ascii="標楷體" w:eastAsia="標楷體" w:hAnsi="標楷體" w:hint="eastAsia"/>
          <w:spacing w:val="2"/>
          <w:kern w:val="0"/>
          <w:szCs w:val="24"/>
        </w:rPr>
        <w:t>111</w:t>
      </w:r>
      <w:proofErr w:type="gramEnd"/>
      <w:r w:rsidRPr="008B7616">
        <w:rPr>
          <w:rFonts w:ascii="標楷體" w:eastAsia="標楷體" w:hAnsi="標楷體" w:hint="eastAsia"/>
          <w:spacing w:val="2"/>
          <w:kern w:val="0"/>
          <w:szCs w:val="24"/>
        </w:rPr>
        <w:t>年度受補助公司或企業違反環境保護及勞動相關法令且情節重大者，分別有1家（補助金額214萬餘元）及2家（3件，補助金額計1,070萬元），</w:t>
      </w:r>
      <w:proofErr w:type="gramStart"/>
      <w:r w:rsidRPr="008B7616">
        <w:rPr>
          <w:rFonts w:ascii="標楷體" w:eastAsia="標楷體" w:hAnsi="標楷體" w:hint="eastAsia"/>
          <w:spacing w:val="2"/>
          <w:kern w:val="0"/>
          <w:szCs w:val="24"/>
        </w:rPr>
        <w:t>112</w:t>
      </w:r>
      <w:proofErr w:type="gramEnd"/>
      <w:r w:rsidRPr="008B7616">
        <w:rPr>
          <w:rFonts w:ascii="標楷體" w:eastAsia="標楷體" w:hAnsi="標楷體" w:hint="eastAsia"/>
          <w:spacing w:val="2"/>
          <w:kern w:val="0"/>
          <w:szCs w:val="24"/>
        </w:rPr>
        <w:t>年度分別有1家（補助金額25萬元）及4家（4件，補助金額計4,924萬餘元），審查結果，其中</w:t>
      </w:r>
      <w:proofErr w:type="gramStart"/>
      <w:r w:rsidRPr="008B7616">
        <w:rPr>
          <w:rFonts w:ascii="標楷體" w:eastAsia="標楷體" w:hAnsi="標楷體" w:hint="eastAsia"/>
          <w:spacing w:val="2"/>
          <w:kern w:val="0"/>
          <w:szCs w:val="24"/>
        </w:rPr>
        <w:t>111</w:t>
      </w:r>
      <w:proofErr w:type="gramEnd"/>
      <w:r w:rsidRPr="008B7616">
        <w:rPr>
          <w:rFonts w:ascii="標楷體" w:eastAsia="標楷體" w:hAnsi="標楷體" w:hint="eastAsia"/>
          <w:spacing w:val="2"/>
          <w:kern w:val="0"/>
          <w:szCs w:val="24"/>
        </w:rPr>
        <w:t>年度3家及</w:t>
      </w:r>
      <w:proofErr w:type="gramStart"/>
      <w:r w:rsidRPr="008B7616">
        <w:rPr>
          <w:rFonts w:ascii="標楷體" w:eastAsia="標楷體" w:hAnsi="標楷體" w:hint="eastAsia"/>
          <w:spacing w:val="2"/>
          <w:kern w:val="0"/>
          <w:szCs w:val="24"/>
        </w:rPr>
        <w:t>112</w:t>
      </w:r>
      <w:proofErr w:type="gramEnd"/>
      <w:r w:rsidRPr="008B7616">
        <w:rPr>
          <w:rFonts w:ascii="標楷體" w:eastAsia="標楷體" w:hAnsi="標楷體" w:hint="eastAsia"/>
          <w:spacing w:val="2"/>
          <w:kern w:val="0"/>
          <w:szCs w:val="24"/>
        </w:rPr>
        <w:t>年度4家公司（補助金額共6,208萬餘元），</w:t>
      </w:r>
      <w:proofErr w:type="gramStart"/>
      <w:r w:rsidRPr="008B7616">
        <w:rPr>
          <w:rFonts w:ascii="標楷體" w:eastAsia="標楷體" w:hAnsi="標楷體" w:hint="eastAsia"/>
          <w:spacing w:val="2"/>
          <w:kern w:val="0"/>
          <w:szCs w:val="24"/>
        </w:rPr>
        <w:t>該部以違法</w:t>
      </w:r>
      <w:proofErr w:type="gramEnd"/>
      <w:r w:rsidRPr="008B7616">
        <w:rPr>
          <w:rFonts w:ascii="標楷體" w:eastAsia="標楷體" w:hAnsi="標楷體" w:hint="eastAsia"/>
          <w:spacing w:val="2"/>
          <w:kern w:val="0"/>
          <w:szCs w:val="24"/>
        </w:rPr>
        <w:t>公司已針對相關違失提出改善措施或已完成改善為由，認其違法行為非屬情節重大，不予收回違法期間之補助款，實際僅收回1家違法情節重大公司之補助款25萬元。</w:t>
      </w:r>
      <w:proofErr w:type="gramStart"/>
      <w:r w:rsidRPr="008B7616">
        <w:rPr>
          <w:rFonts w:ascii="標楷體" w:eastAsia="標楷體" w:hAnsi="標楷體" w:hint="eastAsia"/>
          <w:spacing w:val="2"/>
          <w:kern w:val="0"/>
          <w:szCs w:val="24"/>
        </w:rPr>
        <w:t>查上開</w:t>
      </w:r>
      <w:proofErr w:type="gramEnd"/>
      <w:r w:rsidRPr="008B7616">
        <w:rPr>
          <w:rFonts w:ascii="標楷體" w:eastAsia="標楷體" w:hAnsi="標楷體" w:hint="eastAsia"/>
          <w:spacing w:val="2"/>
          <w:kern w:val="0"/>
          <w:szCs w:val="24"/>
        </w:rPr>
        <w:t>經濟部認定已提出改善措施或已完成改善之公司，間</w:t>
      </w:r>
      <w:proofErr w:type="gramStart"/>
      <w:r w:rsidRPr="008B7616">
        <w:rPr>
          <w:rFonts w:ascii="標楷體" w:eastAsia="標楷體" w:hAnsi="標楷體" w:hint="eastAsia"/>
          <w:spacing w:val="2"/>
          <w:kern w:val="0"/>
          <w:szCs w:val="24"/>
        </w:rPr>
        <w:t>有如敬</w:t>
      </w:r>
      <w:proofErr w:type="gramEnd"/>
      <w:r w:rsidRPr="008B7616">
        <w:rPr>
          <w:rFonts w:ascii="標楷體" w:eastAsia="標楷體" w:hAnsi="標楷體" w:hint="eastAsia"/>
          <w:spacing w:val="2"/>
          <w:kern w:val="0"/>
          <w:szCs w:val="24"/>
        </w:rPr>
        <w:t>○工業股份有限公司111及</w:t>
      </w:r>
      <w:proofErr w:type="gramStart"/>
      <w:r w:rsidRPr="008B7616">
        <w:rPr>
          <w:rFonts w:ascii="標楷體" w:eastAsia="標楷體" w:hAnsi="標楷體" w:hint="eastAsia"/>
          <w:spacing w:val="2"/>
          <w:kern w:val="0"/>
          <w:szCs w:val="24"/>
        </w:rPr>
        <w:t>112</w:t>
      </w:r>
      <w:proofErr w:type="gramEnd"/>
      <w:r w:rsidRPr="008B7616">
        <w:rPr>
          <w:rFonts w:ascii="標楷體" w:eastAsia="標楷體" w:hAnsi="標楷體" w:hint="eastAsia"/>
          <w:spacing w:val="2"/>
          <w:kern w:val="0"/>
          <w:szCs w:val="24"/>
        </w:rPr>
        <w:t>年度延長工作時間超過法令規定、延長工作時間未依規定加給工資等，累計遭主管機關</w:t>
      </w:r>
      <w:proofErr w:type="gramStart"/>
      <w:r w:rsidRPr="008B7616">
        <w:rPr>
          <w:rFonts w:ascii="標楷體" w:eastAsia="標楷體" w:hAnsi="標楷體" w:hint="eastAsia"/>
          <w:spacing w:val="2"/>
          <w:kern w:val="0"/>
          <w:szCs w:val="24"/>
        </w:rPr>
        <w:t>裁</w:t>
      </w:r>
      <w:proofErr w:type="gramEnd"/>
      <w:r w:rsidRPr="008B7616">
        <w:rPr>
          <w:rFonts w:ascii="標楷體" w:eastAsia="標楷體" w:hAnsi="標楷體" w:hint="eastAsia"/>
          <w:spacing w:val="2"/>
          <w:kern w:val="0"/>
          <w:szCs w:val="24"/>
        </w:rPr>
        <w:t>罰金額分別為105萬元及160萬元，屬違法情節重大，經濟部以該公司已</w:t>
      </w:r>
      <w:proofErr w:type="gramStart"/>
      <w:r w:rsidRPr="008B7616">
        <w:rPr>
          <w:rFonts w:ascii="標楷體" w:eastAsia="標楷體" w:hAnsi="標楷體" w:hint="eastAsia"/>
          <w:spacing w:val="2"/>
          <w:kern w:val="0"/>
          <w:szCs w:val="24"/>
        </w:rPr>
        <w:t>採</w:t>
      </w:r>
      <w:proofErr w:type="gramEnd"/>
      <w:r w:rsidRPr="008B7616">
        <w:rPr>
          <w:rFonts w:ascii="標楷體" w:eastAsia="標楷體" w:hAnsi="標楷體" w:hint="eastAsia"/>
          <w:spacing w:val="2"/>
          <w:kern w:val="0"/>
          <w:szCs w:val="24"/>
        </w:rPr>
        <w:t>調整資訊系統、執行多元招募計畫及事後已給付足額加班費等改善措施為由，認其違法非屬情節重大，未</w:t>
      </w:r>
      <w:proofErr w:type="gramStart"/>
      <w:r w:rsidRPr="008B7616">
        <w:rPr>
          <w:rFonts w:ascii="標楷體" w:eastAsia="標楷體" w:hAnsi="標楷體" w:hint="eastAsia"/>
          <w:spacing w:val="2"/>
          <w:kern w:val="0"/>
          <w:szCs w:val="24"/>
        </w:rPr>
        <w:t>予收</w:t>
      </w:r>
      <w:proofErr w:type="gramEnd"/>
      <w:r w:rsidRPr="008B7616">
        <w:rPr>
          <w:rFonts w:ascii="標楷體" w:eastAsia="標楷體" w:hAnsi="標楷體" w:hint="eastAsia"/>
          <w:spacing w:val="2"/>
          <w:kern w:val="0"/>
          <w:szCs w:val="24"/>
        </w:rPr>
        <w:t>回補助款，</w:t>
      </w:r>
      <w:proofErr w:type="gramStart"/>
      <w:r w:rsidRPr="008B7616">
        <w:rPr>
          <w:rFonts w:ascii="標楷體" w:eastAsia="標楷體" w:hAnsi="標楷體" w:hint="eastAsia"/>
          <w:spacing w:val="2"/>
          <w:kern w:val="0"/>
          <w:szCs w:val="24"/>
        </w:rPr>
        <w:t>惟查</w:t>
      </w:r>
      <w:proofErr w:type="gramEnd"/>
      <w:r w:rsidR="00EC5E3E">
        <w:rPr>
          <w:rFonts w:ascii="標楷體" w:eastAsia="標楷體" w:hAnsi="標楷體" w:hint="eastAsia"/>
          <w:spacing w:val="2"/>
          <w:kern w:val="0"/>
          <w:szCs w:val="24"/>
        </w:rPr>
        <w:t>，</w:t>
      </w:r>
      <w:r w:rsidRPr="008B7616">
        <w:rPr>
          <w:rFonts w:ascii="標楷體" w:eastAsia="標楷體" w:hAnsi="標楷體" w:hint="eastAsia"/>
          <w:spacing w:val="2"/>
          <w:kern w:val="0"/>
          <w:szCs w:val="24"/>
        </w:rPr>
        <w:t>該公司</w:t>
      </w:r>
      <w:proofErr w:type="gramStart"/>
      <w:r w:rsidRPr="008B7616">
        <w:rPr>
          <w:rFonts w:ascii="標楷體" w:eastAsia="標楷體" w:hAnsi="標楷體" w:hint="eastAsia"/>
          <w:spacing w:val="2"/>
          <w:kern w:val="0"/>
          <w:szCs w:val="24"/>
        </w:rPr>
        <w:t>113</w:t>
      </w:r>
      <w:proofErr w:type="gramEnd"/>
      <w:r w:rsidRPr="008B7616">
        <w:rPr>
          <w:rFonts w:ascii="標楷體" w:eastAsia="標楷體" w:hAnsi="標楷體" w:hint="eastAsia"/>
          <w:spacing w:val="2"/>
          <w:kern w:val="0"/>
          <w:szCs w:val="24"/>
        </w:rPr>
        <w:t>年度仍因「延長工作時間超過法令規定」，遭主管機關裁罰55萬元（單次），核欠妥適。經函請行政院督促檢討改善。</w:t>
      </w:r>
      <w:r w:rsidR="000521EE" w:rsidRPr="008B7616">
        <w:rPr>
          <w:rFonts w:ascii="標楷體" w:eastAsia="標楷體" w:hAnsi="標楷體" w:hint="eastAsia"/>
          <w:color w:val="000000" w:themeColor="text1"/>
          <w:spacing w:val="2"/>
          <w:kern w:val="0"/>
          <w:szCs w:val="32"/>
        </w:rPr>
        <w:t>據復：爾後將依經濟部租稅優惠及補助或獎勵案件有違反環境保護勞工或食品安全衛生相關法律且情節重大認定要點規定，審認公司違法情節是否重大，並詳實列示會議決議依據，以提升情節重大審查會議決議之合法性。</w:t>
      </w:r>
    </w:p>
    <w:p w14:paraId="58848A82" w14:textId="25C4C3E8" w:rsidR="006852E1" w:rsidRPr="00566082" w:rsidRDefault="006852E1" w:rsidP="00323705">
      <w:pPr>
        <w:pStyle w:val="2"/>
        <w:overflowPunct w:val="0"/>
        <w:spacing w:beforeLines="20" w:before="72" w:afterLines="20" w:after="72" w:line="444" w:lineRule="exact"/>
        <w:ind w:left="0" w:firstLineChars="200" w:firstLine="561"/>
        <w:rPr>
          <w:rFonts w:hAnsi="標楷體"/>
          <w:b/>
          <w:color w:val="000000" w:themeColor="text1"/>
          <w:sz w:val="28"/>
          <w:szCs w:val="28"/>
        </w:rPr>
      </w:pPr>
      <w:r w:rsidRPr="00566082">
        <w:rPr>
          <w:rFonts w:hAnsi="標楷體" w:hint="eastAsia"/>
          <w:b/>
          <w:color w:val="000000" w:themeColor="text1"/>
          <w:sz w:val="28"/>
          <w:szCs w:val="28"/>
        </w:rPr>
        <w:t>（</w:t>
      </w:r>
      <w:r w:rsidR="008D008C">
        <w:rPr>
          <w:rFonts w:hAnsi="標楷體" w:hint="eastAsia"/>
          <w:b/>
          <w:color w:val="000000" w:themeColor="text1"/>
          <w:sz w:val="28"/>
          <w:szCs w:val="28"/>
        </w:rPr>
        <w:t>二</w:t>
      </w:r>
      <w:r>
        <w:rPr>
          <w:rFonts w:hAnsi="標楷體" w:hint="eastAsia"/>
          <w:b/>
          <w:color w:val="000000" w:themeColor="text1"/>
          <w:sz w:val="28"/>
          <w:szCs w:val="28"/>
        </w:rPr>
        <w:t>十</w:t>
      </w:r>
      <w:r w:rsidR="00781889">
        <w:rPr>
          <w:rFonts w:hAnsi="標楷體" w:hint="eastAsia"/>
          <w:b/>
          <w:color w:val="000000" w:themeColor="text1"/>
          <w:sz w:val="28"/>
          <w:szCs w:val="28"/>
        </w:rPr>
        <w:t>八</w:t>
      </w:r>
      <w:r w:rsidRPr="00566082">
        <w:rPr>
          <w:rFonts w:hAnsi="標楷體" w:hint="eastAsia"/>
          <w:b/>
          <w:color w:val="000000" w:themeColor="text1"/>
          <w:sz w:val="28"/>
          <w:szCs w:val="28"/>
        </w:rPr>
        <w:t xml:space="preserve">）　</w:t>
      </w:r>
      <w:r w:rsidR="0079301B" w:rsidRPr="0079301B">
        <w:rPr>
          <w:rFonts w:hAnsi="標楷體" w:hint="eastAsia"/>
          <w:b/>
          <w:color w:val="000000" w:themeColor="text1"/>
          <w:sz w:val="28"/>
          <w:szCs w:val="28"/>
        </w:rPr>
        <w:t>政府持續投入鉅額經費推動重大公共建設計畫，完備各項基礎設施並帶動經濟發展，惟相關公共建設之效益評估、計畫擬編與修正、執行管控與預警機制等作業，仍有待妥</w:t>
      </w:r>
      <w:proofErr w:type="gramStart"/>
      <w:r w:rsidR="0079301B" w:rsidRPr="0079301B">
        <w:rPr>
          <w:rFonts w:hAnsi="標楷體" w:hint="eastAsia"/>
          <w:b/>
          <w:color w:val="000000" w:themeColor="text1"/>
          <w:sz w:val="28"/>
          <w:szCs w:val="28"/>
        </w:rPr>
        <w:t>謀善策或</w:t>
      </w:r>
      <w:proofErr w:type="gramEnd"/>
      <w:r w:rsidR="0079301B" w:rsidRPr="0079301B">
        <w:rPr>
          <w:rFonts w:hAnsi="標楷體" w:hint="eastAsia"/>
          <w:b/>
          <w:color w:val="000000" w:themeColor="text1"/>
          <w:sz w:val="28"/>
          <w:szCs w:val="28"/>
        </w:rPr>
        <w:t>檢討改善，以確保計畫穩健推動及提升執行效能。</w:t>
      </w:r>
    </w:p>
    <w:p w14:paraId="67C7273C" w14:textId="191FE112" w:rsidR="00873A6D" w:rsidRDefault="00A16A25" w:rsidP="0026682E">
      <w:pPr>
        <w:pStyle w:val="-"/>
        <w:spacing w:line="434" w:lineRule="exact"/>
        <w:ind w:firstLine="488"/>
        <w:jc w:val="distribute"/>
        <w:rPr>
          <w:color w:val="000000" w:themeColor="text1"/>
          <w:spacing w:val="2"/>
        </w:rPr>
      </w:pPr>
      <w:r w:rsidRPr="00636ADE">
        <w:rPr>
          <w:rFonts w:hint="eastAsia"/>
          <w:color w:val="000000" w:themeColor="text1"/>
          <w:spacing w:val="2"/>
        </w:rPr>
        <w:t>政府為確保國家經濟持續發展，完備各項基礎設施，每年均編列鉅額預算，持續推動重大公共建設計畫，有助增進國家整體發展及人民生活品質。</w:t>
      </w:r>
      <w:proofErr w:type="gramStart"/>
      <w:r w:rsidRPr="00636ADE">
        <w:rPr>
          <w:rFonts w:hint="eastAsia"/>
          <w:color w:val="000000" w:themeColor="text1"/>
          <w:spacing w:val="2"/>
        </w:rPr>
        <w:t>11</w:t>
      </w:r>
      <w:r w:rsidRPr="00636ADE">
        <w:rPr>
          <w:color w:val="000000" w:themeColor="text1"/>
          <w:spacing w:val="2"/>
        </w:rPr>
        <w:t>3</w:t>
      </w:r>
      <w:proofErr w:type="gramEnd"/>
      <w:r w:rsidRPr="00636ADE">
        <w:rPr>
          <w:rFonts w:hint="eastAsia"/>
          <w:color w:val="000000" w:themeColor="text1"/>
          <w:spacing w:val="2"/>
        </w:rPr>
        <w:t>年度行政院公共工程委員會（下稱工程會）列管之行政院所屬各機關重大公共建設計畫合計224項，年計畫經費4,74</w:t>
      </w:r>
      <w:r w:rsidRPr="00636ADE">
        <w:rPr>
          <w:color w:val="000000" w:themeColor="text1"/>
          <w:spacing w:val="2"/>
        </w:rPr>
        <w:t>0</w:t>
      </w:r>
      <w:r w:rsidRPr="00636ADE">
        <w:rPr>
          <w:rFonts w:hint="eastAsia"/>
          <w:color w:val="000000" w:themeColor="text1"/>
          <w:spacing w:val="2"/>
        </w:rPr>
        <w:t>億7</w:t>
      </w:r>
      <w:r w:rsidRPr="00636ADE">
        <w:rPr>
          <w:color w:val="000000" w:themeColor="text1"/>
          <w:spacing w:val="2"/>
        </w:rPr>
        <w:t>,</w:t>
      </w:r>
      <w:r w:rsidRPr="00636ADE">
        <w:rPr>
          <w:rFonts w:hint="eastAsia"/>
          <w:color w:val="000000" w:themeColor="text1"/>
          <w:spacing w:val="2"/>
        </w:rPr>
        <w:t>964萬餘元，年累計執行數4,4</w:t>
      </w:r>
      <w:r w:rsidRPr="00636ADE">
        <w:rPr>
          <w:color w:val="000000" w:themeColor="text1"/>
          <w:spacing w:val="2"/>
        </w:rPr>
        <w:t>43</w:t>
      </w:r>
      <w:r w:rsidRPr="00636ADE">
        <w:rPr>
          <w:rFonts w:hint="eastAsia"/>
          <w:color w:val="000000" w:themeColor="text1"/>
          <w:spacing w:val="2"/>
        </w:rPr>
        <w:t>億3</w:t>
      </w:r>
      <w:r w:rsidRPr="00636ADE">
        <w:rPr>
          <w:color w:val="000000" w:themeColor="text1"/>
          <w:spacing w:val="2"/>
        </w:rPr>
        <w:t>,722</w:t>
      </w:r>
      <w:r w:rsidRPr="00636ADE">
        <w:rPr>
          <w:rFonts w:hint="eastAsia"/>
          <w:color w:val="000000" w:themeColor="text1"/>
          <w:spacing w:val="2"/>
        </w:rPr>
        <w:t>萬餘元，執行率93.</w:t>
      </w:r>
      <w:r w:rsidRPr="00636ADE">
        <w:rPr>
          <w:color w:val="000000" w:themeColor="text1"/>
          <w:spacing w:val="2"/>
        </w:rPr>
        <w:t>73</w:t>
      </w:r>
      <w:r w:rsidRPr="00636ADE">
        <w:rPr>
          <w:rFonts w:hint="eastAsia"/>
          <w:color w:val="000000" w:themeColor="text1"/>
          <w:spacing w:val="2"/>
        </w:rPr>
        <w:t>％；近</w:t>
      </w:r>
      <w:proofErr w:type="gramStart"/>
      <w:r w:rsidRPr="00636ADE">
        <w:rPr>
          <w:rFonts w:hint="eastAsia"/>
          <w:color w:val="000000" w:themeColor="text1"/>
          <w:spacing w:val="2"/>
        </w:rPr>
        <w:t>5</w:t>
      </w:r>
      <w:proofErr w:type="gramEnd"/>
      <w:r w:rsidRPr="00636ADE">
        <w:rPr>
          <w:rFonts w:hint="eastAsia"/>
          <w:color w:val="000000" w:themeColor="text1"/>
          <w:spacing w:val="2"/>
        </w:rPr>
        <w:t>年度（109至113年度）預算</w:t>
      </w:r>
      <w:proofErr w:type="gramStart"/>
      <w:r w:rsidRPr="00636ADE">
        <w:rPr>
          <w:rFonts w:hint="eastAsia"/>
          <w:color w:val="000000" w:themeColor="text1"/>
          <w:spacing w:val="2"/>
        </w:rPr>
        <w:t>執行率均逾</w:t>
      </w:r>
      <w:proofErr w:type="gramEnd"/>
      <w:r w:rsidRPr="00636ADE">
        <w:rPr>
          <w:rFonts w:hint="eastAsia"/>
          <w:color w:val="000000" w:themeColor="text1"/>
          <w:spacing w:val="2"/>
        </w:rPr>
        <w:t>90％，惟</w:t>
      </w:r>
      <w:proofErr w:type="gramStart"/>
      <w:r w:rsidRPr="00636ADE">
        <w:rPr>
          <w:rFonts w:hint="eastAsia"/>
          <w:color w:val="000000" w:themeColor="text1"/>
          <w:spacing w:val="2"/>
        </w:rPr>
        <w:t>1</w:t>
      </w:r>
      <w:r w:rsidRPr="00636ADE">
        <w:rPr>
          <w:color w:val="000000" w:themeColor="text1"/>
          <w:spacing w:val="2"/>
        </w:rPr>
        <w:t>13</w:t>
      </w:r>
      <w:proofErr w:type="gramEnd"/>
      <w:r w:rsidRPr="00636ADE">
        <w:rPr>
          <w:rFonts w:hint="eastAsia"/>
          <w:color w:val="000000" w:themeColor="text1"/>
          <w:spacing w:val="2"/>
        </w:rPr>
        <w:t>年度執行率略為下降（圖1</w:t>
      </w:r>
      <w:r w:rsidR="00CD224D" w:rsidRPr="00636ADE">
        <w:rPr>
          <w:rFonts w:hint="eastAsia"/>
          <w:color w:val="000000" w:themeColor="text1"/>
          <w:spacing w:val="2"/>
        </w:rPr>
        <w:t>7</w:t>
      </w:r>
      <w:r w:rsidRPr="00636ADE">
        <w:rPr>
          <w:rFonts w:hint="eastAsia"/>
          <w:color w:val="000000" w:themeColor="text1"/>
          <w:spacing w:val="2"/>
        </w:rPr>
        <w:t>）。經查行政院所屬各機關重大公共建設計畫執行情形，核有：1.財政收支劃分法修正案及</w:t>
      </w:r>
      <w:proofErr w:type="gramStart"/>
      <w:r w:rsidRPr="00636ADE">
        <w:rPr>
          <w:rFonts w:hint="eastAsia"/>
          <w:color w:val="000000" w:themeColor="text1"/>
          <w:spacing w:val="2"/>
        </w:rPr>
        <w:t>114</w:t>
      </w:r>
      <w:proofErr w:type="gramEnd"/>
      <w:r w:rsidRPr="00636ADE">
        <w:rPr>
          <w:rFonts w:hint="eastAsia"/>
          <w:color w:val="000000" w:themeColor="text1"/>
          <w:spacing w:val="2"/>
        </w:rPr>
        <w:t>年度中央政府總預算案經立法院三讀通過及總統公布後，政府推動公共建設計畫之財務架構與執行方式將受顯著影響，</w:t>
      </w:r>
      <w:r w:rsidR="0026682E" w:rsidRPr="00636ADE">
        <w:rPr>
          <w:rFonts w:hint="eastAsia"/>
          <w:color w:val="000000" w:themeColor="text1"/>
          <w:spacing w:val="2"/>
        </w:rPr>
        <w:t>亟待</w:t>
      </w:r>
    </w:p>
    <w:p w14:paraId="35A7E8E1" w14:textId="71D26AFB" w:rsidR="00853497" w:rsidRPr="00636ADE" w:rsidRDefault="008B7616" w:rsidP="00873A6D">
      <w:pPr>
        <w:pStyle w:val="-"/>
        <w:spacing w:line="436" w:lineRule="exact"/>
        <w:ind w:firstLineChars="0" w:firstLine="0"/>
        <w:jc w:val="both"/>
        <w:rPr>
          <w:color w:val="000000" w:themeColor="text1"/>
          <w:spacing w:val="2"/>
          <w:szCs w:val="32"/>
        </w:rPr>
      </w:pPr>
      <w:r w:rsidRPr="00636ADE">
        <w:rPr>
          <w:rFonts w:hint="eastAsia"/>
          <w:noProof/>
          <w:color w:val="000000" w:themeColor="text1"/>
          <w:spacing w:val="2"/>
          <w:kern w:val="2"/>
        </w:rPr>
        <w:lastRenderedPageBreak/>
        <mc:AlternateContent>
          <mc:Choice Requires="wps">
            <w:drawing>
              <wp:anchor distT="45720" distB="45720" distL="114300" distR="114300" simplePos="0" relativeHeight="251694080" behindDoc="0" locked="0" layoutInCell="1" allowOverlap="1" wp14:anchorId="17686170" wp14:editId="076E578F">
                <wp:simplePos x="0" y="0"/>
                <wp:positionH relativeFrom="column">
                  <wp:posOffset>2349500</wp:posOffset>
                </wp:positionH>
                <wp:positionV relativeFrom="paragraph">
                  <wp:posOffset>214448</wp:posOffset>
                </wp:positionV>
                <wp:extent cx="3933825" cy="2552700"/>
                <wp:effectExtent l="0" t="0" r="9525" b="0"/>
                <wp:wrapSquare wrapText="bothSides"/>
                <wp:docPr id="2008327082" name="文字方塊 2008327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3825" cy="25527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F476FA" w14:textId="77777777" w:rsidR="008B7616" w:rsidRDefault="008B7616" w:rsidP="008B7616">
                            <w:pPr>
                              <w:ind w:left="721" w:hangingChars="300" w:hanging="721"/>
                              <w:jc w:val="center"/>
                              <w:rPr>
                                <w:rFonts w:ascii="標楷體" w:eastAsia="標楷體" w:hAnsi="標楷體"/>
                                <w:b/>
                                <w:snapToGrid w:val="0"/>
                                <w:color w:val="000000"/>
                              </w:rPr>
                            </w:pPr>
                            <w:r w:rsidRPr="003C3F9E">
                              <w:rPr>
                                <w:rFonts w:ascii="標楷體" w:eastAsia="標楷體" w:hAnsi="標楷體" w:hint="eastAsia"/>
                                <w:b/>
                                <w:snapToGrid w:val="0"/>
                                <w:color w:val="000000"/>
                              </w:rPr>
                              <w:t>圖</w:t>
                            </w:r>
                            <w:r>
                              <w:rPr>
                                <w:rFonts w:ascii="標楷體" w:eastAsia="標楷體" w:hAnsi="標楷體" w:hint="eastAsia"/>
                                <w:b/>
                                <w:snapToGrid w:val="0"/>
                                <w:color w:val="000000"/>
                              </w:rPr>
                              <w:t>1</w:t>
                            </w:r>
                            <w:r>
                              <w:rPr>
                                <w:rFonts w:ascii="標楷體" w:eastAsia="標楷體" w:hAnsi="標楷體"/>
                                <w:b/>
                                <w:snapToGrid w:val="0"/>
                                <w:color w:val="000000"/>
                              </w:rPr>
                              <w:t>7</w:t>
                            </w:r>
                            <w:r w:rsidRPr="003C3F9E">
                              <w:rPr>
                                <w:rFonts w:ascii="標楷體" w:eastAsia="標楷體" w:hAnsi="標楷體" w:hint="eastAsia"/>
                                <w:b/>
                                <w:snapToGrid w:val="0"/>
                                <w:color w:val="000000"/>
                              </w:rPr>
                              <w:t xml:space="preserve">　重大公共建設計畫預算執行情形</w:t>
                            </w:r>
                          </w:p>
                          <w:p w14:paraId="0885369B" w14:textId="70BC4E4E" w:rsidR="008B7616" w:rsidRPr="003C3F9E" w:rsidRDefault="008C5659" w:rsidP="008B7616">
                            <w:pPr>
                              <w:ind w:left="720" w:hangingChars="300" w:hanging="720"/>
                              <w:jc w:val="center"/>
                              <w:rPr>
                                <w:rFonts w:ascii="標楷體" w:eastAsia="標楷體" w:hAnsi="標楷體"/>
                                <w:b/>
                                <w:snapToGrid w:val="0"/>
                                <w:color w:val="000000"/>
                              </w:rPr>
                            </w:pPr>
                            <w:r>
                              <w:rPr>
                                <w:noProof/>
                              </w:rPr>
                              <w:drawing>
                                <wp:inline distT="0" distB="0" distL="0" distR="0" wp14:anchorId="0314EF64" wp14:editId="553075EA">
                                  <wp:extent cx="3484245" cy="2011680"/>
                                  <wp:effectExtent l="0" t="0" r="1905" b="7620"/>
                                  <wp:docPr id="2008327057" name="圖表 2008327057">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98C8D5B" w14:textId="77777777" w:rsidR="008B7616" w:rsidRPr="00BE3128" w:rsidRDefault="008B7616" w:rsidP="008B7616">
                            <w:pPr>
                              <w:spacing w:line="200" w:lineRule="exact"/>
                              <w:ind w:left="868" w:hangingChars="482" w:hanging="868"/>
                              <w:jc w:val="center"/>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686170" id="文字方塊 2008327082" o:spid="_x0000_s1151" type="#_x0000_t202" style="position:absolute;left:0;text-align:left;margin-left:185pt;margin-top:16.9pt;width:309.75pt;height:201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" stroked="f">
                <v:textbox>
                  <w:txbxContent>
                    <w:p w14:paraId="47F476FA" w14:textId="77777777" w:rsidR="008B7616" w:rsidRDefault="008B7616" w:rsidP="008B7616">
                      <w:pPr>
                        <w:ind w:left="721" w:hangingChars="300" w:hanging="721"/>
                        <w:jc w:val="center"/>
                        <w:rPr>
                          <w:rFonts w:ascii="標楷體" w:eastAsia="標楷體" w:hAnsi="標楷體"/>
                          <w:b/>
                          <w:snapToGrid w:val="0"/>
                          <w:color w:val="000000"/>
                        </w:rPr>
                      </w:pPr>
                      <w:r w:rsidRPr="003C3F9E">
                        <w:rPr>
                          <w:rFonts w:ascii="標楷體" w:eastAsia="標楷體" w:hAnsi="標楷體" w:hint="eastAsia"/>
                          <w:b/>
                          <w:snapToGrid w:val="0"/>
                          <w:color w:val="000000"/>
                        </w:rPr>
                        <w:t>圖</w:t>
                      </w:r>
                      <w:r>
                        <w:rPr>
                          <w:rFonts w:ascii="標楷體" w:eastAsia="標楷體" w:hAnsi="標楷體" w:hint="eastAsia"/>
                          <w:b/>
                          <w:snapToGrid w:val="0"/>
                          <w:color w:val="000000"/>
                        </w:rPr>
                        <w:t>1</w:t>
                      </w:r>
                      <w:r>
                        <w:rPr>
                          <w:rFonts w:ascii="標楷體" w:eastAsia="標楷體" w:hAnsi="標楷體"/>
                          <w:b/>
                          <w:snapToGrid w:val="0"/>
                          <w:color w:val="000000"/>
                        </w:rPr>
                        <w:t>7</w:t>
                      </w:r>
                      <w:r w:rsidRPr="003C3F9E">
                        <w:rPr>
                          <w:rFonts w:ascii="標楷體" w:eastAsia="標楷體" w:hAnsi="標楷體" w:hint="eastAsia"/>
                          <w:b/>
                          <w:snapToGrid w:val="0"/>
                          <w:color w:val="000000"/>
                        </w:rPr>
                        <w:t xml:space="preserve">　重大公共建設計畫預算執行情形</w:t>
                      </w:r>
                    </w:p>
                    <w:p w14:paraId="0885369B" w14:textId="70BC4E4E" w:rsidR="008B7616" w:rsidRPr="003C3F9E" w:rsidRDefault="008C5659" w:rsidP="008B7616">
                      <w:pPr>
                        <w:ind w:left="720" w:hangingChars="300" w:hanging="720"/>
                        <w:jc w:val="center"/>
                        <w:rPr>
                          <w:rFonts w:ascii="標楷體" w:eastAsia="標楷體" w:hAnsi="標楷體"/>
                          <w:b/>
                          <w:snapToGrid w:val="0"/>
                          <w:color w:val="000000"/>
                        </w:rPr>
                      </w:pPr>
                      <w:r>
                        <w:rPr>
                          <w:noProof/>
                        </w:rPr>
                        <w:drawing>
                          <wp:inline distT="0" distB="0" distL="0" distR="0" wp14:anchorId="0314EF64" wp14:editId="553075EA">
                            <wp:extent cx="3484245" cy="2011680"/>
                            <wp:effectExtent l="0" t="0" r="1905" b="7620"/>
                            <wp:docPr id="2008327057" name="圖表 2008327057">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98C8D5B" w14:textId="77777777" w:rsidR="008B7616" w:rsidRPr="00BE3128" w:rsidRDefault="008B7616" w:rsidP="008B7616">
                      <w:pPr>
                        <w:spacing w:line="200" w:lineRule="exact"/>
                        <w:ind w:left="868" w:hangingChars="482" w:hanging="868"/>
                        <w:jc w:val="center"/>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v:textbox>
                <w10:wrap type="square"/>
              </v:shape>
            </w:pict>
          </mc:Fallback>
        </mc:AlternateContent>
      </w:r>
      <w:r w:rsidR="00A16A25" w:rsidRPr="00636ADE">
        <w:rPr>
          <w:rFonts w:hint="eastAsia"/>
          <w:color w:val="000000" w:themeColor="text1"/>
          <w:spacing w:val="2"/>
        </w:rPr>
        <w:t>妥</w:t>
      </w:r>
      <w:proofErr w:type="gramStart"/>
      <w:r w:rsidR="00A16A25" w:rsidRPr="00636ADE">
        <w:rPr>
          <w:rFonts w:hint="eastAsia"/>
          <w:color w:val="000000" w:themeColor="text1"/>
          <w:spacing w:val="2"/>
        </w:rPr>
        <w:t>謀善策</w:t>
      </w:r>
      <w:proofErr w:type="gramEnd"/>
      <w:r w:rsidR="00A16A25" w:rsidRPr="00636ADE">
        <w:rPr>
          <w:rFonts w:hint="eastAsia"/>
          <w:color w:val="000000" w:themeColor="text1"/>
          <w:spacing w:val="2"/>
        </w:rPr>
        <w:t>因應，以確保公共建設計畫穩健推動；</w:t>
      </w:r>
      <w:r w:rsidR="00A16A25" w:rsidRPr="00636ADE">
        <w:rPr>
          <w:color w:val="000000" w:themeColor="text1"/>
          <w:spacing w:val="2"/>
        </w:rPr>
        <w:t>2</w:t>
      </w:r>
      <w:r w:rsidR="00A16A25" w:rsidRPr="00636ADE">
        <w:rPr>
          <w:rFonts w:hint="eastAsia"/>
          <w:color w:val="000000" w:themeColor="text1"/>
          <w:spacing w:val="2"/>
        </w:rPr>
        <w:t>.公共建設計畫審議、預警及退場機制有助計畫執行績效，惟對於公共建設預警重點計畫之篩選作業及列入預警計畫之協助</w:t>
      </w:r>
      <w:proofErr w:type="gramStart"/>
      <w:r w:rsidR="00A16A25" w:rsidRPr="00636ADE">
        <w:rPr>
          <w:rFonts w:hint="eastAsia"/>
          <w:color w:val="000000" w:themeColor="text1"/>
          <w:spacing w:val="2"/>
        </w:rPr>
        <w:t>處理均有強化</w:t>
      </w:r>
      <w:proofErr w:type="gramEnd"/>
      <w:r w:rsidR="00A16A25" w:rsidRPr="00636ADE">
        <w:rPr>
          <w:rFonts w:hint="eastAsia"/>
          <w:color w:val="000000" w:themeColor="text1"/>
          <w:spacing w:val="2"/>
        </w:rPr>
        <w:t>空間，亟待督促落實依上開機制所訂多元協助處理措施辦理，並持續檢討各項重大公共建設計畫執行風險，及時納入預警重點計畫列管範圍，以發揮預警功能，確保計畫執行順遂；3.部分實質推動工程建設之中長程計畫，未納入工程會列管之重大公共建設計畫項目，亟待督促該會</w:t>
      </w:r>
      <w:proofErr w:type="gramStart"/>
      <w:r w:rsidR="00A16A25" w:rsidRPr="00636ADE">
        <w:rPr>
          <w:rFonts w:hint="eastAsia"/>
          <w:color w:val="000000" w:themeColor="text1"/>
          <w:spacing w:val="2"/>
        </w:rPr>
        <w:t>研</w:t>
      </w:r>
      <w:proofErr w:type="gramEnd"/>
      <w:r w:rsidR="00A16A25" w:rsidRPr="00636ADE">
        <w:rPr>
          <w:rFonts w:hint="eastAsia"/>
          <w:color w:val="000000" w:themeColor="text1"/>
          <w:spacing w:val="2"/>
        </w:rPr>
        <w:t>議修正相關制度規章，規範各機關確實通盤檢視轄管社會發展等各類計畫實質內容，如具推動實質工程建設性質者，及時申請納入工程會列管重大公共建設畫範圍，</w:t>
      </w:r>
      <w:proofErr w:type="gramStart"/>
      <w:r w:rsidR="00A16A25" w:rsidRPr="00636ADE">
        <w:rPr>
          <w:rFonts w:hint="eastAsia"/>
          <w:color w:val="000000" w:themeColor="text1"/>
          <w:spacing w:val="2"/>
        </w:rPr>
        <w:t>以利控管</w:t>
      </w:r>
      <w:proofErr w:type="gramEnd"/>
      <w:r w:rsidR="00A16A25" w:rsidRPr="00636ADE">
        <w:rPr>
          <w:rFonts w:hint="eastAsia"/>
          <w:color w:val="000000" w:themeColor="text1"/>
          <w:spacing w:val="2"/>
        </w:rPr>
        <w:t>，並提升計畫執行績效；4.部分計畫涉及總經費增加、主要工作項目或</w:t>
      </w:r>
      <w:proofErr w:type="gramStart"/>
      <w:r w:rsidR="00A16A25" w:rsidRPr="00636ADE">
        <w:rPr>
          <w:rFonts w:hint="eastAsia"/>
          <w:color w:val="000000" w:themeColor="text1"/>
          <w:spacing w:val="2"/>
        </w:rPr>
        <w:t>計畫總期程</w:t>
      </w:r>
      <w:proofErr w:type="gramEnd"/>
      <w:r w:rsidR="00A16A25" w:rsidRPr="00636ADE">
        <w:rPr>
          <w:rFonts w:hint="eastAsia"/>
          <w:color w:val="000000" w:themeColor="text1"/>
          <w:spacing w:val="2"/>
        </w:rPr>
        <w:t>變更，惟主辦機關未落實計畫修正後始得續行辦理之規定，或未及時依規定辦理計畫修正，致無法正確反映計畫實際執行狀況及影響計畫後續執行，亟待督促及時依規定辦理計畫修正事宜，以利計畫執行管控；5.公共建設計畫經濟效益評估及財務效益評估手冊出版逾16年，部分內容已不合時宜，亟待督促檢討修正手冊內容，以供各機關遵循參考，強化計畫經濟及財務效益評估作業等情事，經函請行政院督促</w:t>
      </w:r>
      <w:proofErr w:type="gramStart"/>
      <w:r w:rsidR="00A16A25" w:rsidRPr="00636ADE">
        <w:rPr>
          <w:rFonts w:hint="eastAsia"/>
          <w:color w:val="000000" w:themeColor="text1"/>
          <w:spacing w:val="2"/>
        </w:rPr>
        <w:t>研</w:t>
      </w:r>
      <w:proofErr w:type="gramEnd"/>
      <w:r w:rsidR="00A16A25" w:rsidRPr="00636ADE">
        <w:rPr>
          <w:rFonts w:hint="eastAsia"/>
          <w:color w:val="000000" w:themeColor="text1"/>
          <w:spacing w:val="2"/>
        </w:rPr>
        <w:t>謀改善。</w:t>
      </w:r>
      <w:r w:rsidR="00D01414" w:rsidRPr="00636ADE">
        <w:rPr>
          <w:rFonts w:hint="eastAsia"/>
          <w:color w:val="000000" w:themeColor="text1"/>
          <w:spacing w:val="2"/>
          <w:szCs w:val="32"/>
        </w:rPr>
        <w:t>據復：1.工程會已邀集相關部會，全面盤點受影響之公共建設計畫，並進行跨部會協調及整合作業，包含：檢討</w:t>
      </w:r>
      <w:proofErr w:type="gramStart"/>
      <w:r w:rsidR="00D01414" w:rsidRPr="00636ADE">
        <w:rPr>
          <w:rFonts w:hint="eastAsia"/>
          <w:color w:val="000000" w:themeColor="text1"/>
          <w:spacing w:val="2"/>
          <w:szCs w:val="32"/>
        </w:rPr>
        <w:t>是否需展延</w:t>
      </w:r>
      <w:proofErr w:type="gramEnd"/>
      <w:r w:rsidR="00D01414" w:rsidRPr="00636ADE">
        <w:rPr>
          <w:rFonts w:hint="eastAsia"/>
          <w:color w:val="000000" w:themeColor="text1"/>
          <w:spacing w:val="2"/>
          <w:szCs w:val="32"/>
        </w:rPr>
        <w:t>工期或追加預算，及滾動檢討各項計畫優先順序；針對較具急迫性及對均衡區域發展有重大效益之個案建設，以專案方式協調相關部會及地方政府，持續追蹤進度及解決困難，確保計畫順利推動；導入外部資源，透過創新促參推進機制，引導民間資金投入國家建設，以減輕政府財政負擔；2.國家發展委員會將持續針對高風險及中風險計畫優先辦理多元查證，落實多元協助處理措施機制，並將積極協助各部會深入檢討各項重大公共建設計畫執行情形之風險程度，及時納入預警重點計畫列管範圍，以發揮預警機制功能，提升公共建設計畫執行績效；</w:t>
      </w:r>
      <w:r w:rsidR="00D01414" w:rsidRPr="00636ADE">
        <w:rPr>
          <w:color w:val="000000" w:themeColor="text1"/>
          <w:spacing w:val="2"/>
          <w:szCs w:val="32"/>
        </w:rPr>
        <w:t>3.</w:t>
      </w:r>
      <w:r w:rsidR="00D01414" w:rsidRPr="00636ADE">
        <w:rPr>
          <w:rFonts w:hint="eastAsia"/>
          <w:color w:val="000000" w:themeColor="text1"/>
          <w:spacing w:val="2"/>
          <w:szCs w:val="32"/>
        </w:rPr>
        <w:t>工程會將持續督促各機關檢視轄管社會發展等各類計畫實質內容，如有推動實質工程建設性質者，可主動申請納入列管；並</w:t>
      </w:r>
      <w:proofErr w:type="gramStart"/>
      <w:r w:rsidR="00D01414" w:rsidRPr="00636ADE">
        <w:rPr>
          <w:rFonts w:hint="eastAsia"/>
          <w:color w:val="000000" w:themeColor="text1"/>
          <w:spacing w:val="2"/>
          <w:szCs w:val="32"/>
        </w:rPr>
        <w:t>研</w:t>
      </w:r>
      <w:proofErr w:type="gramEnd"/>
      <w:r w:rsidR="00D01414" w:rsidRPr="00636ADE">
        <w:rPr>
          <w:rFonts w:hint="eastAsia"/>
          <w:color w:val="000000" w:themeColor="text1"/>
          <w:spacing w:val="2"/>
          <w:szCs w:val="32"/>
        </w:rPr>
        <w:t>議強化各部會列管計畫之檢核作業，透過既有機制加強協處，以提升計畫執行績效；</w:t>
      </w:r>
      <w:r w:rsidR="00D01414" w:rsidRPr="00636ADE">
        <w:rPr>
          <w:color w:val="000000" w:themeColor="text1"/>
          <w:spacing w:val="2"/>
          <w:szCs w:val="32"/>
        </w:rPr>
        <w:t>4.</w:t>
      </w:r>
      <w:r w:rsidR="00D01414" w:rsidRPr="00636ADE">
        <w:rPr>
          <w:rFonts w:hint="eastAsia"/>
          <w:color w:val="000000" w:themeColor="text1"/>
          <w:spacing w:val="2"/>
          <w:szCs w:val="32"/>
        </w:rPr>
        <w:t>國家發展委員會將藉由公共建設年度預算先期作業審議機制，嚴審各計畫執行進度，</w:t>
      </w:r>
      <w:proofErr w:type="gramStart"/>
      <w:r w:rsidR="00D01414" w:rsidRPr="00636ADE">
        <w:rPr>
          <w:rFonts w:hint="eastAsia"/>
          <w:color w:val="000000" w:themeColor="text1"/>
          <w:spacing w:val="2"/>
          <w:szCs w:val="32"/>
        </w:rPr>
        <w:t>覈</w:t>
      </w:r>
      <w:proofErr w:type="gramEnd"/>
      <w:r w:rsidR="00D01414" w:rsidRPr="00636ADE">
        <w:rPr>
          <w:rFonts w:hint="eastAsia"/>
          <w:color w:val="000000" w:themeColor="text1"/>
          <w:spacing w:val="2"/>
          <w:szCs w:val="32"/>
        </w:rPr>
        <w:t>實編列年度預算，並針對執行進度落後之計畫，持續督促主管機關儘速檢討及評估是否進行計畫修正，亦將透過定期管考機制掌握計畫執行情形，以查證及評核等方式主動發現問題，以利計畫</w:t>
      </w:r>
      <w:r w:rsidR="00D01414" w:rsidRPr="00636ADE">
        <w:rPr>
          <w:rFonts w:hint="eastAsia"/>
          <w:color w:val="000000" w:themeColor="text1"/>
          <w:spacing w:val="2"/>
          <w:szCs w:val="32"/>
        </w:rPr>
        <w:lastRenderedPageBreak/>
        <w:t>之執行管控；5.國家發展委員會已完成公共建設計畫經濟效益評估及財務效益評估手冊修正作業，於114年6月30日公告上網供各機關參考運用。</w:t>
      </w:r>
    </w:p>
    <w:p w14:paraId="6A299C74" w14:textId="51B5B05E" w:rsidR="006B77A1" w:rsidRDefault="00F54540" w:rsidP="00D14F5E">
      <w:pPr>
        <w:widowControl/>
        <w:overflowPunct w:val="0"/>
        <w:spacing w:beforeLines="20" w:before="72" w:afterLines="20" w:after="72" w:line="440" w:lineRule="exact"/>
        <w:ind w:firstLineChars="200" w:firstLine="561"/>
        <w:jc w:val="both"/>
        <w:outlineLvl w:val="1"/>
        <w:rPr>
          <w:rFonts w:ascii="標楷體" w:eastAsia="標楷體" w:hAnsi="標楷體"/>
          <w:b/>
          <w:color w:val="000000" w:themeColor="text1"/>
          <w:sz w:val="28"/>
          <w:szCs w:val="28"/>
        </w:rPr>
      </w:pPr>
      <w:r w:rsidRPr="00F54540">
        <w:rPr>
          <w:rFonts w:ascii="標楷體" w:eastAsia="標楷體" w:hAnsi="標楷體" w:hint="eastAsia"/>
          <w:b/>
          <w:color w:val="000000" w:themeColor="text1"/>
          <w:sz w:val="28"/>
          <w:szCs w:val="28"/>
        </w:rPr>
        <w:t>（</w:t>
      </w:r>
      <w:r w:rsidR="00781889">
        <w:rPr>
          <w:rFonts w:ascii="標楷體" w:eastAsia="標楷體" w:hAnsi="標楷體" w:hint="eastAsia"/>
          <w:b/>
          <w:color w:val="000000" w:themeColor="text1"/>
          <w:sz w:val="28"/>
          <w:szCs w:val="28"/>
        </w:rPr>
        <w:t>二</w:t>
      </w:r>
      <w:r w:rsidRPr="00F54540">
        <w:rPr>
          <w:rFonts w:ascii="標楷體" w:eastAsia="標楷體" w:hAnsi="標楷體" w:hint="eastAsia"/>
          <w:b/>
          <w:color w:val="000000" w:themeColor="text1"/>
          <w:sz w:val="28"/>
          <w:szCs w:val="28"/>
        </w:rPr>
        <w:t>十</w:t>
      </w:r>
      <w:r w:rsidR="00781889">
        <w:rPr>
          <w:rFonts w:ascii="標楷體" w:eastAsia="標楷體" w:hAnsi="標楷體" w:hint="eastAsia"/>
          <w:b/>
          <w:color w:val="000000" w:themeColor="text1"/>
          <w:sz w:val="28"/>
          <w:szCs w:val="28"/>
        </w:rPr>
        <w:t>九</w:t>
      </w:r>
      <w:r w:rsidRPr="00F54540">
        <w:rPr>
          <w:rFonts w:ascii="標楷體" w:eastAsia="標楷體" w:hAnsi="標楷體" w:hint="eastAsia"/>
          <w:b/>
          <w:color w:val="000000" w:themeColor="text1"/>
          <w:sz w:val="28"/>
          <w:szCs w:val="28"/>
        </w:rPr>
        <w:t xml:space="preserve">）　</w:t>
      </w:r>
      <w:r w:rsidR="00677197" w:rsidRPr="00677197">
        <w:rPr>
          <w:rFonts w:ascii="標楷體" w:eastAsia="標楷體" w:hAnsi="標楷體" w:hint="eastAsia"/>
          <w:b/>
          <w:color w:val="000000" w:themeColor="text1"/>
          <w:sz w:val="28"/>
          <w:szCs w:val="28"/>
        </w:rPr>
        <w:t>近年國內電子商務蓬勃發展，惟部分網路賣家透過電子商務平</w:t>
      </w:r>
      <w:proofErr w:type="gramStart"/>
      <w:r w:rsidR="00677197" w:rsidRPr="00677197">
        <w:rPr>
          <w:rFonts w:ascii="標楷體" w:eastAsia="標楷體" w:hAnsi="標楷體" w:hint="eastAsia"/>
          <w:b/>
          <w:color w:val="000000" w:themeColor="text1"/>
          <w:sz w:val="28"/>
          <w:szCs w:val="28"/>
        </w:rPr>
        <w:t>臺</w:t>
      </w:r>
      <w:proofErr w:type="gramEnd"/>
      <w:r w:rsidR="00677197" w:rsidRPr="00677197">
        <w:rPr>
          <w:rFonts w:ascii="標楷體" w:eastAsia="標楷體" w:hAnsi="標楷體" w:hint="eastAsia"/>
          <w:b/>
          <w:color w:val="000000" w:themeColor="text1"/>
          <w:sz w:val="28"/>
          <w:szCs w:val="28"/>
        </w:rPr>
        <w:t>銷貨，涉有冒用他人名義開立普通收據，或無銷貨事實</w:t>
      </w:r>
      <w:proofErr w:type="gramStart"/>
      <w:r w:rsidR="00677197" w:rsidRPr="00677197">
        <w:rPr>
          <w:rFonts w:ascii="標楷體" w:eastAsia="標楷體" w:hAnsi="標楷體" w:hint="eastAsia"/>
          <w:b/>
          <w:color w:val="000000" w:themeColor="text1"/>
          <w:sz w:val="28"/>
          <w:szCs w:val="28"/>
        </w:rPr>
        <w:t>逕</w:t>
      </w:r>
      <w:proofErr w:type="gramEnd"/>
      <w:r w:rsidR="00677197" w:rsidRPr="00677197">
        <w:rPr>
          <w:rFonts w:ascii="標楷體" w:eastAsia="標楷體" w:hAnsi="標楷體" w:hint="eastAsia"/>
          <w:b/>
          <w:color w:val="000000" w:themeColor="text1"/>
          <w:sz w:val="28"/>
          <w:szCs w:val="28"/>
        </w:rPr>
        <w:t>銷售普通收據等流通虛偽不實交易原始憑證情事，恐</w:t>
      </w:r>
      <w:proofErr w:type="gramStart"/>
      <w:r w:rsidR="00677197" w:rsidRPr="00677197">
        <w:rPr>
          <w:rFonts w:ascii="標楷體" w:eastAsia="標楷體" w:hAnsi="標楷體" w:hint="eastAsia"/>
          <w:b/>
          <w:color w:val="000000" w:themeColor="text1"/>
          <w:sz w:val="28"/>
          <w:szCs w:val="28"/>
        </w:rPr>
        <w:t>斲</w:t>
      </w:r>
      <w:proofErr w:type="gramEnd"/>
      <w:r w:rsidR="00677197" w:rsidRPr="00677197">
        <w:rPr>
          <w:rFonts w:ascii="標楷體" w:eastAsia="標楷體" w:hAnsi="標楷體" w:hint="eastAsia"/>
          <w:b/>
          <w:color w:val="000000" w:themeColor="text1"/>
          <w:sz w:val="28"/>
          <w:szCs w:val="28"/>
        </w:rPr>
        <w:t>傷政府及營利事業採購交易之真實性，允宜督促</w:t>
      </w:r>
      <w:proofErr w:type="gramStart"/>
      <w:r w:rsidR="00677197" w:rsidRPr="00677197">
        <w:rPr>
          <w:rFonts w:ascii="標楷體" w:eastAsia="標楷體" w:hAnsi="標楷體" w:hint="eastAsia"/>
          <w:b/>
          <w:color w:val="000000" w:themeColor="text1"/>
          <w:sz w:val="28"/>
          <w:szCs w:val="28"/>
        </w:rPr>
        <w:t>研</w:t>
      </w:r>
      <w:proofErr w:type="gramEnd"/>
      <w:r w:rsidR="00677197" w:rsidRPr="00677197">
        <w:rPr>
          <w:rFonts w:ascii="標楷體" w:eastAsia="標楷體" w:hAnsi="標楷體" w:hint="eastAsia"/>
          <w:b/>
          <w:color w:val="000000" w:themeColor="text1"/>
          <w:sz w:val="28"/>
          <w:szCs w:val="28"/>
        </w:rPr>
        <w:t>謀因應，從源頭強化電子商務平</w:t>
      </w:r>
      <w:proofErr w:type="gramStart"/>
      <w:r w:rsidR="00677197" w:rsidRPr="00677197">
        <w:rPr>
          <w:rFonts w:ascii="標楷體" w:eastAsia="標楷體" w:hAnsi="標楷體" w:hint="eastAsia"/>
          <w:b/>
          <w:color w:val="000000" w:themeColor="text1"/>
          <w:sz w:val="28"/>
          <w:szCs w:val="28"/>
        </w:rPr>
        <w:t>臺</w:t>
      </w:r>
      <w:proofErr w:type="gramEnd"/>
      <w:r w:rsidR="00677197" w:rsidRPr="00677197">
        <w:rPr>
          <w:rFonts w:ascii="標楷體" w:eastAsia="標楷體" w:hAnsi="標楷體" w:hint="eastAsia"/>
          <w:b/>
          <w:color w:val="000000" w:themeColor="text1"/>
          <w:sz w:val="28"/>
          <w:szCs w:val="28"/>
        </w:rPr>
        <w:t>業者責任，落實管理賣家販售合法商品，以端正不法情事。</w:t>
      </w:r>
    </w:p>
    <w:p w14:paraId="3AC196F2" w14:textId="3FD2391F" w:rsidR="00B375C6" w:rsidRPr="009474B3" w:rsidRDefault="00A6579D" w:rsidP="009474B3">
      <w:pPr>
        <w:overflowPunct w:val="0"/>
        <w:spacing w:line="430" w:lineRule="exact"/>
        <w:ind w:firstLineChars="200" w:firstLine="480"/>
        <w:jc w:val="both"/>
        <w:rPr>
          <w:rFonts w:ascii="標楷體" w:eastAsia="標楷體" w:hAnsi="標楷體"/>
          <w:szCs w:val="24"/>
        </w:rPr>
      </w:pPr>
      <w:r w:rsidRPr="00B76E8B">
        <w:rPr>
          <w:rFonts w:ascii="標楷體" w:eastAsia="標楷體" w:hAnsi="標楷體" w:hint="eastAsia"/>
          <w:szCs w:val="24"/>
        </w:rPr>
        <w:t>依據商業會計法第15條規定，商業會計憑證分為原始憑證、記帳憑證二類，其中原始憑證係證明會計事項之經過，而為造具記帳憑證所根據之憑證。復據經濟部90年3月19日函釋，營利事業取具小規模營利事業「普通收據」，內載有其名稱、金額、交易事項及日期等，因能證明會計事項之經過，應屬商業會計法所規定之原始憑證。另政府支出憑證處理要點第2點規定，支出憑證指證明支付事實所取得之收據、統一發票、表單或其他可資證明書據。按行政院主計總處發布112年電子商務統計，國內電子商務整體交易金額由106年之3兆8,257億元，增至112年之6兆8,815億元，增幅近</w:t>
      </w:r>
      <w:proofErr w:type="gramStart"/>
      <w:r w:rsidRPr="00B76E8B">
        <w:rPr>
          <w:rFonts w:ascii="標楷體" w:eastAsia="標楷體" w:hAnsi="標楷體" w:hint="eastAsia"/>
          <w:szCs w:val="24"/>
        </w:rPr>
        <w:t>8成</w:t>
      </w:r>
      <w:proofErr w:type="gramEnd"/>
      <w:r w:rsidRPr="00B76E8B">
        <w:rPr>
          <w:rFonts w:ascii="標楷體" w:eastAsia="標楷體" w:hAnsi="標楷體" w:hint="eastAsia"/>
          <w:szCs w:val="24"/>
        </w:rPr>
        <w:t>，顯示電子商務蓬勃發展。本部為瞭解網路賣家透過電子商務平</w:t>
      </w:r>
      <w:proofErr w:type="gramStart"/>
      <w:r w:rsidRPr="00B76E8B">
        <w:rPr>
          <w:rFonts w:ascii="標楷體" w:eastAsia="標楷體" w:hAnsi="標楷體" w:hint="eastAsia"/>
          <w:szCs w:val="24"/>
        </w:rPr>
        <w:t>臺</w:t>
      </w:r>
      <w:proofErr w:type="gramEnd"/>
      <w:r w:rsidRPr="00B76E8B">
        <w:rPr>
          <w:rFonts w:ascii="標楷體" w:eastAsia="標楷體" w:hAnsi="標楷體" w:hint="eastAsia"/>
          <w:szCs w:val="24"/>
        </w:rPr>
        <w:t>銷售商品並開立普通收據情形，經運用稽核軟體至某電子商務平</w:t>
      </w:r>
      <w:proofErr w:type="gramStart"/>
      <w:r w:rsidRPr="00B76E8B">
        <w:rPr>
          <w:rFonts w:ascii="標楷體" w:eastAsia="標楷體" w:hAnsi="標楷體" w:hint="eastAsia"/>
          <w:szCs w:val="24"/>
        </w:rPr>
        <w:t>臺</w:t>
      </w:r>
      <w:proofErr w:type="gramEnd"/>
      <w:r w:rsidRPr="00B76E8B">
        <w:rPr>
          <w:rFonts w:ascii="標楷體" w:eastAsia="標楷體" w:hAnsi="標楷體" w:hint="eastAsia"/>
          <w:szCs w:val="24"/>
        </w:rPr>
        <w:t>篩檢結果，核有：部分電子商務平</w:t>
      </w:r>
      <w:proofErr w:type="gramStart"/>
      <w:r w:rsidRPr="00B76E8B">
        <w:rPr>
          <w:rFonts w:ascii="標楷體" w:eastAsia="標楷體" w:hAnsi="標楷體" w:hint="eastAsia"/>
          <w:szCs w:val="24"/>
        </w:rPr>
        <w:t>臺</w:t>
      </w:r>
      <w:proofErr w:type="gramEnd"/>
      <w:r w:rsidRPr="00B76E8B">
        <w:rPr>
          <w:rFonts w:ascii="標楷體" w:eastAsia="標楷體" w:hAnsi="標楷體" w:hint="eastAsia"/>
          <w:szCs w:val="24"/>
        </w:rPr>
        <w:t>賣家銷售貨物及普通收據，</w:t>
      </w:r>
      <w:proofErr w:type="gramStart"/>
      <w:r w:rsidRPr="00B76E8B">
        <w:rPr>
          <w:rFonts w:ascii="標楷體" w:eastAsia="標楷體" w:hAnsi="標楷體" w:hint="eastAsia"/>
          <w:szCs w:val="24"/>
        </w:rPr>
        <w:t>疑</w:t>
      </w:r>
      <w:proofErr w:type="gramEnd"/>
      <w:r w:rsidRPr="00B76E8B">
        <w:rPr>
          <w:rFonts w:ascii="標楷體" w:eastAsia="標楷體" w:hAnsi="標楷體" w:hint="eastAsia"/>
          <w:szCs w:val="24"/>
        </w:rPr>
        <w:t>涉有偽冒情事，</w:t>
      </w:r>
      <w:proofErr w:type="gramStart"/>
      <w:r w:rsidRPr="00B76E8B">
        <w:rPr>
          <w:rFonts w:ascii="標楷體" w:eastAsia="標楷體" w:hAnsi="標楷體" w:hint="eastAsia"/>
          <w:szCs w:val="24"/>
        </w:rPr>
        <w:t>舉如以</w:t>
      </w:r>
      <w:proofErr w:type="gramEnd"/>
      <w:r w:rsidRPr="00B76E8B">
        <w:rPr>
          <w:rFonts w:ascii="標楷體" w:eastAsia="標楷體" w:hAnsi="標楷體" w:hint="eastAsia"/>
          <w:szCs w:val="24"/>
        </w:rPr>
        <w:t>停業廠商名義開立、同一店家以多個不同店家名義開立、收據所載負責人與稅籍登記負責人不同、多張收據印有簡體字樣等，甚有賣家售出之普通收據已超逾2,000張；另有賣家無銷貨事實</w:t>
      </w:r>
      <w:proofErr w:type="gramStart"/>
      <w:r w:rsidRPr="00B76E8B">
        <w:rPr>
          <w:rFonts w:ascii="標楷體" w:eastAsia="標楷體" w:hAnsi="標楷體" w:hint="eastAsia"/>
          <w:szCs w:val="24"/>
        </w:rPr>
        <w:t>逕</w:t>
      </w:r>
      <w:proofErr w:type="gramEnd"/>
      <w:r w:rsidRPr="00B76E8B">
        <w:rPr>
          <w:rFonts w:ascii="標楷體" w:eastAsia="標楷體" w:hAnsi="標楷體" w:hint="eastAsia"/>
          <w:szCs w:val="24"/>
        </w:rPr>
        <w:t>銷售蓋</w:t>
      </w:r>
      <w:proofErr w:type="gramStart"/>
      <w:r w:rsidRPr="00B76E8B">
        <w:rPr>
          <w:rFonts w:ascii="標楷體" w:eastAsia="標楷體" w:hAnsi="標楷體" w:hint="eastAsia"/>
          <w:szCs w:val="24"/>
        </w:rPr>
        <w:t>妥店章</w:t>
      </w:r>
      <w:proofErr w:type="gramEnd"/>
      <w:r w:rsidRPr="00B76E8B">
        <w:rPr>
          <w:rFonts w:ascii="標楷體" w:eastAsia="標楷體" w:hAnsi="標楷體" w:hint="eastAsia"/>
          <w:szCs w:val="24"/>
        </w:rPr>
        <w:t>及負責人私章之普通收據，其行業類別涉及餐廳、飲料店、影印店、五金行、文具店及旅遊業等，可供買家購入後自行填寫日期、品項及金額，據以向營利事業或政府機關虛報相關款項辦理核銷，甚可虛報旅行支出請領政府旅遊補助款等情事，該等收據或自行開立、或冒用其他店家名義開立，或自其他店家消費取得並逾越店家授權使用範圍而</w:t>
      </w:r>
      <w:proofErr w:type="gramStart"/>
      <w:r w:rsidRPr="00B76E8B">
        <w:rPr>
          <w:rFonts w:ascii="標楷體" w:eastAsia="標楷體" w:hAnsi="標楷體" w:hint="eastAsia"/>
          <w:szCs w:val="24"/>
        </w:rPr>
        <w:t>逕</w:t>
      </w:r>
      <w:proofErr w:type="gramEnd"/>
      <w:r w:rsidRPr="00B76E8B">
        <w:rPr>
          <w:rFonts w:ascii="標楷體" w:eastAsia="標楷體" w:hAnsi="標楷體" w:hint="eastAsia"/>
          <w:szCs w:val="24"/>
        </w:rPr>
        <w:t>予販售等，又部分收據已售出300餘張，甚有部分賣家網頁銷售商品敘明「可長期配合」等幫助他人虛報核銷款項等不法行為，顯示其交易模式非屬零星個案，且電子商務平</w:t>
      </w:r>
      <w:proofErr w:type="gramStart"/>
      <w:r w:rsidRPr="00B76E8B">
        <w:rPr>
          <w:rFonts w:ascii="標楷體" w:eastAsia="標楷體" w:hAnsi="標楷體" w:hint="eastAsia"/>
          <w:szCs w:val="24"/>
        </w:rPr>
        <w:t>臺</w:t>
      </w:r>
      <w:proofErr w:type="gramEnd"/>
      <w:r w:rsidRPr="00B76E8B">
        <w:rPr>
          <w:rFonts w:ascii="標楷體" w:eastAsia="標楷體" w:hAnsi="標楷體" w:hint="eastAsia"/>
          <w:szCs w:val="24"/>
        </w:rPr>
        <w:t>賣</w:t>
      </w:r>
      <w:proofErr w:type="gramStart"/>
      <w:r w:rsidRPr="00B76E8B">
        <w:rPr>
          <w:rFonts w:ascii="標楷體" w:eastAsia="標楷體" w:hAnsi="標楷體" w:hint="eastAsia"/>
          <w:szCs w:val="24"/>
        </w:rPr>
        <w:t>家偽冒及</w:t>
      </w:r>
      <w:proofErr w:type="gramEnd"/>
      <w:r w:rsidRPr="00B76E8B">
        <w:rPr>
          <w:rFonts w:ascii="標楷體" w:eastAsia="標楷體" w:hAnsi="標楷體" w:hint="eastAsia"/>
          <w:szCs w:val="24"/>
        </w:rPr>
        <w:t>銷售普通收據行為，已涉及不法情事，並影響營利事業及政府機關款項核銷之真實性。又政府機關於網路購物所取具之原始憑證涉有</w:t>
      </w:r>
      <w:proofErr w:type="gramStart"/>
      <w:r w:rsidRPr="00B76E8B">
        <w:rPr>
          <w:rFonts w:ascii="標楷體" w:eastAsia="標楷體" w:hAnsi="標楷體" w:hint="eastAsia"/>
          <w:szCs w:val="24"/>
        </w:rPr>
        <w:t>偽冒等異常</w:t>
      </w:r>
      <w:proofErr w:type="gramEnd"/>
      <w:r w:rsidRPr="00B76E8B">
        <w:rPr>
          <w:rFonts w:ascii="標楷體" w:eastAsia="標楷體" w:hAnsi="標楷體" w:hint="eastAsia"/>
          <w:szCs w:val="24"/>
        </w:rPr>
        <w:t>情事，肇生公務人員取具不實憑證核銷公款之觸法行為，並增加機關主辦會計人員內部審核風險，遑論非政府機關之營利事業利用網路購物情形更加普遍。</w:t>
      </w:r>
      <w:proofErr w:type="gramStart"/>
      <w:r w:rsidRPr="00B76E8B">
        <w:rPr>
          <w:rFonts w:ascii="標楷體" w:eastAsia="標楷體" w:hAnsi="標楷體" w:hint="eastAsia"/>
          <w:szCs w:val="24"/>
        </w:rPr>
        <w:t>鑑</w:t>
      </w:r>
      <w:proofErr w:type="gramEnd"/>
      <w:r w:rsidRPr="00B76E8B">
        <w:rPr>
          <w:rFonts w:ascii="標楷體" w:eastAsia="標楷體" w:hAnsi="標楷體" w:hint="eastAsia"/>
          <w:szCs w:val="24"/>
        </w:rPr>
        <w:t>於網路賣家透過電子商務平臺大量銷售偽造或蓋</w:t>
      </w:r>
      <w:proofErr w:type="gramStart"/>
      <w:r w:rsidRPr="00B76E8B">
        <w:rPr>
          <w:rFonts w:ascii="標楷體" w:eastAsia="標楷體" w:hAnsi="標楷體" w:hint="eastAsia"/>
          <w:szCs w:val="24"/>
        </w:rPr>
        <w:t>妥店章</w:t>
      </w:r>
      <w:proofErr w:type="gramEnd"/>
      <w:r w:rsidRPr="00B76E8B">
        <w:rPr>
          <w:rFonts w:ascii="標楷體" w:eastAsia="標楷體" w:hAnsi="標楷體" w:hint="eastAsia"/>
          <w:szCs w:val="24"/>
        </w:rPr>
        <w:t>之空白收據等原始憑證，恐肇致非法普通收據於營利事業及政府機關流通，使不實憑證列報支出之違法情事增加，存有危害財務秩序之虞，並影響政府機關內部審核及加劇營利事業內部控制風險，經函請行政院督促相關權責機關</w:t>
      </w:r>
      <w:proofErr w:type="gramStart"/>
      <w:r w:rsidRPr="00B76E8B">
        <w:rPr>
          <w:rFonts w:ascii="標楷體" w:eastAsia="標楷體" w:hAnsi="標楷體" w:hint="eastAsia"/>
          <w:szCs w:val="24"/>
        </w:rPr>
        <w:t>研</w:t>
      </w:r>
      <w:proofErr w:type="gramEnd"/>
      <w:r w:rsidRPr="00B76E8B">
        <w:rPr>
          <w:rFonts w:ascii="標楷體" w:eastAsia="標楷體" w:hAnsi="標楷體" w:hint="eastAsia"/>
          <w:szCs w:val="24"/>
        </w:rPr>
        <w:t>謀因應，強化電子商務平</w:t>
      </w:r>
      <w:proofErr w:type="gramStart"/>
      <w:r w:rsidRPr="00B76E8B">
        <w:rPr>
          <w:rFonts w:ascii="標楷體" w:eastAsia="標楷體" w:hAnsi="標楷體" w:hint="eastAsia"/>
          <w:szCs w:val="24"/>
        </w:rPr>
        <w:t>臺</w:t>
      </w:r>
      <w:proofErr w:type="gramEnd"/>
      <w:r w:rsidRPr="00B76E8B">
        <w:rPr>
          <w:rFonts w:ascii="標楷體" w:eastAsia="標楷體" w:hAnsi="標楷體" w:hint="eastAsia"/>
          <w:szCs w:val="24"/>
        </w:rPr>
        <w:t>業者責任，落實管理賣家販售合法商品，</w:t>
      </w:r>
      <w:proofErr w:type="gramStart"/>
      <w:r w:rsidRPr="00B76E8B">
        <w:rPr>
          <w:rFonts w:ascii="標楷體" w:eastAsia="標楷體" w:hAnsi="標楷體" w:hint="eastAsia"/>
          <w:szCs w:val="24"/>
        </w:rPr>
        <w:t>俾</w:t>
      </w:r>
      <w:proofErr w:type="gramEnd"/>
      <w:r w:rsidRPr="00B76E8B">
        <w:rPr>
          <w:rFonts w:ascii="標楷體" w:eastAsia="標楷體" w:hAnsi="標楷體" w:hint="eastAsia"/>
          <w:szCs w:val="24"/>
        </w:rPr>
        <w:t>從源頭防杜不法行為，促進電子商務環境健全發展。</w:t>
      </w:r>
      <w:r w:rsidRPr="00D14F5E">
        <w:rPr>
          <w:rFonts w:ascii="標楷體" w:eastAsia="標楷體" w:hAnsi="標楷體" w:hint="eastAsia"/>
          <w:szCs w:val="24"/>
        </w:rPr>
        <w:t>據復：</w:t>
      </w:r>
      <w:proofErr w:type="gramStart"/>
      <w:r w:rsidR="00D14F5E" w:rsidRPr="00D14F5E">
        <w:rPr>
          <w:rFonts w:ascii="標楷體" w:eastAsia="標楷體" w:hAnsi="標楷體" w:hint="eastAsia"/>
          <w:szCs w:val="24"/>
        </w:rPr>
        <w:t>業請經濟部</w:t>
      </w:r>
      <w:proofErr w:type="gramEnd"/>
      <w:r w:rsidR="00D14F5E" w:rsidRPr="00D14F5E">
        <w:rPr>
          <w:rFonts w:ascii="標楷體" w:eastAsia="標楷體" w:hAnsi="標楷體" w:hint="eastAsia"/>
          <w:szCs w:val="24"/>
        </w:rPr>
        <w:t>及數位發展部強化宣導電商平</w:t>
      </w:r>
      <w:proofErr w:type="gramStart"/>
      <w:r w:rsidR="00D14F5E" w:rsidRPr="00D14F5E">
        <w:rPr>
          <w:rFonts w:ascii="標楷體" w:eastAsia="標楷體" w:hAnsi="標楷體" w:hint="eastAsia"/>
          <w:szCs w:val="24"/>
        </w:rPr>
        <w:t>臺</w:t>
      </w:r>
      <w:proofErr w:type="gramEnd"/>
      <w:r w:rsidR="00D14F5E" w:rsidRPr="00D14F5E">
        <w:rPr>
          <w:rFonts w:ascii="標楷體" w:eastAsia="標楷體" w:hAnsi="標楷體" w:hint="eastAsia"/>
          <w:szCs w:val="24"/>
        </w:rPr>
        <w:t>業者應落實管理賣家不</w:t>
      </w:r>
      <w:r w:rsidR="00D14F5E" w:rsidRPr="00D14F5E">
        <w:rPr>
          <w:rFonts w:ascii="標楷體" w:eastAsia="標楷體" w:hAnsi="標楷體" w:hint="eastAsia"/>
          <w:szCs w:val="24"/>
        </w:rPr>
        <w:lastRenderedPageBreak/>
        <w:t>得</w:t>
      </w:r>
      <w:proofErr w:type="gramStart"/>
      <w:r w:rsidR="00D14F5E" w:rsidRPr="00D14F5E">
        <w:rPr>
          <w:rFonts w:ascii="標楷體" w:eastAsia="標楷體" w:hAnsi="標楷體" w:hint="eastAsia"/>
          <w:szCs w:val="24"/>
        </w:rPr>
        <w:t>偽冒及銷售</w:t>
      </w:r>
      <w:proofErr w:type="gramEnd"/>
      <w:r w:rsidR="00D14F5E" w:rsidRPr="00D14F5E">
        <w:rPr>
          <w:rFonts w:ascii="標楷體" w:eastAsia="標楷體" w:hAnsi="標楷體" w:hint="eastAsia"/>
          <w:szCs w:val="24"/>
        </w:rPr>
        <w:t>普通收據，並與電商相關業者建立協作及聯防機制，強化業者對違法商品之管理及下架作業，以精進處理效能。</w:t>
      </w:r>
    </w:p>
    <w:p w14:paraId="23B9371D" w14:textId="3D23CEDF" w:rsidR="00F54540" w:rsidRDefault="002A6A44" w:rsidP="009474B3">
      <w:pPr>
        <w:widowControl/>
        <w:overflowPunct w:val="0"/>
        <w:spacing w:beforeLines="20" w:before="72" w:afterLines="20" w:after="72" w:line="430" w:lineRule="exact"/>
        <w:ind w:firstLineChars="200" w:firstLine="561"/>
        <w:jc w:val="both"/>
        <w:outlineLvl w:val="1"/>
        <w:rPr>
          <w:rFonts w:ascii="標楷體" w:eastAsia="標楷體" w:hAnsi="標楷體"/>
          <w:b/>
          <w:color w:val="000000" w:themeColor="text1"/>
          <w:sz w:val="28"/>
          <w:szCs w:val="28"/>
        </w:rPr>
      </w:pPr>
      <w:r w:rsidRPr="00F54540">
        <w:rPr>
          <w:rFonts w:ascii="標楷體" w:eastAsia="標楷體" w:hAnsi="標楷體" w:hint="eastAsia"/>
          <w:b/>
          <w:color w:val="000000" w:themeColor="text1"/>
          <w:sz w:val="28"/>
          <w:szCs w:val="28"/>
        </w:rPr>
        <w:t xml:space="preserve">（三十）　</w:t>
      </w:r>
      <w:r w:rsidR="00217C96" w:rsidRPr="00217C96">
        <w:rPr>
          <w:rFonts w:ascii="標楷體" w:eastAsia="標楷體" w:hAnsi="標楷體" w:hint="eastAsia"/>
          <w:b/>
          <w:color w:val="000000" w:themeColor="text1"/>
          <w:sz w:val="28"/>
          <w:szCs w:val="28"/>
        </w:rPr>
        <w:t>行政院主計總處已就補助計畫管考原則、採購及財物審核等訂定相關規定，</w:t>
      </w:r>
      <w:proofErr w:type="gramStart"/>
      <w:r w:rsidR="00217C96" w:rsidRPr="00217C96">
        <w:rPr>
          <w:rFonts w:ascii="標楷體" w:eastAsia="標楷體" w:hAnsi="標楷體" w:hint="eastAsia"/>
          <w:b/>
          <w:color w:val="000000" w:themeColor="text1"/>
          <w:sz w:val="28"/>
          <w:szCs w:val="28"/>
        </w:rPr>
        <w:t>惟間有</w:t>
      </w:r>
      <w:r w:rsidR="001F067B">
        <w:rPr>
          <w:rFonts w:ascii="標楷體" w:eastAsia="標楷體" w:hAnsi="標楷體" w:hint="eastAsia"/>
          <w:b/>
          <w:color w:val="000000" w:themeColor="text1"/>
          <w:sz w:val="28"/>
          <w:szCs w:val="28"/>
        </w:rPr>
        <w:t>部分</w:t>
      </w:r>
      <w:proofErr w:type="gramEnd"/>
      <w:r w:rsidR="001F067B">
        <w:rPr>
          <w:rFonts w:ascii="標楷體" w:eastAsia="標楷體" w:hAnsi="標楷體" w:hint="eastAsia"/>
          <w:b/>
          <w:color w:val="000000" w:themeColor="text1"/>
          <w:sz w:val="28"/>
          <w:szCs w:val="28"/>
        </w:rPr>
        <w:t>機關</w:t>
      </w:r>
      <w:r w:rsidR="00217C96" w:rsidRPr="00217C96">
        <w:rPr>
          <w:rFonts w:ascii="標楷體" w:eastAsia="標楷體" w:hAnsi="標楷體" w:hint="eastAsia"/>
          <w:b/>
          <w:color w:val="000000" w:themeColor="text1"/>
          <w:sz w:val="28"/>
          <w:szCs w:val="28"/>
        </w:rPr>
        <w:t>補助計畫未落實考核補助計畫執行完竣後使用效益，亦未就使用效益未達目標情形</w:t>
      </w:r>
      <w:proofErr w:type="gramStart"/>
      <w:r w:rsidR="00217C96" w:rsidRPr="00217C96">
        <w:rPr>
          <w:rFonts w:ascii="標楷體" w:eastAsia="標楷體" w:hAnsi="標楷體" w:hint="eastAsia"/>
          <w:b/>
          <w:color w:val="000000" w:themeColor="text1"/>
          <w:sz w:val="28"/>
          <w:szCs w:val="28"/>
        </w:rPr>
        <w:t>訂定扣減</w:t>
      </w:r>
      <w:proofErr w:type="gramEnd"/>
      <w:r w:rsidR="00217C96" w:rsidRPr="00217C96">
        <w:rPr>
          <w:rFonts w:ascii="標楷體" w:eastAsia="標楷體" w:hAnsi="標楷體" w:hint="eastAsia"/>
          <w:b/>
          <w:color w:val="000000" w:themeColor="text1"/>
          <w:sz w:val="28"/>
          <w:szCs w:val="28"/>
        </w:rPr>
        <w:t>以後年度補助款機制；部分補助採購財物未依規定辦理財產</w:t>
      </w:r>
      <w:proofErr w:type="gramStart"/>
      <w:r w:rsidR="00217C96" w:rsidRPr="00217C96">
        <w:rPr>
          <w:rFonts w:ascii="標楷體" w:eastAsia="標楷體" w:hAnsi="標楷體" w:hint="eastAsia"/>
          <w:b/>
          <w:color w:val="000000" w:themeColor="text1"/>
          <w:sz w:val="28"/>
          <w:szCs w:val="28"/>
        </w:rPr>
        <w:t>產</w:t>
      </w:r>
      <w:proofErr w:type="gramEnd"/>
      <w:r w:rsidR="00217C96" w:rsidRPr="00217C96">
        <w:rPr>
          <w:rFonts w:ascii="標楷體" w:eastAsia="標楷體" w:hAnsi="標楷體" w:hint="eastAsia"/>
          <w:b/>
          <w:color w:val="000000" w:themeColor="text1"/>
          <w:sz w:val="28"/>
          <w:szCs w:val="28"/>
        </w:rPr>
        <w:t>籍登記，受補助機關主（會）計單位仍同意撥款，審核作業未</w:t>
      </w:r>
      <w:proofErr w:type="gramStart"/>
      <w:r w:rsidR="00217C96" w:rsidRPr="00217C96">
        <w:rPr>
          <w:rFonts w:ascii="標楷體" w:eastAsia="標楷體" w:hAnsi="標楷體" w:hint="eastAsia"/>
          <w:b/>
          <w:color w:val="000000" w:themeColor="text1"/>
          <w:sz w:val="28"/>
          <w:szCs w:val="28"/>
        </w:rPr>
        <w:t>臻</w:t>
      </w:r>
      <w:proofErr w:type="gramEnd"/>
      <w:r w:rsidR="00217C96" w:rsidRPr="00217C96">
        <w:rPr>
          <w:rFonts w:ascii="標楷體" w:eastAsia="標楷體" w:hAnsi="標楷體" w:hint="eastAsia"/>
          <w:b/>
          <w:color w:val="000000" w:themeColor="text1"/>
          <w:sz w:val="28"/>
          <w:szCs w:val="28"/>
        </w:rPr>
        <w:t>落實等情，允宜督促</w:t>
      </w:r>
      <w:proofErr w:type="gramStart"/>
      <w:r w:rsidR="001F067B">
        <w:rPr>
          <w:rFonts w:ascii="標楷體" w:eastAsia="標楷體" w:hAnsi="標楷體" w:hint="eastAsia"/>
          <w:b/>
          <w:color w:val="000000" w:themeColor="text1"/>
          <w:sz w:val="28"/>
          <w:szCs w:val="28"/>
        </w:rPr>
        <w:t>研</w:t>
      </w:r>
      <w:proofErr w:type="gramEnd"/>
      <w:r w:rsidR="001F067B">
        <w:rPr>
          <w:rFonts w:ascii="標楷體" w:eastAsia="標楷體" w:hAnsi="標楷體" w:hint="eastAsia"/>
          <w:b/>
          <w:color w:val="000000" w:themeColor="text1"/>
          <w:sz w:val="28"/>
          <w:szCs w:val="28"/>
        </w:rPr>
        <w:t>謀</w:t>
      </w:r>
      <w:r w:rsidR="00217C96" w:rsidRPr="00217C96">
        <w:rPr>
          <w:rFonts w:ascii="標楷體" w:eastAsia="標楷體" w:hAnsi="標楷體" w:hint="eastAsia"/>
          <w:b/>
          <w:color w:val="000000" w:themeColor="text1"/>
          <w:sz w:val="28"/>
          <w:szCs w:val="28"/>
        </w:rPr>
        <w:t>改善。</w:t>
      </w:r>
    </w:p>
    <w:p w14:paraId="54D979BD" w14:textId="1C450BC1" w:rsidR="00FC59A4" w:rsidRPr="00754C46" w:rsidRDefault="009474B3" w:rsidP="009474B3">
      <w:pPr>
        <w:kinsoku w:val="0"/>
        <w:overflowPunct w:val="0"/>
        <w:adjustRightInd w:val="0"/>
        <w:spacing w:line="424" w:lineRule="exact"/>
        <w:ind w:firstLineChars="200" w:firstLine="480"/>
        <w:jc w:val="both"/>
        <w:textAlignment w:val="baseline"/>
        <w:rPr>
          <w:rFonts w:ascii="標楷體" w:eastAsia="標楷體" w:hAnsi="標楷體"/>
          <w:color w:val="000000" w:themeColor="text1"/>
          <w:spacing w:val="-2"/>
          <w:kern w:val="0"/>
          <w:szCs w:val="28"/>
        </w:rPr>
      </w:pPr>
      <w:r w:rsidRPr="00754C46">
        <w:rPr>
          <w:b/>
          <w:noProof/>
          <w:snapToGrid w:val="0"/>
          <w:color w:val="000000" w:themeColor="text1"/>
          <w:spacing w:val="-2"/>
          <w:szCs w:val="24"/>
        </w:rPr>
        <mc:AlternateContent>
          <mc:Choice Requires="wps">
            <w:drawing>
              <wp:anchor distT="45720" distB="45720" distL="114300" distR="114300" simplePos="0" relativeHeight="251660288" behindDoc="0" locked="0" layoutInCell="1" allowOverlap="1" wp14:anchorId="176FA7F7" wp14:editId="2F21B143">
                <wp:simplePos x="0" y="0"/>
                <wp:positionH relativeFrom="column">
                  <wp:posOffset>3095625</wp:posOffset>
                </wp:positionH>
                <wp:positionV relativeFrom="paragraph">
                  <wp:posOffset>1840230</wp:posOffset>
                </wp:positionV>
                <wp:extent cx="3200400" cy="507111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5071110"/>
                        </a:xfrm>
                        <a:prstGeom prst="rect">
                          <a:avLst/>
                        </a:prstGeom>
                        <a:solidFill>
                          <a:srgbClr val="FFFFFF"/>
                        </a:solidFill>
                        <a:ln w="9525">
                          <a:noFill/>
                          <a:miter lim="800000"/>
                          <a:headEnd/>
                          <a:tailEnd/>
                        </a:ln>
                      </wps:spPr>
                      <wps:txbx>
                        <w:txbxContent>
                          <w:p w14:paraId="2FFBAD40" w14:textId="0B8EE22D" w:rsidR="009474B3" w:rsidRPr="002636FD" w:rsidRDefault="009474B3" w:rsidP="009474B3">
                            <w:pPr>
                              <w:spacing w:line="240" w:lineRule="exact"/>
                              <w:ind w:left="780" w:hangingChars="330" w:hanging="780"/>
                              <w:rPr>
                                <w:rFonts w:ascii="標楷體" w:eastAsia="標楷體" w:hAnsi="標楷體" w:cs="新細明體-ExtB"/>
                                <w:b/>
                                <w:bCs/>
                                <w:snapToGrid w:val="0"/>
                              </w:rPr>
                            </w:pPr>
                            <w:r w:rsidRPr="008F2458">
                              <w:rPr>
                                <w:rFonts w:ascii="標楷體" w:eastAsia="標楷體" w:hAnsi="標楷體" w:hint="eastAsia"/>
                                <w:b/>
                                <w:bCs/>
                                <w:snapToGrid w:val="0"/>
                                <w:spacing w:val="-2"/>
                              </w:rPr>
                              <w:t>表</w:t>
                            </w:r>
                            <w:r>
                              <w:rPr>
                                <w:rFonts w:ascii="標楷體" w:eastAsia="標楷體" w:hAnsi="標楷體" w:hint="eastAsia"/>
                                <w:b/>
                                <w:bCs/>
                                <w:snapToGrid w:val="0"/>
                                <w:spacing w:val="-2"/>
                              </w:rPr>
                              <w:t>4</w:t>
                            </w:r>
                            <w:r>
                              <w:rPr>
                                <w:rFonts w:ascii="標楷體" w:eastAsia="標楷體" w:hAnsi="標楷體"/>
                                <w:b/>
                                <w:bCs/>
                                <w:snapToGrid w:val="0"/>
                                <w:spacing w:val="-2"/>
                              </w:rPr>
                              <w:t>5</w:t>
                            </w:r>
                            <w:r w:rsidRPr="008F2458">
                              <w:rPr>
                                <w:rFonts w:ascii="標楷體" w:eastAsia="標楷體" w:hAnsi="標楷體" w:hint="eastAsia"/>
                                <w:b/>
                                <w:bCs/>
                                <w:snapToGrid w:val="0"/>
                                <w:spacing w:val="-2"/>
                              </w:rPr>
                              <w:t xml:space="preserve">　</w:t>
                            </w:r>
                            <w:r w:rsidR="00C408D6">
                              <w:rPr>
                                <w:rFonts w:ascii="標楷體" w:eastAsia="標楷體" w:hAnsi="標楷體" w:hint="eastAsia"/>
                                <w:b/>
                                <w:bCs/>
                                <w:snapToGrid w:val="0"/>
                                <w:spacing w:val="-2"/>
                              </w:rPr>
                              <w:t>國土管理署補助計畫執行要點規定未將</w:t>
                            </w:r>
                            <w:r w:rsidRPr="0060179F">
                              <w:rPr>
                                <w:rFonts w:ascii="標楷體" w:eastAsia="標楷體" w:hAnsi="標楷體" w:hint="eastAsia"/>
                                <w:b/>
                                <w:bCs/>
                                <w:snapToGrid w:val="0"/>
                                <w:spacing w:val="-2"/>
                              </w:rPr>
                              <w:t>計畫執行完竣後使用效益</w:t>
                            </w:r>
                            <w:r w:rsidR="00C408D6">
                              <w:rPr>
                                <w:rFonts w:ascii="標楷體" w:eastAsia="標楷體" w:hAnsi="標楷體" w:hint="eastAsia"/>
                                <w:b/>
                                <w:bCs/>
                                <w:snapToGrid w:val="0"/>
                                <w:spacing w:val="-2"/>
                              </w:rPr>
                              <w:t>納入</w:t>
                            </w:r>
                            <w:r w:rsidR="00C408D6" w:rsidRPr="0060179F">
                              <w:rPr>
                                <w:rFonts w:ascii="標楷體" w:eastAsia="標楷體" w:hAnsi="標楷體" w:hint="eastAsia"/>
                                <w:b/>
                                <w:bCs/>
                                <w:snapToGrid w:val="0"/>
                                <w:spacing w:val="-2"/>
                              </w:rPr>
                              <w:t>管考查核項目</w:t>
                            </w:r>
                            <w:r w:rsidR="00C408D6">
                              <w:rPr>
                                <w:rFonts w:ascii="標楷體" w:eastAsia="標楷體" w:hAnsi="標楷體" w:hint="eastAsia"/>
                                <w:b/>
                                <w:bCs/>
                                <w:snapToGrid w:val="0"/>
                                <w:spacing w:val="-2"/>
                              </w:rPr>
                              <w:t>情形</w:t>
                            </w:r>
                          </w:p>
                          <w:tbl>
                            <w:tblPr>
                              <w:tblW w:w="4716" w:type="dxa"/>
                              <w:jc w:val="center"/>
                              <w:tblCellMar>
                                <w:left w:w="28" w:type="dxa"/>
                                <w:right w:w="28" w:type="dxa"/>
                              </w:tblCellMar>
                              <w:tblLook w:val="00A0" w:firstRow="1" w:lastRow="0" w:firstColumn="1" w:lastColumn="0" w:noHBand="0" w:noVBand="0"/>
                            </w:tblPr>
                            <w:tblGrid>
                              <w:gridCol w:w="454"/>
                              <w:gridCol w:w="4262"/>
                            </w:tblGrid>
                            <w:tr w:rsidR="009474B3" w:rsidRPr="00B83E85" w14:paraId="3CD93073" w14:textId="77777777" w:rsidTr="00612461">
                              <w:trPr>
                                <w:trHeight w:val="113"/>
                                <w:tblHeader/>
                                <w:jc w:val="center"/>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6532485D" w14:textId="77777777" w:rsidR="009474B3" w:rsidRPr="00C61F5E" w:rsidRDefault="009474B3" w:rsidP="00612461">
                                  <w:pPr>
                                    <w:adjustRightInd w:val="0"/>
                                    <w:snapToGrid w:val="0"/>
                                    <w:jc w:val="center"/>
                                    <w:rPr>
                                      <w:rFonts w:ascii="標楷體" w:eastAsia="標楷體" w:hAnsi="標楷體" w:cs="新細明體"/>
                                      <w:color w:val="000000"/>
                                      <w:spacing w:val="-20"/>
                                      <w:sz w:val="20"/>
                                      <w:lang w:bidi="hi-IN"/>
                                    </w:rPr>
                                  </w:pPr>
                                  <w:r w:rsidRPr="00C61F5E">
                                    <w:rPr>
                                      <w:rFonts w:ascii="標楷體" w:eastAsia="標楷體" w:hAnsi="標楷體" w:cs="新細明體" w:hint="eastAsia"/>
                                      <w:color w:val="000000"/>
                                      <w:spacing w:val="-20"/>
                                      <w:sz w:val="20"/>
                                      <w:lang w:bidi="hi-IN"/>
                                    </w:rPr>
                                    <w:t>項次</w:t>
                                  </w:r>
                                </w:p>
                              </w:tc>
                              <w:tc>
                                <w:tcPr>
                                  <w:tcW w:w="4262" w:type="dxa"/>
                                  <w:tcBorders>
                                    <w:top w:val="single" w:sz="4" w:space="0" w:color="auto"/>
                                    <w:left w:val="single" w:sz="4" w:space="0" w:color="auto"/>
                                    <w:bottom w:val="single" w:sz="4" w:space="0" w:color="auto"/>
                                    <w:right w:val="single" w:sz="4" w:space="0" w:color="auto"/>
                                  </w:tcBorders>
                                  <w:shd w:val="clear" w:color="auto" w:fill="auto"/>
                                  <w:vAlign w:val="center"/>
                                </w:tcPr>
                                <w:p w14:paraId="550F0900" w14:textId="77777777" w:rsidR="009474B3" w:rsidRPr="00C61F5E" w:rsidRDefault="009474B3" w:rsidP="00612461">
                                  <w:pPr>
                                    <w:adjustRightInd w:val="0"/>
                                    <w:snapToGrid w:val="0"/>
                                    <w:jc w:val="center"/>
                                    <w:rPr>
                                      <w:rFonts w:ascii="標楷體" w:eastAsia="標楷體" w:hAnsi="標楷體" w:cs="新細明體"/>
                                      <w:color w:val="000000"/>
                                      <w:sz w:val="20"/>
                                      <w:lang w:bidi="hi-IN"/>
                                    </w:rPr>
                                  </w:pPr>
                                  <w:r w:rsidRPr="00C61F5E">
                                    <w:rPr>
                                      <w:rFonts w:ascii="標楷體" w:eastAsia="標楷體" w:hAnsi="標楷體" w:cs="新細明體" w:hint="eastAsia"/>
                                      <w:color w:val="000000"/>
                                      <w:sz w:val="20"/>
                                      <w:lang w:bidi="hi-IN"/>
                                    </w:rPr>
                                    <w:t>規定</w:t>
                                  </w:r>
                                  <w:r>
                                    <w:rPr>
                                      <w:rFonts w:ascii="標楷體" w:eastAsia="標楷體" w:hAnsi="標楷體" w:cs="新細明體" w:hint="eastAsia"/>
                                      <w:color w:val="000000"/>
                                      <w:sz w:val="20"/>
                                      <w:lang w:bidi="hi-IN"/>
                                    </w:rPr>
                                    <w:t>名稱</w:t>
                                  </w:r>
                                </w:p>
                              </w:tc>
                            </w:tr>
                            <w:tr w:rsidR="009474B3" w:rsidRPr="00B83E85" w14:paraId="2CC56D73" w14:textId="77777777" w:rsidTr="00612461">
                              <w:trPr>
                                <w:trHeight w:val="275"/>
                                <w:jc w:val="center"/>
                              </w:trPr>
                              <w:tc>
                                <w:tcPr>
                                  <w:tcW w:w="454" w:type="dxa"/>
                                  <w:tcBorders>
                                    <w:top w:val="single" w:sz="4" w:space="0" w:color="auto"/>
                                    <w:left w:val="single" w:sz="4" w:space="0" w:color="auto"/>
                                    <w:bottom w:val="single" w:sz="4" w:space="0" w:color="auto"/>
                                    <w:right w:val="single" w:sz="4" w:space="0" w:color="auto"/>
                                  </w:tcBorders>
                                  <w:vAlign w:val="center"/>
                                </w:tcPr>
                                <w:p w14:paraId="73247162"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w:t>
                                  </w:r>
                                </w:p>
                              </w:tc>
                              <w:tc>
                                <w:tcPr>
                                  <w:tcW w:w="4262" w:type="dxa"/>
                                  <w:tcBorders>
                                    <w:top w:val="single" w:sz="4" w:space="0" w:color="auto"/>
                                    <w:left w:val="single" w:sz="4" w:space="0" w:color="auto"/>
                                    <w:bottom w:val="single" w:sz="4" w:space="0" w:color="auto"/>
                                    <w:right w:val="single" w:sz="4" w:space="0" w:color="auto"/>
                                  </w:tcBorders>
                                  <w:vAlign w:val="center"/>
                                </w:tcPr>
                                <w:p w14:paraId="581EB2FD"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color w:val="000000"/>
                                      <w:sz w:val="20"/>
                                      <w:lang w:bidi="hi-IN"/>
                                    </w:rPr>
                                    <w:t>生活圈道路交通系統建設計畫補助執行要點</w:t>
                                  </w:r>
                                </w:p>
                              </w:tc>
                            </w:tr>
                            <w:tr w:rsidR="009474B3" w:rsidRPr="00B83E85" w14:paraId="5BD51F8A" w14:textId="77777777" w:rsidTr="00612461">
                              <w:trPr>
                                <w:trHeight w:val="193"/>
                                <w:jc w:val="center"/>
                              </w:trPr>
                              <w:tc>
                                <w:tcPr>
                                  <w:tcW w:w="454" w:type="dxa"/>
                                  <w:tcBorders>
                                    <w:top w:val="single" w:sz="4" w:space="0" w:color="auto"/>
                                    <w:left w:val="single" w:sz="4" w:space="0" w:color="auto"/>
                                    <w:bottom w:val="single" w:sz="4" w:space="0" w:color="auto"/>
                                    <w:right w:val="single" w:sz="4" w:space="0" w:color="auto"/>
                                  </w:tcBorders>
                                  <w:vAlign w:val="center"/>
                                </w:tcPr>
                                <w:p w14:paraId="2D04B0F1"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2</w:t>
                                  </w:r>
                                </w:p>
                              </w:tc>
                              <w:tc>
                                <w:tcPr>
                                  <w:tcW w:w="4262" w:type="dxa"/>
                                  <w:tcBorders>
                                    <w:top w:val="single" w:sz="4" w:space="0" w:color="auto"/>
                                    <w:left w:val="single" w:sz="4" w:space="0" w:color="auto"/>
                                    <w:bottom w:val="single" w:sz="4" w:space="0" w:color="auto"/>
                                    <w:right w:val="single" w:sz="4" w:space="0" w:color="auto"/>
                                  </w:tcBorders>
                                  <w:vAlign w:val="center"/>
                                </w:tcPr>
                                <w:p w14:paraId="2804D110"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bCs/>
                                      <w:color w:val="000000"/>
                                      <w:sz w:val="20"/>
                                      <w:lang w:bidi="hi-IN"/>
                                    </w:rPr>
                                    <w:t>臺灣城鄉風貌整體規劃示範計畫執行要點</w:t>
                                  </w:r>
                                </w:p>
                              </w:tc>
                            </w:tr>
                            <w:tr w:rsidR="009474B3" w:rsidRPr="00B83E85" w14:paraId="0CB3BF62"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1A27CAF9"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3</w:t>
                                  </w:r>
                                </w:p>
                              </w:tc>
                              <w:tc>
                                <w:tcPr>
                                  <w:tcW w:w="4262" w:type="dxa"/>
                                  <w:tcBorders>
                                    <w:top w:val="nil"/>
                                    <w:left w:val="single" w:sz="4" w:space="0" w:color="auto"/>
                                    <w:bottom w:val="single" w:sz="4" w:space="0" w:color="auto"/>
                                    <w:right w:val="single" w:sz="4" w:space="0" w:color="auto"/>
                                  </w:tcBorders>
                                  <w:vAlign w:val="center"/>
                                </w:tcPr>
                                <w:p w14:paraId="03A28422"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市區道路人本建設計畫執行要點</w:t>
                                  </w:r>
                                </w:p>
                              </w:tc>
                            </w:tr>
                            <w:tr w:rsidR="009474B3" w:rsidRPr="00B83E85" w14:paraId="7B7FB985"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66C1BA76"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4</w:t>
                                  </w:r>
                                </w:p>
                              </w:tc>
                              <w:tc>
                                <w:tcPr>
                                  <w:tcW w:w="4262" w:type="dxa"/>
                                  <w:tcBorders>
                                    <w:top w:val="nil"/>
                                    <w:left w:val="single" w:sz="4" w:space="0" w:color="auto"/>
                                    <w:bottom w:val="single" w:sz="4" w:space="0" w:color="auto"/>
                                    <w:right w:val="single" w:sz="4" w:space="0" w:color="auto"/>
                                  </w:tcBorders>
                                  <w:vAlign w:val="center"/>
                                </w:tcPr>
                                <w:p w14:paraId="311B32FC" w14:textId="77777777" w:rsidR="009474B3" w:rsidRPr="00B83E85" w:rsidRDefault="009474B3" w:rsidP="00612461">
                                  <w:pPr>
                                    <w:snapToGrid w:val="0"/>
                                    <w:spacing w:line="240" w:lineRule="exact"/>
                                    <w:rPr>
                                      <w:rFonts w:ascii="標楷體" w:eastAsia="標楷體" w:hAnsi="標楷體" w:cs="新細明體"/>
                                      <w:color w:val="000000"/>
                                      <w:spacing w:val="-10"/>
                                      <w:sz w:val="20"/>
                                    </w:rPr>
                                  </w:pPr>
                                  <w:r w:rsidRPr="00B83E85">
                                    <w:rPr>
                                      <w:rFonts w:ascii="標楷體" w:eastAsia="標楷體" w:hAnsi="標楷體" w:hint="eastAsia"/>
                                      <w:color w:val="000000"/>
                                      <w:spacing w:val="-10"/>
                                      <w:sz w:val="20"/>
                                    </w:rPr>
                                    <w:t>國家生技研究園區聯外道路興建計畫補助執行要點</w:t>
                                  </w:r>
                                </w:p>
                              </w:tc>
                            </w:tr>
                            <w:tr w:rsidR="009474B3" w:rsidRPr="00B83E85" w14:paraId="2BE762F8" w14:textId="77777777" w:rsidTr="00612461">
                              <w:trPr>
                                <w:trHeight w:val="297"/>
                                <w:jc w:val="center"/>
                              </w:trPr>
                              <w:tc>
                                <w:tcPr>
                                  <w:tcW w:w="454" w:type="dxa"/>
                                  <w:tcBorders>
                                    <w:top w:val="nil"/>
                                    <w:left w:val="single" w:sz="4" w:space="0" w:color="auto"/>
                                    <w:bottom w:val="single" w:sz="4" w:space="0" w:color="auto"/>
                                    <w:right w:val="single" w:sz="4" w:space="0" w:color="auto"/>
                                  </w:tcBorders>
                                  <w:vAlign w:val="center"/>
                                </w:tcPr>
                                <w:p w14:paraId="6DFD2A8F"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5</w:t>
                                  </w:r>
                                </w:p>
                              </w:tc>
                              <w:tc>
                                <w:tcPr>
                                  <w:tcW w:w="4262" w:type="dxa"/>
                                  <w:tcBorders>
                                    <w:top w:val="nil"/>
                                    <w:left w:val="single" w:sz="4" w:space="0" w:color="auto"/>
                                    <w:bottom w:val="single" w:sz="4" w:space="0" w:color="auto"/>
                                    <w:right w:val="single" w:sz="4" w:space="0" w:color="auto"/>
                                  </w:tcBorders>
                                  <w:vAlign w:val="center"/>
                                </w:tcPr>
                                <w:p w14:paraId="2456AAE9"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hint="eastAsia"/>
                                      <w:color w:val="000000"/>
                                      <w:sz w:val="20"/>
                                    </w:rPr>
                                    <w:t>內政部營建署補助高雄市政府辦理前鎮漁港建設專案中長程計畫下水道建設作業要點</w:t>
                                  </w:r>
                                </w:p>
                              </w:tc>
                            </w:tr>
                            <w:tr w:rsidR="009474B3" w:rsidRPr="00B83E85" w14:paraId="1FAB3BEA" w14:textId="77777777" w:rsidTr="00612461">
                              <w:trPr>
                                <w:trHeight w:val="351"/>
                                <w:jc w:val="center"/>
                              </w:trPr>
                              <w:tc>
                                <w:tcPr>
                                  <w:tcW w:w="454" w:type="dxa"/>
                                  <w:tcBorders>
                                    <w:top w:val="nil"/>
                                    <w:left w:val="single" w:sz="4" w:space="0" w:color="auto"/>
                                    <w:bottom w:val="single" w:sz="4" w:space="0" w:color="auto"/>
                                    <w:right w:val="single" w:sz="4" w:space="0" w:color="auto"/>
                                  </w:tcBorders>
                                  <w:vAlign w:val="center"/>
                                </w:tcPr>
                                <w:p w14:paraId="66CC9204"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6</w:t>
                                  </w:r>
                                </w:p>
                              </w:tc>
                              <w:tc>
                                <w:tcPr>
                                  <w:tcW w:w="4262" w:type="dxa"/>
                                  <w:tcBorders>
                                    <w:top w:val="nil"/>
                                    <w:left w:val="single" w:sz="4" w:space="0" w:color="auto"/>
                                    <w:bottom w:val="single" w:sz="4" w:space="0" w:color="auto"/>
                                    <w:right w:val="single" w:sz="4" w:space="0" w:color="auto"/>
                                  </w:tcBorders>
                                  <w:vAlign w:val="center"/>
                                </w:tcPr>
                                <w:p w14:paraId="510AA00F"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bCs/>
                                      <w:color w:val="000000"/>
                                      <w:sz w:val="20"/>
                                      <w:lang w:bidi="hi-IN"/>
                                    </w:rPr>
                                    <w:t>內政部補助地方政府辦理國土資訊系統相關推動業務補助作業要點</w:t>
                                  </w:r>
                                </w:p>
                              </w:tc>
                            </w:tr>
                            <w:tr w:rsidR="009474B3" w:rsidRPr="00B83E85" w14:paraId="5CB42124" w14:textId="77777777" w:rsidTr="00612461">
                              <w:trPr>
                                <w:trHeight w:val="429"/>
                                <w:jc w:val="center"/>
                              </w:trPr>
                              <w:tc>
                                <w:tcPr>
                                  <w:tcW w:w="454" w:type="dxa"/>
                                  <w:tcBorders>
                                    <w:top w:val="nil"/>
                                    <w:left w:val="single" w:sz="4" w:space="0" w:color="auto"/>
                                    <w:bottom w:val="single" w:sz="4" w:space="0" w:color="auto"/>
                                    <w:right w:val="single" w:sz="4" w:space="0" w:color="auto"/>
                                  </w:tcBorders>
                                  <w:vAlign w:val="center"/>
                                </w:tcPr>
                                <w:p w14:paraId="07263908"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7</w:t>
                                  </w:r>
                                </w:p>
                              </w:tc>
                              <w:tc>
                                <w:tcPr>
                                  <w:tcW w:w="4262" w:type="dxa"/>
                                  <w:tcBorders>
                                    <w:top w:val="nil"/>
                                    <w:left w:val="single" w:sz="4" w:space="0" w:color="auto"/>
                                    <w:bottom w:val="single" w:sz="4" w:space="0" w:color="auto"/>
                                    <w:right w:val="single" w:sz="4" w:space="0" w:color="auto"/>
                                  </w:tcBorders>
                                  <w:vAlign w:val="center"/>
                                </w:tcPr>
                                <w:p w14:paraId="6066A426"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中華民國一百零七年二月六日震災後危險建築物拆除經費補助執行要點</w:t>
                                  </w:r>
                                </w:p>
                              </w:tc>
                            </w:tr>
                            <w:tr w:rsidR="009474B3" w:rsidRPr="00B83E85" w14:paraId="716005E0" w14:textId="77777777" w:rsidTr="00612461">
                              <w:trPr>
                                <w:trHeight w:val="265"/>
                                <w:jc w:val="center"/>
                              </w:trPr>
                              <w:tc>
                                <w:tcPr>
                                  <w:tcW w:w="454" w:type="dxa"/>
                                  <w:tcBorders>
                                    <w:top w:val="nil"/>
                                    <w:left w:val="single" w:sz="4" w:space="0" w:color="auto"/>
                                    <w:bottom w:val="single" w:sz="4" w:space="0" w:color="auto"/>
                                    <w:right w:val="single" w:sz="4" w:space="0" w:color="auto"/>
                                  </w:tcBorders>
                                  <w:vAlign w:val="center"/>
                                </w:tcPr>
                                <w:p w14:paraId="05684C08"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8</w:t>
                                  </w:r>
                                </w:p>
                              </w:tc>
                              <w:tc>
                                <w:tcPr>
                                  <w:tcW w:w="4262" w:type="dxa"/>
                                  <w:tcBorders>
                                    <w:top w:val="nil"/>
                                    <w:left w:val="single" w:sz="4" w:space="0" w:color="auto"/>
                                    <w:bottom w:val="single" w:sz="4" w:space="0" w:color="auto"/>
                                    <w:right w:val="single" w:sz="4" w:space="0" w:color="auto"/>
                                  </w:tcBorders>
                                  <w:vAlign w:val="center"/>
                                </w:tcPr>
                                <w:p w14:paraId="0D397C3E"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加強綠建築推動計畫經費補助及管考執行要點</w:t>
                                  </w:r>
                                </w:p>
                              </w:tc>
                            </w:tr>
                            <w:tr w:rsidR="009474B3" w:rsidRPr="00B83E85" w14:paraId="1D7B1252" w14:textId="77777777" w:rsidTr="00612461">
                              <w:trPr>
                                <w:trHeight w:val="113"/>
                                <w:jc w:val="center"/>
                              </w:trPr>
                              <w:tc>
                                <w:tcPr>
                                  <w:tcW w:w="454" w:type="dxa"/>
                                  <w:tcBorders>
                                    <w:top w:val="nil"/>
                                    <w:left w:val="single" w:sz="4" w:space="0" w:color="auto"/>
                                    <w:bottom w:val="single" w:sz="4" w:space="0" w:color="auto"/>
                                    <w:right w:val="single" w:sz="4" w:space="0" w:color="auto"/>
                                  </w:tcBorders>
                                  <w:vAlign w:val="center"/>
                                </w:tcPr>
                                <w:p w14:paraId="0BCE5ACA"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9</w:t>
                                  </w:r>
                                </w:p>
                              </w:tc>
                              <w:tc>
                                <w:tcPr>
                                  <w:tcW w:w="4262" w:type="dxa"/>
                                  <w:tcBorders>
                                    <w:top w:val="nil"/>
                                    <w:left w:val="single" w:sz="4" w:space="0" w:color="auto"/>
                                    <w:bottom w:val="single" w:sz="4" w:space="0" w:color="auto"/>
                                    <w:right w:val="single" w:sz="4" w:space="0" w:color="auto"/>
                                  </w:tcBorders>
                                  <w:vAlign w:val="center"/>
                                </w:tcPr>
                                <w:p w14:paraId="067DA6F7" w14:textId="77777777" w:rsidR="009474B3" w:rsidRPr="00B83E85" w:rsidRDefault="009474B3" w:rsidP="00612461">
                                  <w:pPr>
                                    <w:snapToGrid w:val="0"/>
                                    <w:spacing w:line="240" w:lineRule="exact"/>
                                    <w:rPr>
                                      <w:rFonts w:ascii="標楷體" w:eastAsia="標楷體" w:hAnsi="標楷體" w:cs="標楷體"/>
                                      <w:color w:val="000000"/>
                                      <w:sz w:val="20"/>
                                    </w:rPr>
                                  </w:pPr>
                                  <w:r w:rsidRPr="00B83E85">
                                    <w:rPr>
                                      <w:rFonts w:ascii="標楷體" w:eastAsia="標楷體" w:hAnsi="標楷體" w:cs="新細明體" w:hint="eastAsia"/>
                                      <w:bCs/>
                                      <w:color w:val="000000"/>
                                      <w:sz w:val="20"/>
                                      <w:lang w:bidi="hi-IN"/>
                                    </w:rPr>
                                    <w:t>臺灣城鄉風貌整體規劃示範計畫執行要點</w:t>
                                  </w:r>
                                </w:p>
                              </w:tc>
                            </w:tr>
                            <w:tr w:rsidR="009474B3" w:rsidRPr="00B83E85" w14:paraId="0D7F911F"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157A9D4C"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10</w:t>
                                  </w:r>
                                </w:p>
                              </w:tc>
                              <w:tc>
                                <w:tcPr>
                                  <w:tcW w:w="4262" w:type="dxa"/>
                                  <w:tcBorders>
                                    <w:top w:val="nil"/>
                                    <w:left w:val="single" w:sz="4" w:space="0" w:color="auto"/>
                                    <w:bottom w:val="single" w:sz="4" w:space="0" w:color="auto"/>
                                    <w:right w:val="single" w:sz="4" w:space="0" w:color="auto"/>
                                  </w:tcBorders>
                                  <w:vAlign w:val="center"/>
                                </w:tcPr>
                                <w:p w14:paraId="1BF1275B" w14:textId="77777777" w:rsidR="009474B3" w:rsidRPr="00B83E85" w:rsidRDefault="009474B3" w:rsidP="00612461">
                                  <w:pPr>
                                    <w:snapToGrid w:val="0"/>
                                    <w:spacing w:line="240" w:lineRule="exact"/>
                                    <w:rPr>
                                      <w:rFonts w:ascii="標楷體" w:eastAsia="標楷體" w:hAnsi="標楷體" w:cs="標楷體"/>
                                      <w:color w:val="000000"/>
                                      <w:sz w:val="20"/>
                                    </w:rPr>
                                  </w:pPr>
                                  <w:r w:rsidRPr="00B83E85">
                                    <w:rPr>
                                      <w:rFonts w:ascii="標楷體" w:eastAsia="標楷體" w:hAnsi="標楷體" w:cs="標楷體" w:hint="eastAsia"/>
                                      <w:color w:val="000000"/>
                                      <w:sz w:val="20"/>
                                    </w:rPr>
                                    <w:t>都市計畫圖重製及加值運用計畫作業要點</w:t>
                                  </w:r>
                                </w:p>
                              </w:tc>
                            </w:tr>
                            <w:tr w:rsidR="009474B3" w:rsidRPr="00B83E85" w14:paraId="14C9F587" w14:textId="77777777" w:rsidTr="00612461">
                              <w:trPr>
                                <w:trHeight w:val="57"/>
                                <w:jc w:val="center"/>
                              </w:trPr>
                              <w:tc>
                                <w:tcPr>
                                  <w:tcW w:w="454" w:type="dxa"/>
                                  <w:tcBorders>
                                    <w:top w:val="nil"/>
                                    <w:left w:val="single" w:sz="4" w:space="0" w:color="auto"/>
                                    <w:bottom w:val="single" w:sz="4" w:space="0" w:color="auto"/>
                                    <w:right w:val="single" w:sz="4" w:space="0" w:color="auto"/>
                                  </w:tcBorders>
                                  <w:vAlign w:val="center"/>
                                </w:tcPr>
                                <w:p w14:paraId="71EF1B8A"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11</w:t>
                                  </w:r>
                                </w:p>
                              </w:tc>
                              <w:tc>
                                <w:tcPr>
                                  <w:tcW w:w="4262" w:type="dxa"/>
                                  <w:tcBorders>
                                    <w:top w:val="nil"/>
                                    <w:left w:val="single" w:sz="4" w:space="0" w:color="auto"/>
                                    <w:bottom w:val="single" w:sz="4" w:space="0" w:color="auto"/>
                                    <w:right w:val="single" w:sz="4" w:space="0" w:color="auto"/>
                                  </w:tcBorders>
                                  <w:vAlign w:val="center"/>
                                </w:tcPr>
                                <w:p w14:paraId="7D006FB2" w14:textId="77777777" w:rsidR="009474B3" w:rsidRPr="00B83E85" w:rsidRDefault="009474B3" w:rsidP="00612461">
                                  <w:pPr>
                                    <w:adjustRightInd w:val="0"/>
                                    <w:snapToGrid w:val="0"/>
                                    <w:spacing w:line="240" w:lineRule="exact"/>
                                    <w:rPr>
                                      <w:rFonts w:ascii="標楷體" w:eastAsia="標楷體" w:hAnsi="標楷體" w:cs="標楷體"/>
                                      <w:color w:val="000000"/>
                                      <w:spacing w:val="-10"/>
                                      <w:sz w:val="20"/>
                                    </w:rPr>
                                  </w:pPr>
                                  <w:r w:rsidRPr="00B83E85">
                                    <w:rPr>
                                      <w:rFonts w:ascii="標楷體" w:eastAsia="標楷體" w:hAnsi="標楷體" w:cs="標楷體" w:hint="eastAsia"/>
                                      <w:color w:val="000000"/>
                                      <w:spacing w:val="-10"/>
                                      <w:sz w:val="20"/>
                                    </w:rPr>
                                    <w:t>花東地區養生休閒及人才東移推動計畫補助作業規定</w:t>
                                  </w:r>
                                </w:p>
                              </w:tc>
                            </w:tr>
                            <w:tr w:rsidR="009474B3" w:rsidRPr="00B83E85" w14:paraId="0121D8D9" w14:textId="77777777" w:rsidTr="00612461">
                              <w:trPr>
                                <w:trHeight w:val="58"/>
                                <w:jc w:val="center"/>
                              </w:trPr>
                              <w:tc>
                                <w:tcPr>
                                  <w:tcW w:w="454" w:type="dxa"/>
                                  <w:tcBorders>
                                    <w:top w:val="nil"/>
                                    <w:left w:val="single" w:sz="4" w:space="0" w:color="auto"/>
                                    <w:bottom w:val="single" w:sz="4" w:space="0" w:color="auto"/>
                                    <w:right w:val="single" w:sz="4" w:space="0" w:color="auto"/>
                                  </w:tcBorders>
                                  <w:vAlign w:val="center"/>
                                </w:tcPr>
                                <w:p w14:paraId="22DD0B3F"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12</w:t>
                                  </w:r>
                                </w:p>
                              </w:tc>
                              <w:tc>
                                <w:tcPr>
                                  <w:tcW w:w="4262" w:type="dxa"/>
                                  <w:tcBorders>
                                    <w:top w:val="nil"/>
                                    <w:left w:val="single" w:sz="4" w:space="0" w:color="auto"/>
                                    <w:bottom w:val="single" w:sz="4" w:space="0" w:color="auto"/>
                                    <w:right w:val="single" w:sz="4" w:space="0" w:color="auto"/>
                                  </w:tcBorders>
                                  <w:vAlign w:val="center"/>
                                </w:tcPr>
                                <w:p w14:paraId="15052324" w14:textId="77777777" w:rsidR="009474B3" w:rsidRPr="00B83E85" w:rsidRDefault="009474B3" w:rsidP="00612461">
                                  <w:pPr>
                                    <w:adjustRightInd w:val="0"/>
                                    <w:snapToGrid w:val="0"/>
                                    <w:spacing w:line="240" w:lineRule="exact"/>
                                    <w:rPr>
                                      <w:rFonts w:ascii="標楷體" w:eastAsia="標楷體" w:hAnsi="標楷體" w:cs="新細明體"/>
                                      <w:bCs/>
                                      <w:color w:val="000000"/>
                                      <w:spacing w:val="-10"/>
                                      <w:sz w:val="20"/>
                                      <w:lang w:bidi="hi-IN"/>
                                    </w:rPr>
                                  </w:pPr>
                                  <w:r w:rsidRPr="00B83E85">
                                    <w:rPr>
                                      <w:rFonts w:ascii="標楷體" w:eastAsia="標楷體" w:hAnsi="標楷體" w:cs="標楷體" w:hint="eastAsia"/>
                                      <w:color w:val="000000"/>
                                      <w:spacing w:val="-10"/>
                                      <w:sz w:val="20"/>
                                    </w:rPr>
                                    <w:t>內政部營建署補助地方政府辦理營建剩餘土石方處理規劃及土石方資源收容處理場所設置管理作業要點</w:t>
                                  </w:r>
                                </w:p>
                              </w:tc>
                            </w:tr>
                            <w:tr w:rsidR="009474B3" w:rsidRPr="00B83E85" w14:paraId="18FE1E05" w14:textId="77777777" w:rsidTr="00612461">
                              <w:trPr>
                                <w:trHeight w:val="58"/>
                                <w:jc w:val="center"/>
                              </w:trPr>
                              <w:tc>
                                <w:tcPr>
                                  <w:tcW w:w="454" w:type="dxa"/>
                                  <w:tcBorders>
                                    <w:top w:val="nil"/>
                                    <w:left w:val="single" w:sz="4" w:space="0" w:color="auto"/>
                                    <w:bottom w:val="single" w:sz="4" w:space="0" w:color="auto"/>
                                    <w:right w:val="single" w:sz="4" w:space="0" w:color="auto"/>
                                  </w:tcBorders>
                                  <w:vAlign w:val="center"/>
                                </w:tcPr>
                                <w:p w14:paraId="0A88BC3A"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13</w:t>
                                  </w:r>
                                </w:p>
                              </w:tc>
                              <w:tc>
                                <w:tcPr>
                                  <w:tcW w:w="4262" w:type="dxa"/>
                                  <w:tcBorders>
                                    <w:top w:val="nil"/>
                                    <w:left w:val="single" w:sz="4" w:space="0" w:color="auto"/>
                                    <w:bottom w:val="single" w:sz="4" w:space="0" w:color="auto"/>
                                    <w:right w:val="single" w:sz="4" w:space="0" w:color="auto"/>
                                  </w:tcBorders>
                                  <w:vAlign w:val="center"/>
                                </w:tcPr>
                                <w:p w14:paraId="3AA9A3CF" w14:textId="77777777" w:rsidR="009474B3" w:rsidRPr="00B83E85" w:rsidRDefault="009474B3" w:rsidP="00612461">
                                  <w:pPr>
                                    <w:adjustRightInd w:val="0"/>
                                    <w:snapToGrid w:val="0"/>
                                    <w:spacing w:line="240" w:lineRule="exact"/>
                                    <w:rPr>
                                      <w:rFonts w:ascii="標楷體" w:eastAsia="標楷體" w:hAnsi="標楷體"/>
                                      <w:color w:val="000000"/>
                                      <w:sz w:val="20"/>
                                    </w:rPr>
                                  </w:pPr>
                                  <w:r w:rsidRPr="00B83E85">
                                    <w:rPr>
                                      <w:rFonts w:ascii="標楷體" w:eastAsia="標楷體" w:hAnsi="標楷體" w:hint="eastAsia"/>
                                      <w:color w:val="000000"/>
                                      <w:sz w:val="20"/>
                                    </w:rPr>
                                    <w:t>建築物實施耐震能力評估及補強方案經費補助及執行管考要點</w:t>
                                  </w:r>
                                </w:p>
                              </w:tc>
                            </w:tr>
                            <w:tr w:rsidR="009474B3" w:rsidRPr="00B83E85" w14:paraId="5EB5A271" w14:textId="77777777" w:rsidTr="00612461">
                              <w:trPr>
                                <w:trHeight w:val="20"/>
                                <w:jc w:val="center"/>
                              </w:trPr>
                              <w:tc>
                                <w:tcPr>
                                  <w:tcW w:w="454" w:type="dxa"/>
                                  <w:tcBorders>
                                    <w:top w:val="single" w:sz="4" w:space="0" w:color="auto"/>
                                    <w:left w:val="single" w:sz="4" w:space="0" w:color="auto"/>
                                    <w:bottom w:val="single" w:sz="4" w:space="0" w:color="auto"/>
                                    <w:right w:val="single" w:sz="4" w:space="0" w:color="auto"/>
                                  </w:tcBorders>
                                  <w:vAlign w:val="center"/>
                                </w:tcPr>
                                <w:p w14:paraId="67D2717E"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14</w:t>
                                  </w:r>
                                </w:p>
                              </w:tc>
                              <w:tc>
                                <w:tcPr>
                                  <w:tcW w:w="4262" w:type="dxa"/>
                                  <w:tcBorders>
                                    <w:top w:val="single" w:sz="4" w:space="0" w:color="auto"/>
                                    <w:left w:val="single" w:sz="4" w:space="0" w:color="auto"/>
                                    <w:bottom w:val="single" w:sz="4" w:space="0" w:color="auto"/>
                                    <w:right w:val="single" w:sz="4" w:space="0" w:color="auto"/>
                                  </w:tcBorders>
                                  <w:vAlign w:val="center"/>
                                </w:tcPr>
                                <w:p w14:paraId="0F58DA26"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bCs/>
                                      <w:color w:val="000000"/>
                                      <w:sz w:val="20"/>
                                      <w:lang w:bidi="hi-IN"/>
                                    </w:rPr>
                                    <w:t>提升道路品質計畫（內政部）2.0補助執行要點</w:t>
                                  </w:r>
                                </w:p>
                              </w:tc>
                            </w:tr>
                            <w:tr w:rsidR="009474B3" w:rsidRPr="00B83E85" w14:paraId="09AC1E5F"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7925C38E"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15</w:t>
                                  </w:r>
                                </w:p>
                              </w:tc>
                              <w:tc>
                                <w:tcPr>
                                  <w:tcW w:w="4262" w:type="dxa"/>
                                  <w:tcBorders>
                                    <w:top w:val="nil"/>
                                    <w:left w:val="single" w:sz="4" w:space="0" w:color="auto"/>
                                    <w:bottom w:val="single" w:sz="4" w:space="0" w:color="auto"/>
                                    <w:right w:val="single" w:sz="4" w:space="0" w:color="auto"/>
                                  </w:tcBorders>
                                  <w:vAlign w:val="center"/>
                                </w:tcPr>
                                <w:p w14:paraId="38CC1E1D"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內政部國土管理署辦理縣市管河川及區域排水整體改善計畫補助作業注意事項</w:t>
                                  </w:r>
                                </w:p>
                              </w:tc>
                            </w:tr>
                            <w:tr w:rsidR="009474B3" w:rsidRPr="00B83E85" w14:paraId="188DC5B3"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2B15E234"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16</w:t>
                                  </w:r>
                                </w:p>
                              </w:tc>
                              <w:tc>
                                <w:tcPr>
                                  <w:tcW w:w="4262" w:type="dxa"/>
                                  <w:tcBorders>
                                    <w:top w:val="nil"/>
                                    <w:left w:val="single" w:sz="4" w:space="0" w:color="auto"/>
                                    <w:bottom w:val="single" w:sz="4" w:space="0" w:color="auto"/>
                                    <w:right w:val="single" w:sz="4" w:space="0" w:color="auto"/>
                                  </w:tcBorders>
                                  <w:vAlign w:val="center"/>
                                </w:tcPr>
                                <w:p w14:paraId="0193A782"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內政部營建署補助直轄市及縣（市）政府辦理污水下水道建設計畫作業要點</w:t>
                                  </w:r>
                                </w:p>
                              </w:tc>
                            </w:tr>
                            <w:tr w:rsidR="009474B3" w:rsidRPr="00B83E85" w14:paraId="1384B221"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11E62299"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17</w:t>
                                  </w:r>
                                </w:p>
                              </w:tc>
                              <w:tc>
                                <w:tcPr>
                                  <w:tcW w:w="4262" w:type="dxa"/>
                                  <w:tcBorders>
                                    <w:top w:val="nil"/>
                                    <w:left w:val="single" w:sz="4" w:space="0" w:color="auto"/>
                                    <w:bottom w:val="single" w:sz="4" w:space="0" w:color="auto"/>
                                    <w:right w:val="single" w:sz="4" w:space="0" w:color="auto"/>
                                  </w:tcBorders>
                                  <w:vAlign w:val="center"/>
                                </w:tcPr>
                                <w:p w14:paraId="44C9F9E5"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內政部營建署補助直轄市及縣（市）政府辦理雨水下水道建設計畫作業要點</w:t>
                                  </w:r>
                                </w:p>
                              </w:tc>
                            </w:tr>
                            <w:tr w:rsidR="009474B3" w:rsidRPr="00B83E85" w14:paraId="2F0379AC"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64B25562"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18</w:t>
                                  </w:r>
                                </w:p>
                              </w:tc>
                              <w:tc>
                                <w:tcPr>
                                  <w:tcW w:w="4262" w:type="dxa"/>
                                  <w:tcBorders>
                                    <w:top w:val="nil"/>
                                    <w:left w:val="single" w:sz="4" w:space="0" w:color="auto"/>
                                    <w:bottom w:val="single" w:sz="4" w:space="0" w:color="auto"/>
                                    <w:right w:val="single" w:sz="4" w:space="0" w:color="auto"/>
                                  </w:tcBorders>
                                  <w:vAlign w:val="center"/>
                                </w:tcPr>
                                <w:p w14:paraId="28826FB0"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全國水環境改善計畫執行作業注意事項</w:t>
                                  </w:r>
                                </w:p>
                              </w:tc>
                            </w:tr>
                          </w:tbl>
                          <w:p w14:paraId="335F80F2" w14:textId="77777777" w:rsidR="009474B3" w:rsidRDefault="009474B3" w:rsidP="009474B3">
                            <w:pPr>
                              <w:pStyle w:val="-123"/>
                              <w:adjustRightInd w:val="0"/>
                              <w:snapToGrid w:val="0"/>
                              <w:spacing w:line="240" w:lineRule="exact"/>
                              <w:rPr>
                                <w:bCs w:val="0"/>
                                <w:snapToGrid w:val="0"/>
                                <w:sz w:val="20"/>
                                <w:szCs w:val="20"/>
                              </w:rPr>
                            </w:pPr>
                            <w:r w:rsidRPr="007F0B09">
                              <w:rPr>
                                <w:rFonts w:hint="eastAsia"/>
                                <w:bCs w:val="0"/>
                                <w:snapToGrid w:val="0"/>
                                <w:sz w:val="18"/>
                                <w:szCs w:val="18"/>
                              </w:rPr>
                              <w:t>資料來源：整理自</w:t>
                            </w:r>
                            <w:r>
                              <w:rPr>
                                <w:rFonts w:hint="eastAsia"/>
                                <w:bCs w:val="0"/>
                                <w:snapToGrid w:val="0"/>
                                <w:sz w:val="18"/>
                                <w:szCs w:val="18"/>
                              </w:rPr>
                              <w:t>內政部</w:t>
                            </w:r>
                            <w:r w:rsidRPr="007F0B09">
                              <w:rPr>
                                <w:bCs w:val="0"/>
                                <w:snapToGrid w:val="0"/>
                                <w:sz w:val="18"/>
                                <w:szCs w:val="18"/>
                              </w:rPr>
                              <w:t>國土</w:t>
                            </w:r>
                            <w:r>
                              <w:rPr>
                                <w:rFonts w:hint="eastAsia"/>
                                <w:bCs w:val="0"/>
                                <w:snapToGrid w:val="0"/>
                                <w:sz w:val="18"/>
                                <w:szCs w:val="18"/>
                              </w:rPr>
                              <w:t>管理</w:t>
                            </w:r>
                            <w:r w:rsidRPr="007F0B09">
                              <w:rPr>
                                <w:bCs w:val="0"/>
                                <w:snapToGrid w:val="0"/>
                                <w:sz w:val="18"/>
                                <w:szCs w:val="18"/>
                              </w:rPr>
                              <w:t>署提供資料</w:t>
                            </w:r>
                            <w:r w:rsidRPr="007F0B09">
                              <w:rPr>
                                <w:rFonts w:hint="eastAsia"/>
                                <w:bCs w:val="0"/>
                                <w:snapToGrid w:val="0"/>
                                <w:sz w:val="18"/>
                                <w:szCs w:val="18"/>
                              </w:rPr>
                              <w:t>。</w:t>
                            </w:r>
                          </w:p>
                          <w:p w14:paraId="71E28600" w14:textId="77777777" w:rsidR="009474B3" w:rsidRPr="00B83E85" w:rsidRDefault="009474B3" w:rsidP="009474B3">
                            <w:pPr>
                              <w:rPr>
                                <w:rFonts w:ascii="標楷體" w:eastAsia="標楷體" w:hAnsi="標楷體"/>
                                <w:b/>
                                <w:bCs/>
                                <w:snapToGrid w:val="0"/>
                                <w:spacing w:val="-20"/>
                              </w:rPr>
                            </w:pPr>
                          </w:p>
                          <w:p w14:paraId="1A3B8FC9" w14:textId="77777777" w:rsidR="009474B3" w:rsidRPr="00CB312A" w:rsidRDefault="009474B3" w:rsidP="009474B3">
                            <w:pPr>
                              <w:rPr>
                                <w:rFonts w:ascii="標楷體" w:eastAsia="標楷體" w:hAnsi="標楷體"/>
                                <w:spacing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6FA7F7" id="_x0000_s1152" type="#_x0000_t202" style="position:absolute;left:0;text-align:left;margin-left:243.75pt;margin-top:144.9pt;width:252pt;height:399.3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" stroked="f">
                <v:textbox>
                  <w:txbxContent>
                    <w:p w14:paraId="2FFBAD40" w14:textId="0B8EE22D" w:rsidR="009474B3" w:rsidRPr="002636FD" w:rsidRDefault="009474B3" w:rsidP="009474B3">
                      <w:pPr>
                        <w:spacing w:line="240" w:lineRule="exact"/>
                        <w:ind w:left="780" w:hangingChars="330" w:hanging="780"/>
                        <w:rPr>
                          <w:rFonts w:ascii="標楷體" w:eastAsia="標楷體" w:hAnsi="標楷體" w:cs="新細明體-ExtB"/>
                          <w:b/>
                          <w:bCs/>
                          <w:snapToGrid w:val="0"/>
                        </w:rPr>
                      </w:pPr>
                      <w:r w:rsidRPr="008F2458">
                        <w:rPr>
                          <w:rFonts w:ascii="標楷體" w:eastAsia="標楷體" w:hAnsi="標楷體" w:hint="eastAsia"/>
                          <w:b/>
                          <w:bCs/>
                          <w:snapToGrid w:val="0"/>
                          <w:spacing w:val="-2"/>
                        </w:rPr>
                        <w:t>表</w:t>
                      </w:r>
                      <w:r>
                        <w:rPr>
                          <w:rFonts w:ascii="標楷體" w:eastAsia="標楷體" w:hAnsi="標楷體" w:hint="eastAsia"/>
                          <w:b/>
                          <w:bCs/>
                          <w:snapToGrid w:val="0"/>
                          <w:spacing w:val="-2"/>
                        </w:rPr>
                        <w:t>4</w:t>
                      </w:r>
                      <w:r>
                        <w:rPr>
                          <w:rFonts w:ascii="標楷體" w:eastAsia="標楷體" w:hAnsi="標楷體"/>
                          <w:b/>
                          <w:bCs/>
                          <w:snapToGrid w:val="0"/>
                          <w:spacing w:val="-2"/>
                        </w:rPr>
                        <w:t>5</w:t>
                      </w:r>
                      <w:r w:rsidRPr="008F2458">
                        <w:rPr>
                          <w:rFonts w:ascii="標楷體" w:eastAsia="標楷體" w:hAnsi="標楷體" w:hint="eastAsia"/>
                          <w:b/>
                          <w:bCs/>
                          <w:snapToGrid w:val="0"/>
                          <w:spacing w:val="-2"/>
                        </w:rPr>
                        <w:t xml:space="preserve">　</w:t>
                      </w:r>
                      <w:r w:rsidR="00C408D6">
                        <w:rPr>
                          <w:rFonts w:ascii="標楷體" w:eastAsia="標楷體" w:hAnsi="標楷體" w:hint="eastAsia"/>
                          <w:b/>
                          <w:bCs/>
                          <w:snapToGrid w:val="0"/>
                          <w:spacing w:val="-2"/>
                        </w:rPr>
                        <w:t>國土管理署補助計畫執行要點規定未將</w:t>
                      </w:r>
                      <w:r w:rsidRPr="0060179F">
                        <w:rPr>
                          <w:rFonts w:ascii="標楷體" w:eastAsia="標楷體" w:hAnsi="標楷體" w:hint="eastAsia"/>
                          <w:b/>
                          <w:bCs/>
                          <w:snapToGrid w:val="0"/>
                          <w:spacing w:val="-2"/>
                        </w:rPr>
                        <w:t>計畫執行完竣後使用效益</w:t>
                      </w:r>
                      <w:r w:rsidR="00C408D6">
                        <w:rPr>
                          <w:rFonts w:ascii="標楷體" w:eastAsia="標楷體" w:hAnsi="標楷體" w:hint="eastAsia"/>
                          <w:b/>
                          <w:bCs/>
                          <w:snapToGrid w:val="0"/>
                          <w:spacing w:val="-2"/>
                        </w:rPr>
                        <w:t>納入</w:t>
                      </w:r>
                      <w:r w:rsidR="00C408D6" w:rsidRPr="0060179F">
                        <w:rPr>
                          <w:rFonts w:ascii="標楷體" w:eastAsia="標楷體" w:hAnsi="標楷體" w:hint="eastAsia"/>
                          <w:b/>
                          <w:bCs/>
                          <w:snapToGrid w:val="0"/>
                          <w:spacing w:val="-2"/>
                        </w:rPr>
                        <w:t>管考查核項目</w:t>
                      </w:r>
                      <w:r w:rsidR="00C408D6">
                        <w:rPr>
                          <w:rFonts w:ascii="標楷體" w:eastAsia="標楷體" w:hAnsi="標楷體" w:hint="eastAsia"/>
                          <w:b/>
                          <w:bCs/>
                          <w:snapToGrid w:val="0"/>
                          <w:spacing w:val="-2"/>
                        </w:rPr>
                        <w:t>情形</w:t>
                      </w:r>
                    </w:p>
                    <w:tbl>
                      <w:tblPr>
                        <w:tblW w:w="4716" w:type="dxa"/>
                        <w:jc w:val="center"/>
                        <w:tblCellMar>
                          <w:left w:w="28" w:type="dxa"/>
                          <w:right w:w="28" w:type="dxa"/>
                        </w:tblCellMar>
                        <w:tblLook w:val="00A0" w:firstRow="1" w:lastRow="0" w:firstColumn="1" w:lastColumn="0" w:noHBand="0" w:noVBand="0"/>
                      </w:tblPr>
                      <w:tblGrid>
                        <w:gridCol w:w="454"/>
                        <w:gridCol w:w="4262"/>
                      </w:tblGrid>
                      <w:tr w:rsidR="009474B3" w:rsidRPr="00B83E85" w14:paraId="3CD93073" w14:textId="77777777" w:rsidTr="00612461">
                        <w:trPr>
                          <w:trHeight w:val="113"/>
                          <w:tblHeader/>
                          <w:jc w:val="center"/>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6532485D" w14:textId="77777777" w:rsidR="009474B3" w:rsidRPr="00C61F5E" w:rsidRDefault="009474B3" w:rsidP="00612461">
                            <w:pPr>
                              <w:adjustRightInd w:val="0"/>
                              <w:snapToGrid w:val="0"/>
                              <w:jc w:val="center"/>
                              <w:rPr>
                                <w:rFonts w:ascii="標楷體" w:eastAsia="標楷體" w:hAnsi="標楷體" w:cs="新細明體"/>
                                <w:color w:val="000000"/>
                                <w:spacing w:val="-20"/>
                                <w:sz w:val="20"/>
                                <w:lang w:bidi="hi-IN"/>
                              </w:rPr>
                            </w:pPr>
                            <w:r w:rsidRPr="00C61F5E">
                              <w:rPr>
                                <w:rFonts w:ascii="標楷體" w:eastAsia="標楷體" w:hAnsi="標楷體" w:cs="新細明體" w:hint="eastAsia"/>
                                <w:color w:val="000000"/>
                                <w:spacing w:val="-20"/>
                                <w:sz w:val="20"/>
                                <w:lang w:bidi="hi-IN"/>
                              </w:rPr>
                              <w:t>項次</w:t>
                            </w:r>
                          </w:p>
                        </w:tc>
                        <w:tc>
                          <w:tcPr>
                            <w:tcW w:w="4262" w:type="dxa"/>
                            <w:tcBorders>
                              <w:top w:val="single" w:sz="4" w:space="0" w:color="auto"/>
                              <w:left w:val="single" w:sz="4" w:space="0" w:color="auto"/>
                              <w:bottom w:val="single" w:sz="4" w:space="0" w:color="auto"/>
                              <w:right w:val="single" w:sz="4" w:space="0" w:color="auto"/>
                            </w:tcBorders>
                            <w:shd w:val="clear" w:color="auto" w:fill="auto"/>
                            <w:vAlign w:val="center"/>
                          </w:tcPr>
                          <w:p w14:paraId="550F0900" w14:textId="77777777" w:rsidR="009474B3" w:rsidRPr="00C61F5E" w:rsidRDefault="009474B3" w:rsidP="00612461">
                            <w:pPr>
                              <w:adjustRightInd w:val="0"/>
                              <w:snapToGrid w:val="0"/>
                              <w:jc w:val="center"/>
                              <w:rPr>
                                <w:rFonts w:ascii="標楷體" w:eastAsia="標楷體" w:hAnsi="標楷體" w:cs="新細明體"/>
                                <w:color w:val="000000"/>
                                <w:sz w:val="20"/>
                                <w:lang w:bidi="hi-IN"/>
                              </w:rPr>
                            </w:pPr>
                            <w:r w:rsidRPr="00C61F5E">
                              <w:rPr>
                                <w:rFonts w:ascii="標楷體" w:eastAsia="標楷體" w:hAnsi="標楷體" w:cs="新細明體" w:hint="eastAsia"/>
                                <w:color w:val="000000"/>
                                <w:sz w:val="20"/>
                                <w:lang w:bidi="hi-IN"/>
                              </w:rPr>
                              <w:t>規定</w:t>
                            </w:r>
                            <w:r>
                              <w:rPr>
                                <w:rFonts w:ascii="標楷體" w:eastAsia="標楷體" w:hAnsi="標楷體" w:cs="新細明體" w:hint="eastAsia"/>
                                <w:color w:val="000000"/>
                                <w:sz w:val="20"/>
                                <w:lang w:bidi="hi-IN"/>
                              </w:rPr>
                              <w:t>名稱</w:t>
                            </w:r>
                          </w:p>
                        </w:tc>
                      </w:tr>
                      <w:tr w:rsidR="009474B3" w:rsidRPr="00B83E85" w14:paraId="2CC56D73" w14:textId="77777777" w:rsidTr="00612461">
                        <w:trPr>
                          <w:trHeight w:val="275"/>
                          <w:jc w:val="center"/>
                        </w:trPr>
                        <w:tc>
                          <w:tcPr>
                            <w:tcW w:w="454" w:type="dxa"/>
                            <w:tcBorders>
                              <w:top w:val="single" w:sz="4" w:space="0" w:color="auto"/>
                              <w:left w:val="single" w:sz="4" w:space="0" w:color="auto"/>
                              <w:bottom w:val="single" w:sz="4" w:space="0" w:color="auto"/>
                              <w:right w:val="single" w:sz="4" w:space="0" w:color="auto"/>
                            </w:tcBorders>
                            <w:vAlign w:val="center"/>
                          </w:tcPr>
                          <w:p w14:paraId="73247162"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w:t>
                            </w:r>
                          </w:p>
                        </w:tc>
                        <w:tc>
                          <w:tcPr>
                            <w:tcW w:w="4262" w:type="dxa"/>
                            <w:tcBorders>
                              <w:top w:val="single" w:sz="4" w:space="0" w:color="auto"/>
                              <w:left w:val="single" w:sz="4" w:space="0" w:color="auto"/>
                              <w:bottom w:val="single" w:sz="4" w:space="0" w:color="auto"/>
                              <w:right w:val="single" w:sz="4" w:space="0" w:color="auto"/>
                            </w:tcBorders>
                            <w:vAlign w:val="center"/>
                          </w:tcPr>
                          <w:p w14:paraId="581EB2FD"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color w:val="000000"/>
                                <w:sz w:val="20"/>
                                <w:lang w:bidi="hi-IN"/>
                              </w:rPr>
                              <w:t>生活圈道路交通系統建設計畫補助執行要點</w:t>
                            </w:r>
                          </w:p>
                        </w:tc>
                      </w:tr>
                      <w:tr w:rsidR="009474B3" w:rsidRPr="00B83E85" w14:paraId="5BD51F8A" w14:textId="77777777" w:rsidTr="00612461">
                        <w:trPr>
                          <w:trHeight w:val="193"/>
                          <w:jc w:val="center"/>
                        </w:trPr>
                        <w:tc>
                          <w:tcPr>
                            <w:tcW w:w="454" w:type="dxa"/>
                            <w:tcBorders>
                              <w:top w:val="single" w:sz="4" w:space="0" w:color="auto"/>
                              <w:left w:val="single" w:sz="4" w:space="0" w:color="auto"/>
                              <w:bottom w:val="single" w:sz="4" w:space="0" w:color="auto"/>
                              <w:right w:val="single" w:sz="4" w:space="0" w:color="auto"/>
                            </w:tcBorders>
                            <w:vAlign w:val="center"/>
                          </w:tcPr>
                          <w:p w14:paraId="2D04B0F1"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2</w:t>
                            </w:r>
                          </w:p>
                        </w:tc>
                        <w:tc>
                          <w:tcPr>
                            <w:tcW w:w="4262" w:type="dxa"/>
                            <w:tcBorders>
                              <w:top w:val="single" w:sz="4" w:space="0" w:color="auto"/>
                              <w:left w:val="single" w:sz="4" w:space="0" w:color="auto"/>
                              <w:bottom w:val="single" w:sz="4" w:space="0" w:color="auto"/>
                              <w:right w:val="single" w:sz="4" w:space="0" w:color="auto"/>
                            </w:tcBorders>
                            <w:vAlign w:val="center"/>
                          </w:tcPr>
                          <w:p w14:paraId="2804D110"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bCs/>
                                <w:color w:val="000000"/>
                                <w:sz w:val="20"/>
                                <w:lang w:bidi="hi-IN"/>
                              </w:rPr>
                              <w:t>臺灣城鄉風貌整體規劃示範計畫執行要點</w:t>
                            </w:r>
                          </w:p>
                        </w:tc>
                      </w:tr>
                      <w:tr w:rsidR="009474B3" w:rsidRPr="00B83E85" w14:paraId="0CB3BF62"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1A27CAF9"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3</w:t>
                            </w:r>
                          </w:p>
                        </w:tc>
                        <w:tc>
                          <w:tcPr>
                            <w:tcW w:w="4262" w:type="dxa"/>
                            <w:tcBorders>
                              <w:top w:val="nil"/>
                              <w:left w:val="single" w:sz="4" w:space="0" w:color="auto"/>
                              <w:bottom w:val="single" w:sz="4" w:space="0" w:color="auto"/>
                              <w:right w:val="single" w:sz="4" w:space="0" w:color="auto"/>
                            </w:tcBorders>
                            <w:vAlign w:val="center"/>
                          </w:tcPr>
                          <w:p w14:paraId="03A28422"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市區道路人本建設計畫執行要點</w:t>
                            </w:r>
                          </w:p>
                        </w:tc>
                      </w:tr>
                      <w:tr w:rsidR="009474B3" w:rsidRPr="00B83E85" w14:paraId="7B7FB985"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66C1BA76"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4</w:t>
                            </w:r>
                          </w:p>
                        </w:tc>
                        <w:tc>
                          <w:tcPr>
                            <w:tcW w:w="4262" w:type="dxa"/>
                            <w:tcBorders>
                              <w:top w:val="nil"/>
                              <w:left w:val="single" w:sz="4" w:space="0" w:color="auto"/>
                              <w:bottom w:val="single" w:sz="4" w:space="0" w:color="auto"/>
                              <w:right w:val="single" w:sz="4" w:space="0" w:color="auto"/>
                            </w:tcBorders>
                            <w:vAlign w:val="center"/>
                          </w:tcPr>
                          <w:p w14:paraId="311B32FC" w14:textId="77777777" w:rsidR="009474B3" w:rsidRPr="00B83E85" w:rsidRDefault="009474B3" w:rsidP="00612461">
                            <w:pPr>
                              <w:snapToGrid w:val="0"/>
                              <w:spacing w:line="240" w:lineRule="exact"/>
                              <w:rPr>
                                <w:rFonts w:ascii="標楷體" w:eastAsia="標楷體" w:hAnsi="標楷體" w:cs="新細明體"/>
                                <w:color w:val="000000"/>
                                <w:spacing w:val="-10"/>
                                <w:sz w:val="20"/>
                              </w:rPr>
                            </w:pPr>
                            <w:r w:rsidRPr="00B83E85">
                              <w:rPr>
                                <w:rFonts w:ascii="標楷體" w:eastAsia="標楷體" w:hAnsi="標楷體" w:hint="eastAsia"/>
                                <w:color w:val="000000"/>
                                <w:spacing w:val="-10"/>
                                <w:sz w:val="20"/>
                              </w:rPr>
                              <w:t>國家生技研究園區聯外道路興建計畫補助執行要點</w:t>
                            </w:r>
                          </w:p>
                        </w:tc>
                      </w:tr>
                      <w:tr w:rsidR="009474B3" w:rsidRPr="00B83E85" w14:paraId="2BE762F8" w14:textId="77777777" w:rsidTr="00612461">
                        <w:trPr>
                          <w:trHeight w:val="297"/>
                          <w:jc w:val="center"/>
                        </w:trPr>
                        <w:tc>
                          <w:tcPr>
                            <w:tcW w:w="454" w:type="dxa"/>
                            <w:tcBorders>
                              <w:top w:val="nil"/>
                              <w:left w:val="single" w:sz="4" w:space="0" w:color="auto"/>
                              <w:bottom w:val="single" w:sz="4" w:space="0" w:color="auto"/>
                              <w:right w:val="single" w:sz="4" w:space="0" w:color="auto"/>
                            </w:tcBorders>
                            <w:vAlign w:val="center"/>
                          </w:tcPr>
                          <w:p w14:paraId="6DFD2A8F"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5</w:t>
                            </w:r>
                          </w:p>
                        </w:tc>
                        <w:tc>
                          <w:tcPr>
                            <w:tcW w:w="4262" w:type="dxa"/>
                            <w:tcBorders>
                              <w:top w:val="nil"/>
                              <w:left w:val="single" w:sz="4" w:space="0" w:color="auto"/>
                              <w:bottom w:val="single" w:sz="4" w:space="0" w:color="auto"/>
                              <w:right w:val="single" w:sz="4" w:space="0" w:color="auto"/>
                            </w:tcBorders>
                            <w:vAlign w:val="center"/>
                          </w:tcPr>
                          <w:p w14:paraId="2456AAE9"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hint="eastAsia"/>
                                <w:color w:val="000000"/>
                                <w:sz w:val="20"/>
                              </w:rPr>
                              <w:t>內政部營建署補助高雄市政府辦理前鎮漁港建設專案中長程計畫下水道建設作業要點</w:t>
                            </w:r>
                          </w:p>
                        </w:tc>
                      </w:tr>
                      <w:tr w:rsidR="009474B3" w:rsidRPr="00B83E85" w14:paraId="1FAB3BEA" w14:textId="77777777" w:rsidTr="00612461">
                        <w:trPr>
                          <w:trHeight w:val="351"/>
                          <w:jc w:val="center"/>
                        </w:trPr>
                        <w:tc>
                          <w:tcPr>
                            <w:tcW w:w="454" w:type="dxa"/>
                            <w:tcBorders>
                              <w:top w:val="nil"/>
                              <w:left w:val="single" w:sz="4" w:space="0" w:color="auto"/>
                              <w:bottom w:val="single" w:sz="4" w:space="0" w:color="auto"/>
                              <w:right w:val="single" w:sz="4" w:space="0" w:color="auto"/>
                            </w:tcBorders>
                            <w:vAlign w:val="center"/>
                          </w:tcPr>
                          <w:p w14:paraId="66CC9204"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6</w:t>
                            </w:r>
                          </w:p>
                        </w:tc>
                        <w:tc>
                          <w:tcPr>
                            <w:tcW w:w="4262" w:type="dxa"/>
                            <w:tcBorders>
                              <w:top w:val="nil"/>
                              <w:left w:val="single" w:sz="4" w:space="0" w:color="auto"/>
                              <w:bottom w:val="single" w:sz="4" w:space="0" w:color="auto"/>
                              <w:right w:val="single" w:sz="4" w:space="0" w:color="auto"/>
                            </w:tcBorders>
                            <w:vAlign w:val="center"/>
                          </w:tcPr>
                          <w:p w14:paraId="510AA00F"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bCs/>
                                <w:color w:val="000000"/>
                                <w:sz w:val="20"/>
                                <w:lang w:bidi="hi-IN"/>
                              </w:rPr>
                              <w:t>內政部補助地方政府辦理國土資訊系統相關推動業務補助作業要點</w:t>
                            </w:r>
                          </w:p>
                        </w:tc>
                      </w:tr>
                      <w:tr w:rsidR="009474B3" w:rsidRPr="00B83E85" w14:paraId="5CB42124" w14:textId="77777777" w:rsidTr="00612461">
                        <w:trPr>
                          <w:trHeight w:val="429"/>
                          <w:jc w:val="center"/>
                        </w:trPr>
                        <w:tc>
                          <w:tcPr>
                            <w:tcW w:w="454" w:type="dxa"/>
                            <w:tcBorders>
                              <w:top w:val="nil"/>
                              <w:left w:val="single" w:sz="4" w:space="0" w:color="auto"/>
                              <w:bottom w:val="single" w:sz="4" w:space="0" w:color="auto"/>
                              <w:right w:val="single" w:sz="4" w:space="0" w:color="auto"/>
                            </w:tcBorders>
                            <w:vAlign w:val="center"/>
                          </w:tcPr>
                          <w:p w14:paraId="07263908"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7</w:t>
                            </w:r>
                          </w:p>
                        </w:tc>
                        <w:tc>
                          <w:tcPr>
                            <w:tcW w:w="4262" w:type="dxa"/>
                            <w:tcBorders>
                              <w:top w:val="nil"/>
                              <w:left w:val="single" w:sz="4" w:space="0" w:color="auto"/>
                              <w:bottom w:val="single" w:sz="4" w:space="0" w:color="auto"/>
                              <w:right w:val="single" w:sz="4" w:space="0" w:color="auto"/>
                            </w:tcBorders>
                            <w:vAlign w:val="center"/>
                          </w:tcPr>
                          <w:p w14:paraId="6066A426"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中華民國一百零七年二月六日震災後危險建築物拆除經費補助執行要點</w:t>
                            </w:r>
                          </w:p>
                        </w:tc>
                      </w:tr>
                      <w:tr w:rsidR="009474B3" w:rsidRPr="00B83E85" w14:paraId="716005E0" w14:textId="77777777" w:rsidTr="00612461">
                        <w:trPr>
                          <w:trHeight w:val="265"/>
                          <w:jc w:val="center"/>
                        </w:trPr>
                        <w:tc>
                          <w:tcPr>
                            <w:tcW w:w="454" w:type="dxa"/>
                            <w:tcBorders>
                              <w:top w:val="nil"/>
                              <w:left w:val="single" w:sz="4" w:space="0" w:color="auto"/>
                              <w:bottom w:val="single" w:sz="4" w:space="0" w:color="auto"/>
                              <w:right w:val="single" w:sz="4" w:space="0" w:color="auto"/>
                            </w:tcBorders>
                            <w:vAlign w:val="center"/>
                          </w:tcPr>
                          <w:p w14:paraId="05684C08"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8</w:t>
                            </w:r>
                          </w:p>
                        </w:tc>
                        <w:tc>
                          <w:tcPr>
                            <w:tcW w:w="4262" w:type="dxa"/>
                            <w:tcBorders>
                              <w:top w:val="nil"/>
                              <w:left w:val="single" w:sz="4" w:space="0" w:color="auto"/>
                              <w:bottom w:val="single" w:sz="4" w:space="0" w:color="auto"/>
                              <w:right w:val="single" w:sz="4" w:space="0" w:color="auto"/>
                            </w:tcBorders>
                            <w:vAlign w:val="center"/>
                          </w:tcPr>
                          <w:p w14:paraId="0D397C3E"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加強綠建築推動計畫經費補助及管考執行要點</w:t>
                            </w:r>
                          </w:p>
                        </w:tc>
                      </w:tr>
                      <w:tr w:rsidR="009474B3" w:rsidRPr="00B83E85" w14:paraId="1D7B1252" w14:textId="77777777" w:rsidTr="00612461">
                        <w:trPr>
                          <w:trHeight w:val="113"/>
                          <w:jc w:val="center"/>
                        </w:trPr>
                        <w:tc>
                          <w:tcPr>
                            <w:tcW w:w="454" w:type="dxa"/>
                            <w:tcBorders>
                              <w:top w:val="nil"/>
                              <w:left w:val="single" w:sz="4" w:space="0" w:color="auto"/>
                              <w:bottom w:val="single" w:sz="4" w:space="0" w:color="auto"/>
                              <w:right w:val="single" w:sz="4" w:space="0" w:color="auto"/>
                            </w:tcBorders>
                            <w:vAlign w:val="center"/>
                          </w:tcPr>
                          <w:p w14:paraId="0BCE5ACA"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9</w:t>
                            </w:r>
                          </w:p>
                        </w:tc>
                        <w:tc>
                          <w:tcPr>
                            <w:tcW w:w="4262" w:type="dxa"/>
                            <w:tcBorders>
                              <w:top w:val="nil"/>
                              <w:left w:val="single" w:sz="4" w:space="0" w:color="auto"/>
                              <w:bottom w:val="single" w:sz="4" w:space="0" w:color="auto"/>
                              <w:right w:val="single" w:sz="4" w:space="0" w:color="auto"/>
                            </w:tcBorders>
                            <w:vAlign w:val="center"/>
                          </w:tcPr>
                          <w:p w14:paraId="067DA6F7" w14:textId="77777777" w:rsidR="009474B3" w:rsidRPr="00B83E85" w:rsidRDefault="009474B3" w:rsidP="00612461">
                            <w:pPr>
                              <w:snapToGrid w:val="0"/>
                              <w:spacing w:line="240" w:lineRule="exact"/>
                              <w:rPr>
                                <w:rFonts w:ascii="標楷體" w:eastAsia="標楷體" w:hAnsi="標楷體" w:cs="標楷體"/>
                                <w:color w:val="000000"/>
                                <w:sz w:val="20"/>
                              </w:rPr>
                            </w:pPr>
                            <w:r w:rsidRPr="00B83E85">
                              <w:rPr>
                                <w:rFonts w:ascii="標楷體" w:eastAsia="標楷體" w:hAnsi="標楷體" w:cs="新細明體" w:hint="eastAsia"/>
                                <w:bCs/>
                                <w:color w:val="000000"/>
                                <w:sz w:val="20"/>
                                <w:lang w:bidi="hi-IN"/>
                              </w:rPr>
                              <w:t>臺灣城鄉風貌整體規劃示範計畫執行要點</w:t>
                            </w:r>
                          </w:p>
                        </w:tc>
                      </w:tr>
                      <w:tr w:rsidR="009474B3" w:rsidRPr="00B83E85" w14:paraId="0D7F911F"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157A9D4C"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10</w:t>
                            </w:r>
                          </w:p>
                        </w:tc>
                        <w:tc>
                          <w:tcPr>
                            <w:tcW w:w="4262" w:type="dxa"/>
                            <w:tcBorders>
                              <w:top w:val="nil"/>
                              <w:left w:val="single" w:sz="4" w:space="0" w:color="auto"/>
                              <w:bottom w:val="single" w:sz="4" w:space="0" w:color="auto"/>
                              <w:right w:val="single" w:sz="4" w:space="0" w:color="auto"/>
                            </w:tcBorders>
                            <w:vAlign w:val="center"/>
                          </w:tcPr>
                          <w:p w14:paraId="1BF1275B" w14:textId="77777777" w:rsidR="009474B3" w:rsidRPr="00B83E85" w:rsidRDefault="009474B3" w:rsidP="00612461">
                            <w:pPr>
                              <w:snapToGrid w:val="0"/>
                              <w:spacing w:line="240" w:lineRule="exact"/>
                              <w:rPr>
                                <w:rFonts w:ascii="標楷體" w:eastAsia="標楷體" w:hAnsi="標楷體" w:cs="標楷體"/>
                                <w:color w:val="000000"/>
                                <w:sz w:val="20"/>
                              </w:rPr>
                            </w:pPr>
                            <w:r w:rsidRPr="00B83E85">
                              <w:rPr>
                                <w:rFonts w:ascii="標楷體" w:eastAsia="標楷體" w:hAnsi="標楷體" w:cs="標楷體" w:hint="eastAsia"/>
                                <w:color w:val="000000"/>
                                <w:sz w:val="20"/>
                              </w:rPr>
                              <w:t>都市計畫圖重製及加值運用計畫作業要點</w:t>
                            </w:r>
                          </w:p>
                        </w:tc>
                      </w:tr>
                      <w:tr w:rsidR="009474B3" w:rsidRPr="00B83E85" w14:paraId="14C9F587" w14:textId="77777777" w:rsidTr="00612461">
                        <w:trPr>
                          <w:trHeight w:val="57"/>
                          <w:jc w:val="center"/>
                        </w:trPr>
                        <w:tc>
                          <w:tcPr>
                            <w:tcW w:w="454" w:type="dxa"/>
                            <w:tcBorders>
                              <w:top w:val="nil"/>
                              <w:left w:val="single" w:sz="4" w:space="0" w:color="auto"/>
                              <w:bottom w:val="single" w:sz="4" w:space="0" w:color="auto"/>
                              <w:right w:val="single" w:sz="4" w:space="0" w:color="auto"/>
                            </w:tcBorders>
                            <w:vAlign w:val="center"/>
                          </w:tcPr>
                          <w:p w14:paraId="71EF1B8A"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11</w:t>
                            </w:r>
                          </w:p>
                        </w:tc>
                        <w:tc>
                          <w:tcPr>
                            <w:tcW w:w="4262" w:type="dxa"/>
                            <w:tcBorders>
                              <w:top w:val="nil"/>
                              <w:left w:val="single" w:sz="4" w:space="0" w:color="auto"/>
                              <w:bottom w:val="single" w:sz="4" w:space="0" w:color="auto"/>
                              <w:right w:val="single" w:sz="4" w:space="0" w:color="auto"/>
                            </w:tcBorders>
                            <w:vAlign w:val="center"/>
                          </w:tcPr>
                          <w:p w14:paraId="7D006FB2" w14:textId="77777777" w:rsidR="009474B3" w:rsidRPr="00B83E85" w:rsidRDefault="009474B3" w:rsidP="00612461">
                            <w:pPr>
                              <w:adjustRightInd w:val="0"/>
                              <w:snapToGrid w:val="0"/>
                              <w:spacing w:line="240" w:lineRule="exact"/>
                              <w:rPr>
                                <w:rFonts w:ascii="標楷體" w:eastAsia="標楷體" w:hAnsi="標楷體" w:cs="標楷體"/>
                                <w:color w:val="000000"/>
                                <w:spacing w:val="-10"/>
                                <w:sz w:val="20"/>
                              </w:rPr>
                            </w:pPr>
                            <w:r w:rsidRPr="00B83E85">
                              <w:rPr>
                                <w:rFonts w:ascii="標楷體" w:eastAsia="標楷體" w:hAnsi="標楷體" w:cs="標楷體" w:hint="eastAsia"/>
                                <w:color w:val="000000"/>
                                <w:spacing w:val="-10"/>
                                <w:sz w:val="20"/>
                              </w:rPr>
                              <w:t>花東地區養生休閒及人才東移推動計畫補助作業規定</w:t>
                            </w:r>
                          </w:p>
                        </w:tc>
                      </w:tr>
                      <w:tr w:rsidR="009474B3" w:rsidRPr="00B83E85" w14:paraId="0121D8D9" w14:textId="77777777" w:rsidTr="00612461">
                        <w:trPr>
                          <w:trHeight w:val="58"/>
                          <w:jc w:val="center"/>
                        </w:trPr>
                        <w:tc>
                          <w:tcPr>
                            <w:tcW w:w="454" w:type="dxa"/>
                            <w:tcBorders>
                              <w:top w:val="nil"/>
                              <w:left w:val="single" w:sz="4" w:space="0" w:color="auto"/>
                              <w:bottom w:val="single" w:sz="4" w:space="0" w:color="auto"/>
                              <w:right w:val="single" w:sz="4" w:space="0" w:color="auto"/>
                            </w:tcBorders>
                            <w:vAlign w:val="center"/>
                          </w:tcPr>
                          <w:p w14:paraId="22DD0B3F"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12</w:t>
                            </w:r>
                          </w:p>
                        </w:tc>
                        <w:tc>
                          <w:tcPr>
                            <w:tcW w:w="4262" w:type="dxa"/>
                            <w:tcBorders>
                              <w:top w:val="nil"/>
                              <w:left w:val="single" w:sz="4" w:space="0" w:color="auto"/>
                              <w:bottom w:val="single" w:sz="4" w:space="0" w:color="auto"/>
                              <w:right w:val="single" w:sz="4" w:space="0" w:color="auto"/>
                            </w:tcBorders>
                            <w:vAlign w:val="center"/>
                          </w:tcPr>
                          <w:p w14:paraId="15052324" w14:textId="77777777" w:rsidR="009474B3" w:rsidRPr="00B83E85" w:rsidRDefault="009474B3" w:rsidP="00612461">
                            <w:pPr>
                              <w:adjustRightInd w:val="0"/>
                              <w:snapToGrid w:val="0"/>
                              <w:spacing w:line="240" w:lineRule="exact"/>
                              <w:rPr>
                                <w:rFonts w:ascii="標楷體" w:eastAsia="標楷體" w:hAnsi="標楷體" w:cs="新細明體"/>
                                <w:bCs/>
                                <w:color w:val="000000"/>
                                <w:spacing w:val="-10"/>
                                <w:sz w:val="20"/>
                                <w:lang w:bidi="hi-IN"/>
                              </w:rPr>
                            </w:pPr>
                            <w:r w:rsidRPr="00B83E85">
                              <w:rPr>
                                <w:rFonts w:ascii="標楷體" w:eastAsia="標楷體" w:hAnsi="標楷體" w:cs="標楷體" w:hint="eastAsia"/>
                                <w:color w:val="000000"/>
                                <w:spacing w:val="-10"/>
                                <w:sz w:val="20"/>
                              </w:rPr>
                              <w:t>內政部營建署補助地方政府辦理營建剩餘土石方處理規劃及土石方資源收容處理場所設置管理作業要點</w:t>
                            </w:r>
                          </w:p>
                        </w:tc>
                      </w:tr>
                      <w:tr w:rsidR="009474B3" w:rsidRPr="00B83E85" w14:paraId="18FE1E05" w14:textId="77777777" w:rsidTr="00612461">
                        <w:trPr>
                          <w:trHeight w:val="58"/>
                          <w:jc w:val="center"/>
                        </w:trPr>
                        <w:tc>
                          <w:tcPr>
                            <w:tcW w:w="454" w:type="dxa"/>
                            <w:tcBorders>
                              <w:top w:val="nil"/>
                              <w:left w:val="single" w:sz="4" w:space="0" w:color="auto"/>
                              <w:bottom w:val="single" w:sz="4" w:space="0" w:color="auto"/>
                              <w:right w:val="single" w:sz="4" w:space="0" w:color="auto"/>
                            </w:tcBorders>
                            <w:vAlign w:val="center"/>
                          </w:tcPr>
                          <w:p w14:paraId="0A88BC3A"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13</w:t>
                            </w:r>
                          </w:p>
                        </w:tc>
                        <w:tc>
                          <w:tcPr>
                            <w:tcW w:w="4262" w:type="dxa"/>
                            <w:tcBorders>
                              <w:top w:val="nil"/>
                              <w:left w:val="single" w:sz="4" w:space="0" w:color="auto"/>
                              <w:bottom w:val="single" w:sz="4" w:space="0" w:color="auto"/>
                              <w:right w:val="single" w:sz="4" w:space="0" w:color="auto"/>
                            </w:tcBorders>
                            <w:vAlign w:val="center"/>
                          </w:tcPr>
                          <w:p w14:paraId="3AA9A3CF" w14:textId="77777777" w:rsidR="009474B3" w:rsidRPr="00B83E85" w:rsidRDefault="009474B3" w:rsidP="00612461">
                            <w:pPr>
                              <w:adjustRightInd w:val="0"/>
                              <w:snapToGrid w:val="0"/>
                              <w:spacing w:line="240" w:lineRule="exact"/>
                              <w:rPr>
                                <w:rFonts w:ascii="標楷體" w:eastAsia="標楷體" w:hAnsi="標楷體"/>
                                <w:color w:val="000000"/>
                                <w:sz w:val="20"/>
                              </w:rPr>
                            </w:pPr>
                            <w:r w:rsidRPr="00B83E85">
                              <w:rPr>
                                <w:rFonts w:ascii="標楷體" w:eastAsia="標楷體" w:hAnsi="標楷體" w:hint="eastAsia"/>
                                <w:color w:val="000000"/>
                                <w:sz w:val="20"/>
                              </w:rPr>
                              <w:t>建築物實施耐震能力評估及補強方案經費補助及執行管考要點</w:t>
                            </w:r>
                          </w:p>
                        </w:tc>
                      </w:tr>
                      <w:tr w:rsidR="009474B3" w:rsidRPr="00B83E85" w14:paraId="5EB5A271" w14:textId="77777777" w:rsidTr="00612461">
                        <w:trPr>
                          <w:trHeight w:val="20"/>
                          <w:jc w:val="center"/>
                        </w:trPr>
                        <w:tc>
                          <w:tcPr>
                            <w:tcW w:w="454" w:type="dxa"/>
                            <w:tcBorders>
                              <w:top w:val="single" w:sz="4" w:space="0" w:color="auto"/>
                              <w:left w:val="single" w:sz="4" w:space="0" w:color="auto"/>
                              <w:bottom w:val="single" w:sz="4" w:space="0" w:color="auto"/>
                              <w:right w:val="single" w:sz="4" w:space="0" w:color="auto"/>
                            </w:tcBorders>
                            <w:vAlign w:val="center"/>
                          </w:tcPr>
                          <w:p w14:paraId="67D2717E"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14</w:t>
                            </w:r>
                          </w:p>
                        </w:tc>
                        <w:tc>
                          <w:tcPr>
                            <w:tcW w:w="4262" w:type="dxa"/>
                            <w:tcBorders>
                              <w:top w:val="single" w:sz="4" w:space="0" w:color="auto"/>
                              <w:left w:val="single" w:sz="4" w:space="0" w:color="auto"/>
                              <w:bottom w:val="single" w:sz="4" w:space="0" w:color="auto"/>
                              <w:right w:val="single" w:sz="4" w:space="0" w:color="auto"/>
                            </w:tcBorders>
                            <w:vAlign w:val="center"/>
                          </w:tcPr>
                          <w:p w14:paraId="0F58DA26" w14:textId="77777777" w:rsidR="009474B3" w:rsidRPr="00B83E85" w:rsidRDefault="009474B3" w:rsidP="00612461">
                            <w:pPr>
                              <w:adjustRightInd w:val="0"/>
                              <w:snapToGrid w:val="0"/>
                              <w:spacing w:line="240" w:lineRule="exact"/>
                              <w:rPr>
                                <w:rFonts w:ascii="標楷體" w:eastAsia="標楷體" w:hAnsi="標楷體" w:cs="新細明體"/>
                                <w:bCs/>
                                <w:color w:val="000000"/>
                                <w:sz w:val="20"/>
                                <w:lang w:bidi="hi-IN"/>
                              </w:rPr>
                            </w:pPr>
                            <w:r w:rsidRPr="00B83E85">
                              <w:rPr>
                                <w:rFonts w:ascii="標楷體" w:eastAsia="標楷體" w:hAnsi="標楷體" w:cs="新細明體" w:hint="eastAsia"/>
                                <w:bCs/>
                                <w:color w:val="000000"/>
                                <w:sz w:val="20"/>
                                <w:lang w:bidi="hi-IN"/>
                              </w:rPr>
                              <w:t>提升道路品質計畫（內政部）2.0補助執行要點</w:t>
                            </w:r>
                          </w:p>
                        </w:tc>
                      </w:tr>
                      <w:tr w:rsidR="009474B3" w:rsidRPr="00B83E85" w14:paraId="09AC1E5F"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7925C38E"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15</w:t>
                            </w:r>
                          </w:p>
                        </w:tc>
                        <w:tc>
                          <w:tcPr>
                            <w:tcW w:w="4262" w:type="dxa"/>
                            <w:tcBorders>
                              <w:top w:val="nil"/>
                              <w:left w:val="single" w:sz="4" w:space="0" w:color="auto"/>
                              <w:bottom w:val="single" w:sz="4" w:space="0" w:color="auto"/>
                              <w:right w:val="single" w:sz="4" w:space="0" w:color="auto"/>
                            </w:tcBorders>
                            <w:vAlign w:val="center"/>
                          </w:tcPr>
                          <w:p w14:paraId="38CC1E1D"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內政部國土管理署辦理縣市管河川及區域排水整體改善計畫補助作業注意事項</w:t>
                            </w:r>
                          </w:p>
                        </w:tc>
                      </w:tr>
                      <w:tr w:rsidR="009474B3" w:rsidRPr="00B83E85" w14:paraId="188DC5B3"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2B15E234"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16</w:t>
                            </w:r>
                          </w:p>
                        </w:tc>
                        <w:tc>
                          <w:tcPr>
                            <w:tcW w:w="4262" w:type="dxa"/>
                            <w:tcBorders>
                              <w:top w:val="nil"/>
                              <w:left w:val="single" w:sz="4" w:space="0" w:color="auto"/>
                              <w:bottom w:val="single" w:sz="4" w:space="0" w:color="auto"/>
                              <w:right w:val="single" w:sz="4" w:space="0" w:color="auto"/>
                            </w:tcBorders>
                            <w:vAlign w:val="center"/>
                          </w:tcPr>
                          <w:p w14:paraId="0193A782"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內政部營建署補助直轄市及縣（市）政府辦理污水下水道建設計畫作業要點</w:t>
                            </w:r>
                          </w:p>
                        </w:tc>
                      </w:tr>
                      <w:tr w:rsidR="009474B3" w:rsidRPr="00B83E85" w14:paraId="1384B221"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11E62299"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17</w:t>
                            </w:r>
                          </w:p>
                        </w:tc>
                        <w:tc>
                          <w:tcPr>
                            <w:tcW w:w="4262" w:type="dxa"/>
                            <w:tcBorders>
                              <w:top w:val="nil"/>
                              <w:left w:val="single" w:sz="4" w:space="0" w:color="auto"/>
                              <w:bottom w:val="single" w:sz="4" w:space="0" w:color="auto"/>
                              <w:right w:val="single" w:sz="4" w:space="0" w:color="auto"/>
                            </w:tcBorders>
                            <w:vAlign w:val="center"/>
                          </w:tcPr>
                          <w:p w14:paraId="44C9F9E5"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內政部營建署補助直轄市及縣（市）政府辦理雨水下水道建設計畫作業要點</w:t>
                            </w:r>
                          </w:p>
                        </w:tc>
                      </w:tr>
                      <w:tr w:rsidR="009474B3" w:rsidRPr="00B83E85" w14:paraId="2F0379AC" w14:textId="77777777" w:rsidTr="00612461">
                        <w:trPr>
                          <w:trHeight w:val="20"/>
                          <w:jc w:val="center"/>
                        </w:trPr>
                        <w:tc>
                          <w:tcPr>
                            <w:tcW w:w="454" w:type="dxa"/>
                            <w:tcBorders>
                              <w:top w:val="nil"/>
                              <w:left w:val="single" w:sz="4" w:space="0" w:color="auto"/>
                              <w:bottom w:val="single" w:sz="4" w:space="0" w:color="auto"/>
                              <w:right w:val="single" w:sz="4" w:space="0" w:color="auto"/>
                            </w:tcBorders>
                            <w:vAlign w:val="center"/>
                          </w:tcPr>
                          <w:p w14:paraId="64B25562" w14:textId="77777777" w:rsidR="009474B3" w:rsidRPr="00B83E85" w:rsidRDefault="009474B3" w:rsidP="00612461">
                            <w:pPr>
                              <w:snapToGrid w:val="0"/>
                              <w:spacing w:line="240" w:lineRule="exact"/>
                              <w:ind w:leftChars="-54" w:left="-130" w:rightChars="-54" w:right="-130" w:firstLineChars="12" w:firstLine="24"/>
                              <w:jc w:val="center"/>
                              <w:rPr>
                                <w:rFonts w:ascii="標楷體" w:eastAsia="標楷體" w:hAnsi="標楷體"/>
                                <w:color w:val="000000"/>
                                <w:sz w:val="20"/>
                              </w:rPr>
                            </w:pPr>
                            <w:r w:rsidRPr="00B83E85">
                              <w:rPr>
                                <w:rFonts w:ascii="標楷體" w:eastAsia="標楷體" w:hAnsi="標楷體" w:hint="eastAsia"/>
                                <w:color w:val="000000"/>
                                <w:sz w:val="20"/>
                              </w:rPr>
                              <w:t>18</w:t>
                            </w:r>
                          </w:p>
                        </w:tc>
                        <w:tc>
                          <w:tcPr>
                            <w:tcW w:w="4262" w:type="dxa"/>
                            <w:tcBorders>
                              <w:top w:val="nil"/>
                              <w:left w:val="single" w:sz="4" w:space="0" w:color="auto"/>
                              <w:bottom w:val="single" w:sz="4" w:space="0" w:color="auto"/>
                              <w:right w:val="single" w:sz="4" w:space="0" w:color="auto"/>
                            </w:tcBorders>
                            <w:vAlign w:val="center"/>
                          </w:tcPr>
                          <w:p w14:paraId="28826FB0" w14:textId="77777777" w:rsidR="009474B3" w:rsidRPr="00B83E85" w:rsidRDefault="009474B3" w:rsidP="00612461">
                            <w:pPr>
                              <w:snapToGrid w:val="0"/>
                              <w:spacing w:line="240" w:lineRule="exact"/>
                              <w:rPr>
                                <w:rFonts w:ascii="標楷體" w:eastAsia="標楷體" w:hAnsi="標楷體" w:cs="新細明體"/>
                                <w:color w:val="000000"/>
                                <w:sz w:val="20"/>
                              </w:rPr>
                            </w:pPr>
                            <w:r w:rsidRPr="00B83E85">
                              <w:rPr>
                                <w:rFonts w:ascii="標楷體" w:eastAsia="標楷體" w:hAnsi="標楷體" w:cs="新細明體" w:hint="eastAsia"/>
                                <w:color w:val="000000"/>
                                <w:sz w:val="20"/>
                              </w:rPr>
                              <w:t>全國水環境改善計畫執行作業注意事項</w:t>
                            </w:r>
                          </w:p>
                        </w:tc>
                      </w:tr>
                    </w:tbl>
                    <w:p w14:paraId="335F80F2" w14:textId="77777777" w:rsidR="009474B3" w:rsidRDefault="009474B3" w:rsidP="009474B3">
                      <w:pPr>
                        <w:pStyle w:val="-123"/>
                        <w:adjustRightInd w:val="0"/>
                        <w:snapToGrid w:val="0"/>
                        <w:spacing w:line="240" w:lineRule="exact"/>
                        <w:rPr>
                          <w:bCs w:val="0"/>
                          <w:snapToGrid w:val="0"/>
                          <w:sz w:val="20"/>
                          <w:szCs w:val="20"/>
                        </w:rPr>
                      </w:pPr>
                      <w:r w:rsidRPr="007F0B09">
                        <w:rPr>
                          <w:rFonts w:hint="eastAsia"/>
                          <w:bCs w:val="0"/>
                          <w:snapToGrid w:val="0"/>
                          <w:sz w:val="18"/>
                          <w:szCs w:val="18"/>
                        </w:rPr>
                        <w:t>資料來源：整理自</w:t>
                      </w:r>
                      <w:r>
                        <w:rPr>
                          <w:rFonts w:hint="eastAsia"/>
                          <w:bCs w:val="0"/>
                          <w:snapToGrid w:val="0"/>
                          <w:sz w:val="18"/>
                          <w:szCs w:val="18"/>
                        </w:rPr>
                        <w:t>內政部</w:t>
                      </w:r>
                      <w:r w:rsidRPr="007F0B09">
                        <w:rPr>
                          <w:bCs w:val="0"/>
                          <w:snapToGrid w:val="0"/>
                          <w:sz w:val="18"/>
                          <w:szCs w:val="18"/>
                        </w:rPr>
                        <w:t>國土</w:t>
                      </w:r>
                      <w:r>
                        <w:rPr>
                          <w:rFonts w:hint="eastAsia"/>
                          <w:bCs w:val="0"/>
                          <w:snapToGrid w:val="0"/>
                          <w:sz w:val="18"/>
                          <w:szCs w:val="18"/>
                        </w:rPr>
                        <w:t>管理</w:t>
                      </w:r>
                      <w:r w:rsidRPr="007F0B09">
                        <w:rPr>
                          <w:bCs w:val="0"/>
                          <w:snapToGrid w:val="0"/>
                          <w:sz w:val="18"/>
                          <w:szCs w:val="18"/>
                        </w:rPr>
                        <w:t>署提供資料</w:t>
                      </w:r>
                      <w:r w:rsidRPr="007F0B09">
                        <w:rPr>
                          <w:rFonts w:hint="eastAsia"/>
                          <w:bCs w:val="0"/>
                          <w:snapToGrid w:val="0"/>
                          <w:sz w:val="18"/>
                          <w:szCs w:val="18"/>
                        </w:rPr>
                        <w:t>。</w:t>
                      </w:r>
                    </w:p>
                    <w:p w14:paraId="71E28600" w14:textId="77777777" w:rsidR="009474B3" w:rsidRPr="00B83E85" w:rsidRDefault="009474B3" w:rsidP="009474B3">
                      <w:pPr>
                        <w:rPr>
                          <w:rFonts w:ascii="標楷體" w:eastAsia="標楷體" w:hAnsi="標楷體"/>
                          <w:b/>
                          <w:bCs/>
                          <w:snapToGrid w:val="0"/>
                          <w:spacing w:val="-20"/>
                        </w:rPr>
                      </w:pPr>
                    </w:p>
                    <w:p w14:paraId="1A3B8FC9" w14:textId="77777777" w:rsidR="009474B3" w:rsidRPr="00CB312A" w:rsidRDefault="009474B3" w:rsidP="009474B3">
                      <w:pPr>
                        <w:rPr>
                          <w:rFonts w:ascii="標楷體" w:eastAsia="標楷體" w:hAnsi="標楷體"/>
                          <w:spacing w:val="-20"/>
                        </w:rPr>
                      </w:pPr>
                    </w:p>
                  </w:txbxContent>
                </v:textbox>
                <w10:wrap type="square"/>
              </v:shape>
            </w:pict>
          </mc:Fallback>
        </mc:AlternateContent>
      </w:r>
      <w:r w:rsidR="00FC59A4" w:rsidRPr="00754C46">
        <w:rPr>
          <w:rFonts w:ascii="標楷體" w:eastAsia="標楷體" w:hAnsi="標楷體" w:hint="eastAsia"/>
          <w:color w:val="000000" w:themeColor="text1"/>
          <w:spacing w:val="-2"/>
          <w:kern w:val="0"/>
          <w:szCs w:val="28"/>
        </w:rPr>
        <w:t>行政院主計總處（下稱主計總處）為謀求地方經濟平衡發展，訂定中央對直轄市及縣（市）政府補助辦法（下稱中央對市縣政府補助辦法），明定中央政府各主管機關對直轄市、縣（市）政府申請補助計畫之審查與管考、補助款之撥付與執行等原則性規定；另為協助各機關發揮內部控制之功能，訂定內部審核處理準則，作為各機關主（會）計人員辦理預算、收支、會計、現金、採購及財物等審核之依據。內政部國土管理署（下稱國土管理署）於106至113年度單位預算編列1,289億1,785萬餘元，補助地方政府辦理污水下水道建設等16項計畫，另於中央政府前瞻基礎建設計畫等特別預算編列792億7,960萬餘元，補助地方政府辦理提升道路品質等8項計畫。經查該署補助計畫管考作業及其補助採購財物審核與管理情形，核有下列事項：</w:t>
      </w:r>
    </w:p>
    <w:p w14:paraId="54F261CF" w14:textId="2CE3050A" w:rsidR="00233483" w:rsidRDefault="00FC59A4" w:rsidP="009474B3">
      <w:pPr>
        <w:kinsoku w:val="0"/>
        <w:overflowPunct w:val="0"/>
        <w:adjustRightInd w:val="0"/>
        <w:spacing w:line="440" w:lineRule="exact"/>
        <w:ind w:firstLineChars="450" w:firstLine="1081"/>
        <w:jc w:val="both"/>
        <w:textAlignment w:val="baseline"/>
        <w:rPr>
          <w:rFonts w:ascii="標楷體" w:eastAsia="標楷體" w:hAnsi="標楷體"/>
          <w:color w:val="000000" w:themeColor="text1"/>
          <w:spacing w:val="4"/>
          <w:kern w:val="0"/>
          <w:szCs w:val="28"/>
        </w:rPr>
      </w:pPr>
      <w:r w:rsidRPr="00754C46">
        <w:rPr>
          <w:rFonts w:ascii="標楷體" w:eastAsia="標楷體" w:hAnsi="標楷體" w:hint="eastAsia"/>
          <w:b/>
          <w:bCs/>
          <w:color w:val="000000" w:themeColor="text1"/>
          <w:kern w:val="0"/>
          <w:szCs w:val="28"/>
        </w:rPr>
        <w:t>1.　補助計畫多未依規定將採購執行完竣後使用效益納入管考查核項目，亦未就補助採購財物遭逕行拆除或閒置等情形，訂定相關扣減以後年度補助款機制：</w:t>
      </w:r>
      <w:r w:rsidRPr="00754C46">
        <w:rPr>
          <w:rFonts w:ascii="標楷體" w:eastAsia="標楷體" w:hAnsi="標楷體" w:hint="eastAsia"/>
          <w:color w:val="000000" w:themeColor="text1"/>
          <w:kern w:val="0"/>
          <w:szCs w:val="28"/>
        </w:rPr>
        <w:t>依中央對市縣政府補助辦法第15條規定，中央政府各主管機關應就本機關與所屬機關計畫型補助款之執行，訂定共同性或個別計畫之管考規定，</w:t>
      </w:r>
      <w:proofErr w:type="gramStart"/>
      <w:r w:rsidRPr="00754C46">
        <w:rPr>
          <w:rFonts w:ascii="標楷體" w:eastAsia="標楷體" w:hAnsi="標楷體" w:hint="eastAsia"/>
          <w:color w:val="000000" w:themeColor="text1"/>
          <w:kern w:val="0"/>
          <w:szCs w:val="28"/>
        </w:rPr>
        <w:t>且管考查</w:t>
      </w:r>
      <w:proofErr w:type="gramEnd"/>
      <w:r w:rsidRPr="00754C46">
        <w:rPr>
          <w:rFonts w:ascii="標楷體" w:eastAsia="標楷體" w:hAnsi="標楷體" w:hint="eastAsia"/>
          <w:color w:val="000000" w:themeColor="text1"/>
          <w:kern w:val="0"/>
          <w:szCs w:val="28"/>
        </w:rPr>
        <w:t>核項目應包含計畫執行完竣後使用之效益等，相關管考結果並得作為增加或減少對各該直轄市、縣（市）政府以後年度計畫型補助款補助額度</w:t>
      </w:r>
      <w:proofErr w:type="gramStart"/>
      <w:r w:rsidRPr="00754C46">
        <w:rPr>
          <w:rFonts w:ascii="標楷體" w:eastAsia="標楷體" w:hAnsi="標楷體" w:hint="eastAsia"/>
          <w:color w:val="000000" w:themeColor="text1"/>
          <w:kern w:val="0"/>
          <w:szCs w:val="28"/>
        </w:rPr>
        <w:t>之參據</w:t>
      </w:r>
      <w:proofErr w:type="gramEnd"/>
      <w:r w:rsidRPr="00754C46">
        <w:rPr>
          <w:rFonts w:ascii="標楷體" w:eastAsia="標楷體" w:hAnsi="標楷體" w:hint="eastAsia"/>
          <w:color w:val="000000" w:themeColor="text1"/>
          <w:kern w:val="0"/>
          <w:szCs w:val="28"/>
        </w:rPr>
        <w:t>。經查，國土管理署106至113年度補助地方政府辦理生活圈道路交通系統建設等18項計畫之補助執行要點，未將計畫執行完竣後使用效益納入管考查核項目（表4</w:t>
      </w:r>
      <w:r w:rsidR="00E6626B" w:rsidRPr="00754C46">
        <w:rPr>
          <w:rFonts w:ascii="標楷體" w:eastAsia="標楷體" w:hAnsi="標楷體" w:hint="eastAsia"/>
          <w:color w:val="000000" w:themeColor="text1"/>
          <w:kern w:val="0"/>
          <w:szCs w:val="28"/>
        </w:rPr>
        <w:t>5</w:t>
      </w:r>
      <w:r w:rsidRPr="00754C46">
        <w:rPr>
          <w:rFonts w:ascii="標楷體" w:eastAsia="標楷體" w:hAnsi="標楷體" w:hint="eastAsia"/>
          <w:color w:val="000000" w:themeColor="text1"/>
          <w:kern w:val="0"/>
          <w:szCs w:val="28"/>
        </w:rPr>
        <w:t>），</w:t>
      </w:r>
      <w:r w:rsidRPr="00FC59A4">
        <w:rPr>
          <w:rFonts w:ascii="標楷體" w:eastAsia="標楷體" w:hAnsi="標楷體" w:hint="eastAsia"/>
          <w:color w:val="000000" w:themeColor="text1"/>
          <w:spacing w:val="4"/>
          <w:kern w:val="0"/>
          <w:szCs w:val="28"/>
        </w:rPr>
        <w:t>致未辦理相關完工後使用效益</w:t>
      </w:r>
      <w:r w:rsidRPr="00FC59A4">
        <w:rPr>
          <w:rFonts w:ascii="標楷體" w:eastAsia="標楷體" w:hAnsi="標楷體" w:hint="eastAsia"/>
          <w:color w:val="000000" w:themeColor="text1"/>
          <w:spacing w:val="4"/>
          <w:kern w:val="0"/>
          <w:szCs w:val="28"/>
        </w:rPr>
        <w:lastRenderedPageBreak/>
        <w:t>考核，無從發現部分補助採購財物已毀損、拆除、閒置或遺失等使用效益未達補助計畫目標情形；且</w:t>
      </w:r>
      <w:proofErr w:type="gramStart"/>
      <w:r w:rsidRPr="00FC59A4">
        <w:rPr>
          <w:rFonts w:ascii="標楷體" w:eastAsia="標楷體" w:hAnsi="標楷體" w:hint="eastAsia"/>
          <w:color w:val="000000" w:themeColor="text1"/>
          <w:spacing w:val="4"/>
          <w:kern w:val="0"/>
          <w:szCs w:val="28"/>
        </w:rPr>
        <w:t>該署多未</w:t>
      </w:r>
      <w:proofErr w:type="gramEnd"/>
      <w:r w:rsidRPr="00FC59A4">
        <w:rPr>
          <w:rFonts w:ascii="標楷體" w:eastAsia="標楷體" w:hAnsi="標楷體" w:hint="eastAsia"/>
          <w:color w:val="000000" w:themeColor="text1"/>
          <w:spacing w:val="4"/>
          <w:kern w:val="0"/>
          <w:szCs w:val="28"/>
        </w:rPr>
        <w:t>根據上開補助辦法規定納入扣減以後年度補助款機制，致無法依管考結果據以減少以後年度計畫型補助款補助額度或追繳相關補助款項，不利提升補助計畫效益，經函請主計總處督促各中央機關通盤檢討並</w:t>
      </w:r>
      <w:proofErr w:type="gramStart"/>
      <w:r w:rsidRPr="00FC59A4">
        <w:rPr>
          <w:rFonts w:ascii="標楷體" w:eastAsia="標楷體" w:hAnsi="標楷體" w:hint="eastAsia"/>
          <w:color w:val="000000" w:themeColor="text1"/>
          <w:spacing w:val="4"/>
          <w:kern w:val="0"/>
          <w:szCs w:val="28"/>
        </w:rPr>
        <w:t>研</w:t>
      </w:r>
      <w:proofErr w:type="gramEnd"/>
      <w:r w:rsidRPr="00FC59A4">
        <w:rPr>
          <w:rFonts w:ascii="標楷體" w:eastAsia="標楷體" w:hAnsi="標楷體" w:hint="eastAsia"/>
          <w:color w:val="000000" w:themeColor="text1"/>
          <w:spacing w:val="4"/>
          <w:kern w:val="0"/>
          <w:szCs w:val="28"/>
        </w:rPr>
        <w:t>議訂定完善周延之補助計畫管考規定，及建立追繳補助款項等機制。據復：已函請行政院各部（會、行、總處）等主管機關檢討強化考核作業，並建立補助款追繳機制，</w:t>
      </w:r>
      <w:proofErr w:type="gramStart"/>
      <w:r w:rsidRPr="00FC59A4">
        <w:rPr>
          <w:rFonts w:ascii="標楷體" w:eastAsia="標楷體" w:hAnsi="標楷體" w:hint="eastAsia"/>
          <w:color w:val="000000" w:themeColor="text1"/>
          <w:spacing w:val="4"/>
          <w:kern w:val="0"/>
          <w:szCs w:val="28"/>
        </w:rPr>
        <w:t>俾</w:t>
      </w:r>
      <w:proofErr w:type="gramEnd"/>
      <w:r w:rsidRPr="00FC59A4">
        <w:rPr>
          <w:rFonts w:ascii="標楷體" w:eastAsia="標楷體" w:hAnsi="標楷體" w:hint="eastAsia"/>
          <w:color w:val="000000" w:themeColor="text1"/>
          <w:spacing w:val="4"/>
          <w:kern w:val="0"/>
          <w:szCs w:val="28"/>
        </w:rPr>
        <w:t>精進管考效益。</w:t>
      </w:r>
    </w:p>
    <w:p w14:paraId="6C237340" w14:textId="77777777" w:rsidR="00233483" w:rsidRDefault="00233483" w:rsidP="00E10FA2">
      <w:pPr>
        <w:kinsoku w:val="0"/>
        <w:overflowPunct w:val="0"/>
        <w:adjustRightInd w:val="0"/>
        <w:spacing w:line="444" w:lineRule="exact"/>
        <w:ind w:firstLineChars="450" w:firstLine="1081"/>
        <w:jc w:val="both"/>
        <w:textAlignment w:val="baseline"/>
        <w:rPr>
          <w:rFonts w:ascii="標楷體" w:eastAsia="標楷體" w:hAnsi="標楷體"/>
        </w:rPr>
      </w:pPr>
      <w:r w:rsidRPr="00233483">
        <w:rPr>
          <w:rFonts w:ascii="標楷體" w:eastAsia="標楷體" w:hAnsi="標楷體"/>
          <w:b/>
        </w:rPr>
        <w:t>2.</w:t>
      </w:r>
      <w:r w:rsidRPr="00233483">
        <w:rPr>
          <w:rFonts w:ascii="標楷體" w:eastAsia="標楷體" w:hAnsi="標楷體" w:hint="eastAsia"/>
          <w:b/>
        </w:rPr>
        <w:t xml:space="preserve">　部分補助採購財物於驗收完成後未依規定填報財產增加單，受補助機關之主（會）計單位仍審核同意撥付公款，又因未能詳實辦理產籍登錄作業，影響設施維護管理作業之執行：</w:t>
      </w:r>
      <w:r w:rsidRPr="00233483">
        <w:rPr>
          <w:rFonts w:ascii="標楷體" w:eastAsia="標楷體" w:hAnsi="標楷體" w:hint="eastAsia"/>
        </w:rPr>
        <w:t>依國有公用財產管理手冊、內部審核處理準則、支出標準及審核作業手冊等規定，機關辦理採購，驗收完畢後，採購單位應將財產增加單、發票及有關文件，</w:t>
      </w:r>
      <w:proofErr w:type="gramStart"/>
      <w:r w:rsidRPr="00233483">
        <w:rPr>
          <w:rFonts w:ascii="標楷體" w:eastAsia="標楷體" w:hAnsi="標楷體" w:hint="eastAsia"/>
        </w:rPr>
        <w:t>送主</w:t>
      </w:r>
      <w:proofErr w:type="gramEnd"/>
      <w:r w:rsidRPr="00233483">
        <w:rPr>
          <w:rFonts w:ascii="標楷體" w:eastAsia="標楷體" w:hAnsi="標楷體" w:hint="eastAsia"/>
        </w:rPr>
        <w:t>（會）計單位辦理公款核付，主（會）計人員執行內部審核，須注意財物採購部分是否檢附財產增加單，及所登載內容是否與有關文件相符。經抽查國土管理署補助地方政府辦理</w:t>
      </w:r>
      <w:r w:rsidRPr="00233483">
        <w:rPr>
          <w:rFonts w:ascii="標楷體" w:eastAsia="標楷體" w:hAnsi="標楷體"/>
        </w:rPr>
        <w:t>57</w:t>
      </w:r>
      <w:r w:rsidRPr="00233483">
        <w:rPr>
          <w:rFonts w:ascii="標楷體" w:eastAsia="標楷體" w:hAnsi="標楷體" w:hint="eastAsia"/>
        </w:rPr>
        <w:t>件個案採購之財產登帳情形，發現其中</w:t>
      </w:r>
      <w:r w:rsidRPr="00233483">
        <w:rPr>
          <w:rFonts w:ascii="標楷體" w:eastAsia="標楷體" w:hAnsi="標楷體"/>
        </w:rPr>
        <w:t>34</w:t>
      </w:r>
      <w:r w:rsidRPr="00233483">
        <w:rPr>
          <w:rFonts w:ascii="標楷體" w:eastAsia="標楷體" w:hAnsi="標楷體" w:hint="eastAsia"/>
        </w:rPr>
        <w:t>件（約占</w:t>
      </w:r>
      <w:r w:rsidRPr="00233483">
        <w:rPr>
          <w:rFonts w:ascii="標楷體" w:eastAsia="標楷體" w:hAnsi="標楷體"/>
        </w:rPr>
        <w:t>59.65</w:t>
      </w:r>
      <w:r w:rsidRPr="00233483">
        <w:rPr>
          <w:rFonts w:ascii="標楷體" w:eastAsia="標楷體" w:hAnsi="標楷體" w:hint="eastAsia"/>
        </w:rPr>
        <w:t>％、合計決標金額</w:t>
      </w:r>
      <w:r w:rsidRPr="00233483">
        <w:rPr>
          <w:rFonts w:ascii="標楷體" w:eastAsia="標楷體" w:hAnsi="標楷體"/>
        </w:rPr>
        <w:t>12</w:t>
      </w:r>
      <w:r w:rsidRPr="00233483">
        <w:rPr>
          <w:rFonts w:ascii="標楷體" w:eastAsia="標楷體" w:hAnsi="標楷體" w:hint="eastAsia"/>
        </w:rPr>
        <w:t>億</w:t>
      </w:r>
      <w:r w:rsidRPr="00233483">
        <w:rPr>
          <w:rFonts w:ascii="標楷體" w:eastAsia="標楷體" w:hAnsi="標楷體"/>
        </w:rPr>
        <w:t>3,839</w:t>
      </w:r>
      <w:r w:rsidRPr="00233483">
        <w:rPr>
          <w:rFonts w:ascii="標楷體" w:eastAsia="標楷體" w:hAnsi="標楷體" w:hint="eastAsia"/>
        </w:rPr>
        <w:t>萬餘元）或於檢具原始憑證辦理核撥款項時，未依規定填具財產增加單，或財產增加單</w:t>
      </w:r>
      <w:proofErr w:type="gramStart"/>
      <w:r w:rsidRPr="00233483">
        <w:rPr>
          <w:rFonts w:ascii="標楷體" w:eastAsia="標楷體" w:hAnsi="標楷體" w:hint="eastAsia"/>
        </w:rPr>
        <w:t>未完整填列</w:t>
      </w:r>
      <w:proofErr w:type="gramEnd"/>
      <w:r w:rsidRPr="00233483">
        <w:rPr>
          <w:rFonts w:ascii="標楷體" w:eastAsia="標楷體" w:hAnsi="標楷體" w:hint="eastAsia"/>
        </w:rPr>
        <w:t>採購案所增置財產，</w:t>
      </w:r>
      <w:proofErr w:type="gramStart"/>
      <w:r w:rsidRPr="00233483">
        <w:rPr>
          <w:rFonts w:ascii="標楷體" w:eastAsia="標楷體" w:hAnsi="標楷體" w:hint="eastAsia"/>
        </w:rPr>
        <w:t>僅填列</w:t>
      </w:r>
      <w:proofErr w:type="gramEnd"/>
      <w:r w:rsidRPr="00233483">
        <w:rPr>
          <w:rFonts w:ascii="標楷體" w:eastAsia="標楷體" w:hAnsi="標楷體" w:hint="eastAsia"/>
        </w:rPr>
        <w:t>部分品項等情事，惟受補助機關之主（會）計</w:t>
      </w:r>
      <w:proofErr w:type="gramStart"/>
      <w:r w:rsidRPr="00233483">
        <w:rPr>
          <w:rFonts w:ascii="標楷體" w:eastAsia="標楷體" w:hAnsi="標楷體" w:hint="eastAsia"/>
        </w:rPr>
        <w:t>單位仍核予</w:t>
      </w:r>
      <w:proofErr w:type="gramEnd"/>
      <w:r w:rsidRPr="00233483">
        <w:rPr>
          <w:rFonts w:ascii="標楷體" w:eastAsia="標楷體" w:hAnsi="標楷體" w:hint="eastAsia"/>
        </w:rPr>
        <w:t>同意撥付款項，內部審核作業未</w:t>
      </w:r>
      <w:proofErr w:type="gramStart"/>
      <w:r w:rsidRPr="00233483">
        <w:rPr>
          <w:rFonts w:ascii="標楷體" w:eastAsia="標楷體" w:hAnsi="標楷體" w:hint="eastAsia"/>
        </w:rPr>
        <w:t>臻</w:t>
      </w:r>
      <w:proofErr w:type="gramEnd"/>
      <w:r w:rsidRPr="00233483">
        <w:rPr>
          <w:rFonts w:ascii="標楷體" w:eastAsia="標楷體" w:hAnsi="標楷體" w:hint="eastAsia"/>
        </w:rPr>
        <w:t>落實；又因未能詳實辦理產籍登錄作業，影響後續財產維護保養工作之執行，經函請主計總處督促各機關主（會）計人員於審核採購核付公款時，注意檢視財產</w:t>
      </w:r>
      <w:proofErr w:type="gramStart"/>
      <w:r w:rsidRPr="00233483">
        <w:rPr>
          <w:rFonts w:ascii="標楷體" w:eastAsia="標楷體" w:hAnsi="標楷體" w:hint="eastAsia"/>
        </w:rPr>
        <w:t>產</w:t>
      </w:r>
      <w:proofErr w:type="gramEnd"/>
      <w:r w:rsidRPr="00233483">
        <w:rPr>
          <w:rFonts w:ascii="標楷體" w:eastAsia="標楷體" w:hAnsi="標楷體" w:hint="eastAsia"/>
        </w:rPr>
        <w:t>籍登記情形。據復：</w:t>
      </w:r>
      <w:proofErr w:type="gramStart"/>
      <w:r w:rsidRPr="00233483">
        <w:rPr>
          <w:rFonts w:ascii="標楷體" w:eastAsia="標楷體" w:hAnsi="標楷體" w:hint="eastAsia"/>
        </w:rPr>
        <w:t>業函請</w:t>
      </w:r>
      <w:proofErr w:type="gramEnd"/>
      <w:r w:rsidRPr="00233483">
        <w:rPr>
          <w:rFonts w:ascii="標楷體" w:eastAsia="標楷體" w:hAnsi="標楷體" w:hint="eastAsia"/>
        </w:rPr>
        <w:t>各市縣政府依國有財產法、市有或縣有財產管理自治條例等相關法規落實財產</w:t>
      </w:r>
      <w:proofErr w:type="gramStart"/>
      <w:r w:rsidRPr="00233483">
        <w:rPr>
          <w:rFonts w:ascii="標楷體" w:eastAsia="標楷體" w:hAnsi="標楷體" w:hint="eastAsia"/>
        </w:rPr>
        <w:t>產</w:t>
      </w:r>
      <w:proofErr w:type="gramEnd"/>
      <w:r w:rsidRPr="00233483">
        <w:rPr>
          <w:rFonts w:ascii="標楷體" w:eastAsia="標楷體" w:hAnsi="標楷體" w:hint="eastAsia"/>
        </w:rPr>
        <w:t>籍登記，並請主（會）計單位依內部審核處理準則規定及該總處製作財物購置增加之審核作業共通性範例，強化公款支付審查機制。</w:t>
      </w:r>
    </w:p>
    <w:p w14:paraId="7771AF9D" w14:textId="3039103D" w:rsidR="001633EC" w:rsidRPr="001633EC" w:rsidRDefault="001633EC" w:rsidP="00E10FA2">
      <w:pPr>
        <w:overflowPunct w:val="0"/>
        <w:spacing w:beforeLines="20" w:before="72" w:afterLines="20" w:after="72" w:line="460" w:lineRule="exact"/>
        <w:ind w:firstLineChars="200" w:firstLine="561"/>
        <w:jc w:val="both"/>
        <w:outlineLvl w:val="1"/>
        <w:rPr>
          <w:rFonts w:ascii="標楷體" w:eastAsia="標楷體" w:hAnsi="標楷體"/>
          <w:color w:val="0D0D0D" w:themeColor="text1" w:themeTint="F2"/>
          <w:szCs w:val="24"/>
        </w:rPr>
      </w:pPr>
      <w:r w:rsidRPr="00EE064B">
        <w:rPr>
          <w:rFonts w:ascii="標楷體" w:eastAsia="標楷體" w:hAnsi="標楷體" w:hint="eastAsia"/>
          <w:b/>
          <w:color w:val="000000" w:themeColor="text1"/>
          <w:sz w:val="28"/>
          <w:szCs w:val="28"/>
        </w:rPr>
        <w:t>（三十</w:t>
      </w:r>
      <w:r w:rsidR="00781889" w:rsidRPr="00EE064B">
        <w:rPr>
          <w:rFonts w:ascii="標楷體" w:eastAsia="標楷體" w:hAnsi="標楷體" w:hint="eastAsia"/>
          <w:b/>
          <w:color w:val="000000" w:themeColor="text1"/>
          <w:sz w:val="28"/>
          <w:szCs w:val="28"/>
        </w:rPr>
        <w:t>一</w:t>
      </w:r>
      <w:r w:rsidRPr="00EE064B">
        <w:rPr>
          <w:rFonts w:ascii="標楷體" w:eastAsia="標楷體" w:hAnsi="標楷體" w:hint="eastAsia"/>
          <w:b/>
          <w:color w:val="000000" w:themeColor="text1"/>
          <w:sz w:val="28"/>
          <w:szCs w:val="28"/>
        </w:rPr>
        <w:t>）</w:t>
      </w:r>
      <w:r w:rsidRPr="00EE064B">
        <w:rPr>
          <w:rFonts w:ascii="標楷體" w:eastAsia="標楷體" w:hAnsi="標楷體" w:hint="eastAsia"/>
          <w:b/>
          <w:bCs/>
          <w:color w:val="0D0D0D" w:themeColor="text1" w:themeTint="F2"/>
          <w:sz w:val="28"/>
          <w:szCs w:val="28"/>
        </w:rPr>
        <w:t xml:space="preserve">　</w:t>
      </w:r>
      <w:r w:rsidR="00EE064B" w:rsidRPr="00EE064B">
        <w:rPr>
          <w:rFonts w:ascii="標楷體" w:eastAsia="標楷體" w:hAnsi="標楷體" w:hint="eastAsia"/>
          <w:b/>
          <w:bCs/>
          <w:color w:val="0D0D0D" w:themeColor="text1" w:themeTint="F2"/>
          <w:sz w:val="28"/>
          <w:szCs w:val="28"/>
        </w:rPr>
        <w:t>行政院及所屬各部會近</w:t>
      </w:r>
      <w:proofErr w:type="gramStart"/>
      <w:r w:rsidR="00EE064B" w:rsidRPr="00EE064B">
        <w:rPr>
          <w:rFonts w:ascii="標楷體" w:eastAsia="標楷體" w:hAnsi="標楷體" w:hint="eastAsia"/>
          <w:b/>
          <w:bCs/>
          <w:color w:val="0D0D0D" w:themeColor="text1" w:themeTint="F2"/>
          <w:sz w:val="28"/>
          <w:szCs w:val="28"/>
        </w:rPr>
        <w:t>5</w:t>
      </w:r>
      <w:proofErr w:type="gramEnd"/>
      <w:r w:rsidR="00EE064B" w:rsidRPr="00EE064B">
        <w:rPr>
          <w:rFonts w:ascii="標楷體" w:eastAsia="標楷體" w:hAnsi="標楷體" w:hint="eastAsia"/>
          <w:b/>
          <w:bCs/>
          <w:color w:val="0D0D0D" w:themeColor="text1" w:themeTint="F2"/>
          <w:sz w:val="28"/>
          <w:szCs w:val="28"/>
        </w:rPr>
        <w:t>年度性別預算經費規模逐年成長，整體執行情形尚佳，惟相關性別預算執行或業務推動情形仍有精進空間，允宜</w:t>
      </w:r>
      <w:proofErr w:type="gramStart"/>
      <w:r w:rsidR="00EE064B" w:rsidRPr="00EE064B">
        <w:rPr>
          <w:rFonts w:ascii="標楷體" w:eastAsia="標楷體" w:hAnsi="標楷體" w:hint="eastAsia"/>
          <w:b/>
          <w:bCs/>
          <w:color w:val="0D0D0D" w:themeColor="text1" w:themeTint="F2"/>
          <w:sz w:val="28"/>
          <w:szCs w:val="28"/>
        </w:rPr>
        <w:t>賡</w:t>
      </w:r>
      <w:proofErr w:type="gramEnd"/>
      <w:r w:rsidR="00EE064B" w:rsidRPr="00EE064B">
        <w:rPr>
          <w:rFonts w:ascii="標楷體" w:eastAsia="標楷體" w:hAnsi="標楷體" w:hint="eastAsia"/>
          <w:b/>
          <w:bCs/>
          <w:color w:val="0D0D0D" w:themeColor="text1" w:themeTint="F2"/>
          <w:sz w:val="28"/>
          <w:szCs w:val="28"/>
        </w:rPr>
        <w:t>續督促檢討改善，</w:t>
      </w:r>
      <w:proofErr w:type="gramStart"/>
      <w:r w:rsidR="00EE064B" w:rsidRPr="00EE064B">
        <w:rPr>
          <w:rFonts w:ascii="標楷體" w:eastAsia="標楷體" w:hAnsi="標楷體" w:hint="eastAsia"/>
          <w:b/>
          <w:bCs/>
          <w:color w:val="0D0D0D" w:themeColor="text1" w:themeTint="F2"/>
          <w:sz w:val="28"/>
          <w:szCs w:val="28"/>
        </w:rPr>
        <w:t>俾</w:t>
      </w:r>
      <w:proofErr w:type="gramEnd"/>
      <w:r w:rsidR="00EE064B" w:rsidRPr="00EE064B">
        <w:rPr>
          <w:rFonts w:ascii="標楷體" w:eastAsia="標楷體" w:hAnsi="標楷體" w:hint="eastAsia"/>
          <w:b/>
          <w:bCs/>
          <w:color w:val="0D0D0D" w:themeColor="text1" w:themeTint="F2"/>
          <w:sz w:val="28"/>
          <w:szCs w:val="28"/>
        </w:rPr>
        <w:t>有效發揮公共支出促進性別平等之最大成效。</w:t>
      </w:r>
    </w:p>
    <w:p w14:paraId="6EA2A43C" w14:textId="2A105265" w:rsidR="00CC499F" w:rsidRDefault="00CC499F" w:rsidP="00D962FD">
      <w:pPr>
        <w:pStyle w:val="affb"/>
        <w:overflowPunct w:val="0"/>
        <w:spacing w:line="450" w:lineRule="exact"/>
        <w:ind w:left="0" w:firstLineChars="200" w:firstLine="480"/>
        <w:jc w:val="both"/>
        <w:rPr>
          <w:rFonts w:hAnsi="標楷體"/>
          <w:color w:val="000000" w:themeColor="text1"/>
          <w:sz w:val="24"/>
          <w:szCs w:val="28"/>
        </w:rPr>
      </w:pPr>
      <w:r>
        <w:rPr>
          <w:rFonts w:hAnsi="標楷體" w:hint="eastAsia"/>
          <w:color w:val="000000" w:themeColor="text1"/>
          <w:sz w:val="24"/>
          <w:szCs w:val="28"/>
        </w:rPr>
        <w:t>行政院為推動及實踐性別主流化，自</w:t>
      </w:r>
      <w:proofErr w:type="gramStart"/>
      <w:r>
        <w:rPr>
          <w:rFonts w:hAnsi="標楷體" w:hint="eastAsia"/>
          <w:color w:val="000000" w:themeColor="text1"/>
          <w:sz w:val="24"/>
          <w:szCs w:val="28"/>
        </w:rPr>
        <w:t>109</w:t>
      </w:r>
      <w:proofErr w:type="gramEnd"/>
      <w:r>
        <w:rPr>
          <w:rFonts w:hAnsi="標楷體" w:hint="eastAsia"/>
          <w:color w:val="000000" w:themeColor="text1"/>
          <w:sz w:val="24"/>
          <w:szCs w:val="28"/>
        </w:rPr>
        <w:t>年度中央政府總預算及附屬單位預算全面實施性別預算制度，各機關依據</w:t>
      </w:r>
      <w:proofErr w:type="gramStart"/>
      <w:r>
        <w:rPr>
          <w:rFonts w:hAnsi="標楷體" w:hint="eastAsia"/>
          <w:color w:val="000000" w:themeColor="text1"/>
          <w:sz w:val="24"/>
          <w:szCs w:val="28"/>
        </w:rPr>
        <w:t>行政院函頒之</w:t>
      </w:r>
      <w:proofErr w:type="gramEnd"/>
      <w:r>
        <w:rPr>
          <w:rFonts w:hAnsi="標楷體" w:hint="eastAsia"/>
          <w:color w:val="000000" w:themeColor="text1"/>
          <w:sz w:val="24"/>
          <w:szCs w:val="28"/>
        </w:rPr>
        <w:t>「性別預算作業原則及注意事項」等相關規定，盤點出具有促進性別平等目的或效果之業務，配合編列性別預算；又行政院為瞭解各部會性別預算執行情形，責請各部會自</w:t>
      </w:r>
      <w:proofErr w:type="gramStart"/>
      <w:r>
        <w:rPr>
          <w:rFonts w:hAnsi="標楷體" w:hint="eastAsia"/>
          <w:color w:val="000000" w:themeColor="text1"/>
          <w:sz w:val="24"/>
          <w:szCs w:val="28"/>
        </w:rPr>
        <w:t>109</w:t>
      </w:r>
      <w:proofErr w:type="gramEnd"/>
      <w:r>
        <w:rPr>
          <w:rFonts w:hAnsi="標楷體" w:hint="eastAsia"/>
          <w:color w:val="000000" w:themeColor="text1"/>
          <w:sz w:val="24"/>
          <w:szCs w:val="28"/>
        </w:rPr>
        <w:t>年度性別預算起，逐年填報性別預算執行情形，再由行政院（性別平等處）彙整撰擬並公開整體分析報告，供社會大眾參閱。</w:t>
      </w:r>
      <w:proofErr w:type="gramStart"/>
      <w:r>
        <w:rPr>
          <w:rFonts w:hAnsi="標楷體" w:hint="eastAsia"/>
          <w:color w:val="000000" w:themeColor="text1"/>
          <w:sz w:val="24"/>
          <w:szCs w:val="28"/>
        </w:rPr>
        <w:t>查據行政院</w:t>
      </w:r>
      <w:proofErr w:type="gramEnd"/>
      <w:r>
        <w:rPr>
          <w:rFonts w:hAnsi="標楷體" w:hint="eastAsia"/>
          <w:color w:val="000000" w:themeColor="text1"/>
          <w:sz w:val="24"/>
          <w:szCs w:val="28"/>
        </w:rPr>
        <w:t>公布之109至113年各年度行政院及所屬各部會性別預算編列情形整體說明，及各部會提供</w:t>
      </w:r>
      <w:proofErr w:type="gramStart"/>
      <w:r>
        <w:rPr>
          <w:rFonts w:hAnsi="標楷體" w:hint="eastAsia"/>
          <w:color w:val="000000" w:themeColor="text1"/>
          <w:sz w:val="24"/>
          <w:szCs w:val="28"/>
        </w:rPr>
        <w:t>113</w:t>
      </w:r>
      <w:proofErr w:type="gramEnd"/>
      <w:r>
        <w:rPr>
          <w:rFonts w:hAnsi="標楷體" w:hint="eastAsia"/>
          <w:color w:val="000000" w:themeColor="text1"/>
          <w:sz w:val="24"/>
          <w:szCs w:val="28"/>
        </w:rPr>
        <w:t>年度性別預算執行有關資料，近</w:t>
      </w:r>
      <w:proofErr w:type="gramStart"/>
      <w:r>
        <w:rPr>
          <w:rFonts w:hAnsi="標楷體" w:hint="eastAsia"/>
          <w:color w:val="000000" w:themeColor="text1"/>
          <w:sz w:val="24"/>
          <w:szCs w:val="28"/>
        </w:rPr>
        <w:t>5</w:t>
      </w:r>
      <w:proofErr w:type="gramEnd"/>
      <w:r>
        <w:rPr>
          <w:rFonts w:hAnsi="標楷體" w:hint="eastAsia"/>
          <w:color w:val="000000" w:themeColor="text1"/>
          <w:sz w:val="24"/>
          <w:szCs w:val="28"/>
        </w:rPr>
        <w:t>年度（109至113年度）行政院及所屬各部會編列公務機關、營業基金及非營業基金性別預算數呈顯著成長，各年度預算執行率均逾</w:t>
      </w:r>
      <w:proofErr w:type="gramStart"/>
      <w:r>
        <w:rPr>
          <w:rFonts w:hAnsi="標楷體" w:hint="eastAsia"/>
          <w:color w:val="000000" w:themeColor="text1"/>
          <w:sz w:val="24"/>
          <w:szCs w:val="28"/>
        </w:rPr>
        <w:t>9成</w:t>
      </w:r>
      <w:proofErr w:type="gramEnd"/>
      <w:r>
        <w:rPr>
          <w:rFonts w:hAnsi="標楷體" w:hint="eastAsia"/>
          <w:color w:val="000000" w:themeColor="text1"/>
          <w:sz w:val="24"/>
          <w:szCs w:val="28"/>
        </w:rPr>
        <w:t>，整體執行情形尚佳，其中</w:t>
      </w:r>
      <w:proofErr w:type="gramStart"/>
      <w:r>
        <w:rPr>
          <w:rFonts w:hAnsi="標楷體" w:hint="eastAsia"/>
          <w:color w:val="000000" w:themeColor="text1"/>
          <w:sz w:val="24"/>
          <w:szCs w:val="28"/>
        </w:rPr>
        <w:t>113</w:t>
      </w:r>
      <w:proofErr w:type="gramEnd"/>
      <w:r>
        <w:rPr>
          <w:rFonts w:hAnsi="標楷體" w:hint="eastAsia"/>
          <w:color w:val="000000" w:themeColor="text1"/>
          <w:sz w:val="24"/>
          <w:szCs w:val="28"/>
        </w:rPr>
        <w:t>年度各</w:t>
      </w:r>
      <w:r>
        <w:rPr>
          <w:rFonts w:hAnsi="標楷體" w:hint="eastAsia"/>
          <w:color w:val="000000" w:themeColor="text1"/>
          <w:sz w:val="24"/>
          <w:szCs w:val="28"/>
        </w:rPr>
        <w:lastRenderedPageBreak/>
        <w:t>部會編列預算數1,886億餘元、執行數1,804億餘元（執行率95.65％）（表46），合共辦理完成性別平等相關業務1,429項（達成率89.85％），主要係政府擴大推動少子女化對策計畫有關2至6歲幼兒教育與照顧，</w:t>
      </w:r>
      <w:proofErr w:type="gramStart"/>
      <w:r>
        <w:rPr>
          <w:rFonts w:hAnsi="標楷體" w:hint="eastAsia"/>
          <w:color w:val="000000" w:themeColor="text1"/>
          <w:sz w:val="24"/>
          <w:szCs w:val="28"/>
        </w:rPr>
        <w:t>暨托育</w:t>
      </w:r>
      <w:proofErr w:type="gramEnd"/>
      <w:r>
        <w:rPr>
          <w:rFonts w:hAnsi="標楷體" w:hint="eastAsia"/>
          <w:color w:val="000000" w:themeColor="text1"/>
          <w:sz w:val="24"/>
          <w:szCs w:val="28"/>
        </w:rPr>
        <w:t>公共及</w:t>
      </w:r>
      <w:proofErr w:type="gramStart"/>
      <w:r>
        <w:rPr>
          <w:rFonts w:hAnsi="標楷體" w:hint="eastAsia"/>
          <w:color w:val="000000" w:themeColor="text1"/>
          <w:sz w:val="24"/>
          <w:szCs w:val="28"/>
        </w:rPr>
        <w:t>準</w:t>
      </w:r>
      <w:proofErr w:type="gramEnd"/>
      <w:r>
        <w:rPr>
          <w:rFonts w:hAnsi="標楷體" w:hint="eastAsia"/>
          <w:color w:val="000000" w:themeColor="text1"/>
          <w:sz w:val="24"/>
          <w:szCs w:val="28"/>
        </w:rPr>
        <w:t>公共化服務、長照服務輸送體系計畫、促進特定對象及弱勢者就業相關服務；多個部會、醫療、學校機構、公共館舍增設性別友善或無障礙空間、設施等，展現行政院運用性別預算工具，引導各部會將性別觀點直接連結公共資源之分配</w:t>
      </w:r>
      <w:r w:rsidR="00F2374D">
        <w:rPr>
          <w:noProof/>
        </w:rPr>
        <mc:AlternateContent>
          <mc:Choice Requires="wps">
            <w:drawing>
              <wp:anchor distT="45720" distB="45720" distL="114300" distR="114300" simplePos="0" relativeHeight="251671552" behindDoc="0" locked="0" layoutInCell="1" allowOverlap="1" wp14:anchorId="572CE034" wp14:editId="3A9A268A">
                <wp:simplePos x="0" y="0"/>
                <wp:positionH relativeFrom="margin">
                  <wp:posOffset>33655</wp:posOffset>
                </wp:positionH>
                <wp:positionV relativeFrom="paragraph">
                  <wp:posOffset>1804670</wp:posOffset>
                </wp:positionV>
                <wp:extent cx="6210300" cy="3009900"/>
                <wp:effectExtent l="0" t="0" r="0" b="0"/>
                <wp:wrapSquare wrapText="bothSides"/>
                <wp:docPr id="2008327094" name="文字方塊 2008327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3009900"/>
                        </a:xfrm>
                        <a:prstGeom prst="rect">
                          <a:avLst/>
                        </a:prstGeom>
                        <a:solidFill>
                          <a:srgbClr val="FFFFFF"/>
                        </a:solidFill>
                        <a:ln w="9525">
                          <a:noFill/>
                          <a:miter lim="800000"/>
                          <a:headEnd/>
                          <a:tailEnd/>
                        </a:ln>
                      </wps:spPr>
                      <wps:txbx>
                        <w:txbxContent>
                          <w:tbl>
                            <w:tblPr>
                              <w:tblW w:w="9498" w:type="dxa"/>
                              <w:jc w:val="center"/>
                              <w:tblCellMar>
                                <w:left w:w="28" w:type="dxa"/>
                                <w:right w:w="28" w:type="dxa"/>
                              </w:tblCellMar>
                              <w:tblLook w:val="04A0" w:firstRow="1" w:lastRow="0" w:firstColumn="1" w:lastColumn="0" w:noHBand="0" w:noVBand="1"/>
                            </w:tblPr>
                            <w:tblGrid>
                              <w:gridCol w:w="356"/>
                              <w:gridCol w:w="988"/>
                              <w:gridCol w:w="936"/>
                              <w:gridCol w:w="555"/>
                              <w:gridCol w:w="856"/>
                              <w:gridCol w:w="856"/>
                              <w:gridCol w:w="556"/>
                              <w:gridCol w:w="776"/>
                              <w:gridCol w:w="840"/>
                              <w:gridCol w:w="511"/>
                              <w:gridCol w:w="856"/>
                              <w:gridCol w:w="856"/>
                              <w:gridCol w:w="556"/>
                            </w:tblGrid>
                            <w:tr w:rsidR="00D13E1B" w14:paraId="60A9A3D3" w14:textId="77777777">
                              <w:trPr>
                                <w:trHeight w:val="283"/>
                                <w:jc w:val="center"/>
                              </w:trPr>
                              <w:tc>
                                <w:tcPr>
                                  <w:tcW w:w="9498" w:type="dxa"/>
                                  <w:gridSpan w:val="13"/>
                                  <w:noWrap/>
                                  <w:vAlign w:val="center"/>
                                  <w:hideMark/>
                                </w:tcPr>
                                <w:p w14:paraId="74725166" w14:textId="77777777" w:rsidR="00D13E1B" w:rsidRDefault="00D13E1B">
                                  <w:pPr>
                                    <w:widowControl/>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46</w:t>
                                  </w:r>
                                  <w:r>
                                    <w:rPr>
                                      <w:rFonts w:ascii="標楷體" w:eastAsia="標楷體" w:hAnsi="標楷體" w:cs="新細明體" w:hint="eastAsia"/>
                                      <w:b/>
                                      <w:bCs/>
                                      <w:color w:val="000000"/>
                                      <w:kern w:val="0"/>
                                      <w:szCs w:val="24"/>
                                    </w:rPr>
                                    <w:t xml:space="preserve">  行政院及所屬各部會性別預算編列及執行情形</w:t>
                                  </w:r>
                                </w:p>
                              </w:tc>
                            </w:tr>
                            <w:tr w:rsidR="00D13E1B" w14:paraId="543A7F76" w14:textId="77777777">
                              <w:trPr>
                                <w:trHeight w:val="227"/>
                                <w:jc w:val="center"/>
                              </w:trPr>
                              <w:tc>
                                <w:tcPr>
                                  <w:tcW w:w="9498" w:type="dxa"/>
                                  <w:gridSpan w:val="13"/>
                                  <w:tcBorders>
                                    <w:top w:val="nil"/>
                                    <w:left w:val="nil"/>
                                    <w:bottom w:val="single" w:sz="4" w:space="0" w:color="auto"/>
                                    <w:right w:val="nil"/>
                                  </w:tcBorders>
                                  <w:noWrap/>
                                  <w:vAlign w:val="center"/>
                                  <w:hideMark/>
                                </w:tcPr>
                                <w:p w14:paraId="66FEB389" w14:textId="77777777" w:rsidR="00D13E1B" w:rsidRDefault="00D13E1B">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w:t>
                                  </w:r>
                                </w:p>
                              </w:tc>
                            </w:tr>
                            <w:tr w:rsidR="00D13E1B" w14:paraId="274AEE97" w14:textId="77777777">
                              <w:trPr>
                                <w:trHeight w:val="315"/>
                                <w:jc w:val="center"/>
                              </w:trPr>
                              <w:tc>
                                <w:tcPr>
                                  <w:tcW w:w="356" w:type="dxa"/>
                                  <w:vMerge w:val="restart"/>
                                  <w:tcBorders>
                                    <w:top w:val="nil"/>
                                    <w:left w:val="single" w:sz="4" w:space="0" w:color="auto"/>
                                    <w:bottom w:val="single" w:sz="4" w:space="0" w:color="auto"/>
                                    <w:right w:val="single" w:sz="4" w:space="0" w:color="auto"/>
                                  </w:tcBorders>
                                  <w:noWrap/>
                                  <w:vAlign w:val="center"/>
                                  <w:hideMark/>
                                </w:tcPr>
                                <w:p w14:paraId="6338B2E6"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479" w:type="dxa"/>
                                  <w:gridSpan w:val="3"/>
                                  <w:tcBorders>
                                    <w:top w:val="single" w:sz="4" w:space="0" w:color="auto"/>
                                    <w:left w:val="nil"/>
                                    <w:bottom w:val="single" w:sz="4" w:space="0" w:color="auto"/>
                                    <w:right w:val="single" w:sz="4" w:space="0" w:color="auto"/>
                                  </w:tcBorders>
                                  <w:noWrap/>
                                  <w:vAlign w:val="center"/>
                                  <w:hideMark/>
                                </w:tcPr>
                                <w:p w14:paraId="11340403"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2268" w:type="dxa"/>
                                  <w:gridSpan w:val="3"/>
                                  <w:tcBorders>
                                    <w:top w:val="single" w:sz="4" w:space="0" w:color="auto"/>
                                    <w:left w:val="nil"/>
                                    <w:bottom w:val="single" w:sz="4" w:space="0" w:color="auto"/>
                                    <w:right w:val="single" w:sz="4" w:space="0" w:color="auto"/>
                                  </w:tcBorders>
                                  <w:noWrap/>
                                  <w:vAlign w:val="center"/>
                                  <w:hideMark/>
                                </w:tcPr>
                                <w:p w14:paraId="138AB47E"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公務機關</w:t>
                                  </w:r>
                                </w:p>
                              </w:tc>
                              <w:tc>
                                <w:tcPr>
                                  <w:tcW w:w="2127" w:type="dxa"/>
                                  <w:gridSpan w:val="3"/>
                                  <w:tcBorders>
                                    <w:top w:val="single" w:sz="4" w:space="0" w:color="auto"/>
                                    <w:left w:val="nil"/>
                                    <w:bottom w:val="single" w:sz="4" w:space="0" w:color="auto"/>
                                    <w:right w:val="single" w:sz="4" w:space="0" w:color="auto"/>
                                  </w:tcBorders>
                                  <w:noWrap/>
                                  <w:vAlign w:val="center"/>
                                  <w:hideMark/>
                                </w:tcPr>
                                <w:p w14:paraId="4B3B119A"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營業基金</w:t>
                                  </w:r>
                                </w:p>
                              </w:tc>
                              <w:tc>
                                <w:tcPr>
                                  <w:tcW w:w="2268" w:type="dxa"/>
                                  <w:gridSpan w:val="3"/>
                                  <w:tcBorders>
                                    <w:top w:val="single" w:sz="4" w:space="0" w:color="auto"/>
                                    <w:left w:val="nil"/>
                                    <w:bottom w:val="single" w:sz="4" w:space="0" w:color="auto"/>
                                    <w:right w:val="single" w:sz="4" w:space="0" w:color="auto"/>
                                  </w:tcBorders>
                                  <w:noWrap/>
                                  <w:vAlign w:val="center"/>
                                  <w:hideMark/>
                                </w:tcPr>
                                <w:p w14:paraId="341F13E4"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非營業基金</w:t>
                                  </w:r>
                                </w:p>
                              </w:tc>
                            </w:tr>
                            <w:tr w:rsidR="00D13E1B" w14:paraId="7AD62A61" w14:textId="77777777">
                              <w:trPr>
                                <w:trHeight w:val="315"/>
                                <w:jc w:val="center"/>
                              </w:trPr>
                              <w:tc>
                                <w:tcPr>
                                  <w:tcW w:w="0" w:type="auto"/>
                                  <w:vMerge/>
                                  <w:tcBorders>
                                    <w:top w:val="nil"/>
                                    <w:left w:val="single" w:sz="4" w:space="0" w:color="auto"/>
                                    <w:bottom w:val="single" w:sz="4" w:space="0" w:color="auto"/>
                                    <w:right w:val="single" w:sz="4" w:space="0" w:color="auto"/>
                                  </w:tcBorders>
                                  <w:vAlign w:val="center"/>
                                  <w:hideMark/>
                                </w:tcPr>
                                <w:p w14:paraId="00AFEBC1" w14:textId="77777777" w:rsidR="00D13E1B" w:rsidRDefault="00D13E1B">
                                  <w:pPr>
                                    <w:widowControl/>
                                    <w:rPr>
                                      <w:rFonts w:ascii="標楷體" w:eastAsia="標楷體" w:hAnsi="標楷體" w:cs="新細明體"/>
                                      <w:color w:val="000000"/>
                                      <w:kern w:val="0"/>
                                      <w:sz w:val="20"/>
                                    </w:rPr>
                                  </w:pPr>
                                </w:p>
                              </w:tc>
                              <w:tc>
                                <w:tcPr>
                                  <w:tcW w:w="988" w:type="dxa"/>
                                  <w:tcBorders>
                                    <w:top w:val="nil"/>
                                    <w:left w:val="nil"/>
                                    <w:bottom w:val="single" w:sz="4" w:space="0" w:color="auto"/>
                                    <w:right w:val="single" w:sz="4" w:space="0" w:color="auto"/>
                                  </w:tcBorders>
                                  <w:noWrap/>
                                  <w:vAlign w:val="center"/>
                                  <w:hideMark/>
                                </w:tcPr>
                                <w:p w14:paraId="77F3F6DE"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936" w:type="dxa"/>
                                  <w:tcBorders>
                                    <w:top w:val="nil"/>
                                    <w:left w:val="nil"/>
                                    <w:bottom w:val="single" w:sz="4" w:space="0" w:color="auto"/>
                                    <w:right w:val="single" w:sz="4" w:space="0" w:color="auto"/>
                                  </w:tcBorders>
                                  <w:noWrap/>
                                  <w:vAlign w:val="center"/>
                                  <w:hideMark/>
                                </w:tcPr>
                                <w:p w14:paraId="6552A5D9"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p w14:paraId="2EB15D4F"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roofErr w:type="gramStart"/>
                                  <w:r>
                                    <w:rPr>
                                      <w:rFonts w:ascii="標楷體" w:eastAsia="標楷體" w:hAnsi="標楷體" w:cs="新細明體" w:hint="eastAsia"/>
                                      <w:color w:val="000000"/>
                                      <w:kern w:val="0"/>
                                      <w:sz w:val="20"/>
                                    </w:rPr>
                                    <w:t>註</w:t>
                                  </w:r>
                                  <w:proofErr w:type="gramEnd"/>
                                  <w:r>
                                    <w:rPr>
                                      <w:rFonts w:ascii="標楷體" w:eastAsia="標楷體" w:hAnsi="標楷體" w:cs="新細明體" w:hint="eastAsia"/>
                                      <w:color w:val="000000"/>
                                      <w:kern w:val="0"/>
                                      <w:sz w:val="20"/>
                                    </w:rPr>
                                    <w:t>2)</w:t>
                                  </w:r>
                                </w:p>
                              </w:tc>
                              <w:tc>
                                <w:tcPr>
                                  <w:tcW w:w="555" w:type="dxa"/>
                                  <w:tcBorders>
                                    <w:top w:val="nil"/>
                                    <w:left w:val="nil"/>
                                    <w:bottom w:val="single" w:sz="4" w:space="0" w:color="auto"/>
                                    <w:right w:val="single" w:sz="4" w:space="0" w:color="auto"/>
                                  </w:tcBorders>
                                  <w:noWrap/>
                                  <w:vAlign w:val="center"/>
                                  <w:hideMark/>
                                </w:tcPr>
                                <w:p w14:paraId="6555739E"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w:t>
                                  </w:r>
                                </w:p>
                              </w:tc>
                              <w:tc>
                                <w:tcPr>
                                  <w:tcW w:w="856" w:type="dxa"/>
                                  <w:tcBorders>
                                    <w:top w:val="nil"/>
                                    <w:left w:val="nil"/>
                                    <w:bottom w:val="single" w:sz="4" w:space="0" w:color="auto"/>
                                    <w:right w:val="single" w:sz="4" w:space="0" w:color="auto"/>
                                  </w:tcBorders>
                                  <w:noWrap/>
                                  <w:vAlign w:val="center"/>
                                  <w:hideMark/>
                                </w:tcPr>
                                <w:p w14:paraId="1A415F06"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856" w:type="dxa"/>
                                  <w:tcBorders>
                                    <w:top w:val="nil"/>
                                    <w:left w:val="nil"/>
                                    <w:bottom w:val="single" w:sz="4" w:space="0" w:color="auto"/>
                                    <w:right w:val="single" w:sz="4" w:space="0" w:color="auto"/>
                                  </w:tcBorders>
                                  <w:noWrap/>
                                  <w:vAlign w:val="center"/>
                                  <w:hideMark/>
                                </w:tcPr>
                                <w:p w14:paraId="58E72EDD"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tc>
                              <w:tc>
                                <w:tcPr>
                                  <w:tcW w:w="556" w:type="dxa"/>
                                  <w:tcBorders>
                                    <w:top w:val="nil"/>
                                    <w:left w:val="nil"/>
                                    <w:bottom w:val="single" w:sz="4" w:space="0" w:color="auto"/>
                                    <w:right w:val="single" w:sz="4" w:space="0" w:color="auto"/>
                                  </w:tcBorders>
                                  <w:noWrap/>
                                  <w:vAlign w:val="center"/>
                                  <w:hideMark/>
                                </w:tcPr>
                                <w:p w14:paraId="37FDAB47"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w:t>
                                  </w:r>
                                </w:p>
                              </w:tc>
                              <w:tc>
                                <w:tcPr>
                                  <w:tcW w:w="776" w:type="dxa"/>
                                  <w:tcBorders>
                                    <w:top w:val="nil"/>
                                    <w:left w:val="nil"/>
                                    <w:bottom w:val="single" w:sz="4" w:space="0" w:color="auto"/>
                                    <w:right w:val="single" w:sz="4" w:space="0" w:color="auto"/>
                                  </w:tcBorders>
                                  <w:noWrap/>
                                  <w:vAlign w:val="center"/>
                                  <w:hideMark/>
                                </w:tcPr>
                                <w:p w14:paraId="19A09837"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840" w:type="dxa"/>
                                  <w:tcBorders>
                                    <w:top w:val="nil"/>
                                    <w:left w:val="nil"/>
                                    <w:bottom w:val="single" w:sz="4" w:space="0" w:color="auto"/>
                                    <w:right w:val="single" w:sz="4" w:space="0" w:color="auto"/>
                                  </w:tcBorders>
                                  <w:noWrap/>
                                  <w:vAlign w:val="center"/>
                                  <w:hideMark/>
                                </w:tcPr>
                                <w:p w14:paraId="40FC2C27"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tc>
                              <w:tc>
                                <w:tcPr>
                                  <w:tcW w:w="511" w:type="dxa"/>
                                  <w:tcBorders>
                                    <w:top w:val="nil"/>
                                    <w:left w:val="nil"/>
                                    <w:bottom w:val="single" w:sz="4" w:space="0" w:color="auto"/>
                                    <w:right w:val="single" w:sz="4" w:space="0" w:color="auto"/>
                                  </w:tcBorders>
                                  <w:noWrap/>
                                  <w:vAlign w:val="center"/>
                                  <w:hideMark/>
                                </w:tcPr>
                                <w:p w14:paraId="2536BA86"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w:t>
                                  </w:r>
                                </w:p>
                              </w:tc>
                              <w:tc>
                                <w:tcPr>
                                  <w:tcW w:w="856" w:type="dxa"/>
                                  <w:tcBorders>
                                    <w:top w:val="nil"/>
                                    <w:left w:val="nil"/>
                                    <w:bottom w:val="single" w:sz="4" w:space="0" w:color="auto"/>
                                    <w:right w:val="single" w:sz="4" w:space="0" w:color="auto"/>
                                  </w:tcBorders>
                                  <w:noWrap/>
                                  <w:vAlign w:val="center"/>
                                  <w:hideMark/>
                                </w:tcPr>
                                <w:p w14:paraId="3F9E5ECD"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預算數</w:t>
                                  </w:r>
                                </w:p>
                              </w:tc>
                              <w:tc>
                                <w:tcPr>
                                  <w:tcW w:w="856" w:type="dxa"/>
                                  <w:tcBorders>
                                    <w:top w:val="nil"/>
                                    <w:left w:val="nil"/>
                                    <w:bottom w:val="single" w:sz="4" w:space="0" w:color="auto"/>
                                    <w:right w:val="single" w:sz="4" w:space="0" w:color="auto"/>
                                  </w:tcBorders>
                                  <w:noWrap/>
                                  <w:vAlign w:val="center"/>
                                  <w:hideMark/>
                                </w:tcPr>
                                <w:p w14:paraId="39A7BA30"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執行數</w:t>
                                  </w:r>
                                </w:p>
                                <w:p w14:paraId="729E8380"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w:t>
                                  </w:r>
                                  <w:proofErr w:type="gramStart"/>
                                  <w:r>
                                    <w:rPr>
                                      <w:rFonts w:ascii="標楷體" w:eastAsia="標楷體" w:hAnsi="標楷體" w:cs="新細明體" w:hint="eastAsia"/>
                                      <w:color w:val="000000"/>
                                      <w:spacing w:val="-8"/>
                                      <w:kern w:val="0"/>
                                      <w:sz w:val="20"/>
                                    </w:rPr>
                                    <w:t>註</w:t>
                                  </w:r>
                                  <w:proofErr w:type="gramEnd"/>
                                  <w:r>
                                    <w:rPr>
                                      <w:rFonts w:ascii="標楷體" w:eastAsia="標楷體" w:hAnsi="標楷體" w:cs="新細明體" w:hint="eastAsia"/>
                                      <w:color w:val="000000"/>
                                      <w:spacing w:val="-8"/>
                                      <w:kern w:val="0"/>
                                      <w:sz w:val="20"/>
                                    </w:rPr>
                                    <w:t>2)</w:t>
                                  </w:r>
                                </w:p>
                              </w:tc>
                              <w:tc>
                                <w:tcPr>
                                  <w:tcW w:w="556" w:type="dxa"/>
                                  <w:tcBorders>
                                    <w:top w:val="nil"/>
                                    <w:left w:val="nil"/>
                                    <w:bottom w:val="single" w:sz="4" w:space="0" w:color="auto"/>
                                    <w:right w:val="single" w:sz="4" w:space="0" w:color="auto"/>
                                  </w:tcBorders>
                                  <w:noWrap/>
                                  <w:vAlign w:val="center"/>
                                  <w:hideMark/>
                                </w:tcPr>
                                <w:p w14:paraId="4627AAF4"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執行率</w:t>
                                  </w:r>
                                </w:p>
                              </w:tc>
                            </w:tr>
                            <w:tr w:rsidR="00D13E1B" w14:paraId="6D089373"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0524BFFB"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113</w:t>
                                  </w:r>
                                </w:p>
                              </w:tc>
                              <w:tc>
                                <w:tcPr>
                                  <w:tcW w:w="988" w:type="dxa"/>
                                  <w:tcBorders>
                                    <w:top w:val="nil"/>
                                    <w:left w:val="nil"/>
                                    <w:bottom w:val="single" w:sz="4" w:space="0" w:color="auto"/>
                                    <w:right w:val="single" w:sz="4" w:space="0" w:color="auto"/>
                                  </w:tcBorders>
                                  <w:noWrap/>
                                  <w:vAlign w:val="center"/>
                                  <w:hideMark/>
                                </w:tcPr>
                                <w:p w14:paraId="6DE5B3A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188,646,259 </w:t>
                                  </w:r>
                                </w:p>
                              </w:tc>
                              <w:tc>
                                <w:tcPr>
                                  <w:tcW w:w="936" w:type="dxa"/>
                                  <w:tcBorders>
                                    <w:top w:val="nil"/>
                                    <w:left w:val="nil"/>
                                    <w:bottom w:val="single" w:sz="4" w:space="0" w:color="auto"/>
                                    <w:right w:val="single" w:sz="4" w:space="0" w:color="auto"/>
                                  </w:tcBorders>
                                  <w:noWrap/>
                                  <w:vAlign w:val="center"/>
                                  <w:hideMark/>
                                </w:tcPr>
                                <w:p w14:paraId="202A2C1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180,438,504 </w:t>
                                  </w:r>
                                </w:p>
                              </w:tc>
                              <w:tc>
                                <w:tcPr>
                                  <w:tcW w:w="555" w:type="dxa"/>
                                  <w:tcBorders>
                                    <w:top w:val="nil"/>
                                    <w:left w:val="nil"/>
                                    <w:bottom w:val="single" w:sz="4" w:space="0" w:color="auto"/>
                                    <w:right w:val="single" w:sz="4" w:space="0" w:color="auto"/>
                                  </w:tcBorders>
                                  <w:noWrap/>
                                  <w:vAlign w:val="center"/>
                                  <w:hideMark/>
                                </w:tcPr>
                                <w:p w14:paraId="0CE961B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95.65 </w:t>
                                  </w:r>
                                </w:p>
                              </w:tc>
                              <w:tc>
                                <w:tcPr>
                                  <w:tcW w:w="856" w:type="dxa"/>
                                  <w:tcBorders>
                                    <w:top w:val="nil"/>
                                    <w:left w:val="nil"/>
                                    <w:bottom w:val="single" w:sz="4" w:space="0" w:color="auto"/>
                                    <w:right w:val="single" w:sz="4" w:space="0" w:color="auto"/>
                                  </w:tcBorders>
                                  <w:noWrap/>
                                  <w:vAlign w:val="center"/>
                                  <w:hideMark/>
                                </w:tcPr>
                                <w:p w14:paraId="705685A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92,166,686 </w:t>
                                  </w:r>
                                </w:p>
                              </w:tc>
                              <w:tc>
                                <w:tcPr>
                                  <w:tcW w:w="856" w:type="dxa"/>
                                  <w:tcBorders>
                                    <w:top w:val="nil"/>
                                    <w:left w:val="nil"/>
                                    <w:bottom w:val="single" w:sz="4" w:space="0" w:color="auto"/>
                                    <w:right w:val="single" w:sz="4" w:space="0" w:color="auto"/>
                                  </w:tcBorders>
                                  <w:noWrap/>
                                  <w:vAlign w:val="center"/>
                                  <w:hideMark/>
                                </w:tcPr>
                                <w:p w14:paraId="4251CE7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90,218,083 </w:t>
                                  </w:r>
                                </w:p>
                              </w:tc>
                              <w:tc>
                                <w:tcPr>
                                  <w:tcW w:w="556" w:type="dxa"/>
                                  <w:tcBorders>
                                    <w:top w:val="nil"/>
                                    <w:left w:val="nil"/>
                                    <w:bottom w:val="single" w:sz="4" w:space="0" w:color="auto"/>
                                    <w:right w:val="single" w:sz="4" w:space="0" w:color="auto"/>
                                  </w:tcBorders>
                                  <w:noWrap/>
                                  <w:vAlign w:val="center"/>
                                  <w:hideMark/>
                                </w:tcPr>
                                <w:p w14:paraId="576A04F1"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97.89 </w:t>
                                  </w:r>
                                </w:p>
                              </w:tc>
                              <w:tc>
                                <w:tcPr>
                                  <w:tcW w:w="776" w:type="dxa"/>
                                  <w:tcBorders>
                                    <w:top w:val="nil"/>
                                    <w:left w:val="nil"/>
                                    <w:bottom w:val="single" w:sz="4" w:space="0" w:color="auto"/>
                                    <w:right w:val="single" w:sz="4" w:space="0" w:color="auto"/>
                                  </w:tcBorders>
                                  <w:noWrap/>
                                  <w:vAlign w:val="center"/>
                                  <w:hideMark/>
                                </w:tcPr>
                                <w:p w14:paraId="194C725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656,211 </w:t>
                                  </w:r>
                                </w:p>
                              </w:tc>
                              <w:tc>
                                <w:tcPr>
                                  <w:tcW w:w="840" w:type="dxa"/>
                                  <w:tcBorders>
                                    <w:top w:val="nil"/>
                                    <w:left w:val="nil"/>
                                    <w:bottom w:val="single" w:sz="4" w:space="0" w:color="auto"/>
                                    <w:right w:val="single" w:sz="4" w:space="0" w:color="auto"/>
                                  </w:tcBorders>
                                  <w:noWrap/>
                                  <w:vAlign w:val="center"/>
                                  <w:hideMark/>
                                </w:tcPr>
                                <w:p w14:paraId="24CC00F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475,479 </w:t>
                                  </w:r>
                                </w:p>
                              </w:tc>
                              <w:tc>
                                <w:tcPr>
                                  <w:tcW w:w="511" w:type="dxa"/>
                                  <w:tcBorders>
                                    <w:top w:val="nil"/>
                                    <w:left w:val="nil"/>
                                    <w:bottom w:val="single" w:sz="4" w:space="0" w:color="auto"/>
                                    <w:right w:val="single" w:sz="4" w:space="0" w:color="auto"/>
                                  </w:tcBorders>
                                  <w:noWrap/>
                                  <w:vAlign w:val="center"/>
                                  <w:hideMark/>
                                </w:tcPr>
                                <w:p w14:paraId="414E2A3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72.46 </w:t>
                                  </w:r>
                                </w:p>
                              </w:tc>
                              <w:tc>
                                <w:tcPr>
                                  <w:tcW w:w="856" w:type="dxa"/>
                                  <w:tcBorders>
                                    <w:top w:val="nil"/>
                                    <w:left w:val="nil"/>
                                    <w:bottom w:val="single" w:sz="4" w:space="0" w:color="auto"/>
                                    <w:right w:val="single" w:sz="4" w:space="0" w:color="auto"/>
                                  </w:tcBorders>
                                  <w:noWrap/>
                                  <w:vAlign w:val="center"/>
                                  <w:hideMark/>
                                </w:tcPr>
                                <w:p w14:paraId="6EB6976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95,823,362 </w:t>
                                  </w:r>
                                </w:p>
                              </w:tc>
                              <w:tc>
                                <w:tcPr>
                                  <w:tcW w:w="856" w:type="dxa"/>
                                  <w:tcBorders>
                                    <w:top w:val="nil"/>
                                    <w:left w:val="nil"/>
                                    <w:bottom w:val="single" w:sz="4" w:space="0" w:color="auto"/>
                                    <w:right w:val="single" w:sz="4" w:space="0" w:color="auto"/>
                                  </w:tcBorders>
                                  <w:noWrap/>
                                  <w:vAlign w:val="center"/>
                                  <w:hideMark/>
                                </w:tcPr>
                                <w:p w14:paraId="6DDB74A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89,744,942 </w:t>
                                  </w:r>
                                </w:p>
                              </w:tc>
                              <w:tc>
                                <w:tcPr>
                                  <w:tcW w:w="556" w:type="dxa"/>
                                  <w:tcBorders>
                                    <w:top w:val="nil"/>
                                    <w:left w:val="nil"/>
                                    <w:bottom w:val="single" w:sz="4" w:space="0" w:color="auto"/>
                                    <w:right w:val="single" w:sz="4" w:space="0" w:color="auto"/>
                                  </w:tcBorders>
                                  <w:noWrap/>
                                  <w:vAlign w:val="center"/>
                                  <w:hideMark/>
                                </w:tcPr>
                                <w:p w14:paraId="17171EE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93.66 </w:t>
                                  </w:r>
                                </w:p>
                              </w:tc>
                            </w:tr>
                            <w:tr w:rsidR="00D13E1B" w14:paraId="5D5A449C"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7D0D8A53"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112</w:t>
                                  </w:r>
                                </w:p>
                              </w:tc>
                              <w:tc>
                                <w:tcPr>
                                  <w:tcW w:w="988" w:type="dxa"/>
                                  <w:tcBorders>
                                    <w:top w:val="nil"/>
                                    <w:left w:val="nil"/>
                                    <w:bottom w:val="single" w:sz="4" w:space="0" w:color="auto"/>
                                    <w:right w:val="single" w:sz="4" w:space="0" w:color="auto"/>
                                  </w:tcBorders>
                                  <w:noWrap/>
                                  <w:vAlign w:val="center"/>
                                  <w:hideMark/>
                                </w:tcPr>
                                <w:p w14:paraId="0B80938F"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155,537,407 </w:t>
                                  </w:r>
                                </w:p>
                              </w:tc>
                              <w:tc>
                                <w:tcPr>
                                  <w:tcW w:w="936" w:type="dxa"/>
                                  <w:tcBorders>
                                    <w:top w:val="nil"/>
                                    <w:left w:val="nil"/>
                                    <w:bottom w:val="single" w:sz="4" w:space="0" w:color="auto"/>
                                    <w:right w:val="single" w:sz="4" w:space="0" w:color="auto"/>
                                  </w:tcBorders>
                                  <w:noWrap/>
                                  <w:vAlign w:val="center"/>
                                  <w:hideMark/>
                                </w:tcPr>
                                <w:p w14:paraId="5EA97CB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159,810,044 </w:t>
                                  </w:r>
                                </w:p>
                              </w:tc>
                              <w:tc>
                                <w:tcPr>
                                  <w:tcW w:w="555" w:type="dxa"/>
                                  <w:tcBorders>
                                    <w:top w:val="nil"/>
                                    <w:left w:val="nil"/>
                                    <w:bottom w:val="single" w:sz="4" w:space="0" w:color="auto"/>
                                    <w:right w:val="single" w:sz="4" w:space="0" w:color="auto"/>
                                  </w:tcBorders>
                                  <w:noWrap/>
                                  <w:vAlign w:val="center"/>
                                  <w:hideMark/>
                                </w:tcPr>
                                <w:p w14:paraId="2723237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102.75 </w:t>
                                  </w:r>
                                </w:p>
                              </w:tc>
                              <w:tc>
                                <w:tcPr>
                                  <w:tcW w:w="856" w:type="dxa"/>
                                  <w:tcBorders>
                                    <w:top w:val="nil"/>
                                    <w:left w:val="nil"/>
                                    <w:bottom w:val="single" w:sz="4" w:space="0" w:color="auto"/>
                                    <w:right w:val="single" w:sz="4" w:space="0" w:color="auto"/>
                                  </w:tcBorders>
                                  <w:noWrap/>
                                  <w:vAlign w:val="center"/>
                                  <w:hideMark/>
                                </w:tcPr>
                                <w:p w14:paraId="0A139C8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82,016,392 </w:t>
                                  </w:r>
                                </w:p>
                              </w:tc>
                              <w:tc>
                                <w:tcPr>
                                  <w:tcW w:w="856" w:type="dxa"/>
                                  <w:tcBorders>
                                    <w:top w:val="nil"/>
                                    <w:left w:val="nil"/>
                                    <w:bottom w:val="single" w:sz="4" w:space="0" w:color="auto"/>
                                    <w:right w:val="single" w:sz="4" w:space="0" w:color="auto"/>
                                  </w:tcBorders>
                                  <w:noWrap/>
                                  <w:vAlign w:val="center"/>
                                  <w:hideMark/>
                                </w:tcPr>
                                <w:p w14:paraId="2D682E1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79,806,023 </w:t>
                                  </w:r>
                                </w:p>
                              </w:tc>
                              <w:tc>
                                <w:tcPr>
                                  <w:tcW w:w="556" w:type="dxa"/>
                                  <w:tcBorders>
                                    <w:top w:val="nil"/>
                                    <w:left w:val="nil"/>
                                    <w:bottom w:val="single" w:sz="4" w:space="0" w:color="auto"/>
                                    <w:right w:val="single" w:sz="4" w:space="0" w:color="auto"/>
                                  </w:tcBorders>
                                  <w:noWrap/>
                                  <w:vAlign w:val="center"/>
                                  <w:hideMark/>
                                </w:tcPr>
                                <w:p w14:paraId="10BD4D20"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97.30 </w:t>
                                  </w:r>
                                </w:p>
                              </w:tc>
                              <w:tc>
                                <w:tcPr>
                                  <w:tcW w:w="776" w:type="dxa"/>
                                  <w:tcBorders>
                                    <w:top w:val="nil"/>
                                    <w:left w:val="nil"/>
                                    <w:bottom w:val="single" w:sz="4" w:space="0" w:color="auto"/>
                                    <w:right w:val="single" w:sz="4" w:space="0" w:color="auto"/>
                                  </w:tcBorders>
                                  <w:noWrap/>
                                  <w:vAlign w:val="center"/>
                                  <w:hideMark/>
                                </w:tcPr>
                                <w:p w14:paraId="4944888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676,442 </w:t>
                                  </w:r>
                                </w:p>
                              </w:tc>
                              <w:tc>
                                <w:tcPr>
                                  <w:tcW w:w="840" w:type="dxa"/>
                                  <w:tcBorders>
                                    <w:top w:val="nil"/>
                                    <w:left w:val="nil"/>
                                    <w:bottom w:val="single" w:sz="4" w:space="0" w:color="auto"/>
                                    <w:right w:val="single" w:sz="4" w:space="0" w:color="auto"/>
                                  </w:tcBorders>
                                  <w:noWrap/>
                                  <w:vAlign w:val="center"/>
                                  <w:hideMark/>
                                </w:tcPr>
                                <w:p w14:paraId="6535D2CB"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580,481 </w:t>
                                  </w:r>
                                </w:p>
                              </w:tc>
                              <w:tc>
                                <w:tcPr>
                                  <w:tcW w:w="511" w:type="dxa"/>
                                  <w:tcBorders>
                                    <w:top w:val="nil"/>
                                    <w:left w:val="nil"/>
                                    <w:bottom w:val="single" w:sz="4" w:space="0" w:color="auto"/>
                                    <w:right w:val="single" w:sz="4" w:space="0" w:color="auto"/>
                                  </w:tcBorders>
                                  <w:noWrap/>
                                  <w:vAlign w:val="center"/>
                                  <w:hideMark/>
                                </w:tcPr>
                                <w:p w14:paraId="5CE4A15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85.81 </w:t>
                                  </w:r>
                                </w:p>
                              </w:tc>
                              <w:tc>
                                <w:tcPr>
                                  <w:tcW w:w="856" w:type="dxa"/>
                                  <w:tcBorders>
                                    <w:top w:val="nil"/>
                                    <w:left w:val="nil"/>
                                    <w:bottom w:val="single" w:sz="4" w:space="0" w:color="auto"/>
                                    <w:right w:val="single" w:sz="4" w:space="0" w:color="auto"/>
                                  </w:tcBorders>
                                  <w:noWrap/>
                                  <w:vAlign w:val="center"/>
                                  <w:hideMark/>
                                </w:tcPr>
                                <w:p w14:paraId="4A0E808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72,844,573 </w:t>
                                  </w:r>
                                </w:p>
                              </w:tc>
                              <w:tc>
                                <w:tcPr>
                                  <w:tcW w:w="856" w:type="dxa"/>
                                  <w:tcBorders>
                                    <w:top w:val="nil"/>
                                    <w:left w:val="nil"/>
                                    <w:bottom w:val="single" w:sz="4" w:space="0" w:color="auto"/>
                                    <w:right w:val="single" w:sz="4" w:space="0" w:color="auto"/>
                                  </w:tcBorders>
                                  <w:noWrap/>
                                  <w:vAlign w:val="center"/>
                                  <w:hideMark/>
                                </w:tcPr>
                                <w:p w14:paraId="29650FB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79,423,540 </w:t>
                                  </w:r>
                                </w:p>
                              </w:tc>
                              <w:tc>
                                <w:tcPr>
                                  <w:tcW w:w="556" w:type="dxa"/>
                                  <w:tcBorders>
                                    <w:top w:val="nil"/>
                                    <w:left w:val="nil"/>
                                    <w:bottom w:val="single" w:sz="4" w:space="0" w:color="auto"/>
                                    <w:right w:val="single" w:sz="4" w:space="0" w:color="auto"/>
                                  </w:tcBorders>
                                  <w:noWrap/>
                                  <w:vAlign w:val="center"/>
                                  <w:hideMark/>
                                </w:tcPr>
                                <w:p w14:paraId="2519799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109.03 </w:t>
                                  </w:r>
                                </w:p>
                              </w:tc>
                            </w:tr>
                            <w:tr w:rsidR="00D13E1B" w14:paraId="64DAB8E2"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6B06FBB2"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111</w:t>
                                  </w:r>
                                </w:p>
                              </w:tc>
                              <w:tc>
                                <w:tcPr>
                                  <w:tcW w:w="988" w:type="dxa"/>
                                  <w:tcBorders>
                                    <w:top w:val="nil"/>
                                    <w:left w:val="nil"/>
                                    <w:bottom w:val="single" w:sz="4" w:space="0" w:color="auto"/>
                                    <w:right w:val="single" w:sz="4" w:space="0" w:color="auto"/>
                                  </w:tcBorders>
                                  <w:noWrap/>
                                  <w:vAlign w:val="center"/>
                                  <w:hideMark/>
                                </w:tcPr>
                                <w:p w14:paraId="05F2D281"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134,669,745 </w:t>
                                  </w:r>
                                </w:p>
                              </w:tc>
                              <w:tc>
                                <w:tcPr>
                                  <w:tcW w:w="936" w:type="dxa"/>
                                  <w:tcBorders>
                                    <w:top w:val="nil"/>
                                    <w:left w:val="nil"/>
                                    <w:bottom w:val="single" w:sz="4" w:space="0" w:color="auto"/>
                                    <w:right w:val="single" w:sz="4" w:space="0" w:color="auto"/>
                                  </w:tcBorders>
                                  <w:noWrap/>
                                  <w:vAlign w:val="center"/>
                                  <w:hideMark/>
                                </w:tcPr>
                                <w:p w14:paraId="4F8255A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131,454,546 </w:t>
                                  </w:r>
                                </w:p>
                              </w:tc>
                              <w:tc>
                                <w:tcPr>
                                  <w:tcW w:w="555" w:type="dxa"/>
                                  <w:tcBorders>
                                    <w:top w:val="nil"/>
                                    <w:left w:val="nil"/>
                                    <w:bottom w:val="single" w:sz="4" w:space="0" w:color="auto"/>
                                    <w:right w:val="single" w:sz="4" w:space="0" w:color="auto"/>
                                  </w:tcBorders>
                                  <w:noWrap/>
                                  <w:vAlign w:val="center"/>
                                  <w:hideMark/>
                                </w:tcPr>
                                <w:p w14:paraId="561C1F9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97.61 </w:t>
                                  </w:r>
                                </w:p>
                              </w:tc>
                              <w:tc>
                                <w:tcPr>
                                  <w:tcW w:w="856" w:type="dxa"/>
                                  <w:tcBorders>
                                    <w:top w:val="nil"/>
                                    <w:left w:val="nil"/>
                                    <w:bottom w:val="single" w:sz="4" w:space="0" w:color="auto"/>
                                    <w:right w:val="single" w:sz="4" w:space="0" w:color="auto"/>
                                  </w:tcBorders>
                                  <w:noWrap/>
                                  <w:vAlign w:val="center"/>
                                  <w:hideMark/>
                                </w:tcPr>
                                <w:p w14:paraId="0FF4A160"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67,150,450 </w:t>
                                  </w:r>
                                </w:p>
                              </w:tc>
                              <w:tc>
                                <w:tcPr>
                                  <w:tcW w:w="856" w:type="dxa"/>
                                  <w:tcBorders>
                                    <w:top w:val="nil"/>
                                    <w:left w:val="nil"/>
                                    <w:bottom w:val="single" w:sz="4" w:space="0" w:color="auto"/>
                                    <w:right w:val="single" w:sz="4" w:space="0" w:color="auto"/>
                                  </w:tcBorders>
                                  <w:noWrap/>
                                  <w:vAlign w:val="center"/>
                                  <w:hideMark/>
                                </w:tcPr>
                                <w:p w14:paraId="36DF983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64,913,752 </w:t>
                                  </w:r>
                                </w:p>
                              </w:tc>
                              <w:tc>
                                <w:tcPr>
                                  <w:tcW w:w="556" w:type="dxa"/>
                                  <w:tcBorders>
                                    <w:top w:val="nil"/>
                                    <w:left w:val="nil"/>
                                    <w:bottom w:val="single" w:sz="4" w:space="0" w:color="auto"/>
                                    <w:right w:val="single" w:sz="4" w:space="0" w:color="auto"/>
                                  </w:tcBorders>
                                  <w:noWrap/>
                                  <w:vAlign w:val="center"/>
                                  <w:hideMark/>
                                </w:tcPr>
                                <w:p w14:paraId="3ADF8CF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96.67 </w:t>
                                  </w:r>
                                </w:p>
                              </w:tc>
                              <w:tc>
                                <w:tcPr>
                                  <w:tcW w:w="776" w:type="dxa"/>
                                  <w:tcBorders>
                                    <w:top w:val="nil"/>
                                    <w:left w:val="nil"/>
                                    <w:bottom w:val="single" w:sz="4" w:space="0" w:color="auto"/>
                                    <w:right w:val="single" w:sz="4" w:space="0" w:color="auto"/>
                                  </w:tcBorders>
                                  <w:noWrap/>
                                  <w:vAlign w:val="center"/>
                                  <w:hideMark/>
                                </w:tcPr>
                                <w:p w14:paraId="2D2F936F"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860,479 </w:t>
                                  </w:r>
                                </w:p>
                              </w:tc>
                              <w:tc>
                                <w:tcPr>
                                  <w:tcW w:w="840" w:type="dxa"/>
                                  <w:tcBorders>
                                    <w:top w:val="nil"/>
                                    <w:left w:val="nil"/>
                                    <w:bottom w:val="single" w:sz="4" w:space="0" w:color="auto"/>
                                    <w:right w:val="single" w:sz="4" w:space="0" w:color="auto"/>
                                  </w:tcBorders>
                                  <w:noWrap/>
                                  <w:vAlign w:val="center"/>
                                  <w:hideMark/>
                                </w:tcPr>
                                <w:p w14:paraId="1537C98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525,645 </w:t>
                                  </w:r>
                                </w:p>
                              </w:tc>
                              <w:tc>
                                <w:tcPr>
                                  <w:tcW w:w="511" w:type="dxa"/>
                                  <w:tcBorders>
                                    <w:top w:val="nil"/>
                                    <w:left w:val="nil"/>
                                    <w:bottom w:val="single" w:sz="4" w:space="0" w:color="auto"/>
                                    <w:right w:val="single" w:sz="4" w:space="0" w:color="auto"/>
                                  </w:tcBorders>
                                  <w:noWrap/>
                                  <w:vAlign w:val="center"/>
                                  <w:hideMark/>
                                </w:tcPr>
                                <w:p w14:paraId="183B802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61.09 </w:t>
                                  </w:r>
                                </w:p>
                              </w:tc>
                              <w:tc>
                                <w:tcPr>
                                  <w:tcW w:w="856" w:type="dxa"/>
                                  <w:tcBorders>
                                    <w:top w:val="nil"/>
                                    <w:left w:val="nil"/>
                                    <w:bottom w:val="single" w:sz="4" w:space="0" w:color="auto"/>
                                    <w:right w:val="single" w:sz="4" w:space="0" w:color="auto"/>
                                  </w:tcBorders>
                                  <w:noWrap/>
                                  <w:vAlign w:val="center"/>
                                  <w:hideMark/>
                                </w:tcPr>
                                <w:p w14:paraId="3DB0743E"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66,658,816 </w:t>
                                  </w:r>
                                </w:p>
                              </w:tc>
                              <w:tc>
                                <w:tcPr>
                                  <w:tcW w:w="856" w:type="dxa"/>
                                  <w:tcBorders>
                                    <w:top w:val="nil"/>
                                    <w:left w:val="nil"/>
                                    <w:bottom w:val="single" w:sz="4" w:space="0" w:color="auto"/>
                                    <w:right w:val="single" w:sz="4" w:space="0" w:color="auto"/>
                                  </w:tcBorders>
                                  <w:noWrap/>
                                  <w:vAlign w:val="center"/>
                                  <w:hideMark/>
                                </w:tcPr>
                                <w:p w14:paraId="3568561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66,015,149 </w:t>
                                  </w:r>
                                </w:p>
                              </w:tc>
                              <w:tc>
                                <w:tcPr>
                                  <w:tcW w:w="556" w:type="dxa"/>
                                  <w:tcBorders>
                                    <w:top w:val="nil"/>
                                    <w:left w:val="nil"/>
                                    <w:bottom w:val="single" w:sz="4" w:space="0" w:color="auto"/>
                                    <w:right w:val="single" w:sz="4" w:space="0" w:color="auto"/>
                                  </w:tcBorders>
                                  <w:noWrap/>
                                  <w:vAlign w:val="center"/>
                                  <w:hideMark/>
                                </w:tcPr>
                                <w:p w14:paraId="7EBAF1C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99.03 </w:t>
                                  </w:r>
                                </w:p>
                              </w:tc>
                            </w:tr>
                            <w:tr w:rsidR="00D13E1B" w14:paraId="2F7C9DAC"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35F3A286"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110</w:t>
                                  </w:r>
                                </w:p>
                              </w:tc>
                              <w:tc>
                                <w:tcPr>
                                  <w:tcW w:w="988" w:type="dxa"/>
                                  <w:tcBorders>
                                    <w:top w:val="nil"/>
                                    <w:left w:val="nil"/>
                                    <w:bottom w:val="single" w:sz="4" w:space="0" w:color="auto"/>
                                    <w:right w:val="single" w:sz="4" w:space="0" w:color="auto"/>
                                  </w:tcBorders>
                                  <w:noWrap/>
                                  <w:vAlign w:val="center"/>
                                  <w:hideMark/>
                                </w:tcPr>
                                <w:p w14:paraId="5EAEC22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106,294,139 </w:t>
                                  </w:r>
                                </w:p>
                              </w:tc>
                              <w:tc>
                                <w:tcPr>
                                  <w:tcW w:w="936" w:type="dxa"/>
                                  <w:tcBorders>
                                    <w:top w:val="nil"/>
                                    <w:left w:val="nil"/>
                                    <w:bottom w:val="single" w:sz="4" w:space="0" w:color="auto"/>
                                    <w:right w:val="single" w:sz="4" w:space="0" w:color="auto"/>
                                  </w:tcBorders>
                                  <w:noWrap/>
                                  <w:vAlign w:val="center"/>
                                  <w:hideMark/>
                                </w:tcPr>
                                <w:p w14:paraId="715B12F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100,340,811 </w:t>
                                  </w:r>
                                </w:p>
                              </w:tc>
                              <w:tc>
                                <w:tcPr>
                                  <w:tcW w:w="555" w:type="dxa"/>
                                  <w:tcBorders>
                                    <w:top w:val="nil"/>
                                    <w:left w:val="nil"/>
                                    <w:bottom w:val="single" w:sz="4" w:space="0" w:color="auto"/>
                                    <w:right w:val="single" w:sz="4" w:space="0" w:color="auto"/>
                                  </w:tcBorders>
                                  <w:noWrap/>
                                  <w:vAlign w:val="center"/>
                                  <w:hideMark/>
                                </w:tcPr>
                                <w:p w14:paraId="4DF4059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94.40 </w:t>
                                  </w:r>
                                </w:p>
                              </w:tc>
                              <w:tc>
                                <w:tcPr>
                                  <w:tcW w:w="856" w:type="dxa"/>
                                  <w:tcBorders>
                                    <w:top w:val="nil"/>
                                    <w:left w:val="nil"/>
                                    <w:bottom w:val="single" w:sz="4" w:space="0" w:color="auto"/>
                                    <w:right w:val="single" w:sz="4" w:space="0" w:color="auto"/>
                                  </w:tcBorders>
                                  <w:noWrap/>
                                  <w:vAlign w:val="center"/>
                                  <w:hideMark/>
                                </w:tcPr>
                                <w:p w14:paraId="25876CF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46,042,227 </w:t>
                                  </w:r>
                                </w:p>
                              </w:tc>
                              <w:tc>
                                <w:tcPr>
                                  <w:tcW w:w="856" w:type="dxa"/>
                                  <w:tcBorders>
                                    <w:top w:val="nil"/>
                                    <w:left w:val="nil"/>
                                    <w:bottom w:val="single" w:sz="4" w:space="0" w:color="auto"/>
                                    <w:right w:val="single" w:sz="4" w:space="0" w:color="auto"/>
                                  </w:tcBorders>
                                  <w:noWrap/>
                                  <w:vAlign w:val="center"/>
                                  <w:hideMark/>
                                </w:tcPr>
                                <w:p w14:paraId="576C03E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44,370,635 </w:t>
                                  </w:r>
                                </w:p>
                              </w:tc>
                              <w:tc>
                                <w:tcPr>
                                  <w:tcW w:w="556" w:type="dxa"/>
                                  <w:tcBorders>
                                    <w:top w:val="nil"/>
                                    <w:left w:val="nil"/>
                                    <w:bottom w:val="single" w:sz="4" w:space="0" w:color="auto"/>
                                    <w:right w:val="single" w:sz="4" w:space="0" w:color="auto"/>
                                  </w:tcBorders>
                                  <w:noWrap/>
                                  <w:vAlign w:val="center"/>
                                  <w:hideMark/>
                                </w:tcPr>
                                <w:p w14:paraId="65DF0D1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96.37 </w:t>
                                  </w:r>
                                </w:p>
                              </w:tc>
                              <w:tc>
                                <w:tcPr>
                                  <w:tcW w:w="776" w:type="dxa"/>
                                  <w:tcBorders>
                                    <w:top w:val="nil"/>
                                    <w:left w:val="nil"/>
                                    <w:bottom w:val="single" w:sz="4" w:space="0" w:color="auto"/>
                                    <w:right w:val="single" w:sz="4" w:space="0" w:color="auto"/>
                                  </w:tcBorders>
                                  <w:noWrap/>
                                  <w:vAlign w:val="center"/>
                                  <w:hideMark/>
                                </w:tcPr>
                                <w:p w14:paraId="3905E01B"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871,819 </w:t>
                                  </w:r>
                                </w:p>
                              </w:tc>
                              <w:tc>
                                <w:tcPr>
                                  <w:tcW w:w="840" w:type="dxa"/>
                                  <w:tcBorders>
                                    <w:top w:val="nil"/>
                                    <w:left w:val="nil"/>
                                    <w:bottom w:val="single" w:sz="4" w:space="0" w:color="auto"/>
                                    <w:right w:val="single" w:sz="4" w:space="0" w:color="auto"/>
                                  </w:tcBorders>
                                  <w:noWrap/>
                                  <w:vAlign w:val="center"/>
                                  <w:hideMark/>
                                </w:tcPr>
                                <w:p w14:paraId="317340D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515,847 </w:t>
                                  </w:r>
                                </w:p>
                              </w:tc>
                              <w:tc>
                                <w:tcPr>
                                  <w:tcW w:w="511" w:type="dxa"/>
                                  <w:tcBorders>
                                    <w:top w:val="nil"/>
                                    <w:left w:val="nil"/>
                                    <w:bottom w:val="single" w:sz="4" w:space="0" w:color="auto"/>
                                    <w:right w:val="single" w:sz="4" w:space="0" w:color="auto"/>
                                  </w:tcBorders>
                                  <w:noWrap/>
                                  <w:vAlign w:val="center"/>
                                  <w:hideMark/>
                                </w:tcPr>
                                <w:p w14:paraId="2D8BCB41"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59.17 </w:t>
                                  </w:r>
                                </w:p>
                              </w:tc>
                              <w:tc>
                                <w:tcPr>
                                  <w:tcW w:w="856" w:type="dxa"/>
                                  <w:tcBorders>
                                    <w:top w:val="nil"/>
                                    <w:left w:val="nil"/>
                                    <w:bottom w:val="single" w:sz="4" w:space="0" w:color="auto"/>
                                    <w:right w:val="single" w:sz="4" w:space="0" w:color="auto"/>
                                  </w:tcBorders>
                                  <w:noWrap/>
                                  <w:vAlign w:val="center"/>
                                  <w:hideMark/>
                                </w:tcPr>
                                <w:p w14:paraId="67015135"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59,380,093 </w:t>
                                  </w:r>
                                </w:p>
                              </w:tc>
                              <w:tc>
                                <w:tcPr>
                                  <w:tcW w:w="856" w:type="dxa"/>
                                  <w:tcBorders>
                                    <w:top w:val="nil"/>
                                    <w:left w:val="nil"/>
                                    <w:bottom w:val="single" w:sz="4" w:space="0" w:color="auto"/>
                                    <w:right w:val="single" w:sz="4" w:space="0" w:color="auto"/>
                                  </w:tcBorders>
                                  <w:noWrap/>
                                  <w:vAlign w:val="center"/>
                                  <w:hideMark/>
                                </w:tcPr>
                                <w:p w14:paraId="38953ADE"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55,454,329 </w:t>
                                  </w:r>
                                </w:p>
                              </w:tc>
                              <w:tc>
                                <w:tcPr>
                                  <w:tcW w:w="556" w:type="dxa"/>
                                  <w:tcBorders>
                                    <w:top w:val="nil"/>
                                    <w:left w:val="nil"/>
                                    <w:bottom w:val="single" w:sz="4" w:space="0" w:color="auto"/>
                                    <w:right w:val="single" w:sz="4" w:space="0" w:color="auto"/>
                                  </w:tcBorders>
                                  <w:noWrap/>
                                  <w:vAlign w:val="center"/>
                                  <w:hideMark/>
                                </w:tcPr>
                                <w:p w14:paraId="50001D9B"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93.39 </w:t>
                                  </w:r>
                                </w:p>
                              </w:tc>
                            </w:tr>
                            <w:tr w:rsidR="00D13E1B" w14:paraId="285B3D40"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5AB9AB92"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109</w:t>
                                  </w:r>
                                </w:p>
                              </w:tc>
                              <w:tc>
                                <w:tcPr>
                                  <w:tcW w:w="988" w:type="dxa"/>
                                  <w:tcBorders>
                                    <w:top w:val="nil"/>
                                    <w:left w:val="nil"/>
                                    <w:bottom w:val="single" w:sz="4" w:space="0" w:color="auto"/>
                                    <w:right w:val="single" w:sz="4" w:space="0" w:color="auto"/>
                                  </w:tcBorders>
                                  <w:noWrap/>
                                  <w:vAlign w:val="center"/>
                                  <w:hideMark/>
                                </w:tcPr>
                                <w:p w14:paraId="1FF7E2F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92,756,020 </w:t>
                                  </w:r>
                                </w:p>
                              </w:tc>
                              <w:tc>
                                <w:tcPr>
                                  <w:tcW w:w="936" w:type="dxa"/>
                                  <w:tcBorders>
                                    <w:top w:val="nil"/>
                                    <w:left w:val="nil"/>
                                    <w:bottom w:val="single" w:sz="4" w:space="0" w:color="auto"/>
                                    <w:right w:val="single" w:sz="4" w:space="0" w:color="auto"/>
                                  </w:tcBorders>
                                  <w:noWrap/>
                                  <w:vAlign w:val="center"/>
                                  <w:hideMark/>
                                </w:tcPr>
                                <w:p w14:paraId="03CA2EC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91,765,675 </w:t>
                                  </w:r>
                                </w:p>
                              </w:tc>
                              <w:tc>
                                <w:tcPr>
                                  <w:tcW w:w="555" w:type="dxa"/>
                                  <w:tcBorders>
                                    <w:top w:val="nil"/>
                                    <w:left w:val="nil"/>
                                    <w:bottom w:val="single" w:sz="4" w:space="0" w:color="auto"/>
                                    <w:right w:val="single" w:sz="4" w:space="0" w:color="auto"/>
                                  </w:tcBorders>
                                  <w:noWrap/>
                                  <w:vAlign w:val="center"/>
                                  <w:hideMark/>
                                </w:tcPr>
                                <w:p w14:paraId="7E70C84D"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98.93 </w:t>
                                  </w:r>
                                </w:p>
                              </w:tc>
                              <w:tc>
                                <w:tcPr>
                                  <w:tcW w:w="856" w:type="dxa"/>
                                  <w:tcBorders>
                                    <w:top w:val="nil"/>
                                    <w:left w:val="nil"/>
                                    <w:bottom w:val="single" w:sz="4" w:space="0" w:color="auto"/>
                                    <w:right w:val="single" w:sz="4" w:space="0" w:color="auto"/>
                                  </w:tcBorders>
                                  <w:noWrap/>
                                  <w:vAlign w:val="center"/>
                                  <w:hideMark/>
                                </w:tcPr>
                                <w:p w14:paraId="47C12D8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43,585,908 </w:t>
                                  </w:r>
                                </w:p>
                              </w:tc>
                              <w:tc>
                                <w:tcPr>
                                  <w:tcW w:w="856" w:type="dxa"/>
                                  <w:tcBorders>
                                    <w:top w:val="nil"/>
                                    <w:left w:val="nil"/>
                                    <w:bottom w:val="single" w:sz="4" w:space="0" w:color="auto"/>
                                    <w:right w:val="single" w:sz="4" w:space="0" w:color="auto"/>
                                  </w:tcBorders>
                                  <w:noWrap/>
                                  <w:vAlign w:val="center"/>
                                  <w:hideMark/>
                                </w:tcPr>
                                <w:p w14:paraId="58FC821D"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40,558,871 </w:t>
                                  </w:r>
                                </w:p>
                              </w:tc>
                              <w:tc>
                                <w:tcPr>
                                  <w:tcW w:w="556" w:type="dxa"/>
                                  <w:tcBorders>
                                    <w:top w:val="nil"/>
                                    <w:left w:val="nil"/>
                                    <w:bottom w:val="single" w:sz="4" w:space="0" w:color="auto"/>
                                    <w:right w:val="single" w:sz="4" w:space="0" w:color="auto"/>
                                  </w:tcBorders>
                                  <w:noWrap/>
                                  <w:vAlign w:val="center"/>
                                  <w:hideMark/>
                                </w:tcPr>
                                <w:p w14:paraId="6A1865D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93.06 </w:t>
                                  </w:r>
                                </w:p>
                              </w:tc>
                              <w:tc>
                                <w:tcPr>
                                  <w:tcW w:w="776" w:type="dxa"/>
                                  <w:tcBorders>
                                    <w:top w:val="nil"/>
                                    <w:left w:val="nil"/>
                                    <w:bottom w:val="single" w:sz="4" w:space="0" w:color="auto"/>
                                    <w:right w:val="single" w:sz="4" w:space="0" w:color="auto"/>
                                  </w:tcBorders>
                                  <w:noWrap/>
                                  <w:vAlign w:val="center"/>
                                  <w:hideMark/>
                                </w:tcPr>
                                <w:p w14:paraId="45085BC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1,173,103 </w:t>
                                  </w:r>
                                </w:p>
                              </w:tc>
                              <w:tc>
                                <w:tcPr>
                                  <w:tcW w:w="840" w:type="dxa"/>
                                  <w:tcBorders>
                                    <w:top w:val="nil"/>
                                    <w:left w:val="nil"/>
                                    <w:bottom w:val="single" w:sz="4" w:space="0" w:color="auto"/>
                                    <w:right w:val="single" w:sz="4" w:space="0" w:color="auto"/>
                                  </w:tcBorders>
                                  <w:noWrap/>
                                  <w:vAlign w:val="center"/>
                                  <w:hideMark/>
                                </w:tcPr>
                                <w:p w14:paraId="6CB687C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960,927 </w:t>
                                  </w:r>
                                </w:p>
                              </w:tc>
                              <w:tc>
                                <w:tcPr>
                                  <w:tcW w:w="511" w:type="dxa"/>
                                  <w:tcBorders>
                                    <w:top w:val="nil"/>
                                    <w:left w:val="nil"/>
                                    <w:bottom w:val="single" w:sz="4" w:space="0" w:color="auto"/>
                                    <w:right w:val="single" w:sz="4" w:space="0" w:color="auto"/>
                                  </w:tcBorders>
                                  <w:noWrap/>
                                  <w:vAlign w:val="center"/>
                                  <w:hideMark/>
                                </w:tcPr>
                                <w:p w14:paraId="318317D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81.91 </w:t>
                                  </w:r>
                                </w:p>
                              </w:tc>
                              <w:tc>
                                <w:tcPr>
                                  <w:tcW w:w="856" w:type="dxa"/>
                                  <w:tcBorders>
                                    <w:top w:val="nil"/>
                                    <w:left w:val="nil"/>
                                    <w:bottom w:val="single" w:sz="4" w:space="0" w:color="auto"/>
                                    <w:right w:val="single" w:sz="4" w:space="0" w:color="auto"/>
                                  </w:tcBorders>
                                  <w:noWrap/>
                                  <w:vAlign w:val="center"/>
                                  <w:hideMark/>
                                </w:tcPr>
                                <w:p w14:paraId="0D36380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47,997,009 </w:t>
                                  </w:r>
                                </w:p>
                              </w:tc>
                              <w:tc>
                                <w:tcPr>
                                  <w:tcW w:w="856" w:type="dxa"/>
                                  <w:tcBorders>
                                    <w:top w:val="nil"/>
                                    <w:left w:val="nil"/>
                                    <w:bottom w:val="single" w:sz="4" w:space="0" w:color="auto"/>
                                    <w:right w:val="single" w:sz="4" w:space="0" w:color="auto"/>
                                  </w:tcBorders>
                                  <w:noWrap/>
                                  <w:vAlign w:val="center"/>
                                  <w:hideMark/>
                                </w:tcPr>
                                <w:p w14:paraId="7410ECE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50,245,877 </w:t>
                                  </w:r>
                                </w:p>
                              </w:tc>
                              <w:tc>
                                <w:tcPr>
                                  <w:tcW w:w="556" w:type="dxa"/>
                                  <w:tcBorders>
                                    <w:top w:val="nil"/>
                                    <w:left w:val="nil"/>
                                    <w:bottom w:val="single" w:sz="4" w:space="0" w:color="auto"/>
                                    <w:right w:val="single" w:sz="4" w:space="0" w:color="auto"/>
                                  </w:tcBorders>
                                  <w:noWrap/>
                                  <w:vAlign w:val="center"/>
                                  <w:hideMark/>
                                </w:tcPr>
                                <w:p w14:paraId="485CBA1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104.69 </w:t>
                                  </w:r>
                                </w:p>
                              </w:tc>
                            </w:tr>
                            <w:tr w:rsidR="00D13E1B" w14:paraId="537E6EFD" w14:textId="77777777">
                              <w:trPr>
                                <w:trHeight w:val="300"/>
                                <w:jc w:val="center"/>
                              </w:trPr>
                              <w:tc>
                                <w:tcPr>
                                  <w:tcW w:w="9498" w:type="dxa"/>
                                  <w:gridSpan w:val="13"/>
                                  <w:tcBorders>
                                    <w:top w:val="single" w:sz="4" w:space="0" w:color="auto"/>
                                    <w:left w:val="nil"/>
                                    <w:bottom w:val="nil"/>
                                    <w:right w:val="nil"/>
                                  </w:tcBorders>
                                  <w:vAlign w:val="center"/>
                                  <w:hideMark/>
                                </w:tcPr>
                                <w:p w14:paraId="4F498BA1" w14:textId="77777777" w:rsidR="00D13E1B" w:rsidRDefault="00D13E1B">
                                  <w:pPr>
                                    <w:widowControl/>
                                    <w:snapToGrid w:val="0"/>
                                    <w:spacing w:line="240" w:lineRule="exact"/>
                                    <w:ind w:left="540" w:hangingChars="300" w:hanging="540"/>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：1.截至114年4月底止，行政院已公開109至112年度行政院及所屬各部會性別預算執行情形整體說明，又</w:t>
                                  </w:r>
                                  <w:proofErr w:type="gramStart"/>
                                  <w:r>
                                    <w:rPr>
                                      <w:rFonts w:ascii="標楷體" w:eastAsia="標楷體" w:hAnsi="標楷體" w:cs="新細明體" w:hint="eastAsia"/>
                                      <w:color w:val="000000"/>
                                      <w:kern w:val="0"/>
                                      <w:sz w:val="18"/>
                                      <w:szCs w:val="18"/>
                                    </w:rPr>
                                    <w:t>113</w:t>
                                  </w:r>
                                  <w:proofErr w:type="gramEnd"/>
                                  <w:r>
                                    <w:rPr>
                                      <w:rFonts w:ascii="標楷體" w:eastAsia="標楷體" w:hAnsi="標楷體" w:cs="新細明體" w:hint="eastAsia"/>
                                      <w:color w:val="000000"/>
                                      <w:kern w:val="0"/>
                                      <w:sz w:val="18"/>
                                      <w:szCs w:val="18"/>
                                    </w:rPr>
                                    <w:t>年度性別預算執行情形，該院尚在彙整中。</w:t>
                                  </w:r>
                                </w:p>
                              </w:tc>
                            </w:tr>
                            <w:tr w:rsidR="00D13E1B" w14:paraId="7B6BBEEA" w14:textId="77777777">
                              <w:trPr>
                                <w:trHeight w:val="510"/>
                                <w:jc w:val="center"/>
                              </w:trPr>
                              <w:tc>
                                <w:tcPr>
                                  <w:tcW w:w="9498" w:type="dxa"/>
                                  <w:gridSpan w:val="13"/>
                                  <w:vAlign w:val="center"/>
                                  <w:hideMark/>
                                </w:tcPr>
                                <w:p w14:paraId="3474AF09" w14:textId="77777777" w:rsidR="00D13E1B" w:rsidRDefault="00D13E1B">
                                  <w:pPr>
                                    <w:widowControl/>
                                    <w:snapToGrid w:val="0"/>
                                    <w:spacing w:line="240" w:lineRule="exact"/>
                                    <w:ind w:leftChars="150" w:left="540" w:hangingChars="100" w:hanging="18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2.性別預算為行政院及所屬各部會於編列年度預算時，就其中涉及促進性別平等相關業務經費</w:t>
                                  </w:r>
                                  <w:proofErr w:type="gramStart"/>
                                  <w:r>
                                    <w:rPr>
                                      <w:rFonts w:ascii="標楷體" w:eastAsia="標楷體" w:hAnsi="標楷體" w:cs="新細明體" w:hint="eastAsia"/>
                                      <w:color w:val="000000"/>
                                      <w:kern w:val="0"/>
                                      <w:sz w:val="18"/>
                                      <w:szCs w:val="18"/>
                                    </w:rPr>
                                    <w:t>予以匡列註記</w:t>
                                  </w:r>
                                  <w:proofErr w:type="gramEnd"/>
                                  <w:r>
                                    <w:rPr>
                                      <w:rFonts w:ascii="標楷體" w:eastAsia="標楷體" w:hAnsi="標楷體" w:cs="新細明體" w:hint="eastAsia"/>
                                      <w:color w:val="000000"/>
                                      <w:kern w:val="0"/>
                                      <w:sz w:val="18"/>
                                      <w:szCs w:val="18"/>
                                    </w:rPr>
                                    <w:t>或按比例計算之結果，執行時可能視需要於相關預算</w:t>
                                  </w:r>
                                  <w:proofErr w:type="gramStart"/>
                                  <w:r>
                                    <w:rPr>
                                      <w:rFonts w:ascii="標楷體" w:eastAsia="標楷體" w:hAnsi="標楷體" w:cs="新細明體" w:hint="eastAsia"/>
                                      <w:color w:val="000000"/>
                                      <w:kern w:val="0"/>
                                      <w:sz w:val="18"/>
                                      <w:szCs w:val="18"/>
                                    </w:rPr>
                                    <w:t>科目勻用列</w:t>
                                  </w:r>
                                  <w:proofErr w:type="gramEnd"/>
                                  <w:r>
                                    <w:rPr>
                                      <w:rFonts w:ascii="標楷體" w:eastAsia="標楷體" w:hAnsi="標楷體" w:cs="新細明體" w:hint="eastAsia"/>
                                      <w:color w:val="000000"/>
                                      <w:kern w:val="0"/>
                                      <w:sz w:val="18"/>
                                      <w:szCs w:val="18"/>
                                    </w:rPr>
                                    <w:t>支，或按實際比例計算，故有執行數超逾預算數情形。</w:t>
                                  </w:r>
                                </w:p>
                              </w:tc>
                            </w:tr>
                            <w:tr w:rsidR="00D13E1B" w14:paraId="4F320F81" w14:textId="77777777">
                              <w:trPr>
                                <w:trHeight w:val="315"/>
                                <w:jc w:val="center"/>
                              </w:trPr>
                              <w:tc>
                                <w:tcPr>
                                  <w:tcW w:w="9498" w:type="dxa"/>
                                  <w:gridSpan w:val="13"/>
                                  <w:noWrap/>
                                  <w:vAlign w:val="center"/>
                                  <w:hideMark/>
                                </w:tcPr>
                                <w:p w14:paraId="6F87FE42" w14:textId="77777777" w:rsidR="00D13E1B" w:rsidRDefault="00D13E1B">
                                  <w:pPr>
                                    <w:widowControl/>
                                    <w:snapToGrid w:val="0"/>
                                    <w:spacing w:line="240" w:lineRule="exact"/>
                                    <w:ind w:leftChars="150" w:left="540" w:hangingChars="100" w:hanging="18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3.資料來源：109至112年度整理自行政院性別平等會網站公布各該年度「行政院及所屬各部會性別預算執行情形整體說明」；</w:t>
                                  </w:r>
                                  <w:proofErr w:type="gramStart"/>
                                  <w:r>
                                    <w:rPr>
                                      <w:rFonts w:ascii="標楷體" w:eastAsia="標楷體" w:hAnsi="標楷體" w:cs="新細明體" w:hint="eastAsia"/>
                                      <w:color w:val="000000"/>
                                      <w:kern w:val="0"/>
                                      <w:sz w:val="18"/>
                                      <w:szCs w:val="18"/>
                                    </w:rPr>
                                    <w:t>113</w:t>
                                  </w:r>
                                  <w:proofErr w:type="gramEnd"/>
                                  <w:r>
                                    <w:rPr>
                                      <w:rFonts w:ascii="標楷體" w:eastAsia="標楷體" w:hAnsi="標楷體" w:cs="新細明體" w:hint="eastAsia"/>
                                      <w:color w:val="000000"/>
                                      <w:kern w:val="0"/>
                                      <w:sz w:val="18"/>
                                      <w:szCs w:val="18"/>
                                    </w:rPr>
                                    <w:t>年度整理自行政院及所屬各部會提供資料。</w:t>
                                  </w:r>
                                </w:p>
                              </w:tc>
                            </w:tr>
                          </w:tbl>
                          <w:p w14:paraId="4E89A67F" w14:textId="77777777" w:rsidR="00D13E1B" w:rsidRDefault="00D13E1B" w:rsidP="00D13E1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2CE034" id="文字方塊 2008327094" o:spid="_x0000_s1153" type="#_x0000_t202" style="position:absolute;left:0;text-align:left;margin-left:2.65pt;margin-top:142.1pt;width:489pt;height:237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" stroked="f">
                <v:textbox>
                  <w:txbxContent>
                    <w:tbl>
                      <w:tblPr>
                        <w:tblW w:w="9498" w:type="dxa"/>
                        <w:jc w:val="center"/>
                        <w:tblCellMar>
                          <w:left w:w="28" w:type="dxa"/>
                          <w:right w:w="28" w:type="dxa"/>
                        </w:tblCellMar>
                        <w:tblLook w:val="04A0" w:firstRow="1" w:lastRow="0" w:firstColumn="1" w:lastColumn="0" w:noHBand="0" w:noVBand="1"/>
                      </w:tblPr>
                      <w:tblGrid>
                        <w:gridCol w:w="356"/>
                        <w:gridCol w:w="988"/>
                        <w:gridCol w:w="936"/>
                        <w:gridCol w:w="555"/>
                        <w:gridCol w:w="856"/>
                        <w:gridCol w:w="856"/>
                        <w:gridCol w:w="556"/>
                        <w:gridCol w:w="776"/>
                        <w:gridCol w:w="840"/>
                        <w:gridCol w:w="511"/>
                        <w:gridCol w:w="856"/>
                        <w:gridCol w:w="856"/>
                        <w:gridCol w:w="556"/>
                      </w:tblGrid>
                      <w:tr w:rsidR="00D13E1B" w14:paraId="60A9A3D3" w14:textId="77777777">
                        <w:trPr>
                          <w:trHeight w:val="283"/>
                          <w:jc w:val="center"/>
                        </w:trPr>
                        <w:tc>
                          <w:tcPr>
                            <w:tcW w:w="9498" w:type="dxa"/>
                            <w:gridSpan w:val="13"/>
                            <w:noWrap/>
                            <w:vAlign w:val="center"/>
                            <w:hideMark/>
                          </w:tcPr>
                          <w:p w14:paraId="74725166" w14:textId="77777777" w:rsidR="00D13E1B" w:rsidRDefault="00D13E1B">
                            <w:pPr>
                              <w:widowControl/>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46</w:t>
                            </w:r>
                            <w:r>
                              <w:rPr>
                                <w:rFonts w:ascii="標楷體" w:eastAsia="標楷體" w:hAnsi="標楷體" w:cs="新細明體" w:hint="eastAsia"/>
                                <w:b/>
                                <w:bCs/>
                                <w:color w:val="000000"/>
                                <w:kern w:val="0"/>
                                <w:szCs w:val="24"/>
                              </w:rPr>
                              <w:t xml:space="preserve">  行政院及所屬各部會性別預算編列及執行情形</w:t>
                            </w:r>
                          </w:p>
                        </w:tc>
                      </w:tr>
                      <w:tr w:rsidR="00D13E1B" w14:paraId="543A7F76" w14:textId="77777777">
                        <w:trPr>
                          <w:trHeight w:val="227"/>
                          <w:jc w:val="center"/>
                        </w:trPr>
                        <w:tc>
                          <w:tcPr>
                            <w:tcW w:w="9498" w:type="dxa"/>
                            <w:gridSpan w:val="13"/>
                            <w:tcBorders>
                              <w:top w:val="nil"/>
                              <w:left w:val="nil"/>
                              <w:bottom w:val="single" w:sz="4" w:space="0" w:color="auto"/>
                              <w:right w:val="nil"/>
                            </w:tcBorders>
                            <w:noWrap/>
                            <w:vAlign w:val="center"/>
                            <w:hideMark/>
                          </w:tcPr>
                          <w:p w14:paraId="66FEB389" w14:textId="77777777" w:rsidR="00D13E1B" w:rsidRDefault="00D13E1B">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w:t>
                            </w:r>
                          </w:p>
                        </w:tc>
                      </w:tr>
                      <w:tr w:rsidR="00D13E1B" w14:paraId="274AEE97" w14:textId="77777777">
                        <w:trPr>
                          <w:trHeight w:val="315"/>
                          <w:jc w:val="center"/>
                        </w:trPr>
                        <w:tc>
                          <w:tcPr>
                            <w:tcW w:w="356" w:type="dxa"/>
                            <w:vMerge w:val="restart"/>
                            <w:tcBorders>
                              <w:top w:val="nil"/>
                              <w:left w:val="single" w:sz="4" w:space="0" w:color="auto"/>
                              <w:bottom w:val="single" w:sz="4" w:space="0" w:color="auto"/>
                              <w:right w:val="single" w:sz="4" w:space="0" w:color="auto"/>
                            </w:tcBorders>
                            <w:noWrap/>
                            <w:vAlign w:val="center"/>
                            <w:hideMark/>
                          </w:tcPr>
                          <w:p w14:paraId="6338B2E6"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479" w:type="dxa"/>
                            <w:gridSpan w:val="3"/>
                            <w:tcBorders>
                              <w:top w:val="single" w:sz="4" w:space="0" w:color="auto"/>
                              <w:left w:val="nil"/>
                              <w:bottom w:val="single" w:sz="4" w:space="0" w:color="auto"/>
                              <w:right w:val="single" w:sz="4" w:space="0" w:color="auto"/>
                            </w:tcBorders>
                            <w:noWrap/>
                            <w:vAlign w:val="center"/>
                            <w:hideMark/>
                          </w:tcPr>
                          <w:p w14:paraId="11340403"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2268" w:type="dxa"/>
                            <w:gridSpan w:val="3"/>
                            <w:tcBorders>
                              <w:top w:val="single" w:sz="4" w:space="0" w:color="auto"/>
                              <w:left w:val="nil"/>
                              <w:bottom w:val="single" w:sz="4" w:space="0" w:color="auto"/>
                              <w:right w:val="single" w:sz="4" w:space="0" w:color="auto"/>
                            </w:tcBorders>
                            <w:noWrap/>
                            <w:vAlign w:val="center"/>
                            <w:hideMark/>
                          </w:tcPr>
                          <w:p w14:paraId="138AB47E"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公務機關</w:t>
                            </w:r>
                          </w:p>
                        </w:tc>
                        <w:tc>
                          <w:tcPr>
                            <w:tcW w:w="2127" w:type="dxa"/>
                            <w:gridSpan w:val="3"/>
                            <w:tcBorders>
                              <w:top w:val="single" w:sz="4" w:space="0" w:color="auto"/>
                              <w:left w:val="nil"/>
                              <w:bottom w:val="single" w:sz="4" w:space="0" w:color="auto"/>
                              <w:right w:val="single" w:sz="4" w:space="0" w:color="auto"/>
                            </w:tcBorders>
                            <w:noWrap/>
                            <w:vAlign w:val="center"/>
                            <w:hideMark/>
                          </w:tcPr>
                          <w:p w14:paraId="4B3B119A"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營業基金</w:t>
                            </w:r>
                          </w:p>
                        </w:tc>
                        <w:tc>
                          <w:tcPr>
                            <w:tcW w:w="2268" w:type="dxa"/>
                            <w:gridSpan w:val="3"/>
                            <w:tcBorders>
                              <w:top w:val="single" w:sz="4" w:space="0" w:color="auto"/>
                              <w:left w:val="nil"/>
                              <w:bottom w:val="single" w:sz="4" w:space="0" w:color="auto"/>
                              <w:right w:val="single" w:sz="4" w:space="0" w:color="auto"/>
                            </w:tcBorders>
                            <w:noWrap/>
                            <w:vAlign w:val="center"/>
                            <w:hideMark/>
                          </w:tcPr>
                          <w:p w14:paraId="341F13E4"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非營業基金</w:t>
                            </w:r>
                          </w:p>
                        </w:tc>
                      </w:tr>
                      <w:tr w:rsidR="00D13E1B" w14:paraId="7AD62A61" w14:textId="77777777">
                        <w:trPr>
                          <w:trHeight w:val="315"/>
                          <w:jc w:val="center"/>
                        </w:trPr>
                        <w:tc>
                          <w:tcPr>
                            <w:tcW w:w="0" w:type="auto"/>
                            <w:vMerge/>
                            <w:tcBorders>
                              <w:top w:val="nil"/>
                              <w:left w:val="single" w:sz="4" w:space="0" w:color="auto"/>
                              <w:bottom w:val="single" w:sz="4" w:space="0" w:color="auto"/>
                              <w:right w:val="single" w:sz="4" w:space="0" w:color="auto"/>
                            </w:tcBorders>
                            <w:vAlign w:val="center"/>
                            <w:hideMark/>
                          </w:tcPr>
                          <w:p w14:paraId="00AFEBC1" w14:textId="77777777" w:rsidR="00D13E1B" w:rsidRDefault="00D13E1B">
                            <w:pPr>
                              <w:widowControl/>
                              <w:rPr>
                                <w:rFonts w:ascii="標楷體" w:eastAsia="標楷體" w:hAnsi="標楷體" w:cs="新細明體"/>
                                <w:color w:val="000000"/>
                                <w:kern w:val="0"/>
                                <w:sz w:val="20"/>
                              </w:rPr>
                            </w:pPr>
                          </w:p>
                        </w:tc>
                        <w:tc>
                          <w:tcPr>
                            <w:tcW w:w="988" w:type="dxa"/>
                            <w:tcBorders>
                              <w:top w:val="nil"/>
                              <w:left w:val="nil"/>
                              <w:bottom w:val="single" w:sz="4" w:space="0" w:color="auto"/>
                              <w:right w:val="single" w:sz="4" w:space="0" w:color="auto"/>
                            </w:tcBorders>
                            <w:noWrap/>
                            <w:vAlign w:val="center"/>
                            <w:hideMark/>
                          </w:tcPr>
                          <w:p w14:paraId="77F3F6DE"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936" w:type="dxa"/>
                            <w:tcBorders>
                              <w:top w:val="nil"/>
                              <w:left w:val="nil"/>
                              <w:bottom w:val="single" w:sz="4" w:space="0" w:color="auto"/>
                              <w:right w:val="single" w:sz="4" w:space="0" w:color="auto"/>
                            </w:tcBorders>
                            <w:noWrap/>
                            <w:vAlign w:val="center"/>
                            <w:hideMark/>
                          </w:tcPr>
                          <w:p w14:paraId="6552A5D9"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p w14:paraId="2EB15D4F"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roofErr w:type="gramStart"/>
                            <w:r>
                              <w:rPr>
                                <w:rFonts w:ascii="標楷體" w:eastAsia="標楷體" w:hAnsi="標楷體" w:cs="新細明體" w:hint="eastAsia"/>
                                <w:color w:val="000000"/>
                                <w:kern w:val="0"/>
                                <w:sz w:val="20"/>
                              </w:rPr>
                              <w:t>註</w:t>
                            </w:r>
                            <w:proofErr w:type="gramEnd"/>
                            <w:r>
                              <w:rPr>
                                <w:rFonts w:ascii="標楷體" w:eastAsia="標楷體" w:hAnsi="標楷體" w:cs="新細明體" w:hint="eastAsia"/>
                                <w:color w:val="000000"/>
                                <w:kern w:val="0"/>
                                <w:sz w:val="20"/>
                              </w:rPr>
                              <w:t>2)</w:t>
                            </w:r>
                          </w:p>
                        </w:tc>
                        <w:tc>
                          <w:tcPr>
                            <w:tcW w:w="555" w:type="dxa"/>
                            <w:tcBorders>
                              <w:top w:val="nil"/>
                              <w:left w:val="nil"/>
                              <w:bottom w:val="single" w:sz="4" w:space="0" w:color="auto"/>
                              <w:right w:val="single" w:sz="4" w:space="0" w:color="auto"/>
                            </w:tcBorders>
                            <w:noWrap/>
                            <w:vAlign w:val="center"/>
                            <w:hideMark/>
                          </w:tcPr>
                          <w:p w14:paraId="6555739E"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w:t>
                            </w:r>
                          </w:p>
                        </w:tc>
                        <w:tc>
                          <w:tcPr>
                            <w:tcW w:w="856" w:type="dxa"/>
                            <w:tcBorders>
                              <w:top w:val="nil"/>
                              <w:left w:val="nil"/>
                              <w:bottom w:val="single" w:sz="4" w:space="0" w:color="auto"/>
                              <w:right w:val="single" w:sz="4" w:space="0" w:color="auto"/>
                            </w:tcBorders>
                            <w:noWrap/>
                            <w:vAlign w:val="center"/>
                            <w:hideMark/>
                          </w:tcPr>
                          <w:p w14:paraId="1A415F06"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856" w:type="dxa"/>
                            <w:tcBorders>
                              <w:top w:val="nil"/>
                              <w:left w:val="nil"/>
                              <w:bottom w:val="single" w:sz="4" w:space="0" w:color="auto"/>
                              <w:right w:val="single" w:sz="4" w:space="0" w:color="auto"/>
                            </w:tcBorders>
                            <w:noWrap/>
                            <w:vAlign w:val="center"/>
                            <w:hideMark/>
                          </w:tcPr>
                          <w:p w14:paraId="58E72EDD"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tc>
                        <w:tc>
                          <w:tcPr>
                            <w:tcW w:w="556" w:type="dxa"/>
                            <w:tcBorders>
                              <w:top w:val="nil"/>
                              <w:left w:val="nil"/>
                              <w:bottom w:val="single" w:sz="4" w:space="0" w:color="auto"/>
                              <w:right w:val="single" w:sz="4" w:space="0" w:color="auto"/>
                            </w:tcBorders>
                            <w:noWrap/>
                            <w:vAlign w:val="center"/>
                            <w:hideMark/>
                          </w:tcPr>
                          <w:p w14:paraId="37FDAB47"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w:t>
                            </w:r>
                          </w:p>
                        </w:tc>
                        <w:tc>
                          <w:tcPr>
                            <w:tcW w:w="776" w:type="dxa"/>
                            <w:tcBorders>
                              <w:top w:val="nil"/>
                              <w:left w:val="nil"/>
                              <w:bottom w:val="single" w:sz="4" w:space="0" w:color="auto"/>
                              <w:right w:val="single" w:sz="4" w:space="0" w:color="auto"/>
                            </w:tcBorders>
                            <w:noWrap/>
                            <w:vAlign w:val="center"/>
                            <w:hideMark/>
                          </w:tcPr>
                          <w:p w14:paraId="19A09837"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840" w:type="dxa"/>
                            <w:tcBorders>
                              <w:top w:val="nil"/>
                              <w:left w:val="nil"/>
                              <w:bottom w:val="single" w:sz="4" w:space="0" w:color="auto"/>
                              <w:right w:val="single" w:sz="4" w:space="0" w:color="auto"/>
                            </w:tcBorders>
                            <w:noWrap/>
                            <w:vAlign w:val="center"/>
                            <w:hideMark/>
                          </w:tcPr>
                          <w:p w14:paraId="40FC2C27"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tc>
                        <w:tc>
                          <w:tcPr>
                            <w:tcW w:w="511" w:type="dxa"/>
                            <w:tcBorders>
                              <w:top w:val="nil"/>
                              <w:left w:val="nil"/>
                              <w:bottom w:val="single" w:sz="4" w:space="0" w:color="auto"/>
                              <w:right w:val="single" w:sz="4" w:space="0" w:color="auto"/>
                            </w:tcBorders>
                            <w:noWrap/>
                            <w:vAlign w:val="center"/>
                            <w:hideMark/>
                          </w:tcPr>
                          <w:p w14:paraId="2536BA86" w14:textId="77777777" w:rsidR="00D13E1B" w:rsidRDefault="00D13E1B">
                            <w:pPr>
                              <w:widowControl/>
                              <w:snapToGrid w:val="0"/>
                              <w:spacing w:line="20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w:t>
                            </w:r>
                          </w:p>
                        </w:tc>
                        <w:tc>
                          <w:tcPr>
                            <w:tcW w:w="856" w:type="dxa"/>
                            <w:tcBorders>
                              <w:top w:val="nil"/>
                              <w:left w:val="nil"/>
                              <w:bottom w:val="single" w:sz="4" w:space="0" w:color="auto"/>
                              <w:right w:val="single" w:sz="4" w:space="0" w:color="auto"/>
                            </w:tcBorders>
                            <w:noWrap/>
                            <w:vAlign w:val="center"/>
                            <w:hideMark/>
                          </w:tcPr>
                          <w:p w14:paraId="3F9E5ECD"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預算數</w:t>
                            </w:r>
                          </w:p>
                        </w:tc>
                        <w:tc>
                          <w:tcPr>
                            <w:tcW w:w="856" w:type="dxa"/>
                            <w:tcBorders>
                              <w:top w:val="nil"/>
                              <w:left w:val="nil"/>
                              <w:bottom w:val="single" w:sz="4" w:space="0" w:color="auto"/>
                              <w:right w:val="single" w:sz="4" w:space="0" w:color="auto"/>
                            </w:tcBorders>
                            <w:noWrap/>
                            <w:vAlign w:val="center"/>
                            <w:hideMark/>
                          </w:tcPr>
                          <w:p w14:paraId="39A7BA30"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執行數</w:t>
                            </w:r>
                          </w:p>
                          <w:p w14:paraId="729E8380"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w:t>
                            </w:r>
                            <w:proofErr w:type="gramStart"/>
                            <w:r>
                              <w:rPr>
                                <w:rFonts w:ascii="標楷體" w:eastAsia="標楷體" w:hAnsi="標楷體" w:cs="新細明體" w:hint="eastAsia"/>
                                <w:color w:val="000000"/>
                                <w:spacing w:val="-8"/>
                                <w:kern w:val="0"/>
                                <w:sz w:val="20"/>
                              </w:rPr>
                              <w:t>註</w:t>
                            </w:r>
                            <w:proofErr w:type="gramEnd"/>
                            <w:r>
                              <w:rPr>
                                <w:rFonts w:ascii="標楷體" w:eastAsia="標楷體" w:hAnsi="標楷體" w:cs="新細明體" w:hint="eastAsia"/>
                                <w:color w:val="000000"/>
                                <w:spacing w:val="-8"/>
                                <w:kern w:val="0"/>
                                <w:sz w:val="20"/>
                              </w:rPr>
                              <w:t>2)</w:t>
                            </w:r>
                          </w:p>
                        </w:tc>
                        <w:tc>
                          <w:tcPr>
                            <w:tcW w:w="556" w:type="dxa"/>
                            <w:tcBorders>
                              <w:top w:val="nil"/>
                              <w:left w:val="nil"/>
                              <w:bottom w:val="single" w:sz="4" w:space="0" w:color="auto"/>
                              <w:right w:val="single" w:sz="4" w:space="0" w:color="auto"/>
                            </w:tcBorders>
                            <w:noWrap/>
                            <w:vAlign w:val="center"/>
                            <w:hideMark/>
                          </w:tcPr>
                          <w:p w14:paraId="4627AAF4" w14:textId="77777777" w:rsidR="00D13E1B" w:rsidRDefault="00D13E1B">
                            <w:pPr>
                              <w:widowControl/>
                              <w:snapToGrid w:val="0"/>
                              <w:spacing w:line="200" w:lineRule="atLeast"/>
                              <w:jc w:val="center"/>
                              <w:rPr>
                                <w:rFonts w:ascii="標楷體" w:eastAsia="標楷體" w:hAnsi="標楷體" w:cs="新細明體"/>
                                <w:color w:val="000000"/>
                                <w:spacing w:val="-8"/>
                                <w:kern w:val="0"/>
                                <w:sz w:val="20"/>
                              </w:rPr>
                            </w:pPr>
                            <w:r>
                              <w:rPr>
                                <w:rFonts w:ascii="標楷體" w:eastAsia="標楷體" w:hAnsi="標楷體" w:cs="新細明體" w:hint="eastAsia"/>
                                <w:color w:val="000000"/>
                                <w:spacing w:val="-8"/>
                                <w:kern w:val="0"/>
                                <w:sz w:val="20"/>
                              </w:rPr>
                              <w:t>執行率</w:t>
                            </w:r>
                          </w:p>
                        </w:tc>
                      </w:tr>
                      <w:tr w:rsidR="00D13E1B" w14:paraId="6D089373"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0524BFFB"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113</w:t>
                            </w:r>
                          </w:p>
                        </w:tc>
                        <w:tc>
                          <w:tcPr>
                            <w:tcW w:w="988" w:type="dxa"/>
                            <w:tcBorders>
                              <w:top w:val="nil"/>
                              <w:left w:val="nil"/>
                              <w:bottom w:val="single" w:sz="4" w:space="0" w:color="auto"/>
                              <w:right w:val="single" w:sz="4" w:space="0" w:color="auto"/>
                            </w:tcBorders>
                            <w:noWrap/>
                            <w:vAlign w:val="center"/>
                            <w:hideMark/>
                          </w:tcPr>
                          <w:p w14:paraId="6DE5B3A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188,646,259 </w:t>
                            </w:r>
                          </w:p>
                        </w:tc>
                        <w:tc>
                          <w:tcPr>
                            <w:tcW w:w="936" w:type="dxa"/>
                            <w:tcBorders>
                              <w:top w:val="nil"/>
                              <w:left w:val="nil"/>
                              <w:bottom w:val="single" w:sz="4" w:space="0" w:color="auto"/>
                              <w:right w:val="single" w:sz="4" w:space="0" w:color="auto"/>
                            </w:tcBorders>
                            <w:noWrap/>
                            <w:vAlign w:val="center"/>
                            <w:hideMark/>
                          </w:tcPr>
                          <w:p w14:paraId="202A2C1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180,438,504 </w:t>
                            </w:r>
                          </w:p>
                        </w:tc>
                        <w:tc>
                          <w:tcPr>
                            <w:tcW w:w="555" w:type="dxa"/>
                            <w:tcBorders>
                              <w:top w:val="nil"/>
                              <w:left w:val="nil"/>
                              <w:bottom w:val="single" w:sz="4" w:space="0" w:color="auto"/>
                              <w:right w:val="single" w:sz="4" w:space="0" w:color="auto"/>
                            </w:tcBorders>
                            <w:noWrap/>
                            <w:vAlign w:val="center"/>
                            <w:hideMark/>
                          </w:tcPr>
                          <w:p w14:paraId="0CE961B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95.65 </w:t>
                            </w:r>
                          </w:p>
                        </w:tc>
                        <w:tc>
                          <w:tcPr>
                            <w:tcW w:w="856" w:type="dxa"/>
                            <w:tcBorders>
                              <w:top w:val="nil"/>
                              <w:left w:val="nil"/>
                              <w:bottom w:val="single" w:sz="4" w:space="0" w:color="auto"/>
                              <w:right w:val="single" w:sz="4" w:space="0" w:color="auto"/>
                            </w:tcBorders>
                            <w:noWrap/>
                            <w:vAlign w:val="center"/>
                            <w:hideMark/>
                          </w:tcPr>
                          <w:p w14:paraId="705685A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92,166,686 </w:t>
                            </w:r>
                          </w:p>
                        </w:tc>
                        <w:tc>
                          <w:tcPr>
                            <w:tcW w:w="856" w:type="dxa"/>
                            <w:tcBorders>
                              <w:top w:val="nil"/>
                              <w:left w:val="nil"/>
                              <w:bottom w:val="single" w:sz="4" w:space="0" w:color="auto"/>
                              <w:right w:val="single" w:sz="4" w:space="0" w:color="auto"/>
                            </w:tcBorders>
                            <w:noWrap/>
                            <w:vAlign w:val="center"/>
                            <w:hideMark/>
                          </w:tcPr>
                          <w:p w14:paraId="4251CE7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90,218,083 </w:t>
                            </w:r>
                          </w:p>
                        </w:tc>
                        <w:tc>
                          <w:tcPr>
                            <w:tcW w:w="556" w:type="dxa"/>
                            <w:tcBorders>
                              <w:top w:val="nil"/>
                              <w:left w:val="nil"/>
                              <w:bottom w:val="single" w:sz="4" w:space="0" w:color="auto"/>
                              <w:right w:val="single" w:sz="4" w:space="0" w:color="auto"/>
                            </w:tcBorders>
                            <w:noWrap/>
                            <w:vAlign w:val="center"/>
                            <w:hideMark/>
                          </w:tcPr>
                          <w:p w14:paraId="576A04F1"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97.89 </w:t>
                            </w:r>
                          </w:p>
                        </w:tc>
                        <w:tc>
                          <w:tcPr>
                            <w:tcW w:w="776" w:type="dxa"/>
                            <w:tcBorders>
                              <w:top w:val="nil"/>
                              <w:left w:val="nil"/>
                              <w:bottom w:val="single" w:sz="4" w:space="0" w:color="auto"/>
                              <w:right w:val="single" w:sz="4" w:space="0" w:color="auto"/>
                            </w:tcBorders>
                            <w:noWrap/>
                            <w:vAlign w:val="center"/>
                            <w:hideMark/>
                          </w:tcPr>
                          <w:p w14:paraId="194C725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656,211 </w:t>
                            </w:r>
                          </w:p>
                        </w:tc>
                        <w:tc>
                          <w:tcPr>
                            <w:tcW w:w="840" w:type="dxa"/>
                            <w:tcBorders>
                              <w:top w:val="nil"/>
                              <w:left w:val="nil"/>
                              <w:bottom w:val="single" w:sz="4" w:space="0" w:color="auto"/>
                              <w:right w:val="single" w:sz="4" w:space="0" w:color="auto"/>
                            </w:tcBorders>
                            <w:noWrap/>
                            <w:vAlign w:val="center"/>
                            <w:hideMark/>
                          </w:tcPr>
                          <w:p w14:paraId="24CC00F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475,479 </w:t>
                            </w:r>
                          </w:p>
                        </w:tc>
                        <w:tc>
                          <w:tcPr>
                            <w:tcW w:w="511" w:type="dxa"/>
                            <w:tcBorders>
                              <w:top w:val="nil"/>
                              <w:left w:val="nil"/>
                              <w:bottom w:val="single" w:sz="4" w:space="0" w:color="auto"/>
                              <w:right w:val="single" w:sz="4" w:space="0" w:color="auto"/>
                            </w:tcBorders>
                            <w:noWrap/>
                            <w:vAlign w:val="center"/>
                            <w:hideMark/>
                          </w:tcPr>
                          <w:p w14:paraId="414E2A3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72.46 </w:t>
                            </w:r>
                          </w:p>
                        </w:tc>
                        <w:tc>
                          <w:tcPr>
                            <w:tcW w:w="856" w:type="dxa"/>
                            <w:tcBorders>
                              <w:top w:val="nil"/>
                              <w:left w:val="nil"/>
                              <w:bottom w:val="single" w:sz="4" w:space="0" w:color="auto"/>
                              <w:right w:val="single" w:sz="4" w:space="0" w:color="auto"/>
                            </w:tcBorders>
                            <w:noWrap/>
                            <w:vAlign w:val="center"/>
                            <w:hideMark/>
                          </w:tcPr>
                          <w:p w14:paraId="6EB6976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95,823,362 </w:t>
                            </w:r>
                          </w:p>
                        </w:tc>
                        <w:tc>
                          <w:tcPr>
                            <w:tcW w:w="856" w:type="dxa"/>
                            <w:tcBorders>
                              <w:top w:val="nil"/>
                              <w:left w:val="nil"/>
                              <w:bottom w:val="single" w:sz="4" w:space="0" w:color="auto"/>
                              <w:right w:val="single" w:sz="4" w:space="0" w:color="auto"/>
                            </w:tcBorders>
                            <w:noWrap/>
                            <w:vAlign w:val="center"/>
                            <w:hideMark/>
                          </w:tcPr>
                          <w:p w14:paraId="6DDB74A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89,744,942 </w:t>
                            </w:r>
                          </w:p>
                        </w:tc>
                        <w:tc>
                          <w:tcPr>
                            <w:tcW w:w="556" w:type="dxa"/>
                            <w:tcBorders>
                              <w:top w:val="nil"/>
                              <w:left w:val="nil"/>
                              <w:bottom w:val="single" w:sz="4" w:space="0" w:color="auto"/>
                              <w:right w:val="single" w:sz="4" w:space="0" w:color="auto"/>
                            </w:tcBorders>
                            <w:noWrap/>
                            <w:vAlign w:val="center"/>
                            <w:hideMark/>
                          </w:tcPr>
                          <w:p w14:paraId="17171EE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93.66 </w:t>
                            </w:r>
                          </w:p>
                        </w:tc>
                      </w:tr>
                      <w:tr w:rsidR="00D13E1B" w14:paraId="5D5A449C"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7D0D8A53"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112</w:t>
                            </w:r>
                          </w:p>
                        </w:tc>
                        <w:tc>
                          <w:tcPr>
                            <w:tcW w:w="988" w:type="dxa"/>
                            <w:tcBorders>
                              <w:top w:val="nil"/>
                              <w:left w:val="nil"/>
                              <w:bottom w:val="single" w:sz="4" w:space="0" w:color="auto"/>
                              <w:right w:val="single" w:sz="4" w:space="0" w:color="auto"/>
                            </w:tcBorders>
                            <w:noWrap/>
                            <w:vAlign w:val="center"/>
                            <w:hideMark/>
                          </w:tcPr>
                          <w:p w14:paraId="0B80938F"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155,537,407 </w:t>
                            </w:r>
                          </w:p>
                        </w:tc>
                        <w:tc>
                          <w:tcPr>
                            <w:tcW w:w="936" w:type="dxa"/>
                            <w:tcBorders>
                              <w:top w:val="nil"/>
                              <w:left w:val="nil"/>
                              <w:bottom w:val="single" w:sz="4" w:space="0" w:color="auto"/>
                              <w:right w:val="single" w:sz="4" w:space="0" w:color="auto"/>
                            </w:tcBorders>
                            <w:noWrap/>
                            <w:vAlign w:val="center"/>
                            <w:hideMark/>
                          </w:tcPr>
                          <w:p w14:paraId="5EA97CB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159,810,044 </w:t>
                            </w:r>
                          </w:p>
                        </w:tc>
                        <w:tc>
                          <w:tcPr>
                            <w:tcW w:w="555" w:type="dxa"/>
                            <w:tcBorders>
                              <w:top w:val="nil"/>
                              <w:left w:val="nil"/>
                              <w:bottom w:val="single" w:sz="4" w:space="0" w:color="auto"/>
                              <w:right w:val="single" w:sz="4" w:space="0" w:color="auto"/>
                            </w:tcBorders>
                            <w:noWrap/>
                            <w:vAlign w:val="center"/>
                            <w:hideMark/>
                          </w:tcPr>
                          <w:p w14:paraId="2723237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102.75 </w:t>
                            </w:r>
                          </w:p>
                        </w:tc>
                        <w:tc>
                          <w:tcPr>
                            <w:tcW w:w="856" w:type="dxa"/>
                            <w:tcBorders>
                              <w:top w:val="nil"/>
                              <w:left w:val="nil"/>
                              <w:bottom w:val="single" w:sz="4" w:space="0" w:color="auto"/>
                              <w:right w:val="single" w:sz="4" w:space="0" w:color="auto"/>
                            </w:tcBorders>
                            <w:noWrap/>
                            <w:vAlign w:val="center"/>
                            <w:hideMark/>
                          </w:tcPr>
                          <w:p w14:paraId="0A139C8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82,016,392 </w:t>
                            </w:r>
                          </w:p>
                        </w:tc>
                        <w:tc>
                          <w:tcPr>
                            <w:tcW w:w="856" w:type="dxa"/>
                            <w:tcBorders>
                              <w:top w:val="nil"/>
                              <w:left w:val="nil"/>
                              <w:bottom w:val="single" w:sz="4" w:space="0" w:color="auto"/>
                              <w:right w:val="single" w:sz="4" w:space="0" w:color="auto"/>
                            </w:tcBorders>
                            <w:noWrap/>
                            <w:vAlign w:val="center"/>
                            <w:hideMark/>
                          </w:tcPr>
                          <w:p w14:paraId="2D682E1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79,806,023 </w:t>
                            </w:r>
                          </w:p>
                        </w:tc>
                        <w:tc>
                          <w:tcPr>
                            <w:tcW w:w="556" w:type="dxa"/>
                            <w:tcBorders>
                              <w:top w:val="nil"/>
                              <w:left w:val="nil"/>
                              <w:bottom w:val="single" w:sz="4" w:space="0" w:color="auto"/>
                              <w:right w:val="single" w:sz="4" w:space="0" w:color="auto"/>
                            </w:tcBorders>
                            <w:noWrap/>
                            <w:vAlign w:val="center"/>
                            <w:hideMark/>
                          </w:tcPr>
                          <w:p w14:paraId="10BD4D20"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97.30 </w:t>
                            </w:r>
                          </w:p>
                        </w:tc>
                        <w:tc>
                          <w:tcPr>
                            <w:tcW w:w="776" w:type="dxa"/>
                            <w:tcBorders>
                              <w:top w:val="nil"/>
                              <w:left w:val="nil"/>
                              <w:bottom w:val="single" w:sz="4" w:space="0" w:color="auto"/>
                              <w:right w:val="single" w:sz="4" w:space="0" w:color="auto"/>
                            </w:tcBorders>
                            <w:noWrap/>
                            <w:vAlign w:val="center"/>
                            <w:hideMark/>
                          </w:tcPr>
                          <w:p w14:paraId="4944888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676,442 </w:t>
                            </w:r>
                          </w:p>
                        </w:tc>
                        <w:tc>
                          <w:tcPr>
                            <w:tcW w:w="840" w:type="dxa"/>
                            <w:tcBorders>
                              <w:top w:val="nil"/>
                              <w:left w:val="nil"/>
                              <w:bottom w:val="single" w:sz="4" w:space="0" w:color="auto"/>
                              <w:right w:val="single" w:sz="4" w:space="0" w:color="auto"/>
                            </w:tcBorders>
                            <w:noWrap/>
                            <w:vAlign w:val="center"/>
                            <w:hideMark/>
                          </w:tcPr>
                          <w:p w14:paraId="6535D2CB"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580,481 </w:t>
                            </w:r>
                          </w:p>
                        </w:tc>
                        <w:tc>
                          <w:tcPr>
                            <w:tcW w:w="511" w:type="dxa"/>
                            <w:tcBorders>
                              <w:top w:val="nil"/>
                              <w:left w:val="nil"/>
                              <w:bottom w:val="single" w:sz="4" w:space="0" w:color="auto"/>
                              <w:right w:val="single" w:sz="4" w:space="0" w:color="auto"/>
                            </w:tcBorders>
                            <w:noWrap/>
                            <w:vAlign w:val="center"/>
                            <w:hideMark/>
                          </w:tcPr>
                          <w:p w14:paraId="5CE4A15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85.81 </w:t>
                            </w:r>
                          </w:p>
                        </w:tc>
                        <w:tc>
                          <w:tcPr>
                            <w:tcW w:w="856" w:type="dxa"/>
                            <w:tcBorders>
                              <w:top w:val="nil"/>
                              <w:left w:val="nil"/>
                              <w:bottom w:val="single" w:sz="4" w:space="0" w:color="auto"/>
                              <w:right w:val="single" w:sz="4" w:space="0" w:color="auto"/>
                            </w:tcBorders>
                            <w:noWrap/>
                            <w:vAlign w:val="center"/>
                            <w:hideMark/>
                          </w:tcPr>
                          <w:p w14:paraId="4A0E808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72,844,573 </w:t>
                            </w:r>
                          </w:p>
                        </w:tc>
                        <w:tc>
                          <w:tcPr>
                            <w:tcW w:w="856" w:type="dxa"/>
                            <w:tcBorders>
                              <w:top w:val="nil"/>
                              <w:left w:val="nil"/>
                              <w:bottom w:val="single" w:sz="4" w:space="0" w:color="auto"/>
                              <w:right w:val="single" w:sz="4" w:space="0" w:color="auto"/>
                            </w:tcBorders>
                            <w:noWrap/>
                            <w:vAlign w:val="center"/>
                            <w:hideMark/>
                          </w:tcPr>
                          <w:p w14:paraId="29650FB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79,423,540 </w:t>
                            </w:r>
                          </w:p>
                        </w:tc>
                        <w:tc>
                          <w:tcPr>
                            <w:tcW w:w="556" w:type="dxa"/>
                            <w:tcBorders>
                              <w:top w:val="nil"/>
                              <w:left w:val="nil"/>
                              <w:bottom w:val="single" w:sz="4" w:space="0" w:color="auto"/>
                              <w:right w:val="single" w:sz="4" w:space="0" w:color="auto"/>
                            </w:tcBorders>
                            <w:noWrap/>
                            <w:vAlign w:val="center"/>
                            <w:hideMark/>
                          </w:tcPr>
                          <w:p w14:paraId="2519799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109.03 </w:t>
                            </w:r>
                          </w:p>
                        </w:tc>
                      </w:tr>
                      <w:tr w:rsidR="00D13E1B" w14:paraId="64DAB8E2"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6B06FBB2"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111</w:t>
                            </w:r>
                          </w:p>
                        </w:tc>
                        <w:tc>
                          <w:tcPr>
                            <w:tcW w:w="988" w:type="dxa"/>
                            <w:tcBorders>
                              <w:top w:val="nil"/>
                              <w:left w:val="nil"/>
                              <w:bottom w:val="single" w:sz="4" w:space="0" w:color="auto"/>
                              <w:right w:val="single" w:sz="4" w:space="0" w:color="auto"/>
                            </w:tcBorders>
                            <w:noWrap/>
                            <w:vAlign w:val="center"/>
                            <w:hideMark/>
                          </w:tcPr>
                          <w:p w14:paraId="05F2D281"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134,669,745 </w:t>
                            </w:r>
                          </w:p>
                        </w:tc>
                        <w:tc>
                          <w:tcPr>
                            <w:tcW w:w="936" w:type="dxa"/>
                            <w:tcBorders>
                              <w:top w:val="nil"/>
                              <w:left w:val="nil"/>
                              <w:bottom w:val="single" w:sz="4" w:space="0" w:color="auto"/>
                              <w:right w:val="single" w:sz="4" w:space="0" w:color="auto"/>
                            </w:tcBorders>
                            <w:noWrap/>
                            <w:vAlign w:val="center"/>
                            <w:hideMark/>
                          </w:tcPr>
                          <w:p w14:paraId="4F8255A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131,454,546 </w:t>
                            </w:r>
                          </w:p>
                        </w:tc>
                        <w:tc>
                          <w:tcPr>
                            <w:tcW w:w="555" w:type="dxa"/>
                            <w:tcBorders>
                              <w:top w:val="nil"/>
                              <w:left w:val="nil"/>
                              <w:bottom w:val="single" w:sz="4" w:space="0" w:color="auto"/>
                              <w:right w:val="single" w:sz="4" w:space="0" w:color="auto"/>
                            </w:tcBorders>
                            <w:noWrap/>
                            <w:vAlign w:val="center"/>
                            <w:hideMark/>
                          </w:tcPr>
                          <w:p w14:paraId="561C1F9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97.61 </w:t>
                            </w:r>
                          </w:p>
                        </w:tc>
                        <w:tc>
                          <w:tcPr>
                            <w:tcW w:w="856" w:type="dxa"/>
                            <w:tcBorders>
                              <w:top w:val="nil"/>
                              <w:left w:val="nil"/>
                              <w:bottom w:val="single" w:sz="4" w:space="0" w:color="auto"/>
                              <w:right w:val="single" w:sz="4" w:space="0" w:color="auto"/>
                            </w:tcBorders>
                            <w:noWrap/>
                            <w:vAlign w:val="center"/>
                            <w:hideMark/>
                          </w:tcPr>
                          <w:p w14:paraId="0FF4A160"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67,150,450 </w:t>
                            </w:r>
                          </w:p>
                        </w:tc>
                        <w:tc>
                          <w:tcPr>
                            <w:tcW w:w="856" w:type="dxa"/>
                            <w:tcBorders>
                              <w:top w:val="nil"/>
                              <w:left w:val="nil"/>
                              <w:bottom w:val="single" w:sz="4" w:space="0" w:color="auto"/>
                              <w:right w:val="single" w:sz="4" w:space="0" w:color="auto"/>
                            </w:tcBorders>
                            <w:noWrap/>
                            <w:vAlign w:val="center"/>
                            <w:hideMark/>
                          </w:tcPr>
                          <w:p w14:paraId="36DF983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64,913,752 </w:t>
                            </w:r>
                          </w:p>
                        </w:tc>
                        <w:tc>
                          <w:tcPr>
                            <w:tcW w:w="556" w:type="dxa"/>
                            <w:tcBorders>
                              <w:top w:val="nil"/>
                              <w:left w:val="nil"/>
                              <w:bottom w:val="single" w:sz="4" w:space="0" w:color="auto"/>
                              <w:right w:val="single" w:sz="4" w:space="0" w:color="auto"/>
                            </w:tcBorders>
                            <w:noWrap/>
                            <w:vAlign w:val="center"/>
                            <w:hideMark/>
                          </w:tcPr>
                          <w:p w14:paraId="3ADF8CF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96.67 </w:t>
                            </w:r>
                          </w:p>
                        </w:tc>
                        <w:tc>
                          <w:tcPr>
                            <w:tcW w:w="776" w:type="dxa"/>
                            <w:tcBorders>
                              <w:top w:val="nil"/>
                              <w:left w:val="nil"/>
                              <w:bottom w:val="single" w:sz="4" w:space="0" w:color="auto"/>
                              <w:right w:val="single" w:sz="4" w:space="0" w:color="auto"/>
                            </w:tcBorders>
                            <w:noWrap/>
                            <w:vAlign w:val="center"/>
                            <w:hideMark/>
                          </w:tcPr>
                          <w:p w14:paraId="2D2F936F"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860,479 </w:t>
                            </w:r>
                          </w:p>
                        </w:tc>
                        <w:tc>
                          <w:tcPr>
                            <w:tcW w:w="840" w:type="dxa"/>
                            <w:tcBorders>
                              <w:top w:val="nil"/>
                              <w:left w:val="nil"/>
                              <w:bottom w:val="single" w:sz="4" w:space="0" w:color="auto"/>
                              <w:right w:val="single" w:sz="4" w:space="0" w:color="auto"/>
                            </w:tcBorders>
                            <w:noWrap/>
                            <w:vAlign w:val="center"/>
                            <w:hideMark/>
                          </w:tcPr>
                          <w:p w14:paraId="1537C98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525,645 </w:t>
                            </w:r>
                          </w:p>
                        </w:tc>
                        <w:tc>
                          <w:tcPr>
                            <w:tcW w:w="511" w:type="dxa"/>
                            <w:tcBorders>
                              <w:top w:val="nil"/>
                              <w:left w:val="nil"/>
                              <w:bottom w:val="single" w:sz="4" w:space="0" w:color="auto"/>
                              <w:right w:val="single" w:sz="4" w:space="0" w:color="auto"/>
                            </w:tcBorders>
                            <w:noWrap/>
                            <w:vAlign w:val="center"/>
                            <w:hideMark/>
                          </w:tcPr>
                          <w:p w14:paraId="183B802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61.09 </w:t>
                            </w:r>
                          </w:p>
                        </w:tc>
                        <w:tc>
                          <w:tcPr>
                            <w:tcW w:w="856" w:type="dxa"/>
                            <w:tcBorders>
                              <w:top w:val="nil"/>
                              <w:left w:val="nil"/>
                              <w:bottom w:val="single" w:sz="4" w:space="0" w:color="auto"/>
                              <w:right w:val="single" w:sz="4" w:space="0" w:color="auto"/>
                            </w:tcBorders>
                            <w:noWrap/>
                            <w:vAlign w:val="center"/>
                            <w:hideMark/>
                          </w:tcPr>
                          <w:p w14:paraId="3DB0743E"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66,658,816 </w:t>
                            </w:r>
                          </w:p>
                        </w:tc>
                        <w:tc>
                          <w:tcPr>
                            <w:tcW w:w="856" w:type="dxa"/>
                            <w:tcBorders>
                              <w:top w:val="nil"/>
                              <w:left w:val="nil"/>
                              <w:bottom w:val="single" w:sz="4" w:space="0" w:color="auto"/>
                              <w:right w:val="single" w:sz="4" w:space="0" w:color="auto"/>
                            </w:tcBorders>
                            <w:noWrap/>
                            <w:vAlign w:val="center"/>
                            <w:hideMark/>
                          </w:tcPr>
                          <w:p w14:paraId="3568561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66,015,149 </w:t>
                            </w:r>
                          </w:p>
                        </w:tc>
                        <w:tc>
                          <w:tcPr>
                            <w:tcW w:w="556" w:type="dxa"/>
                            <w:tcBorders>
                              <w:top w:val="nil"/>
                              <w:left w:val="nil"/>
                              <w:bottom w:val="single" w:sz="4" w:space="0" w:color="auto"/>
                              <w:right w:val="single" w:sz="4" w:space="0" w:color="auto"/>
                            </w:tcBorders>
                            <w:noWrap/>
                            <w:vAlign w:val="center"/>
                            <w:hideMark/>
                          </w:tcPr>
                          <w:p w14:paraId="7EBAF1C9"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99.03 </w:t>
                            </w:r>
                          </w:p>
                        </w:tc>
                      </w:tr>
                      <w:tr w:rsidR="00D13E1B" w14:paraId="2F7C9DAC"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35F3A286"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110</w:t>
                            </w:r>
                          </w:p>
                        </w:tc>
                        <w:tc>
                          <w:tcPr>
                            <w:tcW w:w="988" w:type="dxa"/>
                            <w:tcBorders>
                              <w:top w:val="nil"/>
                              <w:left w:val="nil"/>
                              <w:bottom w:val="single" w:sz="4" w:space="0" w:color="auto"/>
                              <w:right w:val="single" w:sz="4" w:space="0" w:color="auto"/>
                            </w:tcBorders>
                            <w:noWrap/>
                            <w:vAlign w:val="center"/>
                            <w:hideMark/>
                          </w:tcPr>
                          <w:p w14:paraId="5EAEC22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106,294,139 </w:t>
                            </w:r>
                          </w:p>
                        </w:tc>
                        <w:tc>
                          <w:tcPr>
                            <w:tcW w:w="936" w:type="dxa"/>
                            <w:tcBorders>
                              <w:top w:val="nil"/>
                              <w:left w:val="nil"/>
                              <w:bottom w:val="single" w:sz="4" w:space="0" w:color="auto"/>
                              <w:right w:val="single" w:sz="4" w:space="0" w:color="auto"/>
                            </w:tcBorders>
                            <w:noWrap/>
                            <w:vAlign w:val="center"/>
                            <w:hideMark/>
                          </w:tcPr>
                          <w:p w14:paraId="715B12F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100,340,811 </w:t>
                            </w:r>
                          </w:p>
                        </w:tc>
                        <w:tc>
                          <w:tcPr>
                            <w:tcW w:w="555" w:type="dxa"/>
                            <w:tcBorders>
                              <w:top w:val="nil"/>
                              <w:left w:val="nil"/>
                              <w:bottom w:val="single" w:sz="4" w:space="0" w:color="auto"/>
                              <w:right w:val="single" w:sz="4" w:space="0" w:color="auto"/>
                            </w:tcBorders>
                            <w:noWrap/>
                            <w:vAlign w:val="center"/>
                            <w:hideMark/>
                          </w:tcPr>
                          <w:p w14:paraId="4DF40598"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94.40 </w:t>
                            </w:r>
                          </w:p>
                        </w:tc>
                        <w:tc>
                          <w:tcPr>
                            <w:tcW w:w="856" w:type="dxa"/>
                            <w:tcBorders>
                              <w:top w:val="nil"/>
                              <w:left w:val="nil"/>
                              <w:bottom w:val="single" w:sz="4" w:space="0" w:color="auto"/>
                              <w:right w:val="single" w:sz="4" w:space="0" w:color="auto"/>
                            </w:tcBorders>
                            <w:noWrap/>
                            <w:vAlign w:val="center"/>
                            <w:hideMark/>
                          </w:tcPr>
                          <w:p w14:paraId="25876CF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46,042,227 </w:t>
                            </w:r>
                          </w:p>
                        </w:tc>
                        <w:tc>
                          <w:tcPr>
                            <w:tcW w:w="856" w:type="dxa"/>
                            <w:tcBorders>
                              <w:top w:val="nil"/>
                              <w:left w:val="nil"/>
                              <w:bottom w:val="single" w:sz="4" w:space="0" w:color="auto"/>
                              <w:right w:val="single" w:sz="4" w:space="0" w:color="auto"/>
                            </w:tcBorders>
                            <w:noWrap/>
                            <w:vAlign w:val="center"/>
                            <w:hideMark/>
                          </w:tcPr>
                          <w:p w14:paraId="576C03E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44,370,635 </w:t>
                            </w:r>
                          </w:p>
                        </w:tc>
                        <w:tc>
                          <w:tcPr>
                            <w:tcW w:w="556" w:type="dxa"/>
                            <w:tcBorders>
                              <w:top w:val="nil"/>
                              <w:left w:val="nil"/>
                              <w:bottom w:val="single" w:sz="4" w:space="0" w:color="auto"/>
                              <w:right w:val="single" w:sz="4" w:space="0" w:color="auto"/>
                            </w:tcBorders>
                            <w:noWrap/>
                            <w:vAlign w:val="center"/>
                            <w:hideMark/>
                          </w:tcPr>
                          <w:p w14:paraId="65DF0D1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96.37 </w:t>
                            </w:r>
                          </w:p>
                        </w:tc>
                        <w:tc>
                          <w:tcPr>
                            <w:tcW w:w="776" w:type="dxa"/>
                            <w:tcBorders>
                              <w:top w:val="nil"/>
                              <w:left w:val="nil"/>
                              <w:bottom w:val="single" w:sz="4" w:space="0" w:color="auto"/>
                              <w:right w:val="single" w:sz="4" w:space="0" w:color="auto"/>
                            </w:tcBorders>
                            <w:noWrap/>
                            <w:vAlign w:val="center"/>
                            <w:hideMark/>
                          </w:tcPr>
                          <w:p w14:paraId="3905E01B"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871,819 </w:t>
                            </w:r>
                          </w:p>
                        </w:tc>
                        <w:tc>
                          <w:tcPr>
                            <w:tcW w:w="840" w:type="dxa"/>
                            <w:tcBorders>
                              <w:top w:val="nil"/>
                              <w:left w:val="nil"/>
                              <w:bottom w:val="single" w:sz="4" w:space="0" w:color="auto"/>
                              <w:right w:val="single" w:sz="4" w:space="0" w:color="auto"/>
                            </w:tcBorders>
                            <w:noWrap/>
                            <w:vAlign w:val="center"/>
                            <w:hideMark/>
                          </w:tcPr>
                          <w:p w14:paraId="317340D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515,847 </w:t>
                            </w:r>
                          </w:p>
                        </w:tc>
                        <w:tc>
                          <w:tcPr>
                            <w:tcW w:w="511" w:type="dxa"/>
                            <w:tcBorders>
                              <w:top w:val="nil"/>
                              <w:left w:val="nil"/>
                              <w:bottom w:val="single" w:sz="4" w:space="0" w:color="auto"/>
                              <w:right w:val="single" w:sz="4" w:space="0" w:color="auto"/>
                            </w:tcBorders>
                            <w:noWrap/>
                            <w:vAlign w:val="center"/>
                            <w:hideMark/>
                          </w:tcPr>
                          <w:p w14:paraId="2D8BCB41"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59.17 </w:t>
                            </w:r>
                          </w:p>
                        </w:tc>
                        <w:tc>
                          <w:tcPr>
                            <w:tcW w:w="856" w:type="dxa"/>
                            <w:tcBorders>
                              <w:top w:val="nil"/>
                              <w:left w:val="nil"/>
                              <w:bottom w:val="single" w:sz="4" w:space="0" w:color="auto"/>
                              <w:right w:val="single" w:sz="4" w:space="0" w:color="auto"/>
                            </w:tcBorders>
                            <w:noWrap/>
                            <w:vAlign w:val="center"/>
                            <w:hideMark/>
                          </w:tcPr>
                          <w:p w14:paraId="67015135"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59,380,093 </w:t>
                            </w:r>
                          </w:p>
                        </w:tc>
                        <w:tc>
                          <w:tcPr>
                            <w:tcW w:w="856" w:type="dxa"/>
                            <w:tcBorders>
                              <w:top w:val="nil"/>
                              <w:left w:val="nil"/>
                              <w:bottom w:val="single" w:sz="4" w:space="0" w:color="auto"/>
                              <w:right w:val="single" w:sz="4" w:space="0" w:color="auto"/>
                            </w:tcBorders>
                            <w:noWrap/>
                            <w:vAlign w:val="center"/>
                            <w:hideMark/>
                          </w:tcPr>
                          <w:p w14:paraId="38953ADE"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55,454,329 </w:t>
                            </w:r>
                          </w:p>
                        </w:tc>
                        <w:tc>
                          <w:tcPr>
                            <w:tcW w:w="556" w:type="dxa"/>
                            <w:tcBorders>
                              <w:top w:val="nil"/>
                              <w:left w:val="nil"/>
                              <w:bottom w:val="single" w:sz="4" w:space="0" w:color="auto"/>
                              <w:right w:val="single" w:sz="4" w:space="0" w:color="auto"/>
                            </w:tcBorders>
                            <w:noWrap/>
                            <w:vAlign w:val="center"/>
                            <w:hideMark/>
                          </w:tcPr>
                          <w:p w14:paraId="50001D9B"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93.39 </w:t>
                            </w:r>
                          </w:p>
                        </w:tc>
                      </w:tr>
                      <w:tr w:rsidR="00D13E1B" w14:paraId="285B3D40" w14:textId="77777777">
                        <w:trPr>
                          <w:trHeight w:val="315"/>
                          <w:jc w:val="center"/>
                        </w:trPr>
                        <w:tc>
                          <w:tcPr>
                            <w:tcW w:w="356" w:type="dxa"/>
                            <w:tcBorders>
                              <w:top w:val="nil"/>
                              <w:left w:val="single" w:sz="4" w:space="0" w:color="auto"/>
                              <w:bottom w:val="single" w:sz="4" w:space="0" w:color="auto"/>
                              <w:right w:val="single" w:sz="4" w:space="0" w:color="auto"/>
                            </w:tcBorders>
                            <w:noWrap/>
                            <w:vAlign w:val="center"/>
                            <w:hideMark/>
                          </w:tcPr>
                          <w:p w14:paraId="5AB9AB92" w14:textId="77777777" w:rsidR="00D13E1B" w:rsidRDefault="00D13E1B">
                            <w:pPr>
                              <w:widowControl/>
                              <w:jc w:val="center"/>
                              <w:rPr>
                                <w:rFonts w:ascii="標楷體" w:eastAsia="標楷體" w:hAnsi="標楷體" w:cs="新細明體"/>
                                <w:color w:val="000000"/>
                                <w:spacing w:val="-6"/>
                                <w:kern w:val="0"/>
                                <w:sz w:val="20"/>
                              </w:rPr>
                            </w:pPr>
                            <w:r>
                              <w:rPr>
                                <w:rFonts w:ascii="標楷體" w:eastAsia="標楷體" w:hAnsi="標楷體" w:hint="eastAsia"/>
                                <w:color w:val="000000"/>
                                <w:sz w:val="20"/>
                              </w:rPr>
                              <w:t>109</w:t>
                            </w:r>
                          </w:p>
                        </w:tc>
                        <w:tc>
                          <w:tcPr>
                            <w:tcW w:w="988" w:type="dxa"/>
                            <w:tcBorders>
                              <w:top w:val="nil"/>
                              <w:left w:val="nil"/>
                              <w:bottom w:val="single" w:sz="4" w:space="0" w:color="auto"/>
                              <w:right w:val="single" w:sz="4" w:space="0" w:color="auto"/>
                            </w:tcBorders>
                            <w:noWrap/>
                            <w:vAlign w:val="center"/>
                            <w:hideMark/>
                          </w:tcPr>
                          <w:p w14:paraId="1FF7E2F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92,756,020 </w:t>
                            </w:r>
                          </w:p>
                        </w:tc>
                        <w:tc>
                          <w:tcPr>
                            <w:tcW w:w="936" w:type="dxa"/>
                            <w:tcBorders>
                              <w:top w:val="nil"/>
                              <w:left w:val="nil"/>
                              <w:bottom w:val="single" w:sz="4" w:space="0" w:color="auto"/>
                              <w:right w:val="single" w:sz="4" w:space="0" w:color="auto"/>
                            </w:tcBorders>
                            <w:noWrap/>
                            <w:vAlign w:val="center"/>
                            <w:hideMark/>
                          </w:tcPr>
                          <w:p w14:paraId="03CA2EC4"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91,765,675 </w:t>
                            </w:r>
                          </w:p>
                        </w:tc>
                        <w:tc>
                          <w:tcPr>
                            <w:tcW w:w="555" w:type="dxa"/>
                            <w:tcBorders>
                              <w:top w:val="nil"/>
                              <w:left w:val="nil"/>
                              <w:bottom w:val="single" w:sz="4" w:space="0" w:color="auto"/>
                              <w:right w:val="single" w:sz="4" w:space="0" w:color="auto"/>
                            </w:tcBorders>
                            <w:noWrap/>
                            <w:vAlign w:val="center"/>
                            <w:hideMark/>
                          </w:tcPr>
                          <w:p w14:paraId="7E70C84D"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98.93 </w:t>
                            </w:r>
                          </w:p>
                        </w:tc>
                        <w:tc>
                          <w:tcPr>
                            <w:tcW w:w="856" w:type="dxa"/>
                            <w:tcBorders>
                              <w:top w:val="nil"/>
                              <w:left w:val="nil"/>
                              <w:bottom w:val="single" w:sz="4" w:space="0" w:color="auto"/>
                              <w:right w:val="single" w:sz="4" w:space="0" w:color="auto"/>
                            </w:tcBorders>
                            <w:noWrap/>
                            <w:vAlign w:val="center"/>
                            <w:hideMark/>
                          </w:tcPr>
                          <w:p w14:paraId="47C12D87"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43,585,908 </w:t>
                            </w:r>
                          </w:p>
                        </w:tc>
                        <w:tc>
                          <w:tcPr>
                            <w:tcW w:w="856" w:type="dxa"/>
                            <w:tcBorders>
                              <w:top w:val="nil"/>
                              <w:left w:val="nil"/>
                              <w:bottom w:val="single" w:sz="4" w:space="0" w:color="auto"/>
                              <w:right w:val="single" w:sz="4" w:space="0" w:color="auto"/>
                            </w:tcBorders>
                            <w:noWrap/>
                            <w:vAlign w:val="center"/>
                            <w:hideMark/>
                          </w:tcPr>
                          <w:p w14:paraId="58FC821D"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40,558,871 </w:t>
                            </w:r>
                          </w:p>
                        </w:tc>
                        <w:tc>
                          <w:tcPr>
                            <w:tcW w:w="556" w:type="dxa"/>
                            <w:tcBorders>
                              <w:top w:val="nil"/>
                              <w:left w:val="nil"/>
                              <w:bottom w:val="single" w:sz="4" w:space="0" w:color="auto"/>
                              <w:right w:val="single" w:sz="4" w:space="0" w:color="auto"/>
                            </w:tcBorders>
                            <w:noWrap/>
                            <w:vAlign w:val="center"/>
                            <w:hideMark/>
                          </w:tcPr>
                          <w:p w14:paraId="6A1865DA"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93.06 </w:t>
                            </w:r>
                          </w:p>
                        </w:tc>
                        <w:tc>
                          <w:tcPr>
                            <w:tcW w:w="776" w:type="dxa"/>
                            <w:tcBorders>
                              <w:top w:val="nil"/>
                              <w:left w:val="nil"/>
                              <w:bottom w:val="single" w:sz="4" w:space="0" w:color="auto"/>
                              <w:right w:val="single" w:sz="4" w:space="0" w:color="auto"/>
                            </w:tcBorders>
                            <w:noWrap/>
                            <w:vAlign w:val="center"/>
                            <w:hideMark/>
                          </w:tcPr>
                          <w:p w14:paraId="45085BC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1,173,103 </w:t>
                            </w:r>
                          </w:p>
                        </w:tc>
                        <w:tc>
                          <w:tcPr>
                            <w:tcW w:w="840" w:type="dxa"/>
                            <w:tcBorders>
                              <w:top w:val="nil"/>
                              <w:left w:val="nil"/>
                              <w:bottom w:val="single" w:sz="4" w:space="0" w:color="auto"/>
                              <w:right w:val="single" w:sz="4" w:space="0" w:color="auto"/>
                            </w:tcBorders>
                            <w:noWrap/>
                            <w:vAlign w:val="center"/>
                            <w:hideMark/>
                          </w:tcPr>
                          <w:p w14:paraId="6CB687C2"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960,927 </w:t>
                            </w:r>
                          </w:p>
                        </w:tc>
                        <w:tc>
                          <w:tcPr>
                            <w:tcW w:w="511" w:type="dxa"/>
                            <w:tcBorders>
                              <w:top w:val="nil"/>
                              <w:left w:val="nil"/>
                              <w:bottom w:val="single" w:sz="4" w:space="0" w:color="auto"/>
                              <w:right w:val="single" w:sz="4" w:space="0" w:color="auto"/>
                            </w:tcBorders>
                            <w:noWrap/>
                            <w:vAlign w:val="center"/>
                            <w:hideMark/>
                          </w:tcPr>
                          <w:p w14:paraId="318317D6"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81.91 </w:t>
                            </w:r>
                          </w:p>
                        </w:tc>
                        <w:tc>
                          <w:tcPr>
                            <w:tcW w:w="856" w:type="dxa"/>
                            <w:tcBorders>
                              <w:top w:val="nil"/>
                              <w:left w:val="nil"/>
                              <w:bottom w:val="single" w:sz="4" w:space="0" w:color="auto"/>
                              <w:right w:val="single" w:sz="4" w:space="0" w:color="auto"/>
                            </w:tcBorders>
                            <w:noWrap/>
                            <w:vAlign w:val="center"/>
                            <w:hideMark/>
                          </w:tcPr>
                          <w:p w14:paraId="0D36380C"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47,997,009 </w:t>
                            </w:r>
                          </w:p>
                        </w:tc>
                        <w:tc>
                          <w:tcPr>
                            <w:tcW w:w="856" w:type="dxa"/>
                            <w:tcBorders>
                              <w:top w:val="nil"/>
                              <w:left w:val="nil"/>
                              <w:bottom w:val="single" w:sz="4" w:space="0" w:color="auto"/>
                              <w:right w:val="single" w:sz="4" w:space="0" w:color="auto"/>
                            </w:tcBorders>
                            <w:noWrap/>
                            <w:vAlign w:val="center"/>
                            <w:hideMark/>
                          </w:tcPr>
                          <w:p w14:paraId="7410ECE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50,245,877 </w:t>
                            </w:r>
                          </w:p>
                        </w:tc>
                        <w:tc>
                          <w:tcPr>
                            <w:tcW w:w="556" w:type="dxa"/>
                            <w:tcBorders>
                              <w:top w:val="nil"/>
                              <w:left w:val="nil"/>
                              <w:bottom w:val="single" w:sz="4" w:space="0" w:color="auto"/>
                              <w:right w:val="single" w:sz="4" w:space="0" w:color="auto"/>
                            </w:tcBorders>
                            <w:noWrap/>
                            <w:vAlign w:val="center"/>
                            <w:hideMark/>
                          </w:tcPr>
                          <w:p w14:paraId="485CBA13" w14:textId="77777777" w:rsidR="00D13E1B" w:rsidRDefault="00D13E1B">
                            <w:pPr>
                              <w:widowControl/>
                              <w:jc w:val="right"/>
                              <w:rPr>
                                <w:rFonts w:ascii="標楷體" w:eastAsia="標楷體" w:hAnsi="標楷體" w:cs="新細明體"/>
                                <w:color w:val="000000"/>
                                <w:spacing w:val="-20"/>
                                <w:w w:val="95"/>
                                <w:kern w:val="0"/>
                                <w:sz w:val="20"/>
                              </w:rPr>
                            </w:pPr>
                            <w:r>
                              <w:rPr>
                                <w:rFonts w:ascii="標楷體" w:eastAsia="標楷體" w:hAnsi="標楷體" w:hint="eastAsia"/>
                                <w:color w:val="000000"/>
                                <w:spacing w:val="-20"/>
                                <w:w w:val="95"/>
                                <w:sz w:val="20"/>
                              </w:rPr>
                              <w:t xml:space="preserve">104.69 </w:t>
                            </w:r>
                          </w:p>
                        </w:tc>
                      </w:tr>
                      <w:tr w:rsidR="00D13E1B" w14:paraId="537E6EFD" w14:textId="77777777">
                        <w:trPr>
                          <w:trHeight w:val="300"/>
                          <w:jc w:val="center"/>
                        </w:trPr>
                        <w:tc>
                          <w:tcPr>
                            <w:tcW w:w="9498" w:type="dxa"/>
                            <w:gridSpan w:val="13"/>
                            <w:tcBorders>
                              <w:top w:val="single" w:sz="4" w:space="0" w:color="auto"/>
                              <w:left w:val="nil"/>
                              <w:bottom w:val="nil"/>
                              <w:right w:val="nil"/>
                            </w:tcBorders>
                            <w:vAlign w:val="center"/>
                            <w:hideMark/>
                          </w:tcPr>
                          <w:p w14:paraId="4F498BA1" w14:textId="77777777" w:rsidR="00D13E1B" w:rsidRDefault="00D13E1B">
                            <w:pPr>
                              <w:widowControl/>
                              <w:snapToGrid w:val="0"/>
                              <w:spacing w:line="240" w:lineRule="exact"/>
                              <w:ind w:left="540" w:hangingChars="300" w:hanging="540"/>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：1.截至114年4月底止，行政院已公開109至112年度行政院及所屬各部會性別預算執行情形整體說明，又</w:t>
                            </w:r>
                            <w:proofErr w:type="gramStart"/>
                            <w:r>
                              <w:rPr>
                                <w:rFonts w:ascii="標楷體" w:eastAsia="標楷體" w:hAnsi="標楷體" w:cs="新細明體" w:hint="eastAsia"/>
                                <w:color w:val="000000"/>
                                <w:kern w:val="0"/>
                                <w:sz w:val="18"/>
                                <w:szCs w:val="18"/>
                              </w:rPr>
                              <w:t>113</w:t>
                            </w:r>
                            <w:proofErr w:type="gramEnd"/>
                            <w:r>
                              <w:rPr>
                                <w:rFonts w:ascii="標楷體" w:eastAsia="標楷體" w:hAnsi="標楷體" w:cs="新細明體" w:hint="eastAsia"/>
                                <w:color w:val="000000"/>
                                <w:kern w:val="0"/>
                                <w:sz w:val="18"/>
                                <w:szCs w:val="18"/>
                              </w:rPr>
                              <w:t>年度性別預算執行情形，該院尚在彙整中。</w:t>
                            </w:r>
                          </w:p>
                        </w:tc>
                      </w:tr>
                      <w:tr w:rsidR="00D13E1B" w14:paraId="7B6BBEEA" w14:textId="77777777">
                        <w:trPr>
                          <w:trHeight w:val="510"/>
                          <w:jc w:val="center"/>
                        </w:trPr>
                        <w:tc>
                          <w:tcPr>
                            <w:tcW w:w="9498" w:type="dxa"/>
                            <w:gridSpan w:val="13"/>
                            <w:vAlign w:val="center"/>
                            <w:hideMark/>
                          </w:tcPr>
                          <w:p w14:paraId="3474AF09" w14:textId="77777777" w:rsidR="00D13E1B" w:rsidRDefault="00D13E1B">
                            <w:pPr>
                              <w:widowControl/>
                              <w:snapToGrid w:val="0"/>
                              <w:spacing w:line="240" w:lineRule="exact"/>
                              <w:ind w:leftChars="150" w:left="540" w:hangingChars="100" w:hanging="18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2.性別預算為行政院及所屬各部會於編列年度預算時，就其中涉及促進性別平等相關業務經費</w:t>
                            </w:r>
                            <w:proofErr w:type="gramStart"/>
                            <w:r>
                              <w:rPr>
                                <w:rFonts w:ascii="標楷體" w:eastAsia="標楷體" w:hAnsi="標楷體" w:cs="新細明體" w:hint="eastAsia"/>
                                <w:color w:val="000000"/>
                                <w:kern w:val="0"/>
                                <w:sz w:val="18"/>
                                <w:szCs w:val="18"/>
                              </w:rPr>
                              <w:t>予以匡列註記</w:t>
                            </w:r>
                            <w:proofErr w:type="gramEnd"/>
                            <w:r>
                              <w:rPr>
                                <w:rFonts w:ascii="標楷體" w:eastAsia="標楷體" w:hAnsi="標楷體" w:cs="新細明體" w:hint="eastAsia"/>
                                <w:color w:val="000000"/>
                                <w:kern w:val="0"/>
                                <w:sz w:val="18"/>
                                <w:szCs w:val="18"/>
                              </w:rPr>
                              <w:t>或按比例計算之結果，執行時可能視需要於相關預算</w:t>
                            </w:r>
                            <w:proofErr w:type="gramStart"/>
                            <w:r>
                              <w:rPr>
                                <w:rFonts w:ascii="標楷體" w:eastAsia="標楷體" w:hAnsi="標楷體" w:cs="新細明體" w:hint="eastAsia"/>
                                <w:color w:val="000000"/>
                                <w:kern w:val="0"/>
                                <w:sz w:val="18"/>
                                <w:szCs w:val="18"/>
                              </w:rPr>
                              <w:t>科目勻用列</w:t>
                            </w:r>
                            <w:proofErr w:type="gramEnd"/>
                            <w:r>
                              <w:rPr>
                                <w:rFonts w:ascii="標楷體" w:eastAsia="標楷體" w:hAnsi="標楷體" w:cs="新細明體" w:hint="eastAsia"/>
                                <w:color w:val="000000"/>
                                <w:kern w:val="0"/>
                                <w:sz w:val="18"/>
                                <w:szCs w:val="18"/>
                              </w:rPr>
                              <w:t>支，或按實際比例計算，故有執行數超逾預算數情形。</w:t>
                            </w:r>
                          </w:p>
                        </w:tc>
                      </w:tr>
                      <w:tr w:rsidR="00D13E1B" w14:paraId="4F320F81" w14:textId="77777777">
                        <w:trPr>
                          <w:trHeight w:val="315"/>
                          <w:jc w:val="center"/>
                        </w:trPr>
                        <w:tc>
                          <w:tcPr>
                            <w:tcW w:w="9498" w:type="dxa"/>
                            <w:gridSpan w:val="13"/>
                            <w:noWrap/>
                            <w:vAlign w:val="center"/>
                            <w:hideMark/>
                          </w:tcPr>
                          <w:p w14:paraId="6F87FE42" w14:textId="77777777" w:rsidR="00D13E1B" w:rsidRDefault="00D13E1B">
                            <w:pPr>
                              <w:widowControl/>
                              <w:snapToGrid w:val="0"/>
                              <w:spacing w:line="240" w:lineRule="exact"/>
                              <w:ind w:leftChars="150" w:left="540" w:hangingChars="100" w:hanging="18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3.資料來源：109至112年度整理自行政院性別平等會網站公布各該年度「行政院及所屬各部會性別預算執行情形整體說明」；</w:t>
                            </w:r>
                            <w:proofErr w:type="gramStart"/>
                            <w:r>
                              <w:rPr>
                                <w:rFonts w:ascii="標楷體" w:eastAsia="標楷體" w:hAnsi="標楷體" w:cs="新細明體" w:hint="eastAsia"/>
                                <w:color w:val="000000"/>
                                <w:kern w:val="0"/>
                                <w:sz w:val="18"/>
                                <w:szCs w:val="18"/>
                              </w:rPr>
                              <w:t>113</w:t>
                            </w:r>
                            <w:proofErr w:type="gramEnd"/>
                            <w:r>
                              <w:rPr>
                                <w:rFonts w:ascii="標楷體" w:eastAsia="標楷體" w:hAnsi="標楷體" w:cs="新細明體" w:hint="eastAsia"/>
                                <w:color w:val="000000"/>
                                <w:kern w:val="0"/>
                                <w:sz w:val="18"/>
                                <w:szCs w:val="18"/>
                              </w:rPr>
                              <w:t>年度整理自行政院及所屬各部會提供資料。</w:t>
                            </w:r>
                          </w:p>
                        </w:tc>
                      </w:tr>
                    </w:tbl>
                    <w:p w14:paraId="4E89A67F" w14:textId="77777777" w:rsidR="00D13E1B" w:rsidRDefault="00D13E1B" w:rsidP="00D13E1B"/>
                  </w:txbxContent>
                </v:textbox>
                <w10:wrap type="square" anchorx="margin"/>
              </v:shape>
            </w:pict>
          </mc:Fallback>
        </mc:AlternateContent>
      </w:r>
      <w:r>
        <w:rPr>
          <w:rFonts w:hAnsi="標楷體" w:hint="eastAsia"/>
          <w:color w:val="000000" w:themeColor="text1"/>
          <w:sz w:val="24"/>
          <w:szCs w:val="28"/>
        </w:rPr>
        <w:t>與運用，持續促進我國性別平等。</w:t>
      </w:r>
      <w:proofErr w:type="gramStart"/>
      <w:r>
        <w:rPr>
          <w:rFonts w:hAnsi="標楷體" w:hint="eastAsia"/>
          <w:color w:val="000000" w:themeColor="text1"/>
          <w:sz w:val="24"/>
          <w:szCs w:val="28"/>
        </w:rPr>
        <w:t>惟查</w:t>
      </w:r>
      <w:proofErr w:type="gramEnd"/>
      <w:r>
        <w:rPr>
          <w:rFonts w:hAnsi="標楷體" w:hint="eastAsia"/>
          <w:color w:val="000000" w:themeColor="text1"/>
          <w:sz w:val="24"/>
          <w:szCs w:val="28"/>
        </w:rPr>
        <w:t>，</w:t>
      </w:r>
      <w:proofErr w:type="gramStart"/>
      <w:r>
        <w:rPr>
          <w:rFonts w:hAnsi="標楷體" w:hint="eastAsia"/>
          <w:color w:val="000000" w:themeColor="text1"/>
          <w:sz w:val="24"/>
          <w:szCs w:val="28"/>
        </w:rPr>
        <w:t>113</w:t>
      </w:r>
      <w:proofErr w:type="gramEnd"/>
      <w:r>
        <w:rPr>
          <w:rFonts w:hAnsi="標楷體" w:hint="eastAsia"/>
          <w:color w:val="000000" w:themeColor="text1"/>
          <w:sz w:val="24"/>
          <w:szCs w:val="28"/>
        </w:rPr>
        <w:t>年度各公務主管機關、各營業基金及非營業基金執行性別預算結果，</w:t>
      </w:r>
      <w:r w:rsidR="00D51521">
        <w:rPr>
          <w:rFonts w:hAnsi="標楷體" w:hint="eastAsia"/>
          <w:color w:val="000000" w:themeColor="text1"/>
          <w:sz w:val="24"/>
          <w:szCs w:val="28"/>
        </w:rPr>
        <w:t>其中</w:t>
      </w:r>
      <w:r>
        <w:rPr>
          <w:rFonts w:hAnsi="標楷體" w:hint="eastAsia"/>
          <w:color w:val="000000" w:themeColor="text1"/>
          <w:sz w:val="24"/>
          <w:szCs w:val="28"/>
        </w:rPr>
        <w:t>5個公務主管機關、4家國營事業、23個非營業基金（公立學校、醫療機構），共計32個機關（構）性別預算執行率或預計辦理項目之達成率未達</w:t>
      </w:r>
      <w:proofErr w:type="gramStart"/>
      <w:r>
        <w:rPr>
          <w:rFonts w:hAnsi="標楷體" w:hint="eastAsia"/>
          <w:color w:val="000000" w:themeColor="text1"/>
          <w:sz w:val="24"/>
          <w:szCs w:val="28"/>
        </w:rPr>
        <w:t>8成</w:t>
      </w:r>
      <w:proofErr w:type="gramEnd"/>
      <w:r>
        <w:rPr>
          <w:rFonts w:hAnsi="標楷體" w:hint="eastAsia"/>
          <w:color w:val="000000" w:themeColor="text1"/>
          <w:sz w:val="24"/>
          <w:szCs w:val="28"/>
        </w:rPr>
        <w:t>，甚有17個機關（構）已</w:t>
      </w:r>
      <w:proofErr w:type="gramStart"/>
      <w:r>
        <w:rPr>
          <w:rFonts w:hAnsi="標楷體" w:hint="eastAsia"/>
          <w:color w:val="000000" w:themeColor="text1"/>
          <w:sz w:val="24"/>
          <w:szCs w:val="28"/>
        </w:rPr>
        <w:t>連續連續2</w:t>
      </w:r>
      <w:proofErr w:type="gramEnd"/>
      <w:r>
        <w:rPr>
          <w:rFonts w:hAnsi="標楷體" w:hint="eastAsia"/>
          <w:color w:val="000000" w:themeColor="text1"/>
          <w:sz w:val="24"/>
          <w:szCs w:val="28"/>
        </w:rPr>
        <w:t>年度（112及</w:t>
      </w:r>
      <w:proofErr w:type="gramStart"/>
      <w:r>
        <w:rPr>
          <w:rFonts w:hAnsi="標楷體" w:hint="eastAsia"/>
          <w:color w:val="000000" w:themeColor="text1"/>
          <w:sz w:val="24"/>
          <w:szCs w:val="28"/>
        </w:rPr>
        <w:t>113</w:t>
      </w:r>
      <w:proofErr w:type="gramEnd"/>
      <w:r>
        <w:rPr>
          <w:rFonts w:hAnsi="標楷體" w:hint="eastAsia"/>
          <w:color w:val="000000" w:themeColor="text1"/>
          <w:sz w:val="24"/>
          <w:szCs w:val="28"/>
        </w:rPr>
        <w:t>年度）性別預算執行率或預計辦理項目達成</w:t>
      </w:r>
      <w:proofErr w:type="gramStart"/>
      <w:r>
        <w:rPr>
          <w:rFonts w:hAnsi="標楷體" w:hint="eastAsia"/>
          <w:color w:val="000000" w:themeColor="text1"/>
          <w:sz w:val="24"/>
          <w:szCs w:val="28"/>
        </w:rPr>
        <w:t>率均未達8成</w:t>
      </w:r>
      <w:proofErr w:type="gramEnd"/>
      <w:r>
        <w:rPr>
          <w:rFonts w:hAnsi="標楷體" w:hint="eastAsia"/>
          <w:color w:val="000000" w:themeColor="text1"/>
          <w:sz w:val="24"/>
          <w:szCs w:val="28"/>
        </w:rPr>
        <w:t>；12個機關（構）</w:t>
      </w:r>
      <w:proofErr w:type="gramStart"/>
      <w:r>
        <w:rPr>
          <w:rFonts w:hAnsi="標楷體" w:hint="eastAsia"/>
          <w:color w:val="000000" w:themeColor="text1"/>
          <w:sz w:val="24"/>
          <w:szCs w:val="28"/>
        </w:rPr>
        <w:t>113</w:t>
      </w:r>
      <w:proofErr w:type="gramEnd"/>
      <w:r>
        <w:rPr>
          <w:rFonts w:hAnsi="標楷體" w:hint="eastAsia"/>
          <w:color w:val="000000" w:themeColor="text1"/>
          <w:sz w:val="24"/>
          <w:szCs w:val="28"/>
        </w:rPr>
        <w:t>年度性別預算執行率或預計辦理項目達成率較</w:t>
      </w:r>
      <w:proofErr w:type="gramStart"/>
      <w:r>
        <w:rPr>
          <w:rFonts w:hAnsi="標楷體" w:hint="eastAsia"/>
          <w:color w:val="000000" w:themeColor="text1"/>
          <w:sz w:val="24"/>
          <w:szCs w:val="28"/>
        </w:rPr>
        <w:t>112</w:t>
      </w:r>
      <w:proofErr w:type="gramEnd"/>
      <w:r>
        <w:rPr>
          <w:rFonts w:hAnsi="標楷體" w:hint="eastAsia"/>
          <w:color w:val="000000" w:themeColor="text1"/>
          <w:sz w:val="24"/>
          <w:szCs w:val="28"/>
        </w:rPr>
        <w:t>年度下降，性別平等業務推動情形仍有精進空間。又據各機關（構）說明，</w:t>
      </w:r>
      <w:proofErr w:type="gramStart"/>
      <w:r>
        <w:rPr>
          <w:rFonts w:hAnsi="標楷體" w:hint="eastAsia"/>
          <w:color w:val="000000" w:themeColor="text1"/>
          <w:sz w:val="24"/>
          <w:szCs w:val="28"/>
        </w:rPr>
        <w:t>113</w:t>
      </w:r>
      <w:proofErr w:type="gramEnd"/>
      <w:r>
        <w:rPr>
          <w:rFonts w:hAnsi="標楷體" w:hint="eastAsia"/>
          <w:color w:val="000000" w:themeColor="text1"/>
          <w:sz w:val="24"/>
          <w:szCs w:val="28"/>
        </w:rPr>
        <w:t>年度性別預算或預計辦理項目達成情形有欠理想，主要係因性別友善、無障礙、女性專屬之空間、設施等相關工程，受自然災害、規劃設計、招標、發包、規劃異動等影響，執行進度未如預期、實際完成數較預計減少或未執行；補助女性進修或就業、辦理新住民家庭成長及子女托育、獎（補）助性別平等教育（教材教法）、性別平等研究案（人）數或性別占比未如預期；受人力、</w:t>
      </w:r>
      <w:proofErr w:type="gramStart"/>
      <w:r>
        <w:rPr>
          <w:rFonts w:hAnsi="標楷體" w:hint="eastAsia"/>
          <w:color w:val="000000" w:themeColor="text1"/>
          <w:sz w:val="24"/>
          <w:szCs w:val="28"/>
        </w:rPr>
        <w:t>疫</w:t>
      </w:r>
      <w:proofErr w:type="gramEnd"/>
      <w:r>
        <w:rPr>
          <w:rFonts w:hAnsi="標楷體" w:hint="eastAsia"/>
          <w:color w:val="000000" w:themeColor="text1"/>
          <w:sz w:val="24"/>
          <w:szCs w:val="28"/>
        </w:rPr>
        <w:t>情、執行方式調整等因素影響，相關宣導活動、教育訓練或人才培育減少、延後或取消辦理，或將實體課程改</w:t>
      </w:r>
      <w:proofErr w:type="gramStart"/>
      <w:r>
        <w:rPr>
          <w:rFonts w:hAnsi="標楷體" w:hint="eastAsia"/>
          <w:color w:val="000000" w:themeColor="text1"/>
          <w:sz w:val="24"/>
          <w:szCs w:val="28"/>
        </w:rPr>
        <w:t>為線上數位</w:t>
      </w:r>
      <w:proofErr w:type="gramEnd"/>
      <w:r>
        <w:rPr>
          <w:rFonts w:hAnsi="標楷體" w:hint="eastAsia"/>
          <w:color w:val="000000" w:themeColor="text1"/>
          <w:sz w:val="24"/>
          <w:szCs w:val="28"/>
        </w:rPr>
        <w:t>方式辦理；部分性別平等工程經實務評估後，暫緩或延後辦理，或經費調整支應他項設備而未執行等，顯示</w:t>
      </w:r>
      <w:r w:rsidR="00D51521">
        <w:rPr>
          <w:rFonts w:hAnsi="標楷體" w:hint="eastAsia"/>
          <w:color w:val="000000" w:themeColor="text1"/>
          <w:sz w:val="24"/>
          <w:szCs w:val="28"/>
        </w:rPr>
        <w:t>性別預算</w:t>
      </w:r>
      <w:r>
        <w:rPr>
          <w:rFonts w:hAnsi="標楷體" w:hint="eastAsia"/>
          <w:color w:val="000000" w:themeColor="text1"/>
          <w:sz w:val="24"/>
          <w:szCs w:val="28"/>
        </w:rPr>
        <w:t>存有未</w:t>
      </w:r>
      <w:proofErr w:type="gramStart"/>
      <w:r>
        <w:rPr>
          <w:rFonts w:hAnsi="標楷體" w:hint="eastAsia"/>
          <w:color w:val="000000" w:themeColor="text1"/>
          <w:sz w:val="24"/>
          <w:szCs w:val="28"/>
        </w:rPr>
        <w:t>覈</w:t>
      </w:r>
      <w:proofErr w:type="gramEnd"/>
      <w:r>
        <w:rPr>
          <w:rFonts w:hAnsi="標楷體" w:hint="eastAsia"/>
          <w:color w:val="000000" w:themeColor="text1"/>
          <w:sz w:val="24"/>
          <w:szCs w:val="28"/>
        </w:rPr>
        <w:t>實編列或未盡落實執行情事。經函請行政院督促各主管部會促請有關機關（構）妥為衡酌性別平等業務實際需要，</w:t>
      </w:r>
      <w:proofErr w:type="gramStart"/>
      <w:r>
        <w:rPr>
          <w:rFonts w:hAnsi="標楷體" w:hint="eastAsia"/>
          <w:color w:val="000000" w:themeColor="text1"/>
          <w:sz w:val="24"/>
          <w:szCs w:val="28"/>
        </w:rPr>
        <w:t>覈</w:t>
      </w:r>
      <w:proofErr w:type="gramEnd"/>
      <w:r>
        <w:rPr>
          <w:rFonts w:hAnsi="標楷體" w:hint="eastAsia"/>
          <w:color w:val="000000" w:themeColor="text1"/>
          <w:sz w:val="24"/>
          <w:szCs w:val="28"/>
        </w:rPr>
        <w:t>實編列預算，並優化先期規劃作業及計畫執行進度管控，</w:t>
      </w:r>
      <w:proofErr w:type="gramStart"/>
      <w:r>
        <w:rPr>
          <w:rFonts w:hAnsi="標楷體" w:hint="eastAsia"/>
          <w:color w:val="000000" w:themeColor="text1"/>
          <w:sz w:val="24"/>
          <w:szCs w:val="28"/>
        </w:rPr>
        <w:t>俾</w:t>
      </w:r>
      <w:proofErr w:type="gramEnd"/>
      <w:r>
        <w:rPr>
          <w:rFonts w:hAnsi="標楷體" w:hint="eastAsia"/>
          <w:color w:val="000000" w:themeColor="text1"/>
          <w:sz w:val="24"/>
          <w:szCs w:val="28"/>
        </w:rPr>
        <w:t>有效發揮公共支出促進性別平等之最大成效。</w:t>
      </w:r>
      <w:r w:rsidR="006103C2" w:rsidRPr="00D962FD">
        <w:rPr>
          <w:rFonts w:hAnsi="標楷體" w:hint="eastAsia"/>
          <w:sz w:val="24"/>
          <w:szCs w:val="24"/>
        </w:rPr>
        <w:t>據復：</w:t>
      </w:r>
      <w:r w:rsidR="00D962FD" w:rsidRPr="00D962FD">
        <w:rPr>
          <w:rFonts w:hAnsi="標楷體" w:hint="eastAsia"/>
          <w:sz w:val="24"/>
          <w:szCs w:val="24"/>
        </w:rPr>
        <w:t>業於114年2月</w:t>
      </w:r>
      <w:r w:rsidR="00D962FD" w:rsidRPr="00D962FD">
        <w:rPr>
          <w:rFonts w:hAnsi="標楷體" w:hint="eastAsia"/>
          <w:sz w:val="24"/>
          <w:szCs w:val="24"/>
        </w:rPr>
        <w:lastRenderedPageBreak/>
        <w:t>修正性別預算作業原則及注意事項，請各機關依相關規定強化性別預算執行，另將性別預算執行率及年度預期成果達成率訂為114年行政院所屬機關推動性別平等業務輔導考核及獎勵計畫之評核指標，將針對未</w:t>
      </w:r>
      <w:proofErr w:type="gramStart"/>
      <w:r w:rsidR="00D962FD" w:rsidRPr="00D962FD">
        <w:rPr>
          <w:rFonts w:hAnsi="標楷體" w:hint="eastAsia"/>
          <w:sz w:val="24"/>
          <w:szCs w:val="24"/>
        </w:rPr>
        <w:t>覈</w:t>
      </w:r>
      <w:proofErr w:type="gramEnd"/>
      <w:r w:rsidR="00D962FD" w:rsidRPr="00D962FD">
        <w:rPr>
          <w:rFonts w:hAnsi="標楷體" w:hint="eastAsia"/>
          <w:sz w:val="24"/>
          <w:szCs w:val="24"/>
        </w:rPr>
        <w:t>實編列性別預算或未落實執行情形，促請部會積極改善，強化落實性別平等工作推動與性別預算之執行。</w:t>
      </w:r>
    </w:p>
    <w:p w14:paraId="629F7EB3" w14:textId="56780FED" w:rsidR="001A2D1A" w:rsidRDefault="001A2D1A" w:rsidP="00BC39D4">
      <w:pPr>
        <w:overflowPunct w:val="0"/>
        <w:spacing w:beforeLines="20" w:before="72" w:afterLines="20" w:after="72" w:line="450" w:lineRule="exact"/>
        <w:ind w:firstLineChars="200" w:firstLine="561"/>
        <w:jc w:val="both"/>
        <w:outlineLvl w:val="1"/>
        <w:rPr>
          <w:rFonts w:ascii="標楷體" w:eastAsia="標楷體" w:hAnsi="標楷體"/>
          <w:b/>
          <w:color w:val="000000" w:themeColor="text1"/>
          <w:sz w:val="28"/>
          <w:szCs w:val="28"/>
        </w:rPr>
      </w:pPr>
      <w:r w:rsidRPr="001A2D1A">
        <w:rPr>
          <w:rFonts w:ascii="標楷體" w:eastAsia="標楷體" w:hAnsi="標楷體" w:hint="eastAsia"/>
          <w:b/>
          <w:color w:val="000000" w:themeColor="text1"/>
          <w:sz w:val="28"/>
          <w:szCs w:val="28"/>
        </w:rPr>
        <w:t>（三十二）</w:t>
      </w:r>
      <w:r w:rsidRPr="001A2D1A">
        <w:rPr>
          <w:rFonts w:ascii="標楷體" w:eastAsia="標楷體" w:hAnsi="標楷體" w:hint="eastAsia"/>
          <w:b/>
          <w:bCs/>
          <w:color w:val="0D0D0D" w:themeColor="text1" w:themeTint="F2"/>
          <w:sz w:val="28"/>
          <w:szCs w:val="28"/>
        </w:rPr>
        <w:t xml:space="preserve">　</w:t>
      </w:r>
      <w:r w:rsidRPr="001A2D1A">
        <w:rPr>
          <w:rFonts w:ascii="標楷體" w:eastAsia="標楷體" w:hAnsi="標楷體" w:hint="eastAsia"/>
          <w:b/>
          <w:color w:val="000000" w:themeColor="text1"/>
          <w:sz w:val="28"/>
          <w:szCs w:val="28"/>
        </w:rPr>
        <w:t>中央政府總預算第二預備金近</w:t>
      </w:r>
      <w:proofErr w:type="gramStart"/>
      <w:r w:rsidRPr="001A2D1A">
        <w:rPr>
          <w:rFonts w:ascii="標楷體" w:eastAsia="標楷體" w:hAnsi="標楷體" w:hint="eastAsia"/>
          <w:b/>
          <w:color w:val="000000" w:themeColor="text1"/>
          <w:sz w:val="28"/>
          <w:szCs w:val="28"/>
        </w:rPr>
        <w:t>3</w:t>
      </w:r>
      <w:proofErr w:type="gramEnd"/>
      <w:r w:rsidRPr="001A2D1A">
        <w:rPr>
          <w:rFonts w:ascii="標楷體" w:eastAsia="標楷體" w:hAnsi="標楷體" w:hint="eastAsia"/>
          <w:b/>
          <w:color w:val="000000" w:themeColor="text1"/>
          <w:sz w:val="28"/>
          <w:szCs w:val="28"/>
        </w:rPr>
        <w:t>年度動</w:t>
      </w:r>
      <w:proofErr w:type="gramStart"/>
      <w:r w:rsidRPr="001A2D1A">
        <w:rPr>
          <w:rFonts w:ascii="標楷體" w:eastAsia="標楷體" w:hAnsi="標楷體" w:hint="eastAsia"/>
          <w:b/>
          <w:color w:val="000000" w:themeColor="text1"/>
          <w:sz w:val="28"/>
          <w:szCs w:val="28"/>
        </w:rPr>
        <w:t>支率均</w:t>
      </w:r>
      <w:proofErr w:type="gramEnd"/>
      <w:r w:rsidRPr="001A2D1A">
        <w:rPr>
          <w:rFonts w:ascii="標楷體" w:eastAsia="標楷體" w:hAnsi="標楷體" w:hint="eastAsia"/>
          <w:b/>
          <w:color w:val="000000" w:themeColor="text1"/>
          <w:sz w:val="28"/>
          <w:szCs w:val="28"/>
        </w:rPr>
        <w:t>逾</w:t>
      </w:r>
      <w:proofErr w:type="gramStart"/>
      <w:r w:rsidRPr="001A2D1A">
        <w:rPr>
          <w:rFonts w:ascii="標楷體" w:eastAsia="標楷體" w:hAnsi="標楷體" w:hint="eastAsia"/>
          <w:b/>
          <w:color w:val="000000" w:themeColor="text1"/>
          <w:sz w:val="28"/>
          <w:szCs w:val="28"/>
        </w:rPr>
        <w:t>9成</w:t>
      </w:r>
      <w:proofErr w:type="gramEnd"/>
      <w:r w:rsidRPr="001A2D1A">
        <w:rPr>
          <w:rFonts w:ascii="標楷體" w:eastAsia="標楷體" w:hAnsi="標楷體" w:hint="eastAsia"/>
          <w:b/>
          <w:color w:val="000000" w:themeColor="text1"/>
          <w:sz w:val="28"/>
          <w:szCs w:val="28"/>
        </w:rPr>
        <w:t>，惟部分機關連年以相同事由動支，</w:t>
      </w:r>
      <w:proofErr w:type="gramStart"/>
      <w:r w:rsidRPr="001A2D1A">
        <w:rPr>
          <w:rFonts w:ascii="標楷體" w:eastAsia="標楷體" w:hAnsi="標楷體" w:hint="eastAsia"/>
          <w:b/>
          <w:color w:val="000000" w:themeColor="text1"/>
          <w:sz w:val="28"/>
          <w:szCs w:val="28"/>
        </w:rPr>
        <w:t>或動支</w:t>
      </w:r>
      <w:proofErr w:type="gramEnd"/>
      <w:r w:rsidRPr="001A2D1A">
        <w:rPr>
          <w:rFonts w:ascii="標楷體" w:eastAsia="標楷體" w:hAnsi="標楷體" w:hint="eastAsia"/>
          <w:b/>
          <w:color w:val="000000" w:themeColor="text1"/>
          <w:sz w:val="28"/>
          <w:szCs w:val="28"/>
        </w:rPr>
        <w:t>後保留比率偏高，允宜督促</w:t>
      </w:r>
      <w:proofErr w:type="gramStart"/>
      <w:r w:rsidR="00BB4D70">
        <w:rPr>
          <w:rFonts w:ascii="標楷體" w:eastAsia="標楷體" w:hAnsi="標楷體" w:hint="eastAsia"/>
          <w:b/>
          <w:color w:val="000000" w:themeColor="text1"/>
          <w:sz w:val="28"/>
          <w:szCs w:val="28"/>
        </w:rPr>
        <w:t>研</w:t>
      </w:r>
      <w:proofErr w:type="gramEnd"/>
      <w:r w:rsidR="00BB4D70">
        <w:rPr>
          <w:rFonts w:ascii="標楷體" w:eastAsia="標楷體" w:hAnsi="標楷體" w:hint="eastAsia"/>
          <w:b/>
          <w:color w:val="000000" w:themeColor="text1"/>
          <w:sz w:val="28"/>
          <w:szCs w:val="28"/>
        </w:rPr>
        <w:t>謀</w:t>
      </w:r>
      <w:r w:rsidRPr="001A2D1A">
        <w:rPr>
          <w:rFonts w:ascii="標楷體" w:eastAsia="標楷體" w:hAnsi="標楷體" w:hint="eastAsia"/>
          <w:b/>
          <w:color w:val="000000" w:themeColor="text1"/>
          <w:sz w:val="28"/>
          <w:szCs w:val="28"/>
        </w:rPr>
        <w:t>改善，以利發揮預備金彈性應變運用，協助政務推展之綜效。</w:t>
      </w:r>
    </w:p>
    <w:p w14:paraId="2075537A" w14:textId="397188D6" w:rsidR="00650F3B" w:rsidRPr="002514B2" w:rsidRDefault="00650F3B" w:rsidP="00BC39D4">
      <w:pPr>
        <w:overflowPunct w:val="0"/>
        <w:snapToGrid w:val="0"/>
        <w:spacing w:line="450" w:lineRule="exact"/>
        <w:ind w:firstLineChars="200" w:firstLine="480"/>
        <w:jc w:val="both"/>
        <w:rPr>
          <w:rFonts w:ascii="標楷體" w:eastAsia="標楷體" w:hAnsi="標楷體"/>
          <w:szCs w:val="24"/>
        </w:rPr>
      </w:pPr>
      <w:r w:rsidRPr="002514B2">
        <w:rPr>
          <w:rFonts w:ascii="標楷體" w:eastAsia="標楷體" w:hAnsi="標楷體" w:hint="eastAsia"/>
          <w:szCs w:val="24"/>
        </w:rPr>
        <w:t>依據預算法第22條規定：「預算應設預備金，預備金分第一預備金及第二預備金二種</w:t>
      </w:r>
      <w:proofErr w:type="gramStart"/>
      <w:r w:rsidRPr="002514B2">
        <w:rPr>
          <w:rFonts w:ascii="標楷體" w:eastAsia="標楷體" w:hAnsi="標楷體" w:hint="eastAsia"/>
          <w:szCs w:val="24"/>
        </w:rPr>
        <w:t>︰</w:t>
      </w:r>
      <w:proofErr w:type="gramEnd"/>
      <w:r w:rsidRPr="002514B2">
        <w:rPr>
          <w:rFonts w:ascii="標楷體" w:eastAsia="標楷體" w:hAnsi="標楷體" w:hint="eastAsia"/>
          <w:szCs w:val="24"/>
        </w:rPr>
        <w:t>…</w:t>
      </w:r>
      <w:proofErr w:type="gramStart"/>
      <w:r w:rsidRPr="002514B2">
        <w:rPr>
          <w:rFonts w:ascii="標楷體" w:eastAsia="標楷體" w:hAnsi="標楷體" w:hint="eastAsia"/>
          <w:szCs w:val="24"/>
        </w:rPr>
        <w:t>…</w:t>
      </w:r>
      <w:proofErr w:type="gramEnd"/>
      <w:r w:rsidRPr="002514B2">
        <w:rPr>
          <w:rFonts w:ascii="標楷體" w:eastAsia="標楷體" w:hAnsi="標楷體" w:hint="eastAsia"/>
          <w:szCs w:val="24"/>
        </w:rPr>
        <w:t>二、第二預備金於總預算中設定之，其數額視財政情況決定之。…</w:t>
      </w:r>
      <w:proofErr w:type="gramStart"/>
      <w:r w:rsidRPr="002514B2">
        <w:rPr>
          <w:rFonts w:ascii="標楷體" w:eastAsia="標楷體" w:hAnsi="標楷體" w:hint="eastAsia"/>
          <w:szCs w:val="24"/>
        </w:rPr>
        <w:t>…</w:t>
      </w:r>
      <w:proofErr w:type="gramEnd"/>
      <w:r w:rsidRPr="002514B2">
        <w:rPr>
          <w:rFonts w:ascii="標楷體" w:eastAsia="標楷體" w:hAnsi="標楷體" w:hint="eastAsia"/>
          <w:szCs w:val="24"/>
        </w:rPr>
        <w:t>。」同法第70條規定：「各機關有左列情形之一，得經行政院核准動支第二預備金及其歸屬科目金額之調整，事後由行政院編具動支數額表，送請立法院審議</w:t>
      </w:r>
      <w:proofErr w:type="gramStart"/>
      <w:r w:rsidRPr="002514B2">
        <w:rPr>
          <w:rFonts w:ascii="標楷體" w:eastAsia="標楷體" w:hAnsi="標楷體" w:hint="eastAsia"/>
          <w:szCs w:val="24"/>
        </w:rPr>
        <w:t>︰</w:t>
      </w:r>
      <w:proofErr w:type="gramEnd"/>
      <w:r w:rsidRPr="002514B2">
        <w:rPr>
          <w:rFonts w:ascii="標楷體" w:eastAsia="標楷體" w:hAnsi="標楷體" w:hint="eastAsia"/>
          <w:szCs w:val="24"/>
        </w:rPr>
        <w:t>一、原列計畫費用因事實需要奉准修訂致原列經費</w:t>
      </w:r>
      <w:proofErr w:type="gramStart"/>
      <w:r w:rsidRPr="002514B2">
        <w:rPr>
          <w:rFonts w:ascii="標楷體" w:eastAsia="標楷體" w:hAnsi="標楷體" w:hint="eastAsia"/>
          <w:szCs w:val="24"/>
        </w:rPr>
        <w:t>不敷時</w:t>
      </w:r>
      <w:proofErr w:type="gramEnd"/>
      <w:r w:rsidRPr="002514B2">
        <w:rPr>
          <w:rFonts w:ascii="標楷體" w:eastAsia="標楷體" w:hAnsi="標楷體" w:hint="eastAsia"/>
          <w:szCs w:val="24"/>
        </w:rPr>
        <w:t>。二、原列計畫費用因增加</w:t>
      </w:r>
      <w:proofErr w:type="gramStart"/>
      <w:r w:rsidRPr="002514B2">
        <w:rPr>
          <w:rFonts w:ascii="標楷體" w:eastAsia="標楷體" w:hAnsi="標楷體" w:hint="eastAsia"/>
          <w:szCs w:val="24"/>
        </w:rPr>
        <w:t>業務量致增加</w:t>
      </w:r>
      <w:proofErr w:type="gramEnd"/>
      <w:r w:rsidRPr="002514B2">
        <w:rPr>
          <w:rFonts w:ascii="標楷體" w:eastAsia="標楷體" w:hAnsi="標楷體" w:hint="eastAsia"/>
          <w:szCs w:val="24"/>
        </w:rPr>
        <w:t>經費時。三、因應政事臨時需要必須增加計畫及經費時。」另依據各機關單位預算執行要點（111年12月14日修正）第31點第1項規定：「各機關有合於預算法第70條各款情事者，經檢討年度預算相關經費確實無法容納，得申請動支第二預備金。</w:t>
      </w:r>
      <w:proofErr w:type="gramStart"/>
      <w:r w:rsidRPr="002514B2">
        <w:rPr>
          <w:rFonts w:ascii="標楷體" w:eastAsia="標楷體" w:hAnsi="標楷體" w:hint="eastAsia"/>
          <w:szCs w:val="24"/>
        </w:rPr>
        <w:t>惟動支</w:t>
      </w:r>
      <w:proofErr w:type="gramEnd"/>
      <w:r w:rsidRPr="002514B2">
        <w:rPr>
          <w:rFonts w:ascii="標楷體" w:eastAsia="標楷體" w:hAnsi="標楷體" w:hint="eastAsia"/>
          <w:szCs w:val="24"/>
        </w:rPr>
        <w:t>時，</w:t>
      </w:r>
      <w:proofErr w:type="gramStart"/>
      <w:r w:rsidRPr="002514B2">
        <w:rPr>
          <w:rFonts w:ascii="標楷體" w:eastAsia="標楷體" w:hAnsi="標楷體" w:hint="eastAsia"/>
          <w:szCs w:val="24"/>
        </w:rPr>
        <w:t>應衡酌</w:t>
      </w:r>
      <w:proofErr w:type="gramEnd"/>
      <w:r w:rsidRPr="002514B2">
        <w:rPr>
          <w:rFonts w:ascii="標楷體" w:eastAsia="標楷體" w:hAnsi="標楷體" w:hint="eastAsia"/>
          <w:szCs w:val="24"/>
        </w:rPr>
        <w:t>執行能力，避免於年度結束申請保留，並應避免每年以相同事由申請動支第二預備金。」111至113年度中央政府總預算各編列第二預備金74億元，動支金額分別為71億5,899萬餘元、73億2,884萬餘元及</w:t>
      </w:r>
      <w:r w:rsidRPr="002514B2">
        <w:rPr>
          <w:rFonts w:ascii="標楷體" w:eastAsia="標楷體" w:hAnsi="標楷體"/>
          <w:szCs w:val="24"/>
        </w:rPr>
        <w:t>73億3,214</w:t>
      </w:r>
      <w:r w:rsidRPr="002514B2">
        <w:rPr>
          <w:rFonts w:ascii="標楷體" w:eastAsia="標楷體" w:hAnsi="標楷體" w:hint="eastAsia"/>
          <w:szCs w:val="24"/>
        </w:rPr>
        <w:t>萬餘元，</w:t>
      </w:r>
      <w:proofErr w:type="gramStart"/>
      <w:r w:rsidRPr="002514B2">
        <w:rPr>
          <w:rFonts w:ascii="標楷體" w:eastAsia="標楷體" w:hAnsi="標楷體" w:hint="eastAsia"/>
          <w:szCs w:val="24"/>
        </w:rPr>
        <w:t>動支率分別</w:t>
      </w:r>
      <w:proofErr w:type="gramEnd"/>
      <w:r w:rsidRPr="002514B2">
        <w:rPr>
          <w:rFonts w:ascii="標楷體" w:eastAsia="標楷體" w:hAnsi="標楷體" w:hint="eastAsia"/>
          <w:szCs w:val="24"/>
        </w:rPr>
        <w:t>為96.74％、99.04％及</w:t>
      </w:r>
      <w:r w:rsidRPr="002514B2">
        <w:rPr>
          <w:rFonts w:ascii="標楷體" w:eastAsia="標楷體" w:hAnsi="標楷體"/>
          <w:szCs w:val="24"/>
        </w:rPr>
        <w:t>9</w:t>
      </w:r>
      <w:r w:rsidRPr="002514B2">
        <w:rPr>
          <w:rFonts w:ascii="標楷體" w:eastAsia="標楷體" w:hAnsi="標楷體" w:hint="eastAsia"/>
          <w:szCs w:val="24"/>
        </w:rPr>
        <w:t>9</w:t>
      </w:r>
      <w:r w:rsidRPr="002514B2">
        <w:rPr>
          <w:rFonts w:ascii="標楷體" w:eastAsia="標楷體" w:hAnsi="標楷體"/>
          <w:szCs w:val="24"/>
        </w:rPr>
        <w:t>.</w:t>
      </w:r>
      <w:r w:rsidRPr="002514B2">
        <w:rPr>
          <w:rFonts w:ascii="標楷體" w:eastAsia="標楷體" w:hAnsi="標楷體" w:hint="eastAsia"/>
          <w:szCs w:val="24"/>
        </w:rPr>
        <w:t>08％。經查各機關申請動支第二預備金情形，核有下列事項：</w:t>
      </w:r>
    </w:p>
    <w:p w14:paraId="3595DE53" w14:textId="385C1B25" w:rsidR="00C16723" w:rsidRPr="002514B2" w:rsidRDefault="00650F3B" w:rsidP="00BC39D4">
      <w:pPr>
        <w:snapToGrid w:val="0"/>
        <w:spacing w:line="440" w:lineRule="atLeast"/>
        <w:ind w:firstLineChars="450" w:firstLine="1027"/>
        <w:jc w:val="both"/>
        <w:rPr>
          <w:rFonts w:ascii="標楷體" w:eastAsia="標楷體" w:hAnsi="標楷體"/>
          <w:szCs w:val="24"/>
        </w:rPr>
      </w:pPr>
      <w:r w:rsidRPr="00650F3B">
        <w:rPr>
          <w:rFonts w:ascii="標楷體" w:eastAsia="標楷體" w:hAnsi="標楷體" w:hint="eastAsia"/>
          <w:b/>
          <w:bCs/>
          <w:spacing w:val="-6"/>
          <w:szCs w:val="24"/>
        </w:rPr>
        <w:t>1.</w:t>
      </w:r>
      <w:r w:rsidRPr="00650F3B">
        <w:rPr>
          <w:rFonts w:ascii="標楷體" w:eastAsia="標楷體" w:hAnsi="標楷體" w:hint="eastAsia"/>
          <w:b/>
          <w:bCs/>
          <w:spacing w:val="-6"/>
        </w:rPr>
        <w:t xml:space="preserve">　</w:t>
      </w:r>
      <w:r w:rsidRPr="002514B2">
        <w:rPr>
          <w:rFonts w:ascii="標楷體" w:eastAsia="標楷體" w:hAnsi="標楷體" w:hint="eastAsia"/>
          <w:b/>
          <w:bCs/>
          <w:szCs w:val="24"/>
        </w:rPr>
        <w:t>部分機關近年以相同事由動支第二預備金，有待督促妥為估算及編列施政預算，避免經費連年不敷，影響計畫或業務推展：</w:t>
      </w:r>
      <w:r w:rsidRPr="002514B2">
        <w:rPr>
          <w:rFonts w:ascii="標楷體" w:eastAsia="標楷體" w:hAnsi="標楷體" w:hint="eastAsia"/>
          <w:szCs w:val="24"/>
        </w:rPr>
        <w:t>有關部分機關連年以相同事由申請動支第二預備金情形，前經本部於</w:t>
      </w:r>
      <w:r w:rsidRPr="002514B2">
        <w:rPr>
          <w:rFonts w:ascii="標楷體" w:eastAsia="標楷體" w:hAnsi="標楷體"/>
          <w:szCs w:val="24"/>
        </w:rPr>
        <w:t>110年5月18日</w:t>
      </w:r>
      <w:r w:rsidRPr="002514B2">
        <w:rPr>
          <w:rFonts w:ascii="標楷體" w:eastAsia="標楷體" w:hAnsi="標楷體" w:hint="eastAsia"/>
          <w:szCs w:val="24"/>
        </w:rPr>
        <w:t>函請行政院督促相關機關檢討改善，據復：將持續督導各機關精進預算編製作業，對於經常動支第二預備金項目，將視實際情形酌予寬列經費，並要求確實納編，</w:t>
      </w:r>
      <w:proofErr w:type="gramStart"/>
      <w:r w:rsidRPr="002514B2">
        <w:rPr>
          <w:rFonts w:ascii="標楷體" w:eastAsia="標楷體" w:hAnsi="標楷體" w:hint="eastAsia"/>
          <w:szCs w:val="24"/>
        </w:rPr>
        <w:t>俾</w:t>
      </w:r>
      <w:proofErr w:type="gramEnd"/>
      <w:r w:rsidRPr="002514B2">
        <w:rPr>
          <w:rFonts w:ascii="標楷體" w:eastAsia="標楷體" w:hAnsi="標楷體" w:hint="eastAsia"/>
          <w:szCs w:val="24"/>
        </w:rPr>
        <w:t>預算編列與執行更緊密扣合；另將從嚴審核各機關動支第二預備金項目，避免連年以相同事由動支第二預備金情形發生等。經查</w:t>
      </w:r>
      <w:r w:rsidR="00520951">
        <w:rPr>
          <w:rFonts w:ascii="標楷體" w:eastAsia="標楷體" w:hAnsi="標楷體" w:hint="eastAsia"/>
          <w:szCs w:val="24"/>
        </w:rPr>
        <w:t>，</w:t>
      </w:r>
      <w:proofErr w:type="gramStart"/>
      <w:r w:rsidRPr="002514B2">
        <w:rPr>
          <w:rFonts w:ascii="標楷體" w:eastAsia="標楷體" w:hAnsi="標楷體" w:hint="eastAsia"/>
          <w:szCs w:val="24"/>
        </w:rPr>
        <w:t>113</w:t>
      </w:r>
      <w:proofErr w:type="gramEnd"/>
      <w:r w:rsidRPr="002514B2">
        <w:rPr>
          <w:rFonts w:ascii="標楷體" w:eastAsia="標楷體" w:hAnsi="標楷體" w:hint="eastAsia"/>
          <w:szCs w:val="24"/>
        </w:rPr>
        <w:t>年度各機關申請動支第二預備金事由，核有國家通訊傳播委員會、法務部、文化部、海洋委員會海巡署、內政部消防署</w:t>
      </w:r>
      <w:r w:rsidR="00753B4D">
        <w:rPr>
          <w:rFonts w:ascii="標楷體" w:eastAsia="標楷體" w:hAnsi="標楷體" w:hint="eastAsia"/>
          <w:szCs w:val="24"/>
        </w:rPr>
        <w:t>、</w:t>
      </w:r>
      <w:r w:rsidR="00753B4D" w:rsidRPr="002514B2">
        <w:rPr>
          <w:rFonts w:ascii="標楷體" w:eastAsia="標楷體" w:hAnsi="標楷體" w:hint="eastAsia"/>
          <w:szCs w:val="24"/>
        </w:rPr>
        <w:t>財政部</w:t>
      </w:r>
      <w:proofErr w:type="gramStart"/>
      <w:r w:rsidR="00753B4D" w:rsidRPr="002514B2">
        <w:rPr>
          <w:rFonts w:ascii="標楷體" w:eastAsia="標楷體" w:hAnsi="標楷體" w:hint="eastAsia"/>
          <w:szCs w:val="24"/>
        </w:rPr>
        <w:t>臺</w:t>
      </w:r>
      <w:proofErr w:type="gramEnd"/>
      <w:r w:rsidR="00753B4D" w:rsidRPr="002514B2">
        <w:rPr>
          <w:rFonts w:ascii="標楷體" w:eastAsia="標楷體" w:hAnsi="標楷體" w:hint="eastAsia"/>
          <w:szCs w:val="24"/>
        </w:rPr>
        <w:t>北國稅局</w:t>
      </w:r>
      <w:r w:rsidRPr="002514B2">
        <w:rPr>
          <w:rFonts w:ascii="標楷體" w:eastAsia="標楷體" w:hAnsi="標楷體" w:hint="eastAsia"/>
          <w:szCs w:val="24"/>
        </w:rPr>
        <w:t>及國有財產署等機關，近</w:t>
      </w:r>
      <w:proofErr w:type="gramStart"/>
      <w:r w:rsidRPr="002514B2">
        <w:rPr>
          <w:rFonts w:ascii="標楷體" w:eastAsia="標楷體" w:hAnsi="標楷體" w:hint="eastAsia"/>
          <w:szCs w:val="24"/>
        </w:rPr>
        <w:t>3</w:t>
      </w:r>
      <w:proofErr w:type="gramEnd"/>
      <w:r w:rsidRPr="002514B2">
        <w:rPr>
          <w:rFonts w:ascii="標楷體" w:eastAsia="標楷體" w:hAnsi="標楷體" w:hint="eastAsia"/>
          <w:szCs w:val="24"/>
        </w:rPr>
        <w:t>年度（111至113年度）以相同事由依預算法第70條第2款或第3款申請動支第二預備金情事</w:t>
      </w:r>
      <w:r w:rsidR="00A760EC" w:rsidRPr="002514B2">
        <w:rPr>
          <w:rFonts w:ascii="標楷體" w:eastAsia="標楷體" w:hAnsi="標楷體" w:hint="eastAsia"/>
          <w:szCs w:val="24"/>
        </w:rPr>
        <w:t>（</w:t>
      </w:r>
      <w:r w:rsidRPr="002514B2">
        <w:rPr>
          <w:rFonts w:ascii="標楷體" w:eastAsia="標楷體" w:hAnsi="標楷體" w:hint="eastAsia"/>
          <w:szCs w:val="24"/>
        </w:rPr>
        <w:t>表</w:t>
      </w:r>
      <w:r w:rsidR="00A760EC" w:rsidRPr="002514B2">
        <w:rPr>
          <w:rFonts w:ascii="標楷體" w:eastAsia="標楷體" w:hAnsi="標楷體" w:hint="eastAsia"/>
          <w:szCs w:val="24"/>
        </w:rPr>
        <w:t>4</w:t>
      </w:r>
      <w:r w:rsidR="000532D9">
        <w:rPr>
          <w:rFonts w:ascii="標楷體" w:eastAsia="標楷體" w:hAnsi="標楷體" w:hint="eastAsia"/>
          <w:szCs w:val="24"/>
        </w:rPr>
        <w:t>7</w:t>
      </w:r>
      <w:r w:rsidRPr="002514B2">
        <w:rPr>
          <w:rFonts w:ascii="標楷體" w:eastAsia="標楷體" w:hAnsi="標楷體" w:hint="eastAsia"/>
          <w:szCs w:val="24"/>
        </w:rPr>
        <w:t>）</w:t>
      </w:r>
      <w:r w:rsidRPr="002514B2">
        <w:rPr>
          <w:rFonts w:ascii="標楷體" w:eastAsia="標楷體" w:hAnsi="標楷體" w:hint="eastAsia"/>
          <w:sz w:val="32"/>
          <w:szCs w:val="32"/>
        </w:rPr>
        <w:t>。</w:t>
      </w:r>
      <w:r w:rsidRPr="002514B2">
        <w:rPr>
          <w:rFonts w:ascii="標楷體" w:eastAsia="標楷體" w:hAnsi="標楷體" w:hint="eastAsia"/>
          <w:szCs w:val="24"/>
        </w:rPr>
        <w:t>經函請行政院督促相關機關於編列年度預算時，妥為規劃估算施政所需經費，避免同一計畫或業務預算連年不敷，影響後續業務推展</w:t>
      </w:r>
      <w:r w:rsidRPr="002514B2">
        <w:rPr>
          <w:rFonts w:ascii="標楷體" w:eastAsia="標楷體" w:hAnsi="標楷體"/>
          <w:szCs w:val="24"/>
        </w:rPr>
        <w:t>。</w:t>
      </w:r>
      <w:r w:rsidRPr="00D562F3">
        <w:rPr>
          <w:rFonts w:ascii="標楷體" w:eastAsia="標楷體" w:hAnsi="標楷體" w:hint="eastAsia"/>
          <w:szCs w:val="24"/>
        </w:rPr>
        <w:t>據復：</w:t>
      </w:r>
      <w:r w:rsidR="00D562F3" w:rsidRPr="00D562F3">
        <w:rPr>
          <w:rFonts w:ascii="標楷體" w:eastAsia="標楷體" w:hAnsi="標楷體" w:hint="eastAsia"/>
          <w:szCs w:val="24"/>
        </w:rPr>
        <w:t>將持續督導機關精進預算編製作業，針對經常動支第二預備金之項目，促請審視經費估算單價與數量之妥適性，並確實納編預算，另優先檢討可否由年度預算科目或第一預備金項下支應，以有效控管第二預備金動支頻率，</w:t>
      </w:r>
      <w:proofErr w:type="gramStart"/>
      <w:r w:rsidR="00D562F3" w:rsidRPr="00D562F3">
        <w:rPr>
          <w:rFonts w:ascii="標楷體" w:eastAsia="標楷體" w:hAnsi="標楷體" w:hint="eastAsia"/>
          <w:szCs w:val="24"/>
        </w:rPr>
        <w:t>降低類案連年</w:t>
      </w:r>
      <w:proofErr w:type="gramEnd"/>
      <w:r w:rsidR="00D562F3" w:rsidRPr="00D562F3">
        <w:rPr>
          <w:rFonts w:ascii="標楷體" w:eastAsia="標楷體" w:hAnsi="標楷體" w:hint="eastAsia"/>
          <w:szCs w:val="24"/>
        </w:rPr>
        <w:t>提出之情形。</w:t>
      </w:r>
    </w:p>
    <w:p w14:paraId="72CEDE52" w14:textId="2BCE8C44" w:rsidR="00A15E84" w:rsidRPr="00531336" w:rsidRDefault="00582D22" w:rsidP="0086440D">
      <w:pPr>
        <w:snapToGrid w:val="0"/>
        <w:spacing w:line="430" w:lineRule="atLeast"/>
        <w:ind w:firstLineChars="450" w:firstLine="1081"/>
        <w:jc w:val="both"/>
        <w:rPr>
          <w:rFonts w:ascii="標楷體" w:eastAsia="標楷體" w:hAnsi="標楷體"/>
          <w:spacing w:val="-2"/>
          <w:szCs w:val="24"/>
        </w:rPr>
      </w:pPr>
      <w:r w:rsidRPr="00821D34">
        <w:rPr>
          <w:rFonts w:ascii="標楷體" w:eastAsia="標楷體" w:hAnsi="標楷體"/>
          <w:b/>
          <w:bCs/>
          <w:noProof/>
          <w:spacing w:val="-2"/>
          <w:szCs w:val="24"/>
        </w:rPr>
        <w:lastRenderedPageBreak/>
        <mc:AlternateContent>
          <mc:Choice Requires="wps">
            <w:drawing>
              <wp:anchor distT="45720" distB="45720" distL="114300" distR="114300" simplePos="0" relativeHeight="251695104" behindDoc="0" locked="0" layoutInCell="1" allowOverlap="1" wp14:anchorId="6ABC26C7" wp14:editId="46C555BF">
                <wp:simplePos x="0" y="0"/>
                <wp:positionH relativeFrom="column">
                  <wp:posOffset>2581275</wp:posOffset>
                </wp:positionH>
                <wp:positionV relativeFrom="paragraph">
                  <wp:posOffset>5531485</wp:posOffset>
                </wp:positionV>
                <wp:extent cx="3712845" cy="1821815"/>
                <wp:effectExtent l="0" t="0" r="1905" b="6985"/>
                <wp:wrapSquare wrapText="bothSides"/>
                <wp:docPr id="20083270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2845" cy="1821815"/>
                        </a:xfrm>
                        <a:prstGeom prst="rect">
                          <a:avLst/>
                        </a:prstGeom>
                        <a:solidFill>
                          <a:srgbClr val="FFFFFF"/>
                        </a:solidFill>
                        <a:ln w="9525">
                          <a:noFill/>
                          <a:miter lim="800000"/>
                          <a:headEnd/>
                          <a:tailEnd/>
                        </a:ln>
                      </wps:spPr>
                      <wps:txbx>
                        <w:txbxContent>
                          <w:tbl>
                            <w:tblPr>
                              <w:tblStyle w:val="afff"/>
                              <w:tblW w:w="5514" w:type="dxa"/>
                              <w:jc w:val="right"/>
                              <w:tblLayout w:type="fixed"/>
                              <w:tblLook w:val="04A0" w:firstRow="1" w:lastRow="0" w:firstColumn="1" w:lastColumn="0" w:noHBand="0" w:noVBand="1"/>
                            </w:tblPr>
                            <w:tblGrid>
                              <w:gridCol w:w="621"/>
                              <w:gridCol w:w="414"/>
                              <w:gridCol w:w="667"/>
                              <w:gridCol w:w="1082"/>
                              <w:gridCol w:w="1001"/>
                              <w:gridCol w:w="995"/>
                              <w:gridCol w:w="734"/>
                            </w:tblGrid>
                            <w:tr w:rsidR="00582D22" w:rsidRPr="00D14483" w14:paraId="2F79BD67" w14:textId="77777777" w:rsidTr="004E00FB">
                              <w:trPr>
                                <w:trHeight w:val="283"/>
                                <w:jc w:val="right"/>
                              </w:trPr>
                              <w:tc>
                                <w:tcPr>
                                  <w:tcW w:w="5514" w:type="dxa"/>
                                  <w:gridSpan w:val="7"/>
                                  <w:tcBorders>
                                    <w:top w:val="nil"/>
                                    <w:left w:val="nil"/>
                                    <w:bottom w:val="nil"/>
                                    <w:right w:val="nil"/>
                                  </w:tcBorders>
                                </w:tcPr>
                                <w:p w14:paraId="5331904D" w14:textId="77777777" w:rsidR="00582D22" w:rsidRPr="008F4C3D" w:rsidRDefault="00582D22" w:rsidP="008701F0">
                                  <w:pPr>
                                    <w:spacing w:line="280" w:lineRule="exact"/>
                                    <w:jc w:val="center"/>
                                    <w:rPr>
                                      <w:rFonts w:ascii="標楷體" w:eastAsia="標楷體" w:hAnsi="標楷體"/>
                                      <w:b/>
                                      <w:szCs w:val="24"/>
                                    </w:rPr>
                                  </w:pPr>
                                  <w:r w:rsidRPr="008F4C3D">
                                    <w:rPr>
                                      <w:rFonts w:ascii="標楷體" w:eastAsia="標楷體" w:hAnsi="標楷體" w:hint="eastAsia"/>
                                      <w:b/>
                                      <w:szCs w:val="24"/>
                                    </w:rPr>
                                    <w:t>表</w:t>
                                  </w:r>
                                  <w:r>
                                    <w:rPr>
                                      <w:rFonts w:ascii="標楷體" w:eastAsia="標楷體" w:hAnsi="標楷體"/>
                                      <w:b/>
                                      <w:szCs w:val="24"/>
                                    </w:rPr>
                                    <w:t>48</w:t>
                                  </w:r>
                                  <w:r w:rsidRPr="00EC39BD">
                                    <w:rPr>
                                      <w:rFonts w:ascii="標楷體" w:eastAsia="標楷體" w:hAnsi="標楷體" w:hint="eastAsia"/>
                                      <w:b/>
                                      <w:spacing w:val="-6"/>
                                    </w:rPr>
                                    <w:t xml:space="preserve">　</w:t>
                                  </w:r>
                                  <w:r w:rsidRPr="008F4C3D">
                                    <w:rPr>
                                      <w:rFonts w:ascii="標楷體" w:eastAsia="標楷體" w:hAnsi="標楷體" w:hint="eastAsia"/>
                                      <w:b/>
                                      <w:szCs w:val="24"/>
                                    </w:rPr>
                                    <w:t>11</w:t>
                                  </w:r>
                                  <w:r>
                                    <w:rPr>
                                      <w:rFonts w:ascii="標楷體" w:eastAsia="標楷體" w:hAnsi="標楷體"/>
                                      <w:b/>
                                      <w:szCs w:val="24"/>
                                    </w:rPr>
                                    <w:t>1</w:t>
                                  </w:r>
                                  <w:r w:rsidRPr="008F4C3D">
                                    <w:rPr>
                                      <w:rFonts w:ascii="標楷體" w:eastAsia="標楷體" w:hAnsi="標楷體" w:hint="eastAsia"/>
                                      <w:b/>
                                      <w:szCs w:val="24"/>
                                    </w:rPr>
                                    <w:t>至</w:t>
                                  </w:r>
                                  <w:r>
                                    <w:rPr>
                                      <w:rFonts w:ascii="標楷體" w:eastAsia="標楷體" w:hAnsi="標楷體" w:hint="eastAsia"/>
                                      <w:b/>
                                      <w:szCs w:val="24"/>
                                    </w:rPr>
                                    <w:t>11</w:t>
                                  </w:r>
                                  <w:r>
                                    <w:rPr>
                                      <w:rFonts w:ascii="標楷體" w:eastAsia="標楷體" w:hAnsi="標楷體"/>
                                      <w:b/>
                                      <w:szCs w:val="24"/>
                                    </w:rPr>
                                    <w:t>3</w:t>
                                  </w:r>
                                  <w:r w:rsidRPr="008F4C3D">
                                    <w:rPr>
                                      <w:rFonts w:ascii="標楷體" w:eastAsia="標楷體" w:hAnsi="標楷體" w:hint="eastAsia"/>
                                      <w:b/>
                                      <w:szCs w:val="24"/>
                                    </w:rPr>
                                    <w:t>年度第二預備金</w:t>
                                  </w:r>
                                  <w:r>
                                    <w:rPr>
                                      <w:rFonts w:ascii="標楷體" w:eastAsia="標楷體" w:hAnsi="標楷體" w:hint="eastAsia"/>
                                      <w:b/>
                                      <w:szCs w:val="24"/>
                                    </w:rPr>
                                    <w:t>執行</w:t>
                                  </w:r>
                                  <w:r w:rsidRPr="008F4C3D">
                                    <w:rPr>
                                      <w:rFonts w:ascii="標楷體" w:eastAsia="標楷體" w:hAnsi="標楷體" w:hint="eastAsia"/>
                                      <w:b/>
                                      <w:szCs w:val="24"/>
                                    </w:rPr>
                                    <w:t>情形</w:t>
                                  </w:r>
                                </w:p>
                              </w:tc>
                            </w:tr>
                            <w:tr w:rsidR="00582D22" w:rsidRPr="00D14483" w14:paraId="72A058B0" w14:textId="77777777" w:rsidTr="004E00FB">
                              <w:trPr>
                                <w:trHeight w:val="312"/>
                                <w:jc w:val="right"/>
                              </w:trPr>
                              <w:tc>
                                <w:tcPr>
                                  <w:tcW w:w="1035" w:type="dxa"/>
                                  <w:gridSpan w:val="2"/>
                                  <w:tcBorders>
                                    <w:top w:val="nil"/>
                                    <w:left w:val="nil"/>
                                    <w:bottom w:val="single" w:sz="4" w:space="0" w:color="auto"/>
                                    <w:right w:val="nil"/>
                                  </w:tcBorders>
                                </w:tcPr>
                                <w:p w14:paraId="6C63F3AE" w14:textId="77777777" w:rsidR="00582D22" w:rsidRPr="00D14483" w:rsidRDefault="00582D22" w:rsidP="006F06C8">
                                  <w:pPr>
                                    <w:spacing w:line="280" w:lineRule="exact"/>
                                    <w:ind w:rightChars="-37" w:right="-89"/>
                                    <w:jc w:val="right"/>
                                    <w:rPr>
                                      <w:rFonts w:ascii="標楷體" w:eastAsia="標楷體" w:hAnsi="標楷體"/>
                                      <w:sz w:val="20"/>
                                    </w:rPr>
                                  </w:pPr>
                                </w:p>
                              </w:tc>
                              <w:tc>
                                <w:tcPr>
                                  <w:tcW w:w="4479" w:type="dxa"/>
                                  <w:gridSpan w:val="5"/>
                                  <w:tcBorders>
                                    <w:top w:val="nil"/>
                                    <w:left w:val="nil"/>
                                    <w:bottom w:val="single" w:sz="4" w:space="0" w:color="auto"/>
                                    <w:right w:val="nil"/>
                                  </w:tcBorders>
                                  <w:vAlign w:val="center"/>
                                </w:tcPr>
                                <w:p w14:paraId="51883D31" w14:textId="77777777" w:rsidR="00582D22" w:rsidRPr="00D14483" w:rsidRDefault="00582D22" w:rsidP="006F06C8">
                                  <w:pPr>
                                    <w:spacing w:line="280" w:lineRule="exact"/>
                                    <w:ind w:rightChars="-37" w:right="-89"/>
                                    <w:jc w:val="right"/>
                                    <w:rPr>
                                      <w:rFonts w:ascii="標楷體" w:eastAsia="標楷體" w:hAnsi="標楷體"/>
                                      <w:sz w:val="20"/>
                                    </w:rPr>
                                  </w:pPr>
                                  <w:r w:rsidRPr="00D14483">
                                    <w:rPr>
                                      <w:rFonts w:ascii="標楷體" w:eastAsia="標楷體" w:hAnsi="標楷體" w:hint="eastAsia"/>
                                      <w:sz w:val="20"/>
                                    </w:rPr>
                                    <w:t>單位：新臺幣</w:t>
                                  </w:r>
                                  <w:r>
                                    <w:rPr>
                                      <w:rFonts w:ascii="標楷體" w:eastAsia="標楷體" w:hAnsi="標楷體" w:hint="eastAsia"/>
                                      <w:sz w:val="20"/>
                                    </w:rPr>
                                    <w:t>千</w:t>
                                  </w:r>
                                  <w:r w:rsidRPr="00D14483">
                                    <w:rPr>
                                      <w:rFonts w:ascii="標楷體" w:eastAsia="標楷體" w:hAnsi="標楷體" w:hint="eastAsia"/>
                                      <w:sz w:val="20"/>
                                    </w:rPr>
                                    <w:t>元</w:t>
                                  </w:r>
                                </w:p>
                              </w:tc>
                            </w:tr>
                            <w:tr w:rsidR="00582D22" w:rsidRPr="00D14483" w14:paraId="6E399E3E" w14:textId="77777777" w:rsidTr="004E00FB">
                              <w:trPr>
                                <w:trHeight w:val="397"/>
                                <w:jc w:val="right"/>
                              </w:trPr>
                              <w:tc>
                                <w:tcPr>
                                  <w:tcW w:w="621" w:type="dxa"/>
                                  <w:vMerge w:val="restart"/>
                                  <w:tcBorders>
                                    <w:top w:val="single" w:sz="4" w:space="0" w:color="auto"/>
                                  </w:tcBorders>
                                  <w:vAlign w:val="center"/>
                                </w:tcPr>
                                <w:p w14:paraId="0C775A9E" w14:textId="77777777" w:rsidR="00582D22" w:rsidRPr="008F4C3D" w:rsidRDefault="00582D22" w:rsidP="006F06C8">
                                  <w:pPr>
                                    <w:spacing w:line="240" w:lineRule="exact"/>
                                    <w:jc w:val="center"/>
                                    <w:rPr>
                                      <w:rFonts w:ascii="標楷體" w:eastAsia="標楷體" w:hAnsi="標楷體"/>
                                      <w:sz w:val="20"/>
                                    </w:rPr>
                                  </w:pPr>
                                  <w:r w:rsidRPr="008F4C3D">
                                    <w:rPr>
                                      <w:rFonts w:ascii="標楷體" w:eastAsia="標楷體" w:hAnsi="標楷體" w:hint="eastAsia"/>
                                      <w:sz w:val="20"/>
                                    </w:rPr>
                                    <w:t>年度</w:t>
                                  </w:r>
                                </w:p>
                              </w:tc>
                              <w:tc>
                                <w:tcPr>
                                  <w:tcW w:w="1081" w:type="dxa"/>
                                  <w:gridSpan w:val="2"/>
                                  <w:vMerge w:val="restart"/>
                                  <w:tcBorders>
                                    <w:top w:val="single" w:sz="4" w:space="0" w:color="auto"/>
                                  </w:tcBorders>
                                  <w:vAlign w:val="center"/>
                                </w:tcPr>
                                <w:p w14:paraId="59DC0A7B" w14:textId="77777777" w:rsidR="00582D22" w:rsidRPr="008F4C3D" w:rsidRDefault="00582D22" w:rsidP="006F06C8">
                                  <w:pPr>
                                    <w:spacing w:line="240" w:lineRule="exact"/>
                                    <w:jc w:val="center"/>
                                    <w:rPr>
                                      <w:rFonts w:ascii="標楷體" w:eastAsia="標楷體" w:hAnsi="標楷體"/>
                                      <w:sz w:val="20"/>
                                    </w:rPr>
                                  </w:pPr>
                                  <w:proofErr w:type="gramStart"/>
                                  <w:r w:rsidRPr="008F4C3D">
                                    <w:rPr>
                                      <w:rFonts w:ascii="標楷體" w:eastAsia="標楷體" w:hAnsi="標楷體" w:hint="eastAsia"/>
                                      <w:sz w:val="20"/>
                                    </w:rPr>
                                    <w:t>動支數</w:t>
                                  </w:r>
                                  <w:proofErr w:type="gramEnd"/>
                                </w:p>
                              </w:tc>
                              <w:tc>
                                <w:tcPr>
                                  <w:tcW w:w="1082" w:type="dxa"/>
                                  <w:vMerge w:val="restart"/>
                                  <w:tcBorders>
                                    <w:top w:val="single" w:sz="4" w:space="0" w:color="auto"/>
                                  </w:tcBorders>
                                  <w:vAlign w:val="center"/>
                                </w:tcPr>
                                <w:p w14:paraId="698AFB87"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實現數</w:t>
                                  </w:r>
                                </w:p>
                              </w:tc>
                              <w:tc>
                                <w:tcPr>
                                  <w:tcW w:w="1001" w:type="dxa"/>
                                  <w:vMerge w:val="restart"/>
                                  <w:tcBorders>
                                    <w:top w:val="single" w:sz="4" w:space="0" w:color="auto"/>
                                  </w:tcBorders>
                                  <w:vAlign w:val="center"/>
                                </w:tcPr>
                                <w:p w14:paraId="13E06AFF"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賸餘數</w:t>
                                  </w:r>
                                </w:p>
                              </w:tc>
                              <w:tc>
                                <w:tcPr>
                                  <w:tcW w:w="1729" w:type="dxa"/>
                                  <w:gridSpan w:val="2"/>
                                  <w:tcBorders>
                                    <w:top w:val="single" w:sz="4" w:space="0" w:color="auto"/>
                                  </w:tcBorders>
                                  <w:vAlign w:val="center"/>
                                </w:tcPr>
                                <w:p w14:paraId="23758344"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應付保留</w:t>
                                  </w:r>
                                  <w:r w:rsidRPr="008F4C3D">
                                    <w:rPr>
                                      <w:rFonts w:ascii="標楷體" w:eastAsia="標楷體" w:hAnsi="標楷體" w:hint="eastAsia"/>
                                      <w:sz w:val="20"/>
                                    </w:rPr>
                                    <w:t>數</w:t>
                                  </w:r>
                                </w:p>
                              </w:tc>
                            </w:tr>
                            <w:tr w:rsidR="00582D22" w:rsidRPr="00D14483" w14:paraId="601F2001" w14:textId="77777777" w:rsidTr="004E00FB">
                              <w:trPr>
                                <w:trHeight w:val="397"/>
                                <w:jc w:val="right"/>
                              </w:trPr>
                              <w:tc>
                                <w:tcPr>
                                  <w:tcW w:w="621" w:type="dxa"/>
                                  <w:vMerge/>
                                  <w:vAlign w:val="center"/>
                                </w:tcPr>
                                <w:p w14:paraId="3378A8DC" w14:textId="77777777" w:rsidR="00582D22" w:rsidRPr="008F4C3D" w:rsidRDefault="00582D22" w:rsidP="006F06C8">
                                  <w:pPr>
                                    <w:spacing w:line="240" w:lineRule="exact"/>
                                    <w:jc w:val="center"/>
                                    <w:rPr>
                                      <w:rFonts w:ascii="標楷體" w:eastAsia="標楷體" w:hAnsi="標楷體"/>
                                      <w:sz w:val="20"/>
                                    </w:rPr>
                                  </w:pPr>
                                </w:p>
                              </w:tc>
                              <w:tc>
                                <w:tcPr>
                                  <w:tcW w:w="1081" w:type="dxa"/>
                                  <w:gridSpan w:val="2"/>
                                  <w:vMerge/>
                                  <w:vAlign w:val="center"/>
                                </w:tcPr>
                                <w:p w14:paraId="36F2CEF9" w14:textId="77777777" w:rsidR="00582D22" w:rsidRPr="008F4C3D" w:rsidRDefault="00582D22" w:rsidP="006F06C8">
                                  <w:pPr>
                                    <w:spacing w:line="240" w:lineRule="exact"/>
                                    <w:jc w:val="right"/>
                                    <w:rPr>
                                      <w:rFonts w:ascii="標楷體" w:eastAsia="標楷體" w:hAnsi="標楷體"/>
                                      <w:noProof/>
                                      <w:spacing w:val="-10"/>
                                      <w:sz w:val="20"/>
                                    </w:rPr>
                                  </w:pPr>
                                </w:p>
                              </w:tc>
                              <w:tc>
                                <w:tcPr>
                                  <w:tcW w:w="1082" w:type="dxa"/>
                                  <w:vMerge/>
                                  <w:vAlign w:val="center"/>
                                </w:tcPr>
                                <w:p w14:paraId="1BFAF223" w14:textId="77777777" w:rsidR="00582D22" w:rsidRPr="008F4C3D" w:rsidRDefault="00582D22" w:rsidP="006F06C8">
                                  <w:pPr>
                                    <w:spacing w:line="240" w:lineRule="exact"/>
                                    <w:jc w:val="center"/>
                                    <w:rPr>
                                      <w:rFonts w:ascii="標楷體" w:eastAsia="標楷體" w:hAnsi="標楷體"/>
                                      <w:noProof/>
                                      <w:spacing w:val="-10"/>
                                      <w:sz w:val="20"/>
                                    </w:rPr>
                                  </w:pPr>
                                </w:p>
                              </w:tc>
                              <w:tc>
                                <w:tcPr>
                                  <w:tcW w:w="1001" w:type="dxa"/>
                                  <w:vMerge/>
                                  <w:vAlign w:val="center"/>
                                </w:tcPr>
                                <w:p w14:paraId="0527EDBA" w14:textId="77777777" w:rsidR="00582D22" w:rsidRPr="008F4C3D" w:rsidRDefault="00582D22" w:rsidP="006F06C8">
                                  <w:pPr>
                                    <w:spacing w:line="240" w:lineRule="exact"/>
                                    <w:jc w:val="center"/>
                                    <w:rPr>
                                      <w:rFonts w:ascii="標楷體" w:eastAsia="標楷體" w:hAnsi="標楷體"/>
                                      <w:noProof/>
                                      <w:spacing w:val="-10"/>
                                      <w:sz w:val="20"/>
                                    </w:rPr>
                                  </w:pPr>
                                </w:p>
                              </w:tc>
                              <w:tc>
                                <w:tcPr>
                                  <w:tcW w:w="995" w:type="dxa"/>
                                  <w:vAlign w:val="center"/>
                                </w:tcPr>
                                <w:p w14:paraId="67D7B735" w14:textId="77777777" w:rsidR="00582D22" w:rsidRPr="008F4C3D" w:rsidRDefault="00582D22" w:rsidP="006F06C8">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34" w:type="dxa"/>
                                  <w:vAlign w:val="center"/>
                                </w:tcPr>
                                <w:p w14:paraId="599C66C3" w14:textId="77777777" w:rsidR="00582D22" w:rsidRPr="008F4C3D" w:rsidRDefault="00582D22" w:rsidP="006F06C8">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r>
                            <w:tr w:rsidR="00582D22" w:rsidRPr="00D14483" w14:paraId="6C78F1AA" w14:textId="77777777" w:rsidTr="00BE0435">
                              <w:trPr>
                                <w:trHeight w:val="340"/>
                                <w:jc w:val="right"/>
                              </w:trPr>
                              <w:tc>
                                <w:tcPr>
                                  <w:tcW w:w="621" w:type="dxa"/>
                                  <w:vAlign w:val="center"/>
                                </w:tcPr>
                                <w:p w14:paraId="251BA60C"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113</w:t>
                                  </w:r>
                                </w:p>
                              </w:tc>
                              <w:tc>
                                <w:tcPr>
                                  <w:tcW w:w="1081" w:type="dxa"/>
                                  <w:gridSpan w:val="2"/>
                                  <w:vAlign w:val="center"/>
                                </w:tcPr>
                                <w:p w14:paraId="30BDF27A"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7,332,149</w:t>
                                  </w:r>
                                </w:p>
                              </w:tc>
                              <w:tc>
                                <w:tcPr>
                                  <w:tcW w:w="1082" w:type="dxa"/>
                                  <w:vAlign w:val="center"/>
                                </w:tcPr>
                                <w:p w14:paraId="020BFD2E" w14:textId="77777777" w:rsidR="00582D22"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6,405,692</w:t>
                                  </w:r>
                                </w:p>
                              </w:tc>
                              <w:tc>
                                <w:tcPr>
                                  <w:tcW w:w="1001" w:type="dxa"/>
                                  <w:vAlign w:val="center"/>
                                </w:tcPr>
                                <w:p w14:paraId="20FC6C6F" w14:textId="77777777" w:rsidR="00582D22" w:rsidRPr="005303A0" w:rsidRDefault="00582D22" w:rsidP="005303A0">
                                  <w:pPr>
                                    <w:spacing w:line="240" w:lineRule="exact"/>
                                    <w:jc w:val="right"/>
                                    <w:rPr>
                                      <w:rFonts w:ascii="標楷體" w:eastAsia="標楷體" w:hAnsi="標楷體"/>
                                      <w:noProof/>
                                      <w:spacing w:val="-10"/>
                                      <w:sz w:val="20"/>
                                    </w:rPr>
                                  </w:pPr>
                                  <w:r w:rsidRPr="005303A0">
                                    <w:rPr>
                                      <w:rFonts w:ascii="標楷體" w:eastAsia="標楷體" w:hAnsi="標楷體" w:hint="eastAsia"/>
                                      <w:noProof/>
                                      <w:spacing w:val="-10"/>
                                      <w:sz w:val="20"/>
                                    </w:rPr>
                                    <w:t>18</w:t>
                                  </w:r>
                                  <w:r w:rsidRPr="005303A0">
                                    <w:rPr>
                                      <w:rFonts w:ascii="標楷體" w:eastAsia="標楷體" w:hAnsi="標楷體"/>
                                      <w:noProof/>
                                      <w:spacing w:val="-10"/>
                                      <w:sz w:val="20"/>
                                    </w:rPr>
                                    <w:t>7,783</w:t>
                                  </w:r>
                                </w:p>
                              </w:tc>
                              <w:tc>
                                <w:tcPr>
                                  <w:tcW w:w="995" w:type="dxa"/>
                                  <w:vAlign w:val="center"/>
                                </w:tcPr>
                                <w:p w14:paraId="0ED8A3F0" w14:textId="77777777" w:rsidR="00582D22" w:rsidRPr="00356ABF" w:rsidRDefault="00582D22" w:rsidP="006F06C8">
                                  <w:pPr>
                                    <w:spacing w:line="240" w:lineRule="exact"/>
                                    <w:jc w:val="right"/>
                                    <w:rPr>
                                      <w:rFonts w:ascii="標楷體" w:eastAsia="標楷體" w:hAnsi="標楷體"/>
                                      <w:noProof/>
                                      <w:color w:val="FF0000"/>
                                      <w:spacing w:val="-10"/>
                                      <w:sz w:val="20"/>
                                    </w:rPr>
                                  </w:pPr>
                                  <w:r w:rsidRPr="005303A0">
                                    <w:rPr>
                                      <w:rFonts w:ascii="標楷體" w:eastAsia="標楷體" w:hAnsi="標楷體" w:hint="eastAsia"/>
                                      <w:noProof/>
                                      <w:spacing w:val="-10"/>
                                      <w:sz w:val="20"/>
                                    </w:rPr>
                                    <w:t>738</w:t>
                                  </w:r>
                                  <w:r w:rsidRPr="005303A0">
                                    <w:rPr>
                                      <w:rFonts w:ascii="標楷體" w:eastAsia="標楷體" w:hAnsi="標楷體"/>
                                      <w:noProof/>
                                      <w:spacing w:val="-10"/>
                                      <w:sz w:val="20"/>
                                    </w:rPr>
                                    <w:t>,</w:t>
                                  </w:r>
                                  <w:r w:rsidRPr="005303A0">
                                    <w:rPr>
                                      <w:rFonts w:ascii="標楷體" w:eastAsia="標楷體" w:hAnsi="標楷體" w:hint="eastAsia"/>
                                      <w:noProof/>
                                      <w:spacing w:val="-10"/>
                                      <w:sz w:val="20"/>
                                    </w:rPr>
                                    <w:t>674</w:t>
                                  </w:r>
                                </w:p>
                              </w:tc>
                              <w:tc>
                                <w:tcPr>
                                  <w:tcW w:w="734" w:type="dxa"/>
                                  <w:vAlign w:val="center"/>
                                </w:tcPr>
                                <w:p w14:paraId="2815EEDA" w14:textId="77777777" w:rsidR="00582D22"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10.07</w:t>
                                  </w:r>
                                </w:p>
                              </w:tc>
                            </w:tr>
                            <w:tr w:rsidR="00582D22" w:rsidRPr="00D14483" w14:paraId="3680873C" w14:textId="77777777" w:rsidTr="00BE0435">
                              <w:trPr>
                                <w:trHeight w:val="340"/>
                                <w:jc w:val="right"/>
                              </w:trPr>
                              <w:tc>
                                <w:tcPr>
                                  <w:tcW w:w="621" w:type="dxa"/>
                                  <w:vAlign w:val="center"/>
                                </w:tcPr>
                                <w:p w14:paraId="76DC0A1B" w14:textId="77777777" w:rsidR="00582D22" w:rsidRPr="008F4C3D" w:rsidRDefault="00582D22" w:rsidP="00356ABF">
                                  <w:pPr>
                                    <w:spacing w:line="240" w:lineRule="exact"/>
                                    <w:jc w:val="center"/>
                                    <w:rPr>
                                      <w:rFonts w:ascii="標楷體" w:eastAsia="標楷體" w:hAnsi="標楷體"/>
                                      <w:sz w:val="20"/>
                                    </w:rPr>
                                  </w:pPr>
                                  <w:r w:rsidRPr="008F4C3D">
                                    <w:rPr>
                                      <w:rFonts w:ascii="標楷體" w:eastAsia="標楷體" w:hAnsi="標楷體" w:hint="eastAsia"/>
                                      <w:sz w:val="20"/>
                                    </w:rPr>
                                    <w:t>112</w:t>
                                  </w:r>
                                </w:p>
                              </w:tc>
                              <w:tc>
                                <w:tcPr>
                                  <w:tcW w:w="1081" w:type="dxa"/>
                                  <w:gridSpan w:val="2"/>
                                  <w:vAlign w:val="center"/>
                                </w:tcPr>
                                <w:p w14:paraId="727C97AE" w14:textId="77777777" w:rsidR="00582D22" w:rsidRPr="008F4C3D" w:rsidRDefault="00582D22" w:rsidP="00356ABF">
                                  <w:pPr>
                                    <w:spacing w:line="240" w:lineRule="exact"/>
                                    <w:jc w:val="right"/>
                                    <w:rPr>
                                      <w:rFonts w:ascii="標楷體" w:eastAsia="標楷體" w:hAnsi="標楷體"/>
                                      <w:noProof/>
                                      <w:spacing w:val="-10"/>
                                      <w:sz w:val="20"/>
                                    </w:rPr>
                                  </w:pPr>
                                  <w:r w:rsidRPr="008F4C3D">
                                    <w:rPr>
                                      <w:rFonts w:ascii="標楷體" w:eastAsia="標楷體" w:hAnsi="標楷體" w:hint="eastAsia"/>
                                      <w:noProof/>
                                      <w:spacing w:val="-10"/>
                                      <w:sz w:val="20"/>
                                    </w:rPr>
                                    <w:t>7,328,843</w:t>
                                  </w:r>
                                </w:p>
                              </w:tc>
                              <w:tc>
                                <w:tcPr>
                                  <w:tcW w:w="1082" w:type="dxa"/>
                                  <w:vAlign w:val="center"/>
                                </w:tcPr>
                                <w:p w14:paraId="30D3E161"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6,964,691</w:t>
                                  </w:r>
                                </w:p>
                              </w:tc>
                              <w:tc>
                                <w:tcPr>
                                  <w:tcW w:w="1001" w:type="dxa"/>
                                  <w:vAlign w:val="center"/>
                                </w:tcPr>
                                <w:p w14:paraId="4B7A00C2"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70</w:t>
                                  </w:r>
                                  <w:r>
                                    <w:rPr>
                                      <w:rFonts w:ascii="標楷體" w:eastAsia="標楷體" w:hAnsi="標楷體"/>
                                      <w:noProof/>
                                      <w:spacing w:val="-10"/>
                                      <w:sz w:val="20"/>
                                    </w:rPr>
                                    <w:t>,</w:t>
                                  </w:r>
                                  <w:r>
                                    <w:rPr>
                                      <w:rFonts w:ascii="標楷體" w:eastAsia="標楷體" w:hAnsi="標楷體" w:hint="eastAsia"/>
                                      <w:noProof/>
                                      <w:spacing w:val="-10"/>
                                      <w:sz w:val="20"/>
                                    </w:rPr>
                                    <w:t>046</w:t>
                                  </w:r>
                                </w:p>
                              </w:tc>
                              <w:tc>
                                <w:tcPr>
                                  <w:tcW w:w="995" w:type="dxa"/>
                                  <w:vAlign w:val="center"/>
                                </w:tcPr>
                                <w:p w14:paraId="227BE6FF"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noProof/>
                                      <w:spacing w:val="-10"/>
                                      <w:sz w:val="20"/>
                                    </w:rPr>
                                    <w:t>294,105</w:t>
                                  </w:r>
                                </w:p>
                              </w:tc>
                              <w:tc>
                                <w:tcPr>
                                  <w:tcW w:w="734" w:type="dxa"/>
                                  <w:vAlign w:val="center"/>
                                </w:tcPr>
                                <w:p w14:paraId="06599A49"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hint="eastAsia"/>
                                      <w:sz w:val="20"/>
                                    </w:rPr>
                                    <w:t>4</w:t>
                                  </w:r>
                                  <w:r>
                                    <w:rPr>
                                      <w:rFonts w:ascii="標楷體" w:eastAsia="標楷體" w:hAnsi="標楷體"/>
                                      <w:sz w:val="20"/>
                                    </w:rPr>
                                    <w:t>.01</w:t>
                                  </w:r>
                                </w:p>
                              </w:tc>
                            </w:tr>
                            <w:tr w:rsidR="00582D22" w:rsidRPr="00D14483" w14:paraId="14361A7A" w14:textId="77777777" w:rsidTr="00BE0435">
                              <w:trPr>
                                <w:trHeight w:val="340"/>
                                <w:jc w:val="right"/>
                              </w:trPr>
                              <w:tc>
                                <w:tcPr>
                                  <w:tcW w:w="621" w:type="dxa"/>
                                  <w:vAlign w:val="center"/>
                                </w:tcPr>
                                <w:p w14:paraId="7BD0E2C8" w14:textId="77777777" w:rsidR="00582D22" w:rsidRPr="008F4C3D" w:rsidRDefault="00582D22" w:rsidP="006F06C8">
                                  <w:pPr>
                                    <w:spacing w:line="240" w:lineRule="exact"/>
                                    <w:jc w:val="center"/>
                                    <w:rPr>
                                      <w:rFonts w:ascii="標楷體" w:eastAsia="標楷體" w:hAnsi="標楷體"/>
                                      <w:sz w:val="20"/>
                                    </w:rPr>
                                  </w:pPr>
                                  <w:r w:rsidRPr="008F4C3D">
                                    <w:rPr>
                                      <w:rFonts w:ascii="標楷體" w:eastAsia="標楷體" w:hAnsi="標楷體" w:hint="eastAsia"/>
                                      <w:sz w:val="20"/>
                                    </w:rPr>
                                    <w:t>111</w:t>
                                  </w:r>
                                </w:p>
                              </w:tc>
                              <w:tc>
                                <w:tcPr>
                                  <w:tcW w:w="1081" w:type="dxa"/>
                                  <w:gridSpan w:val="2"/>
                                  <w:vAlign w:val="center"/>
                                </w:tcPr>
                                <w:p w14:paraId="179918A1" w14:textId="77777777" w:rsidR="00582D22" w:rsidRPr="008F4C3D" w:rsidRDefault="00582D22" w:rsidP="006F06C8">
                                  <w:pPr>
                                    <w:spacing w:line="240" w:lineRule="exact"/>
                                    <w:jc w:val="right"/>
                                    <w:rPr>
                                      <w:rFonts w:ascii="標楷體" w:eastAsia="標楷體" w:hAnsi="標楷體"/>
                                      <w:sz w:val="20"/>
                                    </w:rPr>
                                  </w:pPr>
                                  <w:r w:rsidRPr="008F4C3D">
                                    <w:rPr>
                                      <w:rFonts w:ascii="標楷體" w:eastAsia="標楷體" w:hAnsi="標楷體"/>
                                      <w:noProof/>
                                      <w:spacing w:val="-10"/>
                                      <w:sz w:val="20"/>
                                    </w:rPr>
                                    <w:t>7,158,999</w:t>
                                  </w:r>
                                </w:p>
                              </w:tc>
                              <w:tc>
                                <w:tcPr>
                                  <w:tcW w:w="1082" w:type="dxa"/>
                                  <w:vAlign w:val="center"/>
                                </w:tcPr>
                                <w:p w14:paraId="6752A9A2"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6,544,047</w:t>
                                  </w:r>
                                </w:p>
                              </w:tc>
                              <w:tc>
                                <w:tcPr>
                                  <w:tcW w:w="1001" w:type="dxa"/>
                                  <w:vAlign w:val="center"/>
                                </w:tcPr>
                                <w:p w14:paraId="6942A130"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358</w:t>
                                  </w:r>
                                  <w:r>
                                    <w:rPr>
                                      <w:rFonts w:ascii="標楷體" w:eastAsia="標楷體" w:hAnsi="標楷體"/>
                                      <w:noProof/>
                                      <w:spacing w:val="-10"/>
                                      <w:sz w:val="20"/>
                                    </w:rPr>
                                    <w:t>,</w:t>
                                  </w:r>
                                  <w:r>
                                    <w:rPr>
                                      <w:rFonts w:ascii="標楷體" w:eastAsia="標楷體" w:hAnsi="標楷體" w:hint="eastAsia"/>
                                      <w:noProof/>
                                      <w:spacing w:val="-10"/>
                                      <w:sz w:val="20"/>
                                    </w:rPr>
                                    <w:t>271</w:t>
                                  </w:r>
                                </w:p>
                              </w:tc>
                              <w:tc>
                                <w:tcPr>
                                  <w:tcW w:w="995" w:type="dxa"/>
                                  <w:vAlign w:val="center"/>
                                </w:tcPr>
                                <w:p w14:paraId="3C2E9983"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256</w:t>
                                  </w:r>
                                  <w:r>
                                    <w:rPr>
                                      <w:rFonts w:ascii="標楷體" w:eastAsia="標楷體" w:hAnsi="標楷體"/>
                                      <w:noProof/>
                                      <w:spacing w:val="-10"/>
                                      <w:sz w:val="20"/>
                                    </w:rPr>
                                    <w:t>,</w:t>
                                  </w:r>
                                  <w:r>
                                    <w:rPr>
                                      <w:rFonts w:ascii="標楷體" w:eastAsia="標楷體" w:hAnsi="標楷體" w:hint="eastAsia"/>
                                      <w:noProof/>
                                      <w:spacing w:val="-10"/>
                                      <w:sz w:val="20"/>
                                    </w:rPr>
                                    <w:t>681</w:t>
                                  </w:r>
                                </w:p>
                              </w:tc>
                              <w:tc>
                                <w:tcPr>
                                  <w:tcW w:w="734" w:type="dxa"/>
                                  <w:vAlign w:val="center"/>
                                </w:tcPr>
                                <w:p w14:paraId="62C3FFB8" w14:textId="77777777" w:rsidR="00582D22" w:rsidRPr="008F4C3D" w:rsidRDefault="00582D22" w:rsidP="006F06C8">
                                  <w:pPr>
                                    <w:spacing w:line="240" w:lineRule="exac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.59</w:t>
                                  </w:r>
                                </w:p>
                              </w:tc>
                            </w:tr>
                            <w:tr w:rsidR="00582D22" w:rsidRPr="00D14483" w14:paraId="4407A088" w14:textId="77777777" w:rsidTr="004E00FB">
                              <w:trPr>
                                <w:trHeight w:val="340"/>
                                <w:jc w:val="right"/>
                              </w:trPr>
                              <w:tc>
                                <w:tcPr>
                                  <w:tcW w:w="5514" w:type="dxa"/>
                                  <w:gridSpan w:val="7"/>
                                  <w:tcBorders>
                                    <w:top w:val="single" w:sz="4" w:space="0" w:color="auto"/>
                                    <w:left w:val="nil"/>
                                    <w:bottom w:val="nil"/>
                                    <w:right w:val="nil"/>
                                  </w:tcBorders>
                                </w:tcPr>
                                <w:p w14:paraId="7AA26B9F" w14:textId="77777777" w:rsidR="00582D22" w:rsidRPr="008F4F3A" w:rsidRDefault="00582D22" w:rsidP="00825B27">
                                  <w:pPr>
                                    <w:spacing w:line="240" w:lineRule="exact"/>
                                    <w:ind w:leftChars="-45" w:left="-108"/>
                                    <w:rPr>
                                      <w:rFonts w:ascii="標楷體" w:eastAsia="標楷體" w:hAnsi="標楷體"/>
                                      <w:noProof/>
                                      <w:sz w:val="18"/>
                                      <w:szCs w:val="18"/>
                                    </w:rPr>
                                  </w:pPr>
                                  <w:r w:rsidRPr="008F4F3A">
                                    <w:rPr>
                                      <w:rFonts w:ascii="標楷體" w:eastAsia="標楷體" w:hAnsi="標楷體" w:hint="eastAsia"/>
                                      <w:noProof/>
                                      <w:sz w:val="18"/>
                                      <w:szCs w:val="18"/>
                                    </w:rPr>
                                    <w:t>資料來源</w:t>
                                  </w:r>
                                  <w:r w:rsidRPr="008F4F3A">
                                    <w:rPr>
                                      <w:rFonts w:ascii="標楷體" w:eastAsia="標楷體" w:hAnsi="標楷體"/>
                                      <w:noProof/>
                                      <w:sz w:val="18"/>
                                      <w:szCs w:val="18"/>
                                    </w:rPr>
                                    <w:t>：整理自</w:t>
                                  </w:r>
                                  <w:r>
                                    <w:rPr>
                                      <w:rFonts w:ascii="標楷體" w:eastAsia="標楷體" w:hAnsi="標楷體" w:hint="eastAsia"/>
                                      <w:noProof/>
                                      <w:sz w:val="18"/>
                                      <w:szCs w:val="18"/>
                                    </w:rPr>
                                    <w:t>各機關查填調查表</w:t>
                                  </w:r>
                                  <w:r w:rsidRPr="008F4F3A">
                                    <w:rPr>
                                      <w:rFonts w:ascii="標楷體" w:eastAsia="標楷體" w:hAnsi="標楷體" w:hint="eastAsia"/>
                                      <w:noProof/>
                                      <w:sz w:val="18"/>
                                      <w:szCs w:val="18"/>
                                    </w:rPr>
                                    <w:t>。</w:t>
                                  </w:r>
                                </w:p>
                              </w:tc>
                            </w:tr>
                          </w:tbl>
                          <w:p w14:paraId="73A65F4A" w14:textId="77777777" w:rsidR="00582D22" w:rsidRDefault="00582D22" w:rsidP="00582D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BC26C7" id="_x0000_s1154" type="#_x0000_t202" style="position:absolute;left:0;text-align:left;margin-left:203.25pt;margin-top:435.55pt;width:292.35pt;height:143.4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" stroked="f">
                <v:textbox>
                  <w:txbxContent>
                    <w:tbl>
                      <w:tblPr>
                        <w:tblStyle w:val="afff"/>
                        <w:tblW w:w="5514" w:type="dxa"/>
                        <w:jc w:val="right"/>
                        <w:tblLayout w:type="fixed"/>
                        <w:tblLook w:val="04A0" w:firstRow="1" w:lastRow="0" w:firstColumn="1" w:lastColumn="0" w:noHBand="0" w:noVBand="1"/>
                      </w:tblPr>
                      <w:tblGrid>
                        <w:gridCol w:w="621"/>
                        <w:gridCol w:w="414"/>
                        <w:gridCol w:w="667"/>
                        <w:gridCol w:w="1082"/>
                        <w:gridCol w:w="1001"/>
                        <w:gridCol w:w="995"/>
                        <w:gridCol w:w="734"/>
                      </w:tblGrid>
                      <w:tr w:rsidR="00582D22" w:rsidRPr="00D14483" w14:paraId="2F79BD67" w14:textId="77777777" w:rsidTr="004E00FB">
                        <w:trPr>
                          <w:trHeight w:val="283"/>
                          <w:jc w:val="right"/>
                        </w:trPr>
                        <w:tc>
                          <w:tcPr>
                            <w:tcW w:w="5514" w:type="dxa"/>
                            <w:gridSpan w:val="7"/>
                            <w:tcBorders>
                              <w:top w:val="nil"/>
                              <w:left w:val="nil"/>
                              <w:bottom w:val="nil"/>
                              <w:right w:val="nil"/>
                            </w:tcBorders>
                          </w:tcPr>
                          <w:p w14:paraId="5331904D" w14:textId="77777777" w:rsidR="00582D22" w:rsidRPr="008F4C3D" w:rsidRDefault="00582D22" w:rsidP="008701F0">
                            <w:pPr>
                              <w:spacing w:line="280" w:lineRule="exact"/>
                              <w:jc w:val="center"/>
                              <w:rPr>
                                <w:rFonts w:ascii="標楷體" w:eastAsia="標楷體" w:hAnsi="標楷體"/>
                                <w:b/>
                                <w:szCs w:val="24"/>
                              </w:rPr>
                            </w:pPr>
                            <w:r w:rsidRPr="008F4C3D">
                              <w:rPr>
                                <w:rFonts w:ascii="標楷體" w:eastAsia="標楷體" w:hAnsi="標楷體" w:hint="eastAsia"/>
                                <w:b/>
                                <w:szCs w:val="24"/>
                              </w:rPr>
                              <w:t>表</w:t>
                            </w:r>
                            <w:r>
                              <w:rPr>
                                <w:rFonts w:ascii="標楷體" w:eastAsia="標楷體" w:hAnsi="標楷體"/>
                                <w:b/>
                                <w:szCs w:val="24"/>
                              </w:rPr>
                              <w:t>48</w:t>
                            </w:r>
                            <w:r w:rsidRPr="00EC39BD">
                              <w:rPr>
                                <w:rFonts w:ascii="標楷體" w:eastAsia="標楷體" w:hAnsi="標楷體" w:hint="eastAsia"/>
                                <w:b/>
                                <w:spacing w:val="-6"/>
                              </w:rPr>
                              <w:t xml:space="preserve">　</w:t>
                            </w:r>
                            <w:r w:rsidRPr="008F4C3D">
                              <w:rPr>
                                <w:rFonts w:ascii="標楷體" w:eastAsia="標楷體" w:hAnsi="標楷體" w:hint="eastAsia"/>
                                <w:b/>
                                <w:szCs w:val="24"/>
                              </w:rPr>
                              <w:t>11</w:t>
                            </w:r>
                            <w:r>
                              <w:rPr>
                                <w:rFonts w:ascii="標楷體" w:eastAsia="標楷體" w:hAnsi="標楷體"/>
                                <w:b/>
                                <w:szCs w:val="24"/>
                              </w:rPr>
                              <w:t>1</w:t>
                            </w:r>
                            <w:r w:rsidRPr="008F4C3D">
                              <w:rPr>
                                <w:rFonts w:ascii="標楷體" w:eastAsia="標楷體" w:hAnsi="標楷體" w:hint="eastAsia"/>
                                <w:b/>
                                <w:szCs w:val="24"/>
                              </w:rPr>
                              <w:t>至</w:t>
                            </w:r>
                            <w:r>
                              <w:rPr>
                                <w:rFonts w:ascii="標楷體" w:eastAsia="標楷體" w:hAnsi="標楷體" w:hint="eastAsia"/>
                                <w:b/>
                                <w:szCs w:val="24"/>
                              </w:rPr>
                              <w:t>11</w:t>
                            </w:r>
                            <w:r>
                              <w:rPr>
                                <w:rFonts w:ascii="標楷體" w:eastAsia="標楷體" w:hAnsi="標楷體"/>
                                <w:b/>
                                <w:szCs w:val="24"/>
                              </w:rPr>
                              <w:t>3</w:t>
                            </w:r>
                            <w:r w:rsidRPr="008F4C3D">
                              <w:rPr>
                                <w:rFonts w:ascii="標楷體" w:eastAsia="標楷體" w:hAnsi="標楷體" w:hint="eastAsia"/>
                                <w:b/>
                                <w:szCs w:val="24"/>
                              </w:rPr>
                              <w:t>年度第二預備金</w:t>
                            </w:r>
                            <w:r>
                              <w:rPr>
                                <w:rFonts w:ascii="標楷體" w:eastAsia="標楷體" w:hAnsi="標楷體" w:hint="eastAsia"/>
                                <w:b/>
                                <w:szCs w:val="24"/>
                              </w:rPr>
                              <w:t>執行</w:t>
                            </w:r>
                            <w:r w:rsidRPr="008F4C3D">
                              <w:rPr>
                                <w:rFonts w:ascii="標楷體" w:eastAsia="標楷體" w:hAnsi="標楷體" w:hint="eastAsia"/>
                                <w:b/>
                                <w:szCs w:val="24"/>
                              </w:rPr>
                              <w:t>情形</w:t>
                            </w:r>
                          </w:p>
                        </w:tc>
                      </w:tr>
                      <w:tr w:rsidR="00582D22" w:rsidRPr="00D14483" w14:paraId="72A058B0" w14:textId="77777777" w:rsidTr="004E00FB">
                        <w:trPr>
                          <w:trHeight w:val="312"/>
                          <w:jc w:val="right"/>
                        </w:trPr>
                        <w:tc>
                          <w:tcPr>
                            <w:tcW w:w="1035" w:type="dxa"/>
                            <w:gridSpan w:val="2"/>
                            <w:tcBorders>
                              <w:top w:val="nil"/>
                              <w:left w:val="nil"/>
                              <w:bottom w:val="single" w:sz="4" w:space="0" w:color="auto"/>
                              <w:right w:val="nil"/>
                            </w:tcBorders>
                          </w:tcPr>
                          <w:p w14:paraId="6C63F3AE" w14:textId="77777777" w:rsidR="00582D22" w:rsidRPr="00D14483" w:rsidRDefault="00582D22" w:rsidP="006F06C8">
                            <w:pPr>
                              <w:spacing w:line="280" w:lineRule="exact"/>
                              <w:ind w:rightChars="-37" w:right="-89"/>
                              <w:jc w:val="right"/>
                              <w:rPr>
                                <w:rFonts w:ascii="標楷體" w:eastAsia="標楷體" w:hAnsi="標楷體"/>
                                <w:sz w:val="20"/>
                              </w:rPr>
                            </w:pPr>
                          </w:p>
                        </w:tc>
                        <w:tc>
                          <w:tcPr>
                            <w:tcW w:w="4479" w:type="dxa"/>
                            <w:gridSpan w:val="5"/>
                            <w:tcBorders>
                              <w:top w:val="nil"/>
                              <w:left w:val="nil"/>
                              <w:bottom w:val="single" w:sz="4" w:space="0" w:color="auto"/>
                              <w:right w:val="nil"/>
                            </w:tcBorders>
                            <w:vAlign w:val="center"/>
                          </w:tcPr>
                          <w:p w14:paraId="51883D31" w14:textId="77777777" w:rsidR="00582D22" w:rsidRPr="00D14483" w:rsidRDefault="00582D22" w:rsidP="006F06C8">
                            <w:pPr>
                              <w:spacing w:line="280" w:lineRule="exact"/>
                              <w:ind w:rightChars="-37" w:right="-89"/>
                              <w:jc w:val="right"/>
                              <w:rPr>
                                <w:rFonts w:ascii="標楷體" w:eastAsia="標楷體" w:hAnsi="標楷體"/>
                                <w:sz w:val="20"/>
                              </w:rPr>
                            </w:pPr>
                            <w:r w:rsidRPr="00D14483">
                              <w:rPr>
                                <w:rFonts w:ascii="標楷體" w:eastAsia="標楷體" w:hAnsi="標楷體" w:hint="eastAsia"/>
                                <w:sz w:val="20"/>
                              </w:rPr>
                              <w:t>單位：新臺幣</w:t>
                            </w:r>
                            <w:r>
                              <w:rPr>
                                <w:rFonts w:ascii="標楷體" w:eastAsia="標楷體" w:hAnsi="標楷體" w:hint="eastAsia"/>
                                <w:sz w:val="20"/>
                              </w:rPr>
                              <w:t>千</w:t>
                            </w:r>
                            <w:r w:rsidRPr="00D14483">
                              <w:rPr>
                                <w:rFonts w:ascii="標楷體" w:eastAsia="標楷體" w:hAnsi="標楷體" w:hint="eastAsia"/>
                                <w:sz w:val="20"/>
                              </w:rPr>
                              <w:t>元</w:t>
                            </w:r>
                          </w:p>
                        </w:tc>
                      </w:tr>
                      <w:tr w:rsidR="00582D22" w:rsidRPr="00D14483" w14:paraId="6E399E3E" w14:textId="77777777" w:rsidTr="004E00FB">
                        <w:trPr>
                          <w:trHeight w:val="397"/>
                          <w:jc w:val="right"/>
                        </w:trPr>
                        <w:tc>
                          <w:tcPr>
                            <w:tcW w:w="621" w:type="dxa"/>
                            <w:vMerge w:val="restart"/>
                            <w:tcBorders>
                              <w:top w:val="single" w:sz="4" w:space="0" w:color="auto"/>
                            </w:tcBorders>
                            <w:vAlign w:val="center"/>
                          </w:tcPr>
                          <w:p w14:paraId="0C775A9E" w14:textId="77777777" w:rsidR="00582D22" w:rsidRPr="008F4C3D" w:rsidRDefault="00582D22" w:rsidP="006F06C8">
                            <w:pPr>
                              <w:spacing w:line="240" w:lineRule="exact"/>
                              <w:jc w:val="center"/>
                              <w:rPr>
                                <w:rFonts w:ascii="標楷體" w:eastAsia="標楷體" w:hAnsi="標楷體"/>
                                <w:sz w:val="20"/>
                              </w:rPr>
                            </w:pPr>
                            <w:r w:rsidRPr="008F4C3D">
                              <w:rPr>
                                <w:rFonts w:ascii="標楷體" w:eastAsia="標楷體" w:hAnsi="標楷體" w:hint="eastAsia"/>
                                <w:sz w:val="20"/>
                              </w:rPr>
                              <w:t>年度</w:t>
                            </w:r>
                          </w:p>
                        </w:tc>
                        <w:tc>
                          <w:tcPr>
                            <w:tcW w:w="1081" w:type="dxa"/>
                            <w:gridSpan w:val="2"/>
                            <w:vMerge w:val="restart"/>
                            <w:tcBorders>
                              <w:top w:val="single" w:sz="4" w:space="0" w:color="auto"/>
                            </w:tcBorders>
                            <w:vAlign w:val="center"/>
                          </w:tcPr>
                          <w:p w14:paraId="59DC0A7B" w14:textId="77777777" w:rsidR="00582D22" w:rsidRPr="008F4C3D" w:rsidRDefault="00582D22" w:rsidP="006F06C8">
                            <w:pPr>
                              <w:spacing w:line="240" w:lineRule="exact"/>
                              <w:jc w:val="center"/>
                              <w:rPr>
                                <w:rFonts w:ascii="標楷體" w:eastAsia="標楷體" w:hAnsi="標楷體"/>
                                <w:sz w:val="20"/>
                              </w:rPr>
                            </w:pPr>
                            <w:proofErr w:type="gramStart"/>
                            <w:r w:rsidRPr="008F4C3D">
                              <w:rPr>
                                <w:rFonts w:ascii="標楷體" w:eastAsia="標楷體" w:hAnsi="標楷體" w:hint="eastAsia"/>
                                <w:sz w:val="20"/>
                              </w:rPr>
                              <w:t>動支數</w:t>
                            </w:r>
                            <w:proofErr w:type="gramEnd"/>
                          </w:p>
                        </w:tc>
                        <w:tc>
                          <w:tcPr>
                            <w:tcW w:w="1082" w:type="dxa"/>
                            <w:vMerge w:val="restart"/>
                            <w:tcBorders>
                              <w:top w:val="single" w:sz="4" w:space="0" w:color="auto"/>
                            </w:tcBorders>
                            <w:vAlign w:val="center"/>
                          </w:tcPr>
                          <w:p w14:paraId="698AFB87"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實現數</w:t>
                            </w:r>
                          </w:p>
                        </w:tc>
                        <w:tc>
                          <w:tcPr>
                            <w:tcW w:w="1001" w:type="dxa"/>
                            <w:vMerge w:val="restart"/>
                            <w:tcBorders>
                              <w:top w:val="single" w:sz="4" w:space="0" w:color="auto"/>
                            </w:tcBorders>
                            <w:vAlign w:val="center"/>
                          </w:tcPr>
                          <w:p w14:paraId="13E06AFF"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賸餘數</w:t>
                            </w:r>
                          </w:p>
                        </w:tc>
                        <w:tc>
                          <w:tcPr>
                            <w:tcW w:w="1729" w:type="dxa"/>
                            <w:gridSpan w:val="2"/>
                            <w:tcBorders>
                              <w:top w:val="single" w:sz="4" w:space="0" w:color="auto"/>
                            </w:tcBorders>
                            <w:vAlign w:val="center"/>
                          </w:tcPr>
                          <w:p w14:paraId="23758344"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應付保留</w:t>
                            </w:r>
                            <w:r w:rsidRPr="008F4C3D">
                              <w:rPr>
                                <w:rFonts w:ascii="標楷體" w:eastAsia="標楷體" w:hAnsi="標楷體" w:hint="eastAsia"/>
                                <w:sz w:val="20"/>
                              </w:rPr>
                              <w:t>數</w:t>
                            </w:r>
                          </w:p>
                        </w:tc>
                      </w:tr>
                      <w:tr w:rsidR="00582D22" w:rsidRPr="00D14483" w14:paraId="601F2001" w14:textId="77777777" w:rsidTr="004E00FB">
                        <w:trPr>
                          <w:trHeight w:val="397"/>
                          <w:jc w:val="right"/>
                        </w:trPr>
                        <w:tc>
                          <w:tcPr>
                            <w:tcW w:w="621" w:type="dxa"/>
                            <w:vMerge/>
                            <w:vAlign w:val="center"/>
                          </w:tcPr>
                          <w:p w14:paraId="3378A8DC" w14:textId="77777777" w:rsidR="00582D22" w:rsidRPr="008F4C3D" w:rsidRDefault="00582D22" w:rsidP="006F06C8">
                            <w:pPr>
                              <w:spacing w:line="240" w:lineRule="exact"/>
                              <w:jc w:val="center"/>
                              <w:rPr>
                                <w:rFonts w:ascii="標楷體" w:eastAsia="標楷體" w:hAnsi="標楷體"/>
                                <w:sz w:val="20"/>
                              </w:rPr>
                            </w:pPr>
                          </w:p>
                        </w:tc>
                        <w:tc>
                          <w:tcPr>
                            <w:tcW w:w="1081" w:type="dxa"/>
                            <w:gridSpan w:val="2"/>
                            <w:vMerge/>
                            <w:vAlign w:val="center"/>
                          </w:tcPr>
                          <w:p w14:paraId="36F2CEF9" w14:textId="77777777" w:rsidR="00582D22" w:rsidRPr="008F4C3D" w:rsidRDefault="00582D22" w:rsidP="006F06C8">
                            <w:pPr>
                              <w:spacing w:line="240" w:lineRule="exact"/>
                              <w:jc w:val="right"/>
                              <w:rPr>
                                <w:rFonts w:ascii="標楷體" w:eastAsia="標楷體" w:hAnsi="標楷體"/>
                                <w:noProof/>
                                <w:spacing w:val="-10"/>
                                <w:sz w:val="20"/>
                              </w:rPr>
                            </w:pPr>
                          </w:p>
                        </w:tc>
                        <w:tc>
                          <w:tcPr>
                            <w:tcW w:w="1082" w:type="dxa"/>
                            <w:vMerge/>
                            <w:vAlign w:val="center"/>
                          </w:tcPr>
                          <w:p w14:paraId="1BFAF223" w14:textId="77777777" w:rsidR="00582D22" w:rsidRPr="008F4C3D" w:rsidRDefault="00582D22" w:rsidP="006F06C8">
                            <w:pPr>
                              <w:spacing w:line="240" w:lineRule="exact"/>
                              <w:jc w:val="center"/>
                              <w:rPr>
                                <w:rFonts w:ascii="標楷體" w:eastAsia="標楷體" w:hAnsi="標楷體"/>
                                <w:noProof/>
                                <w:spacing w:val="-10"/>
                                <w:sz w:val="20"/>
                              </w:rPr>
                            </w:pPr>
                          </w:p>
                        </w:tc>
                        <w:tc>
                          <w:tcPr>
                            <w:tcW w:w="1001" w:type="dxa"/>
                            <w:vMerge/>
                            <w:vAlign w:val="center"/>
                          </w:tcPr>
                          <w:p w14:paraId="0527EDBA" w14:textId="77777777" w:rsidR="00582D22" w:rsidRPr="008F4C3D" w:rsidRDefault="00582D22" w:rsidP="006F06C8">
                            <w:pPr>
                              <w:spacing w:line="240" w:lineRule="exact"/>
                              <w:jc w:val="center"/>
                              <w:rPr>
                                <w:rFonts w:ascii="標楷體" w:eastAsia="標楷體" w:hAnsi="標楷體"/>
                                <w:noProof/>
                                <w:spacing w:val="-10"/>
                                <w:sz w:val="20"/>
                              </w:rPr>
                            </w:pPr>
                          </w:p>
                        </w:tc>
                        <w:tc>
                          <w:tcPr>
                            <w:tcW w:w="995" w:type="dxa"/>
                            <w:vAlign w:val="center"/>
                          </w:tcPr>
                          <w:p w14:paraId="67D7B735" w14:textId="77777777" w:rsidR="00582D22" w:rsidRPr="008F4C3D" w:rsidRDefault="00582D22" w:rsidP="006F06C8">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34" w:type="dxa"/>
                            <w:vAlign w:val="center"/>
                          </w:tcPr>
                          <w:p w14:paraId="599C66C3" w14:textId="77777777" w:rsidR="00582D22" w:rsidRPr="008F4C3D" w:rsidRDefault="00582D22" w:rsidP="006F06C8">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r>
                      <w:tr w:rsidR="00582D22" w:rsidRPr="00D14483" w14:paraId="6C78F1AA" w14:textId="77777777" w:rsidTr="00BE0435">
                        <w:trPr>
                          <w:trHeight w:val="340"/>
                          <w:jc w:val="right"/>
                        </w:trPr>
                        <w:tc>
                          <w:tcPr>
                            <w:tcW w:w="621" w:type="dxa"/>
                            <w:vAlign w:val="center"/>
                          </w:tcPr>
                          <w:p w14:paraId="251BA60C" w14:textId="77777777" w:rsidR="00582D22" w:rsidRPr="008F4C3D" w:rsidRDefault="00582D22" w:rsidP="006F06C8">
                            <w:pPr>
                              <w:spacing w:line="240" w:lineRule="exact"/>
                              <w:jc w:val="center"/>
                              <w:rPr>
                                <w:rFonts w:ascii="標楷體" w:eastAsia="標楷體" w:hAnsi="標楷體"/>
                                <w:sz w:val="20"/>
                              </w:rPr>
                            </w:pPr>
                            <w:r>
                              <w:rPr>
                                <w:rFonts w:ascii="標楷體" w:eastAsia="標楷體" w:hAnsi="標楷體" w:hint="eastAsia"/>
                                <w:sz w:val="20"/>
                              </w:rPr>
                              <w:t>113</w:t>
                            </w:r>
                          </w:p>
                        </w:tc>
                        <w:tc>
                          <w:tcPr>
                            <w:tcW w:w="1081" w:type="dxa"/>
                            <w:gridSpan w:val="2"/>
                            <w:vAlign w:val="center"/>
                          </w:tcPr>
                          <w:p w14:paraId="30BDF27A"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7,332,149</w:t>
                            </w:r>
                          </w:p>
                        </w:tc>
                        <w:tc>
                          <w:tcPr>
                            <w:tcW w:w="1082" w:type="dxa"/>
                            <w:vAlign w:val="center"/>
                          </w:tcPr>
                          <w:p w14:paraId="020BFD2E" w14:textId="77777777" w:rsidR="00582D22"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6,405,692</w:t>
                            </w:r>
                          </w:p>
                        </w:tc>
                        <w:tc>
                          <w:tcPr>
                            <w:tcW w:w="1001" w:type="dxa"/>
                            <w:vAlign w:val="center"/>
                          </w:tcPr>
                          <w:p w14:paraId="20FC6C6F" w14:textId="77777777" w:rsidR="00582D22" w:rsidRPr="005303A0" w:rsidRDefault="00582D22" w:rsidP="005303A0">
                            <w:pPr>
                              <w:spacing w:line="240" w:lineRule="exact"/>
                              <w:jc w:val="right"/>
                              <w:rPr>
                                <w:rFonts w:ascii="標楷體" w:eastAsia="標楷體" w:hAnsi="標楷體"/>
                                <w:noProof/>
                                <w:spacing w:val="-10"/>
                                <w:sz w:val="20"/>
                              </w:rPr>
                            </w:pPr>
                            <w:r w:rsidRPr="005303A0">
                              <w:rPr>
                                <w:rFonts w:ascii="標楷體" w:eastAsia="標楷體" w:hAnsi="標楷體" w:hint="eastAsia"/>
                                <w:noProof/>
                                <w:spacing w:val="-10"/>
                                <w:sz w:val="20"/>
                              </w:rPr>
                              <w:t>18</w:t>
                            </w:r>
                            <w:r w:rsidRPr="005303A0">
                              <w:rPr>
                                <w:rFonts w:ascii="標楷體" w:eastAsia="標楷體" w:hAnsi="標楷體"/>
                                <w:noProof/>
                                <w:spacing w:val="-10"/>
                                <w:sz w:val="20"/>
                              </w:rPr>
                              <w:t>7,783</w:t>
                            </w:r>
                          </w:p>
                        </w:tc>
                        <w:tc>
                          <w:tcPr>
                            <w:tcW w:w="995" w:type="dxa"/>
                            <w:vAlign w:val="center"/>
                          </w:tcPr>
                          <w:p w14:paraId="0ED8A3F0" w14:textId="77777777" w:rsidR="00582D22" w:rsidRPr="00356ABF" w:rsidRDefault="00582D22" w:rsidP="006F06C8">
                            <w:pPr>
                              <w:spacing w:line="240" w:lineRule="exact"/>
                              <w:jc w:val="right"/>
                              <w:rPr>
                                <w:rFonts w:ascii="標楷體" w:eastAsia="標楷體" w:hAnsi="標楷體"/>
                                <w:noProof/>
                                <w:color w:val="FF0000"/>
                                <w:spacing w:val="-10"/>
                                <w:sz w:val="20"/>
                              </w:rPr>
                            </w:pPr>
                            <w:r w:rsidRPr="005303A0">
                              <w:rPr>
                                <w:rFonts w:ascii="標楷體" w:eastAsia="標楷體" w:hAnsi="標楷體" w:hint="eastAsia"/>
                                <w:noProof/>
                                <w:spacing w:val="-10"/>
                                <w:sz w:val="20"/>
                              </w:rPr>
                              <w:t>738</w:t>
                            </w:r>
                            <w:r w:rsidRPr="005303A0">
                              <w:rPr>
                                <w:rFonts w:ascii="標楷體" w:eastAsia="標楷體" w:hAnsi="標楷體"/>
                                <w:noProof/>
                                <w:spacing w:val="-10"/>
                                <w:sz w:val="20"/>
                              </w:rPr>
                              <w:t>,</w:t>
                            </w:r>
                            <w:r w:rsidRPr="005303A0">
                              <w:rPr>
                                <w:rFonts w:ascii="標楷體" w:eastAsia="標楷體" w:hAnsi="標楷體" w:hint="eastAsia"/>
                                <w:noProof/>
                                <w:spacing w:val="-10"/>
                                <w:sz w:val="20"/>
                              </w:rPr>
                              <w:t>674</w:t>
                            </w:r>
                          </w:p>
                        </w:tc>
                        <w:tc>
                          <w:tcPr>
                            <w:tcW w:w="734" w:type="dxa"/>
                            <w:vAlign w:val="center"/>
                          </w:tcPr>
                          <w:p w14:paraId="2815EEDA" w14:textId="77777777" w:rsidR="00582D22"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10.07</w:t>
                            </w:r>
                          </w:p>
                        </w:tc>
                      </w:tr>
                      <w:tr w:rsidR="00582D22" w:rsidRPr="00D14483" w14:paraId="3680873C" w14:textId="77777777" w:rsidTr="00BE0435">
                        <w:trPr>
                          <w:trHeight w:val="340"/>
                          <w:jc w:val="right"/>
                        </w:trPr>
                        <w:tc>
                          <w:tcPr>
                            <w:tcW w:w="621" w:type="dxa"/>
                            <w:vAlign w:val="center"/>
                          </w:tcPr>
                          <w:p w14:paraId="76DC0A1B" w14:textId="77777777" w:rsidR="00582D22" w:rsidRPr="008F4C3D" w:rsidRDefault="00582D22" w:rsidP="00356ABF">
                            <w:pPr>
                              <w:spacing w:line="240" w:lineRule="exact"/>
                              <w:jc w:val="center"/>
                              <w:rPr>
                                <w:rFonts w:ascii="標楷體" w:eastAsia="標楷體" w:hAnsi="標楷體"/>
                                <w:sz w:val="20"/>
                              </w:rPr>
                            </w:pPr>
                            <w:r w:rsidRPr="008F4C3D">
                              <w:rPr>
                                <w:rFonts w:ascii="標楷體" w:eastAsia="標楷體" w:hAnsi="標楷體" w:hint="eastAsia"/>
                                <w:sz w:val="20"/>
                              </w:rPr>
                              <w:t>112</w:t>
                            </w:r>
                          </w:p>
                        </w:tc>
                        <w:tc>
                          <w:tcPr>
                            <w:tcW w:w="1081" w:type="dxa"/>
                            <w:gridSpan w:val="2"/>
                            <w:vAlign w:val="center"/>
                          </w:tcPr>
                          <w:p w14:paraId="727C97AE" w14:textId="77777777" w:rsidR="00582D22" w:rsidRPr="008F4C3D" w:rsidRDefault="00582D22" w:rsidP="00356ABF">
                            <w:pPr>
                              <w:spacing w:line="240" w:lineRule="exact"/>
                              <w:jc w:val="right"/>
                              <w:rPr>
                                <w:rFonts w:ascii="標楷體" w:eastAsia="標楷體" w:hAnsi="標楷體"/>
                                <w:noProof/>
                                <w:spacing w:val="-10"/>
                                <w:sz w:val="20"/>
                              </w:rPr>
                            </w:pPr>
                            <w:r w:rsidRPr="008F4C3D">
                              <w:rPr>
                                <w:rFonts w:ascii="標楷體" w:eastAsia="標楷體" w:hAnsi="標楷體" w:hint="eastAsia"/>
                                <w:noProof/>
                                <w:spacing w:val="-10"/>
                                <w:sz w:val="20"/>
                              </w:rPr>
                              <w:t>7,328,843</w:t>
                            </w:r>
                          </w:p>
                        </w:tc>
                        <w:tc>
                          <w:tcPr>
                            <w:tcW w:w="1082" w:type="dxa"/>
                            <w:vAlign w:val="center"/>
                          </w:tcPr>
                          <w:p w14:paraId="30D3E161"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6,964,691</w:t>
                            </w:r>
                          </w:p>
                        </w:tc>
                        <w:tc>
                          <w:tcPr>
                            <w:tcW w:w="1001" w:type="dxa"/>
                            <w:vAlign w:val="center"/>
                          </w:tcPr>
                          <w:p w14:paraId="4B7A00C2"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70</w:t>
                            </w:r>
                            <w:r>
                              <w:rPr>
                                <w:rFonts w:ascii="標楷體" w:eastAsia="標楷體" w:hAnsi="標楷體"/>
                                <w:noProof/>
                                <w:spacing w:val="-10"/>
                                <w:sz w:val="20"/>
                              </w:rPr>
                              <w:t>,</w:t>
                            </w:r>
                            <w:r>
                              <w:rPr>
                                <w:rFonts w:ascii="標楷體" w:eastAsia="標楷體" w:hAnsi="標楷體" w:hint="eastAsia"/>
                                <w:noProof/>
                                <w:spacing w:val="-10"/>
                                <w:sz w:val="20"/>
                              </w:rPr>
                              <w:t>046</w:t>
                            </w:r>
                          </w:p>
                        </w:tc>
                        <w:tc>
                          <w:tcPr>
                            <w:tcW w:w="995" w:type="dxa"/>
                            <w:vAlign w:val="center"/>
                          </w:tcPr>
                          <w:p w14:paraId="227BE6FF"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noProof/>
                                <w:spacing w:val="-10"/>
                                <w:sz w:val="20"/>
                              </w:rPr>
                              <w:t>294,105</w:t>
                            </w:r>
                          </w:p>
                        </w:tc>
                        <w:tc>
                          <w:tcPr>
                            <w:tcW w:w="734" w:type="dxa"/>
                            <w:vAlign w:val="center"/>
                          </w:tcPr>
                          <w:p w14:paraId="06599A49" w14:textId="77777777" w:rsidR="00582D22" w:rsidRDefault="00582D22" w:rsidP="00356ABF">
                            <w:pPr>
                              <w:spacing w:line="240" w:lineRule="exact"/>
                              <w:jc w:val="right"/>
                              <w:rPr>
                                <w:rFonts w:ascii="標楷體" w:eastAsia="標楷體" w:hAnsi="標楷體"/>
                                <w:noProof/>
                                <w:spacing w:val="-10"/>
                                <w:sz w:val="20"/>
                              </w:rPr>
                            </w:pPr>
                            <w:r>
                              <w:rPr>
                                <w:rFonts w:ascii="標楷體" w:eastAsia="標楷體" w:hAnsi="標楷體" w:hint="eastAsia"/>
                                <w:sz w:val="20"/>
                              </w:rPr>
                              <w:t>4</w:t>
                            </w:r>
                            <w:r>
                              <w:rPr>
                                <w:rFonts w:ascii="標楷體" w:eastAsia="標楷體" w:hAnsi="標楷體"/>
                                <w:sz w:val="20"/>
                              </w:rPr>
                              <w:t>.01</w:t>
                            </w:r>
                          </w:p>
                        </w:tc>
                      </w:tr>
                      <w:tr w:rsidR="00582D22" w:rsidRPr="00D14483" w14:paraId="14361A7A" w14:textId="77777777" w:rsidTr="00BE0435">
                        <w:trPr>
                          <w:trHeight w:val="340"/>
                          <w:jc w:val="right"/>
                        </w:trPr>
                        <w:tc>
                          <w:tcPr>
                            <w:tcW w:w="621" w:type="dxa"/>
                            <w:vAlign w:val="center"/>
                          </w:tcPr>
                          <w:p w14:paraId="7BD0E2C8" w14:textId="77777777" w:rsidR="00582D22" w:rsidRPr="008F4C3D" w:rsidRDefault="00582D22" w:rsidP="006F06C8">
                            <w:pPr>
                              <w:spacing w:line="240" w:lineRule="exact"/>
                              <w:jc w:val="center"/>
                              <w:rPr>
                                <w:rFonts w:ascii="標楷體" w:eastAsia="標楷體" w:hAnsi="標楷體"/>
                                <w:sz w:val="20"/>
                              </w:rPr>
                            </w:pPr>
                            <w:r w:rsidRPr="008F4C3D">
                              <w:rPr>
                                <w:rFonts w:ascii="標楷體" w:eastAsia="標楷體" w:hAnsi="標楷體" w:hint="eastAsia"/>
                                <w:sz w:val="20"/>
                              </w:rPr>
                              <w:t>111</w:t>
                            </w:r>
                          </w:p>
                        </w:tc>
                        <w:tc>
                          <w:tcPr>
                            <w:tcW w:w="1081" w:type="dxa"/>
                            <w:gridSpan w:val="2"/>
                            <w:vAlign w:val="center"/>
                          </w:tcPr>
                          <w:p w14:paraId="179918A1" w14:textId="77777777" w:rsidR="00582D22" w:rsidRPr="008F4C3D" w:rsidRDefault="00582D22" w:rsidP="006F06C8">
                            <w:pPr>
                              <w:spacing w:line="240" w:lineRule="exact"/>
                              <w:jc w:val="right"/>
                              <w:rPr>
                                <w:rFonts w:ascii="標楷體" w:eastAsia="標楷體" w:hAnsi="標楷體"/>
                                <w:sz w:val="20"/>
                              </w:rPr>
                            </w:pPr>
                            <w:r w:rsidRPr="008F4C3D">
                              <w:rPr>
                                <w:rFonts w:ascii="標楷體" w:eastAsia="標楷體" w:hAnsi="標楷體"/>
                                <w:noProof/>
                                <w:spacing w:val="-10"/>
                                <w:sz w:val="20"/>
                              </w:rPr>
                              <w:t>7,158,999</w:t>
                            </w:r>
                          </w:p>
                        </w:tc>
                        <w:tc>
                          <w:tcPr>
                            <w:tcW w:w="1082" w:type="dxa"/>
                            <w:vAlign w:val="center"/>
                          </w:tcPr>
                          <w:p w14:paraId="6752A9A2"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6,544,047</w:t>
                            </w:r>
                          </w:p>
                        </w:tc>
                        <w:tc>
                          <w:tcPr>
                            <w:tcW w:w="1001" w:type="dxa"/>
                            <w:vAlign w:val="center"/>
                          </w:tcPr>
                          <w:p w14:paraId="6942A130"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358</w:t>
                            </w:r>
                            <w:r>
                              <w:rPr>
                                <w:rFonts w:ascii="標楷體" w:eastAsia="標楷體" w:hAnsi="標楷體"/>
                                <w:noProof/>
                                <w:spacing w:val="-10"/>
                                <w:sz w:val="20"/>
                              </w:rPr>
                              <w:t>,</w:t>
                            </w:r>
                            <w:r>
                              <w:rPr>
                                <w:rFonts w:ascii="標楷體" w:eastAsia="標楷體" w:hAnsi="標楷體" w:hint="eastAsia"/>
                                <w:noProof/>
                                <w:spacing w:val="-10"/>
                                <w:sz w:val="20"/>
                              </w:rPr>
                              <w:t>271</w:t>
                            </w:r>
                          </w:p>
                        </w:tc>
                        <w:tc>
                          <w:tcPr>
                            <w:tcW w:w="995" w:type="dxa"/>
                            <w:vAlign w:val="center"/>
                          </w:tcPr>
                          <w:p w14:paraId="3C2E9983" w14:textId="77777777" w:rsidR="00582D22" w:rsidRPr="008F4C3D" w:rsidRDefault="00582D22"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256</w:t>
                            </w:r>
                            <w:r>
                              <w:rPr>
                                <w:rFonts w:ascii="標楷體" w:eastAsia="標楷體" w:hAnsi="標楷體"/>
                                <w:noProof/>
                                <w:spacing w:val="-10"/>
                                <w:sz w:val="20"/>
                              </w:rPr>
                              <w:t>,</w:t>
                            </w:r>
                            <w:r>
                              <w:rPr>
                                <w:rFonts w:ascii="標楷體" w:eastAsia="標楷體" w:hAnsi="標楷體" w:hint="eastAsia"/>
                                <w:noProof/>
                                <w:spacing w:val="-10"/>
                                <w:sz w:val="20"/>
                              </w:rPr>
                              <w:t>681</w:t>
                            </w:r>
                          </w:p>
                        </w:tc>
                        <w:tc>
                          <w:tcPr>
                            <w:tcW w:w="734" w:type="dxa"/>
                            <w:vAlign w:val="center"/>
                          </w:tcPr>
                          <w:p w14:paraId="62C3FFB8" w14:textId="77777777" w:rsidR="00582D22" w:rsidRPr="008F4C3D" w:rsidRDefault="00582D22" w:rsidP="006F06C8">
                            <w:pPr>
                              <w:spacing w:line="240" w:lineRule="exac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.59</w:t>
                            </w:r>
                          </w:p>
                        </w:tc>
                      </w:tr>
                      <w:tr w:rsidR="00582D22" w:rsidRPr="00D14483" w14:paraId="4407A088" w14:textId="77777777" w:rsidTr="004E00FB">
                        <w:trPr>
                          <w:trHeight w:val="340"/>
                          <w:jc w:val="right"/>
                        </w:trPr>
                        <w:tc>
                          <w:tcPr>
                            <w:tcW w:w="5514" w:type="dxa"/>
                            <w:gridSpan w:val="7"/>
                            <w:tcBorders>
                              <w:top w:val="single" w:sz="4" w:space="0" w:color="auto"/>
                              <w:left w:val="nil"/>
                              <w:bottom w:val="nil"/>
                              <w:right w:val="nil"/>
                            </w:tcBorders>
                          </w:tcPr>
                          <w:p w14:paraId="7AA26B9F" w14:textId="77777777" w:rsidR="00582D22" w:rsidRPr="008F4F3A" w:rsidRDefault="00582D22" w:rsidP="00825B27">
                            <w:pPr>
                              <w:spacing w:line="240" w:lineRule="exact"/>
                              <w:ind w:leftChars="-45" w:left="-108"/>
                              <w:rPr>
                                <w:rFonts w:ascii="標楷體" w:eastAsia="標楷體" w:hAnsi="標楷體"/>
                                <w:noProof/>
                                <w:sz w:val="18"/>
                                <w:szCs w:val="18"/>
                              </w:rPr>
                            </w:pPr>
                            <w:r w:rsidRPr="008F4F3A">
                              <w:rPr>
                                <w:rFonts w:ascii="標楷體" w:eastAsia="標楷體" w:hAnsi="標楷體" w:hint="eastAsia"/>
                                <w:noProof/>
                                <w:sz w:val="18"/>
                                <w:szCs w:val="18"/>
                              </w:rPr>
                              <w:t>資料來源</w:t>
                            </w:r>
                            <w:r w:rsidRPr="008F4F3A">
                              <w:rPr>
                                <w:rFonts w:ascii="標楷體" w:eastAsia="標楷體" w:hAnsi="標楷體"/>
                                <w:noProof/>
                                <w:sz w:val="18"/>
                                <w:szCs w:val="18"/>
                              </w:rPr>
                              <w:t>：整理自</w:t>
                            </w:r>
                            <w:r>
                              <w:rPr>
                                <w:rFonts w:ascii="標楷體" w:eastAsia="標楷體" w:hAnsi="標楷體" w:hint="eastAsia"/>
                                <w:noProof/>
                                <w:sz w:val="18"/>
                                <w:szCs w:val="18"/>
                              </w:rPr>
                              <w:t>各機關查填調查表</w:t>
                            </w:r>
                            <w:r w:rsidRPr="008F4F3A">
                              <w:rPr>
                                <w:rFonts w:ascii="標楷體" w:eastAsia="標楷體" w:hAnsi="標楷體" w:hint="eastAsia"/>
                                <w:noProof/>
                                <w:sz w:val="18"/>
                                <w:szCs w:val="18"/>
                              </w:rPr>
                              <w:t>。</w:t>
                            </w:r>
                          </w:p>
                        </w:tc>
                      </w:tr>
                    </w:tbl>
                    <w:p w14:paraId="73A65F4A" w14:textId="77777777" w:rsidR="00582D22" w:rsidRDefault="00582D22" w:rsidP="00582D22"/>
                  </w:txbxContent>
                </v:textbox>
                <w10:wrap type="square"/>
              </v:shape>
            </w:pict>
          </mc:Fallback>
        </mc:AlternateContent>
      </w:r>
      <w:r w:rsidRPr="00776189">
        <w:rPr>
          <w:rFonts w:ascii="標楷體" w:eastAsia="標楷體" w:hAnsi="標楷體"/>
          <w:noProof/>
          <w:spacing w:val="-6"/>
          <w:szCs w:val="24"/>
        </w:rPr>
        <mc:AlternateContent>
          <mc:Choice Requires="wps">
            <w:drawing>
              <wp:anchor distT="45720" distB="45720" distL="114300" distR="114300" simplePos="0" relativeHeight="251691008" behindDoc="0" locked="0" layoutInCell="1" allowOverlap="1" wp14:anchorId="17390E6C" wp14:editId="1B776385">
                <wp:simplePos x="0" y="0"/>
                <wp:positionH relativeFrom="column">
                  <wp:posOffset>137160</wp:posOffset>
                </wp:positionH>
                <wp:positionV relativeFrom="paragraph">
                  <wp:posOffset>-635</wp:posOffset>
                </wp:positionV>
                <wp:extent cx="6156960" cy="4175760"/>
                <wp:effectExtent l="0" t="0" r="0" b="0"/>
                <wp:wrapTopAndBottom/>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4175760"/>
                        </a:xfrm>
                        <a:prstGeom prst="rect">
                          <a:avLst/>
                        </a:prstGeom>
                        <a:solidFill>
                          <a:srgbClr val="FFFFFF"/>
                        </a:solidFill>
                        <a:ln w="9525">
                          <a:noFill/>
                          <a:miter lim="800000"/>
                          <a:headEnd/>
                          <a:tailEnd/>
                        </a:ln>
                      </wps:spPr>
                      <wps:txbx>
                        <w:txbxContent>
                          <w:p w14:paraId="2FA9550A" w14:textId="77777777" w:rsidR="00BC39D4" w:rsidRPr="00776189" w:rsidRDefault="00BC39D4" w:rsidP="00BC39D4">
                            <w:pPr>
                              <w:overflowPunct w:val="0"/>
                              <w:spacing w:line="280" w:lineRule="exact"/>
                              <w:jc w:val="center"/>
                              <w:rPr>
                                <w:rFonts w:ascii="標楷體" w:eastAsia="標楷體" w:hAnsi="標楷體"/>
                                <w:szCs w:val="24"/>
                              </w:rPr>
                            </w:pPr>
                            <w:r w:rsidRPr="00776189">
                              <w:rPr>
                                <w:rFonts w:ascii="標楷體" w:eastAsia="標楷體" w:hAnsi="標楷體" w:cs="新細明體" w:hint="eastAsia"/>
                                <w:b/>
                                <w:bCs/>
                                <w:kern w:val="0"/>
                                <w:szCs w:val="24"/>
                              </w:rPr>
                              <w:t>表</w:t>
                            </w:r>
                            <w:r>
                              <w:rPr>
                                <w:rFonts w:ascii="標楷體" w:eastAsia="標楷體" w:hAnsi="標楷體" w:cs="新細明體"/>
                                <w:b/>
                                <w:bCs/>
                                <w:kern w:val="0"/>
                                <w:szCs w:val="24"/>
                              </w:rPr>
                              <w:t>47</w:t>
                            </w:r>
                            <w:r w:rsidRPr="00EC39BD">
                              <w:rPr>
                                <w:rFonts w:ascii="標楷體" w:eastAsia="標楷體" w:hAnsi="標楷體" w:hint="eastAsia"/>
                                <w:b/>
                                <w:spacing w:val="-6"/>
                              </w:rPr>
                              <w:t xml:space="preserve">　</w:t>
                            </w:r>
                            <w:r w:rsidRPr="00776189">
                              <w:rPr>
                                <w:rFonts w:ascii="標楷體" w:eastAsia="標楷體" w:hAnsi="標楷體" w:cs="新細明體" w:hint="eastAsia"/>
                                <w:b/>
                                <w:bCs/>
                                <w:kern w:val="0"/>
                                <w:szCs w:val="24"/>
                              </w:rPr>
                              <w:t>111至113年度中央政府各機關以同一事由動支第二預備金情形</w:t>
                            </w:r>
                          </w:p>
                          <w:tbl>
                            <w:tblPr>
                              <w:tblW w:w="9169" w:type="dxa"/>
                              <w:tblInd w:w="-5" w:type="dxa"/>
                              <w:tblCellMar>
                                <w:left w:w="28" w:type="dxa"/>
                                <w:right w:w="28" w:type="dxa"/>
                              </w:tblCellMar>
                              <w:tblLook w:val="04A0" w:firstRow="1" w:lastRow="0" w:firstColumn="1" w:lastColumn="0" w:noHBand="0" w:noVBand="1"/>
                            </w:tblPr>
                            <w:tblGrid>
                              <w:gridCol w:w="1139"/>
                              <w:gridCol w:w="1276"/>
                              <w:gridCol w:w="2773"/>
                              <w:gridCol w:w="1564"/>
                              <w:gridCol w:w="1116"/>
                              <w:gridCol w:w="1301"/>
                            </w:tblGrid>
                            <w:tr w:rsidR="00BC39D4" w:rsidRPr="00776189" w14:paraId="2A2E9EB7" w14:textId="77777777" w:rsidTr="00902F7A">
                              <w:trPr>
                                <w:trHeight w:val="340"/>
                              </w:trPr>
                              <w:tc>
                                <w:tcPr>
                                  <w:tcW w:w="1139" w:type="dxa"/>
                                  <w:tcBorders>
                                    <w:bottom w:val="single" w:sz="4" w:space="0" w:color="auto"/>
                                  </w:tcBorders>
                                </w:tcPr>
                                <w:p w14:paraId="0E302A24" w14:textId="77777777" w:rsidR="00BC39D4" w:rsidRPr="00776189" w:rsidRDefault="00BC39D4" w:rsidP="00776189">
                                  <w:pPr>
                                    <w:widowControl/>
                                    <w:spacing w:line="240" w:lineRule="exact"/>
                                    <w:jc w:val="right"/>
                                    <w:rPr>
                                      <w:rFonts w:ascii="標楷體" w:eastAsia="標楷體" w:hAnsi="標楷體" w:cs="新細明體"/>
                                      <w:kern w:val="0"/>
                                      <w:sz w:val="20"/>
                                    </w:rPr>
                                  </w:pPr>
                                </w:p>
                              </w:tc>
                              <w:tc>
                                <w:tcPr>
                                  <w:tcW w:w="8030" w:type="dxa"/>
                                  <w:gridSpan w:val="5"/>
                                  <w:tcBorders>
                                    <w:bottom w:val="single" w:sz="4" w:space="0" w:color="auto"/>
                                  </w:tcBorders>
                                  <w:shd w:val="clear" w:color="auto" w:fill="auto"/>
                                  <w:vAlign w:val="center"/>
                                </w:tcPr>
                                <w:p w14:paraId="68CD61D2"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kern w:val="0"/>
                                      <w:sz w:val="20"/>
                                    </w:rPr>
                                    <w:t>單位：新臺幣千元</w:t>
                                  </w:r>
                                </w:p>
                              </w:tc>
                            </w:tr>
                            <w:tr w:rsidR="00BC39D4" w:rsidRPr="00776189" w14:paraId="4B0A5620" w14:textId="77777777" w:rsidTr="00902F7A">
                              <w:trPr>
                                <w:trHeight w:val="567"/>
                              </w:trPr>
                              <w:tc>
                                <w:tcPr>
                                  <w:tcW w:w="1139" w:type="dxa"/>
                                  <w:tcBorders>
                                    <w:top w:val="single" w:sz="4" w:space="0" w:color="auto"/>
                                    <w:left w:val="single" w:sz="4" w:space="0" w:color="auto"/>
                                    <w:bottom w:val="single" w:sz="4" w:space="0" w:color="auto"/>
                                    <w:right w:val="single" w:sz="4" w:space="0" w:color="auto"/>
                                  </w:tcBorders>
                                  <w:vAlign w:val="center"/>
                                </w:tcPr>
                                <w:p w14:paraId="598B9BC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主管別</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3540A"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動支機關</w:t>
                                  </w:r>
                                </w:p>
                              </w:tc>
                              <w:tc>
                                <w:tcPr>
                                  <w:tcW w:w="2773" w:type="dxa"/>
                                  <w:tcBorders>
                                    <w:top w:val="single" w:sz="4" w:space="0" w:color="auto"/>
                                    <w:left w:val="nil"/>
                                    <w:bottom w:val="single" w:sz="4" w:space="0" w:color="auto"/>
                                    <w:right w:val="single" w:sz="4" w:space="0" w:color="auto"/>
                                  </w:tcBorders>
                                  <w:shd w:val="clear" w:color="auto" w:fill="auto"/>
                                  <w:vAlign w:val="center"/>
                                  <w:hideMark/>
                                </w:tcPr>
                                <w:p w14:paraId="3B1BF96C"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動支事由</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3B3C6C64"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業務計畫</w:t>
                                  </w:r>
                                </w:p>
                                <w:p w14:paraId="18170F19"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（工作計畫）</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14:paraId="47AAF298"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動支年度</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14:paraId="04299A1F"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核定動支數額</w:t>
                                  </w:r>
                                </w:p>
                              </w:tc>
                            </w:tr>
                            <w:tr w:rsidR="00BC39D4" w:rsidRPr="00776189" w14:paraId="63A74E38" w14:textId="77777777" w:rsidTr="00902F7A">
                              <w:trPr>
                                <w:trHeight w:val="283"/>
                              </w:trPr>
                              <w:tc>
                                <w:tcPr>
                                  <w:tcW w:w="1139" w:type="dxa"/>
                                  <w:vMerge w:val="restart"/>
                                  <w:tcBorders>
                                    <w:top w:val="nil"/>
                                    <w:left w:val="single" w:sz="4" w:space="0" w:color="auto"/>
                                    <w:right w:val="single" w:sz="4" w:space="0" w:color="auto"/>
                                  </w:tcBorders>
                                  <w:vAlign w:val="center"/>
                                </w:tcPr>
                                <w:p w14:paraId="6696F2A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行政院</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47E8A3A6" w14:textId="77777777" w:rsidR="00BC39D4" w:rsidRPr="00776189" w:rsidRDefault="00BC39D4" w:rsidP="00BE0435">
                                  <w:pPr>
                                    <w:widowControl/>
                                    <w:spacing w:line="240" w:lineRule="exac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國家通訊傳播委員會</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42DAF81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辦理「新世代打擊詐欺策略行動綱領1.5版」所需經費。</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656D3E1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加強攔阻及警示國際電話詐騙補助</w:t>
                                  </w:r>
                                </w:p>
                              </w:tc>
                              <w:tc>
                                <w:tcPr>
                                  <w:tcW w:w="1116" w:type="dxa"/>
                                  <w:tcBorders>
                                    <w:top w:val="nil"/>
                                    <w:left w:val="nil"/>
                                    <w:bottom w:val="single" w:sz="4" w:space="0" w:color="auto"/>
                                    <w:right w:val="single" w:sz="4" w:space="0" w:color="auto"/>
                                  </w:tcBorders>
                                  <w:shd w:val="clear" w:color="auto" w:fill="auto"/>
                                  <w:vAlign w:val="center"/>
                                  <w:hideMark/>
                                </w:tcPr>
                                <w:p w14:paraId="2AF3ABC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6110FC2E"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32,535</w:t>
                                  </w:r>
                                </w:p>
                              </w:tc>
                            </w:tr>
                            <w:tr w:rsidR="00BC39D4" w:rsidRPr="00776189" w14:paraId="602AE734" w14:textId="77777777" w:rsidTr="00902F7A">
                              <w:trPr>
                                <w:trHeight w:val="283"/>
                              </w:trPr>
                              <w:tc>
                                <w:tcPr>
                                  <w:tcW w:w="1139" w:type="dxa"/>
                                  <w:vMerge/>
                                  <w:tcBorders>
                                    <w:left w:val="single" w:sz="4" w:space="0" w:color="auto"/>
                                    <w:bottom w:val="single" w:sz="4" w:space="0" w:color="000000"/>
                                    <w:right w:val="single" w:sz="4" w:space="0" w:color="auto"/>
                                  </w:tcBorders>
                                  <w:vAlign w:val="center"/>
                                </w:tcPr>
                                <w:p w14:paraId="2470AE8F"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11E5733A"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2A82324B"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5FD01FE4"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4E6453F4"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79F5A795"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103,500</w:t>
                                  </w:r>
                                </w:p>
                              </w:tc>
                            </w:tr>
                            <w:tr w:rsidR="00BC39D4" w:rsidRPr="00776189" w14:paraId="5B1F994B" w14:textId="77777777" w:rsidTr="00902F7A">
                              <w:trPr>
                                <w:trHeight w:val="283"/>
                              </w:trPr>
                              <w:tc>
                                <w:tcPr>
                                  <w:tcW w:w="1139" w:type="dxa"/>
                                  <w:vMerge w:val="restart"/>
                                  <w:tcBorders>
                                    <w:top w:val="nil"/>
                                    <w:left w:val="single" w:sz="4" w:space="0" w:color="auto"/>
                                    <w:right w:val="single" w:sz="4" w:space="0" w:color="auto"/>
                                  </w:tcBorders>
                                  <w:vAlign w:val="center"/>
                                </w:tcPr>
                                <w:p w14:paraId="68F49B44"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法務部</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0AF576B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法務部</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05D728DD" w14:textId="77777777" w:rsidR="00BC39D4" w:rsidRPr="00902F7A" w:rsidRDefault="00BC39D4" w:rsidP="00776189">
                                  <w:pPr>
                                    <w:widowControl/>
                                    <w:spacing w:line="240" w:lineRule="exact"/>
                                    <w:jc w:val="both"/>
                                    <w:rPr>
                                      <w:rFonts w:ascii="標楷體" w:eastAsia="標楷體" w:hAnsi="標楷體" w:cs="新細明體"/>
                                      <w:spacing w:val="-10"/>
                                      <w:kern w:val="0"/>
                                      <w:sz w:val="20"/>
                                    </w:rPr>
                                  </w:pPr>
                                  <w:r w:rsidRPr="00902F7A">
                                    <w:rPr>
                                      <w:rFonts w:ascii="標楷體" w:eastAsia="標楷體" w:hAnsi="標楷體" w:cs="新細明體" w:hint="eastAsia"/>
                                      <w:spacing w:val="-10"/>
                                      <w:kern w:val="0"/>
                                      <w:sz w:val="20"/>
                                    </w:rPr>
                                    <w:t>獎勵民眾檢舉各項選舉候選人賄選及組織犯罪獎勵金所需經費不敷。</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2A47617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法務行政</w:t>
                                  </w:r>
                                </w:p>
                              </w:tc>
                              <w:tc>
                                <w:tcPr>
                                  <w:tcW w:w="1116" w:type="dxa"/>
                                  <w:tcBorders>
                                    <w:top w:val="nil"/>
                                    <w:left w:val="nil"/>
                                    <w:bottom w:val="single" w:sz="4" w:space="0" w:color="auto"/>
                                    <w:right w:val="single" w:sz="4" w:space="0" w:color="auto"/>
                                  </w:tcBorders>
                                  <w:shd w:val="clear" w:color="auto" w:fill="auto"/>
                                  <w:vAlign w:val="center"/>
                                  <w:hideMark/>
                                </w:tcPr>
                                <w:p w14:paraId="0F73723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5AF098B7"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30,000</w:t>
                                  </w:r>
                                </w:p>
                              </w:tc>
                            </w:tr>
                            <w:tr w:rsidR="00BC39D4" w:rsidRPr="00776189" w14:paraId="648C0473" w14:textId="77777777" w:rsidTr="00902F7A">
                              <w:trPr>
                                <w:trHeight w:val="283"/>
                              </w:trPr>
                              <w:tc>
                                <w:tcPr>
                                  <w:tcW w:w="1139" w:type="dxa"/>
                                  <w:vMerge/>
                                  <w:tcBorders>
                                    <w:left w:val="single" w:sz="4" w:space="0" w:color="auto"/>
                                    <w:bottom w:val="single" w:sz="4" w:space="0" w:color="000000"/>
                                    <w:right w:val="single" w:sz="4" w:space="0" w:color="auto"/>
                                  </w:tcBorders>
                                  <w:vAlign w:val="center"/>
                                </w:tcPr>
                                <w:p w14:paraId="6648B2E7"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0E042DE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51618C32"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264C4A7C"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57D2353C"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365135DC"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18,000</w:t>
                                  </w:r>
                                </w:p>
                              </w:tc>
                            </w:tr>
                            <w:tr w:rsidR="00BC39D4" w:rsidRPr="00776189" w14:paraId="6F05E016" w14:textId="77777777" w:rsidTr="00902F7A">
                              <w:trPr>
                                <w:trHeight w:val="355"/>
                              </w:trPr>
                              <w:tc>
                                <w:tcPr>
                                  <w:tcW w:w="1139" w:type="dxa"/>
                                  <w:vMerge w:val="restart"/>
                                  <w:tcBorders>
                                    <w:top w:val="nil"/>
                                    <w:left w:val="single" w:sz="4" w:space="0" w:color="auto"/>
                                    <w:right w:val="single" w:sz="4" w:space="0" w:color="auto"/>
                                  </w:tcBorders>
                                  <w:vAlign w:val="center"/>
                                </w:tcPr>
                                <w:p w14:paraId="6A938D36"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文化部</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399D3DD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文化部</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605B1AAE"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辦理衛武營藝術文化中心興建計畫委託規劃設計監造服務（及重大變更設計）所需經費。</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221B656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文化資源業務-文化資源業務推動與輔導</w:t>
                                  </w:r>
                                </w:p>
                              </w:tc>
                              <w:tc>
                                <w:tcPr>
                                  <w:tcW w:w="1116" w:type="dxa"/>
                                  <w:tcBorders>
                                    <w:top w:val="nil"/>
                                    <w:left w:val="nil"/>
                                    <w:bottom w:val="single" w:sz="4" w:space="0" w:color="auto"/>
                                    <w:right w:val="single" w:sz="4" w:space="0" w:color="auto"/>
                                  </w:tcBorders>
                                  <w:shd w:val="clear" w:color="auto" w:fill="auto"/>
                                  <w:vAlign w:val="center"/>
                                  <w:hideMark/>
                                </w:tcPr>
                                <w:p w14:paraId="100E9C68"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1B92EFC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120,000</w:t>
                                  </w:r>
                                </w:p>
                              </w:tc>
                            </w:tr>
                            <w:tr w:rsidR="00BC39D4" w:rsidRPr="00776189" w14:paraId="1A73CC19" w14:textId="77777777" w:rsidTr="00902F7A">
                              <w:trPr>
                                <w:trHeight w:val="355"/>
                              </w:trPr>
                              <w:tc>
                                <w:tcPr>
                                  <w:tcW w:w="1139" w:type="dxa"/>
                                  <w:vMerge/>
                                  <w:tcBorders>
                                    <w:left w:val="single" w:sz="4" w:space="0" w:color="auto"/>
                                    <w:bottom w:val="single" w:sz="4" w:space="0" w:color="000000"/>
                                    <w:right w:val="single" w:sz="4" w:space="0" w:color="auto"/>
                                  </w:tcBorders>
                                  <w:vAlign w:val="center"/>
                                </w:tcPr>
                                <w:p w14:paraId="4F72A5A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7C4AB715"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595EADA5"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20386717"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2ED79029"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1EC22E38"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59,041</w:t>
                                  </w:r>
                                </w:p>
                              </w:tc>
                            </w:tr>
                            <w:tr w:rsidR="00BC39D4" w:rsidRPr="00776189" w14:paraId="0E8B5468" w14:textId="77777777" w:rsidTr="00902F7A">
                              <w:trPr>
                                <w:trHeight w:val="475"/>
                              </w:trPr>
                              <w:tc>
                                <w:tcPr>
                                  <w:tcW w:w="1139" w:type="dxa"/>
                                  <w:vMerge w:val="restart"/>
                                  <w:tcBorders>
                                    <w:top w:val="nil"/>
                                    <w:left w:val="single" w:sz="4" w:space="0" w:color="auto"/>
                                    <w:right w:val="single" w:sz="4" w:space="0" w:color="auto"/>
                                  </w:tcBorders>
                                  <w:vAlign w:val="center"/>
                                </w:tcPr>
                                <w:p w14:paraId="6769A5EF"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海洋委員會</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5B0FAD4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海巡署</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03771C0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成立「特別行動支援中心」辦理人員專業訓練及輔助分析系統開發等所需經費（暨辦理辦公廳舍整修及設備購置等所需經費）。</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0B7B7BA9"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海巡業務-海巡規劃及管理</w:t>
                                  </w:r>
                                </w:p>
                              </w:tc>
                              <w:tc>
                                <w:tcPr>
                                  <w:tcW w:w="1116" w:type="dxa"/>
                                  <w:tcBorders>
                                    <w:top w:val="nil"/>
                                    <w:left w:val="nil"/>
                                    <w:bottom w:val="single" w:sz="4" w:space="0" w:color="auto"/>
                                    <w:right w:val="single" w:sz="4" w:space="0" w:color="auto"/>
                                  </w:tcBorders>
                                  <w:shd w:val="clear" w:color="auto" w:fill="auto"/>
                                  <w:vAlign w:val="center"/>
                                  <w:hideMark/>
                                </w:tcPr>
                                <w:p w14:paraId="1B43B593"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0F997E34"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41,708</w:t>
                                  </w:r>
                                </w:p>
                              </w:tc>
                            </w:tr>
                            <w:tr w:rsidR="00BC39D4" w:rsidRPr="00776189" w14:paraId="6FD6C28D" w14:textId="77777777" w:rsidTr="00902F7A">
                              <w:trPr>
                                <w:trHeight w:val="475"/>
                              </w:trPr>
                              <w:tc>
                                <w:tcPr>
                                  <w:tcW w:w="1139" w:type="dxa"/>
                                  <w:vMerge/>
                                  <w:tcBorders>
                                    <w:left w:val="single" w:sz="4" w:space="0" w:color="auto"/>
                                    <w:bottom w:val="single" w:sz="4" w:space="0" w:color="000000"/>
                                    <w:right w:val="single" w:sz="4" w:space="0" w:color="auto"/>
                                  </w:tcBorders>
                                  <w:vAlign w:val="center"/>
                                </w:tcPr>
                                <w:p w14:paraId="1231C026"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19A52548"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6F940CD3"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1DBCFA68"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75DF3614"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0F2A965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4,289</w:t>
                                  </w:r>
                                </w:p>
                              </w:tc>
                            </w:tr>
                            <w:tr w:rsidR="00BC39D4" w:rsidRPr="00776189" w14:paraId="39C04BEA" w14:textId="77777777" w:rsidTr="00902F7A">
                              <w:trPr>
                                <w:trHeight w:val="283"/>
                              </w:trPr>
                              <w:tc>
                                <w:tcPr>
                                  <w:tcW w:w="1139" w:type="dxa"/>
                                  <w:vMerge w:val="restart"/>
                                  <w:tcBorders>
                                    <w:top w:val="nil"/>
                                    <w:left w:val="single" w:sz="4" w:space="0" w:color="auto"/>
                                    <w:right w:val="single" w:sz="4" w:space="0" w:color="auto"/>
                                  </w:tcBorders>
                                  <w:vAlign w:val="center"/>
                                </w:tcPr>
                                <w:p w14:paraId="1CF27C7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內政部</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1D9E4BD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消防署</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5CCFF95A"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補助地方消防人員因公傷亡慰問所需經費不敷。</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319DDCC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一般行政</w:t>
                                  </w:r>
                                </w:p>
                              </w:tc>
                              <w:tc>
                                <w:tcPr>
                                  <w:tcW w:w="1116" w:type="dxa"/>
                                  <w:tcBorders>
                                    <w:top w:val="nil"/>
                                    <w:left w:val="nil"/>
                                    <w:bottom w:val="single" w:sz="4" w:space="0" w:color="auto"/>
                                    <w:right w:val="single" w:sz="4" w:space="0" w:color="auto"/>
                                  </w:tcBorders>
                                  <w:shd w:val="clear" w:color="auto" w:fill="auto"/>
                                  <w:vAlign w:val="center"/>
                                  <w:hideMark/>
                                </w:tcPr>
                                <w:p w14:paraId="102B3AB3"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6577A34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153,363</w:t>
                                  </w:r>
                                </w:p>
                              </w:tc>
                            </w:tr>
                            <w:tr w:rsidR="00BC39D4" w:rsidRPr="00776189" w14:paraId="7F08C870" w14:textId="77777777" w:rsidTr="00902F7A">
                              <w:trPr>
                                <w:trHeight w:val="283"/>
                              </w:trPr>
                              <w:tc>
                                <w:tcPr>
                                  <w:tcW w:w="1139" w:type="dxa"/>
                                  <w:vMerge/>
                                  <w:tcBorders>
                                    <w:left w:val="single" w:sz="4" w:space="0" w:color="auto"/>
                                    <w:bottom w:val="single" w:sz="4" w:space="0" w:color="000000"/>
                                    <w:right w:val="single" w:sz="4" w:space="0" w:color="auto"/>
                                  </w:tcBorders>
                                  <w:vAlign w:val="center"/>
                                </w:tcPr>
                                <w:p w14:paraId="212D176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59E81B51"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386CDC2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434682F5"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031AD317"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111</w:t>
                                  </w:r>
                                </w:p>
                              </w:tc>
                              <w:tc>
                                <w:tcPr>
                                  <w:tcW w:w="1296" w:type="dxa"/>
                                  <w:tcBorders>
                                    <w:top w:val="nil"/>
                                    <w:left w:val="nil"/>
                                    <w:bottom w:val="single" w:sz="4" w:space="0" w:color="auto"/>
                                    <w:right w:val="single" w:sz="4" w:space="0" w:color="auto"/>
                                  </w:tcBorders>
                                  <w:shd w:val="clear" w:color="auto" w:fill="auto"/>
                                  <w:vAlign w:val="center"/>
                                  <w:hideMark/>
                                </w:tcPr>
                                <w:p w14:paraId="3720C3E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13,412</w:t>
                                  </w:r>
                                </w:p>
                              </w:tc>
                            </w:tr>
                            <w:tr w:rsidR="00BC39D4" w:rsidRPr="00776189" w14:paraId="44EC98A8" w14:textId="77777777" w:rsidTr="00902F7A">
                              <w:trPr>
                                <w:trHeight w:val="283"/>
                              </w:trPr>
                              <w:tc>
                                <w:tcPr>
                                  <w:tcW w:w="1139" w:type="dxa"/>
                                  <w:vMerge w:val="restart"/>
                                  <w:tcBorders>
                                    <w:top w:val="nil"/>
                                    <w:left w:val="single" w:sz="4" w:space="0" w:color="auto"/>
                                    <w:right w:val="single" w:sz="4" w:space="0" w:color="auto"/>
                                  </w:tcBorders>
                                  <w:vAlign w:val="center"/>
                                </w:tcPr>
                                <w:p w14:paraId="0EFE7F2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財政部</w:t>
                                  </w:r>
                                </w:p>
                              </w:tc>
                              <w:tc>
                                <w:tcPr>
                                  <w:tcW w:w="1276" w:type="dxa"/>
                                  <w:vMerge w:val="restart"/>
                                  <w:tcBorders>
                                    <w:top w:val="nil"/>
                                    <w:left w:val="single" w:sz="4" w:space="0" w:color="auto"/>
                                    <w:right w:val="single" w:sz="4" w:space="0" w:color="auto"/>
                                  </w:tcBorders>
                                  <w:shd w:val="clear" w:color="auto" w:fill="auto"/>
                                  <w:vAlign w:val="center"/>
                                </w:tcPr>
                                <w:p w14:paraId="545FD40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roofErr w:type="gramStart"/>
                                  <w:r w:rsidRPr="00776189">
                                    <w:rPr>
                                      <w:rFonts w:ascii="標楷體" w:eastAsia="標楷體" w:hAnsi="標楷體" w:cs="新細明體" w:hint="eastAsia"/>
                                      <w:spacing w:val="-8"/>
                                      <w:kern w:val="0"/>
                                      <w:sz w:val="20"/>
                                    </w:rPr>
                                    <w:t>臺</w:t>
                                  </w:r>
                                  <w:proofErr w:type="gramEnd"/>
                                  <w:r w:rsidRPr="00776189">
                                    <w:rPr>
                                      <w:rFonts w:ascii="標楷體" w:eastAsia="標楷體" w:hAnsi="標楷體" w:cs="新細明體" w:hint="eastAsia"/>
                                      <w:spacing w:val="-8"/>
                                      <w:kern w:val="0"/>
                                      <w:sz w:val="20"/>
                                    </w:rPr>
                                    <w:t>北國稅局</w:t>
                                  </w:r>
                                </w:p>
                              </w:tc>
                              <w:tc>
                                <w:tcPr>
                                  <w:tcW w:w="2773" w:type="dxa"/>
                                  <w:vMerge w:val="restart"/>
                                  <w:tcBorders>
                                    <w:top w:val="nil"/>
                                    <w:left w:val="single" w:sz="4" w:space="0" w:color="auto"/>
                                    <w:right w:val="single" w:sz="4" w:space="0" w:color="auto"/>
                                  </w:tcBorders>
                                  <w:shd w:val="clear" w:color="auto" w:fill="auto"/>
                                  <w:vAlign w:val="center"/>
                                </w:tcPr>
                                <w:p w14:paraId="7B54FAF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核發證券交易稅及期貨交易稅代徵獎金所需經費不敷。</w:t>
                                  </w:r>
                                </w:p>
                              </w:tc>
                              <w:tc>
                                <w:tcPr>
                                  <w:tcW w:w="1564" w:type="dxa"/>
                                  <w:vMerge w:val="restart"/>
                                  <w:tcBorders>
                                    <w:top w:val="nil"/>
                                    <w:left w:val="single" w:sz="4" w:space="0" w:color="auto"/>
                                    <w:right w:val="single" w:sz="4" w:space="0" w:color="auto"/>
                                  </w:tcBorders>
                                  <w:shd w:val="clear" w:color="auto" w:fill="auto"/>
                                  <w:vAlign w:val="center"/>
                                </w:tcPr>
                                <w:p w14:paraId="062D8079"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國稅</w:t>
                                  </w:r>
                                  <w:proofErr w:type="gramStart"/>
                                  <w:r w:rsidRPr="00776189">
                                    <w:rPr>
                                      <w:rFonts w:ascii="標楷體" w:eastAsia="標楷體" w:hAnsi="標楷體" w:cs="新細明體" w:hint="eastAsia"/>
                                      <w:spacing w:val="-8"/>
                                      <w:kern w:val="0"/>
                                      <w:sz w:val="20"/>
                                    </w:rPr>
                                    <w:t>稽</w:t>
                                  </w:r>
                                  <w:proofErr w:type="gramEnd"/>
                                  <w:r w:rsidRPr="00776189">
                                    <w:rPr>
                                      <w:rFonts w:ascii="標楷體" w:eastAsia="標楷體" w:hAnsi="標楷體" w:cs="新細明體" w:hint="eastAsia"/>
                                      <w:spacing w:val="-8"/>
                                      <w:kern w:val="0"/>
                                      <w:sz w:val="20"/>
                                    </w:rPr>
                                    <w:t>徵業務</w:t>
                                  </w:r>
                                </w:p>
                              </w:tc>
                              <w:tc>
                                <w:tcPr>
                                  <w:tcW w:w="1116" w:type="dxa"/>
                                  <w:tcBorders>
                                    <w:top w:val="nil"/>
                                    <w:left w:val="nil"/>
                                    <w:bottom w:val="single" w:sz="4" w:space="0" w:color="auto"/>
                                    <w:right w:val="single" w:sz="4" w:space="0" w:color="auto"/>
                                  </w:tcBorders>
                                  <w:shd w:val="clear" w:color="auto" w:fill="auto"/>
                                  <w:vAlign w:val="center"/>
                                </w:tcPr>
                                <w:p w14:paraId="1AA65D3A"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tcPr>
                                <w:p w14:paraId="7B53478B"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26,443</w:t>
                                  </w:r>
                                </w:p>
                              </w:tc>
                            </w:tr>
                            <w:tr w:rsidR="00BC39D4" w:rsidRPr="00776189" w14:paraId="7674C578" w14:textId="77777777" w:rsidTr="00902F7A">
                              <w:trPr>
                                <w:trHeight w:val="283"/>
                              </w:trPr>
                              <w:tc>
                                <w:tcPr>
                                  <w:tcW w:w="1139" w:type="dxa"/>
                                  <w:vMerge/>
                                  <w:tcBorders>
                                    <w:left w:val="single" w:sz="4" w:space="0" w:color="auto"/>
                                    <w:right w:val="single" w:sz="4" w:space="0" w:color="auto"/>
                                  </w:tcBorders>
                                </w:tcPr>
                                <w:p w14:paraId="43A933EE"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left w:val="single" w:sz="4" w:space="0" w:color="auto"/>
                                    <w:bottom w:val="single" w:sz="4" w:space="0" w:color="000000"/>
                                    <w:right w:val="single" w:sz="4" w:space="0" w:color="auto"/>
                                  </w:tcBorders>
                                  <w:shd w:val="clear" w:color="auto" w:fill="auto"/>
                                  <w:vAlign w:val="center"/>
                                </w:tcPr>
                                <w:p w14:paraId="4D3A159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2773" w:type="dxa"/>
                                  <w:vMerge/>
                                  <w:tcBorders>
                                    <w:left w:val="single" w:sz="4" w:space="0" w:color="auto"/>
                                    <w:bottom w:val="single" w:sz="4" w:space="0" w:color="000000"/>
                                    <w:right w:val="single" w:sz="4" w:space="0" w:color="auto"/>
                                  </w:tcBorders>
                                  <w:shd w:val="clear" w:color="auto" w:fill="auto"/>
                                  <w:vAlign w:val="center"/>
                                </w:tcPr>
                                <w:p w14:paraId="485A28E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564" w:type="dxa"/>
                                  <w:vMerge/>
                                  <w:tcBorders>
                                    <w:left w:val="single" w:sz="4" w:space="0" w:color="auto"/>
                                    <w:bottom w:val="single" w:sz="4" w:space="0" w:color="000000"/>
                                    <w:right w:val="single" w:sz="4" w:space="0" w:color="auto"/>
                                  </w:tcBorders>
                                  <w:shd w:val="clear" w:color="auto" w:fill="auto"/>
                                  <w:vAlign w:val="center"/>
                                </w:tcPr>
                                <w:p w14:paraId="45E0F05A"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tcPr>
                                <w:p w14:paraId="617187E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tcPr>
                                <w:p w14:paraId="5B76C51D"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9,175</w:t>
                                  </w:r>
                                </w:p>
                              </w:tc>
                            </w:tr>
                            <w:tr w:rsidR="00BC39D4" w:rsidRPr="00776189" w14:paraId="76F3324F" w14:textId="77777777" w:rsidTr="00902F7A">
                              <w:trPr>
                                <w:trHeight w:val="283"/>
                              </w:trPr>
                              <w:tc>
                                <w:tcPr>
                                  <w:tcW w:w="1139" w:type="dxa"/>
                                  <w:vMerge/>
                                  <w:tcBorders>
                                    <w:left w:val="single" w:sz="4" w:space="0" w:color="auto"/>
                                    <w:right w:val="single" w:sz="4" w:space="0" w:color="auto"/>
                                  </w:tcBorders>
                                </w:tcPr>
                                <w:p w14:paraId="78C887E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40136856"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國有財產署</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439691F8"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繳納經管國有非公用土地地價稅不敷。</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026AB210"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國有財產業務</w:t>
                                  </w:r>
                                </w:p>
                              </w:tc>
                              <w:tc>
                                <w:tcPr>
                                  <w:tcW w:w="1116" w:type="dxa"/>
                                  <w:tcBorders>
                                    <w:top w:val="nil"/>
                                    <w:left w:val="nil"/>
                                    <w:bottom w:val="single" w:sz="4" w:space="0" w:color="auto"/>
                                    <w:right w:val="single" w:sz="4" w:space="0" w:color="auto"/>
                                  </w:tcBorders>
                                  <w:shd w:val="clear" w:color="auto" w:fill="auto"/>
                                  <w:vAlign w:val="center"/>
                                  <w:hideMark/>
                                </w:tcPr>
                                <w:p w14:paraId="523DB08E"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23AB1FE4"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65,674</w:t>
                                  </w:r>
                                </w:p>
                              </w:tc>
                            </w:tr>
                            <w:tr w:rsidR="00BC39D4" w:rsidRPr="00776189" w14:paraId="26194A7F" w14:textId="77777777" w:rsidTr="00902F7A">
                              <w:trPr>
                                <w:trHeight w:val="283"/>
                              </w:trPr>
                              <w:tc>
                                <w:tcPr>
                                  <w:tcW w:w="1139" w:type="dxa"/>
                                  <w:vMerge/>
                                  <w:tcBorders>
                                    <w:left w:val="single" w:sz="4" w:space="0" w:color="auto"/>
                                    <w:right w:val="single" w:sz="4" w:space="0" w:color="auto"/>
                                  </w:tcBorders>
                                </w:tcPr>
                                <w:p w14:paraId="6ADE01A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61F22E5F"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22E9D019"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7EE123E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1E2B2013"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777A3391"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35,124</w:t>
                                  </w:r>
                                </w:p>
                              </w:tc>
                            </w:tr>
                            <w:tr w:rsidR="00BC39D4" w:rsidRPr="00776189" w14:paraId="7210BEAD" w14:textId="77777777" w:rsidTr="00902F7A">
                              <w:trPr>
                                <w:trHeight w:val="283"/>
                              </w:trPr>
                              <w:tc>
                                <w:tcPr>
                                  <w:tcW w:w="1139" w:type="dxa"/>
                                  <w:vMerge/>
                                  <w:tcBorders>
                                    <w:left w:val="single" w:sz="4" w:space="0" w:color="auto"/>
                                    <w:bottom w:val="single" w:sz="4" w:space="0" w:color="auto"/>
                                    <w:right w:val="single" w:sz="4" w:space="0" w:color="auto"/>
                                  </w:tcBorders>
                                </w:tcPr>
                                <w:p w14:paraId="334BB7B0"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7AD2B4B3"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auto"/>
                                    <w:right w:val="single" w:sz="4" w:space="0" w:color="auto"/>
                                  </w:tcBorders>
                                  <w:shd w:val="clear" w:color="auto" w:fill="auto"/>
                                  <w:vAlign w:val="center"/>
                                  <w:hideMark/>
                                </w:tcPr>
                                <w:p w14:paraId="006B2819"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auto"/>
                                    <w:right w:val="single" w:sz="4" w:space="0" w:color="auto"/>
                                  </w:tcBorders>
                                  <w:shd w:val="clear" w:color="auto" w:fill="auto"/>
                                  <w:vAlign w:val="center"/>
                                  <w:hideMark/>
                                </w:tcPr>
                                <w:p w14:paraId="29EDFE4E"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2A41CB28"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111</w:t>
                                  </w:r>
                                </w:p>
                              </w:tc>
                              <w:tc>
                                <w:tcPr>
                                  <w:tcW w:w="1296" w:type="dxa"/>
                                  <w:tcBorders>
                                    <w:top w:val="nil"/>
                                    <w:left w:val="nil"/>
                                    <w:bottom w:val="single" w:sz="4" w:space="0" w:color="auto"/>
                                    <w:right w:val="single" w:sz="4" w:space="0" w:color="auto"/>
                                  </w:tcBorders>
                                  <w:shd w:val="clear" w:color="auto" w:fill="auto"/>
                                  <w:vAlign w:val="center"/>
                                  <w:hideMark/>
                                </w:tcPr>
                                <w:p w14:paraId="391B9430"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68,627</w:t>
                                  </w:r>
                                </w:p>
                              </w:tc>
                            </w:tr>
                            <w:tr w:rsidR="00BC39D4" w:rsidRPr="00776189" w14:paraId="6D19A80D" w14:textId="77777777" w:rsidTr="00902F7A">
                              <w:trPr>
                                <w:trHeight w:val="283"/>
                              </w:trPr>
                              <w:tc>
                                <w:tcPr>
                                  <w:tcW w:w="9169" w:type="dxa"/>
                                  <w:gridSpan w:val="6"/>
                                  <w:tcBorders>
                                    <w:top w:val="single" w:sz="4" w:space="0" w:color="auto"/>
                                  </w:tcBorders>
                                </w:tcPr>
                                <w:p w14:paraId="076FF514" w14:textId="77777777" w:rsidR="00BC39D4" w:rsidRPr="00776189" w:rsidRDefault="00BC39D4" w:rsidP="00776189">
                                  <w:pPr>
                                    <w:widowControl/>
                                    <w:spacing w:line="240" w:lineRule="exact"/>
                                    <w:rPr>
                                      <w:rFonts w:ascii="標楷體" w:eastAsia="標楷體" w:hAnsi="標楷體" w:cs="新細明體"/>
                                      <w:kern w:val="0"/>
                                      <w:sz w:val="18"/>
                                      <w:szCs w:val="18"/>
                                    </w:rPr>
                                  </w:pPr>
                                  <w:r w:rsidRPr="00776189">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行政</w:t>
                                  </w:r>
                                  <w:r w:rsidRPr="00776189">
                                    <w:rPr>
                                      <w:rFonts w:ascii="標楷體" w:eastAsia="標楷體" w:hAnsi="標楷體" w:cs="新細明體" w:hint="eastAsia"/>
                                      <w:kern w:val="0"/>
                                      <w:sz w:val="18"/>
                                      <w:szCs w:val="18"/>
                                    </w:rPr>
                                    <w:t>院主計</w:t>
                                  </w:r>
                                  <w:proofErr w:type="gramStart"/>
                                  <w:r w:rsidRPr="00776189">
                                    <w:rPr>
                                      <w:rFonts w:ascii="標楷體" w:eastAsia="標楷體" w:hAnsi="標楷體" w:cs="新細明體" w:hint="eastAsia"/>
                                      <w:kern w:val="0"/>
                                      <w:sz w:val="18"/>
                                      <w:szCs w:val="18"/>
                                    </w:rPr>
                                    <w:t>總處編製</w:t>
                                  </w:r>
                                  <w:proofErr w:type="gramEnd"/>
                                  <w:r w:rsidRPr="00776189">
                                    <w:rPr>
                                      <w:rFonts w:ascii="標楷體" w:eastAsia="標楷體" w:hAnsi="標楷體" w:cs="新細明體"/>
                                      <w:kern w:val="0"/>
                                      <w:sz w:val="18"/>
                                      <w:szCs w:val="18"/>
                                    </w:rPr>
                                    <w:t>1</w:t>
                                  </w:r>
                                  <w:r w:rsidRPr="00776189">
                                    <w:rPr>
                                      <w:rFonts w:ascii="標楷體" w:eastAsia="標楷體" w:hAnsi="標楷體" w:cs="新細明體" w:hint="eastAsia"/>
                                      <w:kern w:val="0"/>
                                      <w:sz w:val="18"/>
                                      <w:szCs w:val="18"/>
                                    </w:rPr>
                                    <w:t>11至113年度第二預備金動支數額表及各機關提供資料。</w:t>
                                  </w:r>
                                </w:p>
                              </w:tc>
                            </w:tr>
                          </w:tbl>
                          <w:p w14:paraId="0C50E5E0" w14:textId="77777777" w:rsidR="00BC39D4" w:rsidRPr="00776189" w:rsidRDefault="00BC39D4" w:rsidP="00BC39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390E6C" id="_x0000_s1155" type="#_x0000_t202" style="position:absolute;left:0;text-align:left;margin-left:10.8pt;margin-top:-.05pt;width:484.8pt;height:328.8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" stroked="f">
                <v:textbox>
                  <w:txbxContent>
                    <w:p w14:paraId="2FA9550A" w14:textId="77777777" w:rsidR="00BC39D4" w:rsidRPr="00776189" w:rsidRDefault="00BC39D4" w:rsidP="00BC39D4">
                      <w:pPr>
                        <w:overflowPunct w:val="0"/>
                        <w:spacing w:line="280" w:lineRule="exact"/>
                        <w:jc w:val="center"/>
                        <w:rPr>
                          <w:rFonts w:ascii="標楷體" w:eastAsia="標楷體" w:hAnsi="標楷體"/>
                          <w:szCs w:val="24"/>
                        </w:rPr>
                      </w:pPr>
                      <w:r w:rsidRPr="00776189">
                        <w:rPr>
                          <w:rFonts w:ascii="標楷體" w:eastAsia="標楷體" w:hAnsi="標楷體" w:cs="新細明體" w:hint="eastAsia"/>
                          <w:b/>
                          <w:bCs/>
                          <w:kern w:val="0"/>
                          <w:szCs w:val="24"/>
                        </w:rPr>
                        <w:t>表</w:t>
                      </w:r>
                      <w:r>
                        <w:rPr>
                          <w:rFonts w:ascii="標楷體" w:eastAsia="標楷體" w:hAnsi="標楷體" w:cs="新細明體"/>
                          <w:b/>
                          <w:bCs/>
                          <w:kern w:val="0"/>
                          <w:szCs w:val="24"/>
                        </w:rPr>
                        <w:t>47</w:t>
                      </w:r>
                      <w:r w:rsidRPr="00EC39BD">
                        <w:rPr>
                          <w:rFonts w:ascii="標楷體" w:eastAsia="標楷體" w:hAnsi="標楷體" w:hint="eastAsia"/>
                          <w:b/>
                          <w:spacing w:val="-6"/>
                        </w:rPr>
                        <w:t xml:space="preserve">　</w:t>
                      </w:r>
                      <w:r w:rsidRPr="00776189">
                        <w:rPr>
                          <w:rFonts w:ascii="標楷體" w:eastAsia="標楷體" w:hAnsi="標楷體" w:cs="新細明體" w:hint="eastAsia"/>
                          <w:b/>
                          <w:bCs/>
                          <w:kern w:val="0"/>
                          <w:szCs w:val="24"/>
                        </w:rPr>
                        <w:t>111至113年度中央政府各機關以同一事由動支第二預備金情形</w:t>
                      </w:r>
                    </w:p>
                    <w:tbl>
                      <w:tblPr>
                        <w:tblW w:w="9169" w:type="dxa"/>
                        <w:tblInd w:w="-5" w:type="dxa"/>
                        <w:tblCellMar>
                          <w:left w:w="28" w:type="dxa"/>
                          <w:right w:w="28" w:type="dxa"/>
                        </w:tblCellMar>
                        <w:tblLook w:val="04A0" w:firstRow="1" w:lastRow="0" w:firstColumn="1" w:lastColumn="0" w:noHBand="0" w:noVBand="1"/>
                      </w:tblPr>
                      <w:tblGrid>
                        <w:gridCol w:w="1139"/>
                        <w:gridCol w:w="1276"/>
                        <w:gridCol w:w="2773"/>
                        <w:gridCol w:w="1564"/>
                        <w:gridCol w:w="1116"/>
                        <w:gridCol w:w="1301"/>
                      </w:tblGrid>
                      <w:tr w:rsidR="00BC39D4" w:rsidRPr="00776189" w14:paraId="2A2E9EB7" w14:textId="77777777" w:rsidTr="00902F7A">
                        <w:trPr>
                          <w:trHeight w:val="340"/>
                        </w:trPr>
                        <w:tc>
                          <w:tcPr>
                            <w:tcW w:w="1139" w:type="dxa"/>
                            <w:tcBorders>
                              <w:bottom w:val="single" w:sz="4" w:space="0" w:color="auto"/>
                            </w:tcBorders>
                          </w:tcPr>
                          <w:p w14:paraId="0E302A24" w14:textId="77777777" w:rsidR="00BC39D4" w:rsidRPr="00776189" w:rsidRDefault="00BC39D4" w:rsidP="00776189">
                            <w:pPr>
                              <w:widowControl/>
                              <w:spacing w:line="240" w:lineRule="exact"/>
                              <w:jc w:val="right"/>
                              <w:rPr>
                                <w:rFonts w:ascii="標楷體" w:eastAsia="標楷體" w:hAnsi="標楷體" w:cs="新細明體"/>
                                <w:kern w:val="0"/>
                                <w:sz w:val="20"/>
                              </w:rPr>
                            </w:pPr>
                          </w:p>
                        </w:tc>
                        <w:tc>
                          <w:tcPr>
                            <w:tcW w:w="8030" w:type="dxa"/>
                            <w:gridSpan w:val="5"/>
                            <w:tcBorders>
                              <w:bottom w:val="single" w:sz="4" w:space="0" w:color="auto"/>
                            </w:tcBorders>
                            <w:shd w:val="clear" w:color="auto" w:fill="auto"/>
                            <w:vAlign w:val="center"/>
                          </w:tcPr>
                          <w:p w14:paraId="68CD61D2"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kern w:val="0"/>
                                <w:sz w:val="20"/>
                              </w:rPr>
                              <w:t>單位：新臺幣千元</w:t>
                            </w:r>
                          </w:p>
                        </w:tc>
                      </w:tr>
                      <w:tr w:rsidR="00BC39D4" w:rsidRPr="00776189" w14:paraId="4B0A5620" w14:textId="77777777" w:rsidTr="00902F7A">
                        <w:trPr>
                          <w:trHeight w:val="567"/>
                        </w:trPr>
                        <w:tc>
                          <w:tcPr>
                            <w:tcW w:w="1139" w:type="dxa"/>
                            <w:tcBorders>
                              <w:top w:val="single" w:sz="4" w:space="0" w:color="auto"/>
                              <w:left w:val="single" w:sz="4" w:space="0" w:color="auto"/>
                              <w:bottom w:val="single" w:sz="4" w:space="0" w:color="auto"/>
                              <w:right w:val="single" w:sz="4" w:space="0" w:color="auto"/>
                            </w:tcBorders>
                            <w:vAlign w:val="center"/>
                          </w:tcPr>
                          <w:p w14:paraId="598B9BC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主管別</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3540A"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動支機關</w:t>
                            </w:r>
                          </w:p>
                        </w:tc>
                        <w:tc>
                          <w:tcPr>
                            <w:tcW w:w="2773" w:type="dxa"/>
                            <w:tcBorders>
                              <w:top w:val="single" w:sz="4" w:space="0" w:color="auto"/>
                              <w:left w:val="nil"/>
                              <w:bottom w:val="single" w:sz="4" w:space="0" w:color="auto"/>
                              <w:right w:val="single" w:sz="4" w:space="0" w:color="auto"/>
                            </w:tcBorders>
                            <w:shd w:val="clear" w:color="auto" w:fill="auto"/>
                            <w:vAlign w:val="center"/>
                            <w:hideMark/>
                          </w:tcPr>
                          <w:p w14:paraId="3B1BF96C"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動支事由</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3B3C6C64"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業務計畫</w:t>
                            </w:r>
                          </w:p>
                          <w:p w14:paraId="18170F19"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（工作計畫）</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14:paraId="47AAF298"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動支年度</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14:paraId="04299A1F"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核定動支數額</w:t>
                            </w:r>
                          </w:p>
                        </w:tc>
                      </w:tr>
                      <w:tr w:rsidR="00BC39D4" w:rsidRPr="00776189" w14:paraId="63A74E38" w14:textId="77777777" w:rsidTr="00902F7A">
                        <w:trPr>
                          <w:trHeight w:val="283"/>
                        </w:trPr>
                        <w:tc>
                          <w:tcPr>
                            <w:tcW w:w="1139" w:type="dxa"/>
                            <w:vMerge w:val="restart"/>
                            <w:tcBorders>
                              <w:top w:val="nil"/>
                              <w:left w:val="single" w:sz="4" w:space="0" w:color="auto"/>
                              <w:right w:val="single" w:sz="4" w:space="0" w:color="auto"/>
                            </w:tcBorders>
                            <w:vAlign w:val="center"/>
                          </w:tcPr>
                          <w:p w14:paraId="6696F2A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行政院</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47E8A3A6" w14:textId="77777777" w:rsidR="00BC39D4" w:rsidRPr="00776189" w:rsidRDefault="00BC39D4" w:rsidP="00BE0435">
                            <w:pPr>
                              <w:widowControl/>
                              <w:spacing w:line="240" w:lineRule="exac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國家通訊傳播委員會</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42DAF81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辦理「新世代打擊詐欺策略行動綱領1.5版」所需經費。</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656D3E1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加強攔阻及警示國際電話詐騙補助</w:t>
                            </w:r>
                          </w:p>
                        </w:tc>
                        <w:tc>
                          <w:tcPr>
                            <w:tcW w:w="1116" w:type="dxa"/>
                            <w:tcBorders>
                              <w:top w:val="nil"/>
                              <w:left w:val="nil"/>
                              <w:bottom w:val="single" w:sz="4" w:space="0" w:color="auto"/>
                              <w:right w:val="single" w:sz="4" w:space="0" w:color="auto"/>
                            </w:tcBorders>
                            <w:shd w:val="clear" w:color="auto" w:fill="auto"/>
                            <w:vAlign w:val="center"/>
                            <w:hideMark/>
                          </w:tcPr>
                          <w:p w14:paraId="2AF3ABC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6110FC2E"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32,535</w:t>
                            </w:r>
                          </w:p>
                        </w:tc>
                      </w:tr>
                      <w:tr w:rsidR="00BC39D4" w:rsidRPr="00776189" w14:paraId="602AE734" w14:textId="77777777" w:rsidTr="00902F7A">
                        <w:trPr>
                          <w:trHeight w:val="283"/>
                        </w:trPr>
                        <w:tc>
                          <w:tcPr>
                            <w:tcW w:w="1139" w:type="dxa"/>
                            <w:vMerge/>
                            <w:tcBorders>
                              <w:left w:val="single" w:sz="4" w:space="0" w:color="auto"/>
                              <w:bottom w:val="single" w:sz="4" w:space="0" w:color="000000"/>
                              <w:right w:val="single" w:sz="4" w:space="0" w:color="auto"/>
                            </w:tcBorders>
                            <w:vAlign w:val="center"/>
                          </w:tcPr>
                          <w:p w14:paraId="2470AE8F"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11E5733A"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2A82324B"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5FD01FE4"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4E6453F4"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79F5A795"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103,500</w:t>
                            </w:r>
                          </w:p>
                        </w:tc>
                      </w:tr>
                      <w:tr w:rsidR="00BC39D4" w:rsidRPr="00776189" w14:paraId="5B1F994B" w14:textId="77777777" w:rsidTr="00902F7A">
                        <w:trPr>
                          <w:trHeight w:val="283"/>
                        </w:trPr>
                        <w:tc>
                          <w:tcPr>
                            <w:tcW w:w="1139" w:type="dxa"/>
                            <w:vMerge w:val="restart"/>
                            <w:tcBorders>
                              <w:top w:val="nil"/>
                              <w:left w:val="single" w:sz="4" w:space="0" w:color="auto"/>
                              <w:right w:val="single" w:sz="4" w:space="0" w:color="auto"/>
                            </w:tcBorders>
                            <w:vAlign w:val="center"/>
                          </w:tcPr>
                          <w:p w14:paraId="68F49B44"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法務部</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0AF576B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法務部</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05D728DD" w14:textId="77777777" w:rsidR="00BC39D4" w:rsidRPr="00902F7A" w:rsidRDefault="00BC39D4" w:rsidP="00776189">
                            <w:pPr>
                              <w:widowControl/>
                              <w:spacing w:line="240" w:lineRule="exact"/>
                              <w:jc w:val="both"/>
                              <w:rPr>
                                <w:rFonts w:ascii="標楷體" w:eastAsia="標楷體" w:hAnsi="標楷體" w:cs="新細明體"/>
                                <w:spacing w:val="-10"/>
                                <w:kern w:val="0"/>
                                <w:sz w:val="20"/>
                              </w:rPr>
                            </w:pPr>
                            <w:r w:rsidRPr="00902F7A">
                              <w:rPr>
                                <w:rFonts w:ascii="標楷體" w:eastAsia="標楷體" w:hAnsi="標楷體" w:cs="新細明體" w:hint="eastAsia"/>
                                <w:spacing w:val="-10"/>
                                <w:kern w:val="0"/>
                                <w:sz w:val="20"/>
                              </w:rPr>
                              <w:t>獎勵民眾檢舉各項選舉候選人賄選及組織犯罪獎勵金所需經費不敷。</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2A47617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法務行政</w:t>
                            </w:r>
                          </w:p>
                        </w:tc>
                        <w:tc>
                          <w:tcPr>
                            <w:tcW w:w="1116" w:type="dxa"/>
                            <w:tcBorders>
                              <w:top w:val="nil"/>
                              <w:left w:val="nil"/>
                              <w:bottom w:val="single" w:sz="4" w:space="0" w:color="auto"/>
                              <w:right w:val="single" w:sz="4" w:space="0" w:color="auto"/>
                            </w:tcBorders>
                            <w:shd w:val="clear" w:color="auto" w:fill="auto"/>
                            <w:vAlign w:val="center"/>
                            <w:hideMark/>
                          </w:tcPr>
                          <w:p w14:paraId="0F73723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5AF098B7"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30,000</w:t>
                            </w:r>
                          </w:p>
                        </w:tc>
                      </w:tr>
                      <w:tr w:rsidR="00BC39D4" w:rsidRPr="00776189" w14:paraId="648C0473" w14:textId="77777777" w:rsidTr="00902F7A">
                        <w:trPr>
                          <w:trHeight w:val="283"/>
                        </w:trPr>
                        <w:tc>
                          <w:tcPr>
                            <w:tcW w:w="1139" w:type="dxa"/>
                            <w:vMerge/>
                            <w:tcBorders>
                              <w:left w:val="single" w:sz="4" w:space="0" w:color="auto"/>
                              <w:bottom w:val="single" w:sz="4" w:space="0" w:color="000000"/>
                              <w:right w:val="single" w:sz="4" w:space="0" w:color="auto"/>
                            </w:tcBorders>
                            <w:vAlign w:val="center"/>
                          </w:tcPr>
                          <w:p w14:paraId="6648B2E7"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0E042DE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51618C32"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264C4A7C"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57D2353C"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365135DC"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18,000</w:t>
                            </w:r>
                          </w:p>
                        </w:tc>
                      </w:tr>
                      <w:tr w:rsidR="00BC39D4" w:rsidRPr="00776189" w14:paraId="6F05E016" w14:textId="77777777" w:rsidTr="00902F7A">
                        <w:trPr>
                          <w:trHeight w:val="355"/>
                        </w:trPr>
                        <w:tc>
                          <w:tcPr>
                            <w:tcW w:w="1139" w:type="dxa"/>
                            <w:vMerge w:val="restart"/>
                            <w:tcBorders>
                              <w:top w:val="nil"/>
                              <w:left w:val="single" w:sz="4" w:space="0" w:color="auto"/>
                              <w:right w:val="single" w:sz="4" w:space="0" w:color="auto"/>
                            </w:tcBorders>
                            <w:vAlign w:val="center"/>
                          </w:tcPr>
                          <w:p w14:paraId="6A938D36"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文化部</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399D3DD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文化部</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605B1AAE"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辦理衛武營藝術文化中心興建計畫委託規劃設計監造服務（及重大變更設計）所需經費。</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221B656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文化資源業務-文化資源業務推動與輔導</w:t>
                            </w:r>
                          </w:p>
                        </w:tc>
                        <w:tc>
                          <w:tcPr>
                            <w:tcW w:w="1116" w:type="dxa"/>
                            <w:tcBorders>
                              <w:top w:val="nil"/>
                              <w:left w:val="nil"/>
                              <w:bottom w:val="single" w:sz="4" w:space="0" w:color="auto"/>
                              <w:right w:val="single" w:sz="4" w:space="0" w:color="auto"/>
                            </w:tcBorders>
                            <w:shd w:val="clear" w:color="auto" w:fill="auto"/>
                            <w:vAlign w:val="center"/>
                            <w:hideMark/>
                          </w:tcPr>
                          <w:p w14:paraId="100E9C68"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1B92EFC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120,000</w:t>
                            </w:r>
                          </w:p>
                        </w:tc>
                      </w:tr>
                      <w:tr w:rsidR="00BC39D4" w:rsidRPr="00776189" w14:paraId="1A73CC19" w14:textId="77777777" w:rsidTr="00902F7A">
                        <w:trPr>
                          <w:trHeight w:val="355"/>
                        </w:trPr>
                        <w:tc>
                          <w:tcPr>
                            <w:tcW w:w="1139" w:type="dxa"/>
                            <w:vMerge/>
                            <w:tcBorders>
                              <w:left w:val="single" w:sz="4" w:space="0" w:color="auto"/>
                              <w:bottom w:val="single" w:sz="4" w:space="0" w:color="000000"/>
                              <w:right w:val="single" w:sz="4" w:space="0" w:color="auto"/>
                            </w:tcBorders>
                            <w:vAlign w:val="center"/>
                          </w:tcPr>
                          <w:p w14:paraId="4F72A5A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7C4AB715"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595EADA5"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20386717"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2ED79029"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1EC22E38"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59,041</w:t>
                            </w:r>
                          </w:p>
                        </w:tc>
                      </w:tr>
                      <w:tr w:rsidR="00BC39D4" w:rsidRPr="00776189" w14:paraId="0E8B5468" w14:textId="77777777" w:rsidTr="00902F7A">
                        <w:trPr>
                          <w:trHeight w:val="475"/>
                        </w:trPr>
                        <w:tc>
                          <w:tcPr>
                            <w:tcW w:w="1139" w:type="dxa"/>
                            <w:vMerge w:val="restart"/>
                            <w:tcBorders>
                              <w:top w:val="nil"/>
                              <w:left w:val="single" w:sz="4" w:space="0" w:color="auto"/>
                              <w:right w:val="single" w:sz="4" w:space="0" w:color="auto"/>
                            </w:tcBorders>
                            <w:vAlign w:val="center"/>
                          </w:tcPr>
                          <w:p w14:paraId="6769A5EF"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海洋委員會</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5B0FAD4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海巡署</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03771C0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成立「特別行動支援中心」辦理人員專業訓練及輔助分析系統開發等所需經費（暨辦理辦公廳舍整修及設備購置等所需經費）。</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0B7B7BA9"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海巡業務-海巡規劃及管理</w:t>
                            </w:r>
                          </w:p>
                        </w:tc>
                        <w:tc>
                          <w:tcPr>
                            <w:tcW w:w="1116" w:type="dxa"/>
                            <w:tcBorders>
                              <w:top w:val="nil"/>
                              <w:left w:val="nil"/>
                              <w:bottom w:val="single" w:sz="4" w:space="0" w:color="auto"/>
                              <w:right w:val="single" w:sz="4" w:space="0" w:color="auto"/>
                            </w:tcBorders>
                            <w:shd w:val="clear" w:color="auto" w:fill="auto"/>
                            <w:vAlign w:val="center"/>
                            <w:hideMark/>
                          </w:tcPr>
                          <w:p w14:paraId="1B43B593"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0F997E34"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41,708</w:t>
                            </w:r>
                          </w:p>
                        </w:tc>
                      </w:tr>
                      <w:tr w:rsidR="00BC39D4" w:rsidRPr="00776189" w14:paraId="6FD6C28D" w14:textId="77777777" w:rsidTr="00902F7A">
                        <w:trPr>
                          <w:trHeight w:val="475"/>
                        </w:trPr>
                        <w:tc>
                          <w:tcPr>
                            <w:tcW w:w="1139" w:type="dxa"/>
                            <w:vMerge/>
                            <w:tcBorders>
                              <w:left w:val="single" w:sz="4" w:space="0" w:color="auto"/>
                              <w:bottom w:val="single" w:sz="4" w:space="0" w:color="000000"/>
                              <w:right w:val="single" w:sz="4" w:space="0" w:color="auto"/>
                            </w:tcBorders>
                            <w:vAlign w:val="center"/>
                          </w:tcPr>
                          <w:p w14:paraId="1231C026"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19A52548"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6F940CD3"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1DBCFA68"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75DF3614"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0F2A965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4,289</w:t>
                            </w:r>
                          </w:p>
                        </w:tc>
                      </w:tr>
                      <w:tr w:rsidR="00BC39D4" w:rsidRPr="00776189" w14:paraId="39C04BEA" w14:textId="77777777" w:rsidTr="00902F7A">
                        <w:trPr>
                          <w:trHeight w:val="283"/>
                        </w:trPr>
                        <w:tc>
                          <w:tcPr>
                            <w:tcW w:w="1139" w:type="dxa"/>
                            <w:vMerge w:val="restart"/>
                            <w:tcBorders>
                              <w:top w:val="nil"/>
                              <w:left w:val="single" w:sz="4" w:space="0" w:color="auto"/>
                              <w:right w:val="single" w:sz="4" w:space="0" w:color="auto"/>
                            </w:tcBorders>
                            <w:vAlign w:val="center"/>
                          </w:tcPr>
                          <w:p w14:paraId="1CF27C7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內政部</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1D9E4BD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消防署</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5CCFF95A"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補助地方消防人員因公傷亡慰問所需經費不敷。</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319DDCC5"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一般行政</w:t>
                            </w:r>
                          </w:p>
                        </w:tc>
                        <w:tc>
                          <w:tcPr>
                            <w:tcW w:w="1116" w:type="dxa"/>
                            <w:tcBorders>
                              <w:top w:val="nil"/>
                              <w:left w:val="nil"/>
                              <w:bottom w:val="single" w:sz="4" w:space="0" w:color="auto"/>
                              <w:right w:val="single" w:sz="4" w:space="0" w:color="auto"/>
                            </w:tcBorders>
                            <w:shd w:val="clear" w:color="auto" w:fill="auto"/>
                            <w:vAlign w:val="center"/>
                            <w:hideMark/>
                          </w:tcPr>
                          <w:p w14:paraId="102B3AB3"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6577A34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153,363</w:t>
                            </w:r>
                          </w:p>
                        </w:tc>
                      </w:tr>
                      <w:tr w:rsidR="00BC39D4" w:rsidRPr="00776189" w14:paraId="7F08C870" w14:textId="77777777" w:rsidTr="00902F7A">
                        <w:trPr>
                          <w:trHeight w:val="283"/>
                        </w:trPr>
                        <w:tc>
                          <w:tcPr>
                            <w:tcW w:w="1139" w:type="dxa"/>
                            <w:vMerge/>
                            <w:tcBorders>
                              <w:left w:val="single" w:sz="4" w:space="0" w:color="auto"/>
                              <w:bottom w:val="single" w:sz="4" w:space="0" w:color="000000"/>
                              <w:right w:val="single" w:sz="4" w:space="0" w:color="auto"/>
                            </w:tcBorders>
                            <w:vAlign w:val="center"/>
                          </w:tcPr>
                          <w:p w14:paraId="212D176B"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59E81B51"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386CDC2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434682F5"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031AD317"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111</w:t>
                            </w:r>
                          </w:p>
                        </w:tc>
                        <w:tc>
                          <w:tcPr>
                            <w:tcW w:w="1296" w:type="dxa"/>
                            <w:tcBorders>
                              <w:top w:val="nil"/>
                              <w:left w:val="nil"/>
                              <w:bottom w:val="single" w:sz="4" w:space="0" w:color="auto"/>
                              <w:right w:val="single" w:sz="4" w:space="0" w:color="auto"/>
                            </w:tcBorders>
                            <w:shd w:val="clear" w:color="auto" w:fill="auto"/>
                            <w:vAlign w:val="center"/>
                            <w:hideMark/>
                          </w:tcPr>
                          <w:p w14:paraId="3720C3EA"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13,412</w:t>
                            </w:r>
                          </w:p>
                        </w:tc>
                      </w:tr>
                      <w:tr w:rsidR="00BC39D4" w:rsidRPr="00776189" w14:paraId="44EC98A8" w14:textId="77777777" w:rsidTr="00902F7A">
                        <w:trPr>
                          <w:trHeight w:val="283"/>
                        </w:trPr>
                        <w:tc>
                          <w:tcPr>
                            <w:tcW w:w="1139" w:type="dxa"/>
                            <w:vMerge w:val="restart"/>
                            <w:tcBorders>
                              <w:top w:val="nil"/>
                              <w:left w:val="single" w:sz="4" w:space="0" w:color="auto"/>
                              <w:right w:val="single" w:sz="4" w:space="0" w:color="auto"/>
                            </w:tcBorders>
                            <w:vAlign w:val="center"/>
                          </w:tcPr>
                          <w:p w14:paraId="0EFE7F2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財政部</w:t>
                            </w:r>
                          </w:p>
                        </w:tc>
                        <w:tc>
                          <w:tcPr>
                            <w:tcW w:w="1276" w:type="dxa"/>
                            <w:vMerge w:val="restart"/>
                            <w:tcBorders>
                              <w:top w:val="nil"/>
                              <w:left w:val="single" w:sz="4" w:space="0" w:color="auto"/>
                              <w:right w:val="single" w:sz="4" w:space="0" w:color="auto"/>
                            </w:tcBorders>
                            <w:shd w:val="clear" w:color="auto" w:fill="auto"/>
                            <w:vAlign w:val="center"/>
                          </w:tcPr>
                          <w:p w14:paraId="545FD40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roofErr w:type="gramStart"/>
                            <w:r w:rsidRPr="00776189">
                              <w:rPr>
                                <w:rFonts w:ascii="標楷體" w:eastAsia="標楷體" w:hAnsi="標楷體" w:cs="新細明體" w:hint="eastAsia"/>
                                <w:spacing w:val="-8"/>
                                <w:kern w:val="0"/>
                                <w:sz w:val="20"/>
                              </w:rPr>
                              <w:t>臺</w:t>
                            </w:r>
                            <w:proofErr w:type="gramEnd"/>
                            <w:r w:rsidRPr="00776189">
                              <w:rPr>
                                <w:rFonts w:ascii="標楷體" w:eastAsia="標楷體" w:hAnsi="標楷體" w:cs="新細明體" w:hint="eastAsia"/>
                                <w:spacing w:val="-8"/>
                                <w:kern w:val="0"/>
                                <w:sz w:val="20"/>
                              </w:rPr>
                              <w:t>北國稅局</w:t>
                            </w:r>
                          </w:p>
                        </w:tc>
                        <w:tc>
                          <w:tcPr>
                            <w:tcW w:w="2773" w:type="dxa"/>
                            <w:vMerge w:val="restart"/>
                            <w:tcBorders>
                              <w:top w:val="nil"/>
                              <w:left w:val="single" w:sz="4" w:space="0" w:color="auto"/>
                              <w:right w:val="single" w:sz="4" w:space="0" w:color="auto"/>
                            </w:tcBorders>
                            <w:shd w:val="clear" w:color="auto" w:fill="auto"/>
                            <w:vAlign w:val="center"/>
                          </w:tcPr>
                          <w:p w14:paraId="7B54FAF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核發證券交易稅及期貨交易稅代徵獎金所需經費不敷。</w:t>
                            </w:r>
                          </w:p>
                        </w:tc>
                        <w:tc>
                          <w:tcPr>
                            <w:tcW w:w="1564" w:type="dxa"/>
                            <w:vMerge w:val="restart"/>
                            <w:tcBorders>
                              <w:top w:val="nil"/>
                              <w:left w:val="single" w:sz="4" w:space="0" w:color="auto"/>
                              <w:right w:val="single" w:sz="4" w:space="0" w:color="auto"/>
                            </w:tcBorders>
                            <w:shd w:val="clear" w:color="auto" w:fill="auto"/>
                            <w:vAlign w:val="center"/>
                          </w:tcPr>
                          <w:p w14:paraId="062D8079"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國稅</w:t>
                            </w:r>
                            <w:proofErr w:type="gramStart"/>
                            <w:r w:rsidRPr="00776189">
                              <w:rPr>
                                <w:rFonts w:ascii="標楷體" w:eastAsia="標楷體" w:hAnsi="標楷體" w:cs="新細明體" w:hint="eastAsia"/>
                                <w:spacing w:val="-8"/>
                                <w:kern w:val="0"/>
                                <w:sz w:val="20"/>
                              </w:rPr>
                              <w:t>稽</w:t>
                            </w:r>
                            <w:proofErr w:type="gramEnd"/>
                            <w:r w:rsidRPr="00776189">
                              <w:rPr>
                                <w:rFonts w:ascii="標楷體" w:eastAsia="標楷體" w:hAnsi="標楷體" w:cs="新細明體" w:hint="eastAsia"/>
                                <w:spacing w:val="-8"/>
                                <w:kern w:val="0"/>
                                <w:sz w:val="20"/>
                              </w:rPr>
                              <w:t>徵業務</w:t>
                            </w:r>
                          </w:p>
                        </w:tc>
                        <w:tc>
                          <w:tcPr>
                            <w:tcW w:w="1116" w:type="dxa"/>
                            <w:tcBorders>
                              <w:top w:val="nil"/>
                              <w:left w:val="nil"/>
                              <w:bottom w:val="single" w:sz="4" w:space="0" w:color="auto"/>
                              <w:right w:val="single" w:sz="4" w:space="0" w:color="auto"/>
                            </w:tcBorders>
                            <w:shd w:val="clear" w:color="auto" w:fill="auto"/>
                            <w:vAlign w:val="center"/>
                          </w:tcPr>
                          <w:p w14:paraId="1AA65D3A"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tcPr>
                          <w:p w14:paraId="7B53478B"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26,443</w:t>
                            </w:r>
                          </w:p>
                        </w:tc>
                      </w:tr>
                      <w:tr w:rsidR="00BC39D4" w:rsidRPr="00776189" w14:paraId="7674C578" w14:textId="77777777" w:rsidTr="00902F7A">
                        <w:trPr>
                          <w:trHeight w:val="283"/>
                        </w:trPr>
                        <w:tc>
                          <w:tcPr>
                            <w:tcW w:w="1139" w:type="dxa"/>
                            <w:vMerge/>
                            <w:tcBorders>
                              <w:left w:val="single" w:sz="4" w:space="0" w:color="auto"/>
                              <w:right w:val="single" w:sz="4" w:space="0" w:color="auto"/>
                            </w:tcBorders>
                          </w:tcPr>
                          <w:p w14:paraId="43A933EE"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tcBorders>
                              <w:left w:val="single" w:sz="4" w:space="0" w:color="auto"/>
                              <w:bottom w:val="single" w:sz="4" w:space="0" w:color="000000"/>
                              <w:right w:val="single" w:sz="4" w:space="0" w:color="auto"/>
                            </w:tcBorders>
                            <w:shd w:val="clear" w:color="auto" w:fill="auto"/>
                            <w:vAlign w:val="center"/>
                          </w:tcPr>
                          <w:p w14:paraId="4D3A1591"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2773" w:type="dxa"/>
                            <w:vMerge/>
                            <w:tcBorders>
                              <w:left w:val="single" w:sz="4" w:space="0" w:color="auto"/>
                              <w:bottom w:val="single" w:sz="4" w:space="0" w:color="000000"/>
                              <w:right w:val="single" w:sz="4" w:space="0" w:color="auto"/>
                            </w:tcBorders>
                            <w:shd w:val="clear" w:color="auto" w:fill="auto"/>
                            <w:vAlign w:val="center"/>
                          </w:tcPr>
                          <w:p w14:paraId="485A28ED"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564" w:type="dxa"/>
                            <w:vMerge/>
                            <w:tcBorders>
                              <w:left w:val="single" w:sz="4" w:space="0" w:color="auto"/>
                              <w:bottom w:val="single" w:sz="4" w:space="0" w:color="000000"/>
                              <w:right w:val="single" w:sz="4" w:space="0" w:color="auto"/>
                            </w:tcBorders>
                            <w:shd w:val="clear" w:color="auto" w:fill="auto"/>
                            <w:vAlign w:val="center"/>
                          </w:tcPr>
                          <w:p w14:paraId="45E0F05A"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tcPr>
                          <w:p w14:paraId="617187E2"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tcPr>
                          <w:p w14:paraId="5B76C51D"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9,175</w:t>
                            </w:r>
                          </w:p>
                        </w:tc>
                      </w:tr>
                      <w:tr w:rsidR="00BC39D4" w:rsidRPr="00776189" w14:paraId="76F3324F" w14:textId="77777777" w:rsidTr="00902F7A">
                        <w:trPr>
                          <w:trHeight w:val="283"/>
                        </w:trPr>
                        <w:tc>
                          <w:tcPr>
                            <w:tcW w:w="1139" w:type="dxa"/>
                            <w:vMerge/>
                            <w:tcBorders>
                              <w:left w:val="single" w:sz="4" w:space="0" w:color="auto"/>
                              <w:right w:val="single" w:sz="4" w:space="0" w:color="auto"/>
                            </w:tcBorders>
                          </w:tcPr>
                          <w:p w14:paraId="78C887EC"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40136856"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國有財產署</w:t>
                            </w:r>
                          </w:p>
                        </w:tc>
                        <w:tc>
                          <w:tcPr>
                            <w:tcW w:w="2773" w:type="dxa"/>
                            <w:vMerge w:val="restart"/>
                            <w:tcBorders>
                              <w:top w:val="nil"/>
                              <w:left w:val="single" w:sz="4" w:space="0" w:color="auto"/>
                              <w:bottom w:val="single" w:sz="4" w:space="0" w:color="000000"/>
                              <w:right w:val="single" w:sz="4" w:space="0" w:color="auto"/>
                            </w:tcBorders>
                            <w:shd w:val="clear" w:color="auto" w:fill="auto"/>
                            <w:vAlign w:val="center"/>
                            <w:hideMark/>
                          </w:tcPr>
                          <w:p w14:paraId="439691F8"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繳納經管國有非公用土地地價稅不敷。</w:t>
                            </w:r>
                          </w:p>
                        </w:tc>
                        <w:tc>
                          <w:tcPr>
                            <w:tcW w:w="1564" w:type="dxa"/>
                            <w:vMerge w:val="restart"/>
                            <w:tcBorders>
                              <w:top w:val="nil"/>
                              <w:left w:val="single" w:sz="4" w:space="0" w:color="auto"/>
                              <w:bottom w:val="single" w:sz="4" w:space="0" w:color="000000"/>
                              <w:right w:val="single" w:sz="4" w:space="0" w:color="auto"/>
                            </w:tcBorders>
                            <w:shd w:val="clear" w:color="auto" w:fill="auto"/>
                            <w:vAlign w:val="center"/>
                            <w:hideMark/>
                          </w:tcPr>
                          <w:p w14:paraId="026AB210" w14:textId="77777777" w:rsidR="00BC39D4" w:rsidRPr="00776189" w:rsidRDefault="00BC39D4" w:rsidP="00776189">
                            <w:pPr>
                              <w:widowControl/>
                              <w:spacing w:line="240" w:lineRule="exact"/>
                              <w:jc w:val="both"/>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國有財產業務</w:t>
                            </w:r>
                          </w:p>
                        </w:tc>
                        <w:tc>
                          <w:tcPr>
                            <w:tcW w:w="1116" w:type="dxa"/>
                            <w:tcBorders>
                              <w:top w:val="nil"/>
                              <w:left w:val="nil"/>
                              <w:bottom w:val="single" w:sz="4" w:space="0" w:color="auto"/>
                              <w:right w:val="single" w:sz="4" w:space="0" w:color="auto"/>
                            </w:tcBorders>
                            <w:shd w:val="clear" w:color="auto" w:fill="auto"/>
                            <w:vAlign w:val="center"/>
                            <w:hideMark/>
                          </w:tcPr>
                          <w:p w14:paraId="523DB08E"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113</w:t>
                            </w:r>
                          </w:p>
                        </w:tc>
                        <w:tc>
                          <w:tcPr>
                            <w:tcW w:w="1296" w:type="dxa"/>
                            <w:tcBorders>
                              <w:top w:val="nil"/>
                              <w:left w:val="nil"/>
                              <w:bottom w:val="single" w:sz="4" w:space="0" w:color="auto"/>
                              <w:right w:val="single" w:sz="4" w:space="0" w:color="auto"/>
                            </w:tcBorders>
                            <w:shd w:val="clear" w:color="auto" w:fill="auto"/>
                            <w:vAlign w:val="center"/>
                            <w:hideMark/>
                          </w:tcPr>
                          <w:p w14:paraId="23AB1FE4"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65,674</w:t>
                            </w:r>
                          </w:p>
                        </w:tc>
                      </w:tr>
                      <w:tr w:rsidR="00BC39D4" w:rsidRPr="00776189" w14:paraId="26194A7F" w14:textId="77777777" w:rsidTr="00902F7A">
                        <w:trPr>
                          <w:trHeight w:val="283"/>
                        </w:trPr>
                        <w:tc>
                          <w:tcPr>
                            <w:tcW w:w="1139" w:type="dxa"/>
                            <w:vMerge/>
                            <w:tcBorders>
                              <w:left w:val="single" w:sz="4" w:space="0" w:color="auto"/>
                              <w:right w:val="single" w:sz="4" w:space="0" w:color="auto"/>
                            </w:tcBorders>
                          </w:tcPr>
                          <w:p w14:paraId="6ADE01A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61F22E5F"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000000"/>
                              <w:right w:val="single" w:sz="4" w:space="0" w:color="auto"/>
                            </w:tcBorders>
                            <w:shd w:val="clear" w:color="auto" w:fill="auto"/>
                            <w:vAlign w:val="center"/>
                            <w:hideMark/>
                          </w:tcPr>
                          <w:p w14:paraId="22E9D019"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000000"/>
                              <w:right w:val="single" w:sz="4" w:space="0" w:color="auto"/>
                            </w:tcBorders>
                            <w:shd w:val="clear" w:color="auto" w:fill="auto"/>
                            <w:vAlign w:val="center"/>
                            <w:hideMark/>
                          </w:tcPr>
                          <w:p w14:paraId="7EE123E6"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1E2B2013"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112</w:t>
                            </w:r>
                          </w:p>
                        </w:tc>
                        <w:tc>
                          <w:tcPr>
                            <w:tcW w:w="1296" w:type="dxa"/>
                            <w:tcBorders>
                              <w:top w:val="nil"/>
                              <w:left w:val="nil"/>
                              <w:bottom w:val="single" w:sz="4" w:space="0" w:color="auto"/>
                              <w:right w:val="single" w:sz="4" w:space="0" w:color="auto"/>
                            </w:tcBorders>
                            <w:shd w:val="clear" w:color="auto" w:fill="auto"/>
                            <w:vAlign w:val="center"/>
                            <w:hideMark/>
                          </w:tcPr>
                          <w:p w14:paraId="777A3391"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35,124</w:t>
                            </w:r>
                          </w:p>
                        </w:tc>
                      </w:tr>
                      <w:tr w:rsidR="00BC39D4" w:rsidRPr="00776189" w14:paraId="7210BEAD" w14:textId="77777777" w:rsidTr="00902F7A">
                        <w:trPr>
                          <w:trHeight w:val="283"/>
                        </w:trPr>
                        <w:tc>
                          <w:tcPr>
                            <w:tcW w:w="1139" w:type="dxa"/>
                            <w:vMerge/>
                            <w:tcBorders>
                              <w:left w:val="single" w:sz="4" w:space="0" w:color="auto"/>
                              <w:bottom w:val="single" w:sz="4" w:space="0" w:color="auto"/>
                              <w:right w:val="single" w:sz="4" w:space="0" w:color="auto"/>
                            </w:tcBorders>
                          </w:tcPr>
                          <w:p w14:paraId="334BB7B0"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7AD2B4B3"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2773" w:type="dxa"/>
                            <w:vMerge/>
                            <w:tcBorders>
                              <w:top w:val="nil"/>
                              <w:left w:val="single" w:sz="4" w:space="0" w:color="auto"/>
                              <w:bottom w:val="single" w:sz="4" w:space="0" w:color="auto"/>
                              <w:right w:val="single" w:sz="4" w:space="0" w:color="auto"/>
                            </w:tcBorders>
                            <w:shd w:val="clear" w:color="auto" w:fill="auto"/>
                            <w:vAlign w:val="center"/>
                            <w:hideMark/>
                          </w:tcPr>
                          <w:p w14:paraId="006B2819"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564" w:type="dxa"/>
                            <w:vMerge/>
                            <w:tcBorders>
                              <w:top w:val="nil"/>
                              <w:left w:val="single" w:sz="4" w:space="0" w:color="auto"/>
                              <w:bottom w:val="single" w:sz="4" w:space="0" w:color="auto"/>
                              <w:right w:val="single" w:sz="4" w:space="0" w:color="auto"/>
                            </w:tcBorders>
                            <w:shd w:val="clear" w:color="auto" w:fill="auto"/>
                            <w:vAlign w:val="center"/>
                            <w:hideMark/>
                          </w:tcPr>
                          <w:p w14:paraId="29EDFE4E" w14:textId="77777777" w:rsidR="00BC39D4" w:rsidRPr="00776189" w:rsidRDefault="00BC39D4" w:rsidP="00776189">
                            <w:pPr>
                              <w:widowControl/>
                              <w:spacing w:line="240" w:lineRule="exact"/>
                              <w:rPr>
                                <w:rFonts w:ascii="標楷體" w:eastAsia="標楷體" w:hAnsi="標楷體" w:cs="新細明體"/>
                                <w:spacing w:val="-8"/>
                                <w:kern w:val="0"/>
                                <w:sz w:val="20"/>
                              </w:rPr>
                            </w:pPr>
                          </w:p>
                        </w:tc>
                        <w:tc>
                          <w:tcPr>
                            <w:tcW w:w="1116" w:type="dxa"/>
                            <w:tcBorders>
                              <w:top w:val="nil"/>
                              <w:left w:val="nil"/>
                              <w:bottom w:val="single" w:sz="4" w:space="0" w:color="auto"/>
                              <w:right w:val="single" w:sz="4" w:space="0" w:color="auto"/>
                            </w:tcBorders>
                            <w:shd w:val="clear" w:color="auto" w:fill="auto"/>
                            <w:vAlign w:val="center"/>
                            <w:hideMark/>
                          </w:tcPr>
                          <w:p w14:paraId="2A41CB28" w14:textId="77777777" w:rsidR="00BC39D4" w:rsidRPr="00776189" w:rsidRDefault="00BC39D4" w:rsidP="00776189">
                            <w:pPr>
                              <w:widowControl/>
                              <w:spacing w:line="240" w:lineRule="exact"/>
                              <w:jc w:val="center"/>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111</w:t>
                            </w:r>
                          </w:p>
                        </w:tc>
                        <w:tc>
                          <w:tcPr>
                            <w:tcW w:w="1296" w:type="dxa"/>
                            <w:tcBorders>
                              <w:top w:val="nil"/>
                              <w:left w:val="nil"/>
                              <w:bottom w:val="single" w:sz="4" w:space="0" w:color="auto"/>
                              <w:right w:val="single" w:sz="4" w:space="0" w:color="auto"/>
                            </w:tcBorders>
                            <w:shd w:val="clear" w:color="auto" w:fill="auto"/>
                            <w:vAlign w:val="center"/>
                            <w:hideMark/>
                          </w:tcPr>
                          <w:p w14:paraId="391B9430" w14:textId="77777777" w:rsidR="00BC39D4" w:rsidRPr="00776189" w:rsidRDefault="00BC39D4" w:rsidP="00776189">
                            <w:pPr>
                              <w:widowControl/>
                              <w:spacing w:line="240" w:lineRule="exact"/>
                              <w:jc w:val="right"/>
                              <w:rPr>
                                <w:rFonts w:ascii="標楷體" w:eastAsia="標楷體" w:hAnsi="標楷體" w:cs="新細明體"/>
                                <w:spacing w:val="-8"/>
                                <w:kern w:val="0"/>
                                <w:sz w:val="20"/>
                              </w:rPr>
                            </w:pPr>
                            <w:r w:rsidRPr="00776189">
                              <w:rPr>
                                <w:rFonts w:ascii="標楷體" w:eastAsia="標楷體" w:hAnsi="標楷體" w:cs="新細明體" w:hint="eastAsia"/>
                                <w:spacing w:val="-8"/>
                                <w:kern w:val="0"/>
                                <w:sz w:val="20"/>
                              </w:rPr>
                              <w:t>68,627</w:t>
                            </w:r>
                          </w:p>
                        </w:tc>
                      </w:tr>
                      <w:tr w:rsidR="00BC39D4" w:rsidRPr="00776189" w14:paraId="6D19A80D" w14:textId="77777777" w:rsidTr="00902F7A">
                        <w:trPr>
                          <w:trHeight w:val="283"/>
                        </w:trPr>
                        <w:tc>
                          <w:tcPr>
                            <w:tcW w:w="9169" w:type="dxa"/>
                            <w:gridSpan w:val="6"/>
                            <w:tcBorders>
                              <w:top w:val="single" w:sz="4" w:space="0" w:color="auto"/>
                            </w:tcBorders>
                          </w:tcPr>
                          <w:p w14:paraId="076FF514" w14:textId="77777777" w:rsidR="00BC39D4" w:rsidRPr="00776189" w:rsidRDefault="00BC39D4" w:rsidP="00776189">
                            <w:pPr>
                              <w:widowControl/>
                              <w:spacing w:line="240" w:lineRule="exact"/>
                              <w:rPr>
                                <w:rFonts w:ascii="標楷體" w:eastAsia="標楷體" w:hAnsi="標楷體" w:cs="新細明體"/>
                                <w:kern w:val="0"/>
                                <w:sz w:val="18"/>
                                <w:szCs w:val="18"/>
                              </w:rPr>
                            </w:pPr>
                            <w:r w:rsidRPr="00776189">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行政</w:t>
                            </w:r>
                            <w:r w:rsidRPr="00776189">
                              <w:rPr>
                                <w:rFonts w:ascii="標楷體" w:eastAsia="標楷體" w:hAnsi="標楷體" w:cs="新細明體" w:hint="eastAsia"/>
                                <w:kern w:val="0"/>
                                <w:sz w:val="18"/>
                                <w:szCs w:val="18"/>
                              </w:rPr>
                              <w:t>院主計</w:t>
                            </w:r>
                            <w:proofErr w:type="gramStart"/>
                            <w:r w:rsidRPr="00776189">
                              <w:rPr>
                                <w:rFonts w:ascii="標楷體" w:eastAsia="標楷體" w:hAnsi="標楷體" w:cs="新細明體" w:hint="eastAsia"/>
                                <w:kern w:val="0"/>
                                <w:sz w:val="18"/>
                                <w:szCs w:val="18"/>
                              </w:rPr>
                              <w:t>總處編製</w:t>
                            </w:r>
                            <w:proofErr w:type="gramEnd"/>
                            <w:r w:rsidRPr="00776189">
                              <w:rPr>
                                <w:rFonts w:ascii="標楷體" w:eastAsia="標楷體" w:hAnsi="標楷體" w:cs="新細明體"/>
                                <w:kern w:val="0"/>
                                <w:sz w:val="18"/>
                                <w:szCs w:val="18"/>
                              </w:rPr>
                              <w:t>1</w:t>
                            </w:r>
                            <w:r w:rsidRPr="00776189">
                              <w:rPr>
                                <w:rFonts w:ascii="標楷體" w:eastAsia="標楷體" w:hAnsi="標楷體" w:cs="新細明體" w:hint="eastAsia"/>
                                <w:kern w:val="0"/>
                                <w:sz w:val="18"/>
                                <w:szCs w:val="18"/>
                              </w:rPr>
                              <w:t>11至113年度第二預備金動支數額表及各機關提供資料。</w:t>
                            </w:r>
                          </w:p>
                        </w:tc>
                      </w:tr>
                    </w:tbl>
                    <w:p w14:paraId="0C50E5E0" w14:textId="77777777" w:rsidR="00BC39D4" w:rsidRPr="00776189" w:rsidRDefault="00BC39D4" w:rsidP="00BC39D4"/>
                  </w:txbxContent>
                </v:textbox>
                <w10:wrap type="topAndBottom"/>
              </v:shape>
            </w:pict>
          </mc:Fallback>
        </mc:AlternateContent>
      </w:r>
      <w:r w:rsidR="00C16723" w:rsidRPr="00821D34">
        <w:rPr>
          <w:rFonts w:ascii="標楷體" w:eastAsia="標楷體" w:hAnsi="標楷體"/>
          <w:b/>
          <w:bCs/>
          <w:noProof/>
          <w:spacing w:val="-2"/>
          <w:szCs w:val="24"/>
        </w:rPr>
        <mc:AlternateContent>
          <mc:Choice Requires="wps">
            <w:drawing>
              <wp:anchor distT="45720" distB="45720" distL="114300" distR="114300" simplePos="0" relativeHeight="251617280" behindDoc="0" locked="0" layoutInCell="1" allowOverlap="1" wp14:anchorId="4AD6E86D" wp14:editId="4E31A4B5">
                <wp:simplePos x="0" y="0"/>
                <wp:positionH relativeFrom="column">
                  <wp:posOffset>2595880</wp:posOffset>
                </wp:positionH>
                <wp:positionV relativeFrom="paragraph">
                  <wp:posOffset>1583055</wp:posOffset>
                </wp:positionV>
                <wp:extent cx="3712845" cy="1821815"/>
                <wp:effectExtent l="0" t="0" r="1905" b="698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2845" cy="1821815"/>
                        </a:xfrm>
                        <a:prstGeom prst="rect">
                          <a:avLst/>
                        </a:prstGeom>
                        <a:solidFill>
                          <a:srgbClr val="FFFFFF"/>
                        </a:solidFill>
                        <a:ln w="9525">
                          <a:noFill/>
                          <a:miter lim="800000"/>
                          <a:headEnd/>
                          <a:tailEnd/>
                        </a:ln>
                      </wps:spPr>
                      <wps:txbx>
                        <w:txbxContent>
                          <w:tbl>
                            <w:tblPr>
                              <w:tblStyle w:val="afff"/>
                              <w:tblW w:w="5514" w:type="dxa"/>
                              <w:jc w:val="right"/>
                              <w:tblLayout w:type="fixed"/>
                              <w:tblLook w:val="04A0" w:firstRow="1" w:lastRow="0" w:firstColumn="1" w:lastColumn="0" w:noHBand="0" w:noVBand="1"/>
                            </w:tblPr>
                            <w:tblGrid>
                              <w:gridCol w:w="621"/>
                              <w:gridCol w:w="414"/>
                              <w:gridCol w:w="667"/>
                              <w:gridCol w:w="1082"/>
                              <w:gridCol w:w="1001"/>
                              <w:gridCol w:w="995"/>
                              <w:gridCol w:w="734"/>
                            </w:tblGrid>
                            <w:tr w:rsidR="00F86926" w:rsidRPr="00D14483" w14:paraId="18FAD79B" w14:textId="77777777" w:rsidTr="004E00FB">
                              <w:trPr>
                                <w:trHeight w:val="283"/>
                                <w:jc w:val="right"/>
                              </w:trPr>
                              <w:tc>
                                <w:tcPr>
                                  <w:tcW w:w="5514" w:type="dxa"/>
                                  <w:gridSpan w:val="7"/>
                                  <w:tcBorders>
                                    <w:top w:val="nil"/>
                                    <w:left w:val="nil"/>
                                    <w:bottom w:val="nil"/>
                                    <w:right w:val="nil"/>
                                  </w:tcBorders>
                                </w:tcPr>
                                <w:p w14:paraId="08AE1225" w14:textId="54AC7ED0" w:rsidR="00F86926" w:rsidRPr="008F4C3D" w:rsidRDefault="00F86926" w:rsidP="008701F0">
                                  <w:pPr>
                                    <w:spacing w:line="280" w:lineRule="exact"/>
                                    <w:jc w:val="center"/>
                                    <w:rPr>
                                      <w:rFonts w:ascii="標楷體" w:eastAsia="標楷體" w:hAnsi="標楷體"/>
                                      <w:b/>
                                      <w:szCs w:val="24"/>
                                    </w:rPr>
                                  </w:pPr>
                                  <w:r w:rsidRPr="008F4C3D">
                                    <w:rPr>
                                      <w:rFonts w:ascii="標楷體" w:eastAsia="標楷體" w:hAnsi="標楷體" w:hint="eastAsia"/>
                                      <w:b/>
                                      <w:szCs w:val="24"/>
                                    </w:rPr>
                                    <w:t>表</w:t>
                                  </w:r>
                                  <w:r>
                                    <w:rPr>
                                      <w:rFonts w:ascii="標楷體" w:eastAsia="標楷體" w:hAnsi="標楷體"/>
                                      <w:b/>
                                      <w:szCs w:val="24"/>
                                    </w:rPr>
                                    <w:t>4</w:t>
                                  </w:r>
                                  <w:r w:rsidR="000532D9">
                                    <w:rPr>
                                      <w:rFonts w:ascii="標楷體" w:eastAsia="標楷體" w:hAnsi="標楷體"/>
                                      <w:b/>
                                      <w:szCs w:val="24"/>
                                    </w:rPr>
                                    <w:t>8</w:t>
                                  </w:r>
                                  <w:r w:rsidRPr="00EC39BD">
                                    <w:rPr>
                                      <w:rFonts w:ascii="標楷體" w:eastAsia="標楷體" w:hAnsi="標楷體" w:hint="eastAsia"/>
                                      <w:b/>
                                      <w:spacing w:val="-6"/>
                                    </w:rPr>
                                    <w:t xml:space="preserve">　</w:t>
                                  </w:r>
                                  <w:r w:rsidRPr="008F4C3D">
                                    <w:rPr>
                                      <w:rFonts w:ascii="標楷體" w:eastAsia="標楷體" w:hAnsi="標楷體" w:hint="eastAsia"/>
                                      <w:b/>
                                      <w:szCs w:val="24"/>
                                    </w:rPr>
                                    <w:t>11</w:t>
                                  </w:r>
                                  <w:r>
                                    <w:rPr>
                                      <w:rFonts w:ascii="標楷體" w:eastAsia="標楷體" w:hAnsi="標楷體"/>
                                      <w:b/>
                                      <w:szCs w:val="24"/>
                                    </w:rPr>
                                    <w:t>1</w:t>
                                  </w:r>
                                  <w:r w:rsidRPr="008F4C3D">
                                    <w:rPr>
                                      <w:rFonts w:ascii="標楷體" w:eastAsia="標楷體" w:hAnsi="標楷體" w:hint="eastAsia"/>
                                      <w:b/>
                                      <w:szCs w:val="24"/>
                                    </w:rPr>
                                    <w:t>至</w:t>
                                  </w:r>
                                  <w:r>
                                    <w:rPr>
                                      <w:rFonts w:ascii="標楷體" w:eastAsia="標楷體" w:hAnsi="標楷體" w:hint="eastAsia"/>
                                      <w:b/>
                                      <w:szCs w:val="24"/>
                                    </w:rPr>
                                    <w:t>11</w:t>
                                  </w:r>
                                  <w:r>
                                    <w:rPr>
                                      <w:rFonts w:ascii="標楷體" w:eastAsia="標楷體" w:hAnsi="標楷體"/>
                                      <w:b/>
                                      <w:szCs w:val="24"/>
                                    </w:rPr>
                                    <w:t>3</w:t>
                                  </w:r>
                                  <w:r w:rsidRPr="008F4C3D">
                                    <w:rPr>
                                      <w:rFonts w:ascii="標楷體" w:eastAsia="標楷體" w:hAnsi="標楷體" w:hint="eastAsia"/>
                                      <w:b/>
                                      <w:szCs w:val="24"/>
                                    </w:rPr>
                                    <w:t>年度第二預備金</w:t>
                                  </w:r>
                                  <w:r>
                                    <w:rPr>
                                      <w:rFonts w:ascii="標楷體" w:eastAsia="標楷體" w:hAnsi="標楷體" w:hint="eastAsia"/>
                                      <w:b/>
                                      <w:szCs w:val="24"/>
                                    </w:rPr>
                                    <w:t>執行</w:t>
                                  </w:r>
                                  <w:r w:rsidRPr="008F4C3D">
                                    <w:rPr>
                                      <w:rFonts w:ascii="標楷體" w:eastAsia="標楷體" w:hAnsi="標楷體" w:hint="eastAsia"/>
                                      <w:b/>
                                      <w:szCs w:val="24"/>
                                    </w:rPr>
                                    <w:t>情形</w:t>
                                  </w:r>
                                </w:p>
                              </w:tc>
                            </w:tr>
                            <w:tr w:rsidR="00F86926" w:rsidRPr="00D14483" w14:paraId="642927EE" w14:textId="77777777" w:rsidTr="004E00FB">
                              <w:trPr>
                                <w:trHeight w:val="312"/>
                                <w:jc w:val="right"/>
                              </w:trPr>
                              <w:tc>
                                <w:tcPr>
                                  <w:tcW w:w="1035" w:type="dxa"/>
                                  <w:gridSpan w:val="2"/>
                                  <w:tcBorders>
                                    <w:top w:val="nil"/>
                                    <w:left w:val="nil"/>
                                    <w:bottom w:val="single" w:sz="4" w:space="0" w:color="auto"/>
                                    <w:right w:val="nil"/>
                                  </w:tcBorders>
                                </w:tcPr>
                                <w:p w14:paraId="6A2E17B1" w14:textId="77777777" w:rsidR="00F86926" w:rsidRPr="00D14483" w:rsidRDefault="00F86926" w:rsidP="006F06C8">
                                  <w:pPr>
                                    <w:spacing w:line="280" w:lineRule="exact"/>
                                    <w:ind w:rightChars="-37" w:right="-89"/>
                                    <w:jc w:val="right"/>
                                    <w:rPr>
                                      <w:rFonts w:ascii="標楷體" w:eastAsia="標楷體" w:hAnsi="標楷體"/>
                                      <w:sz w:val="20"/>
                                    </w:rPr>
                                  </w:pPr>
                                </w:p>
                              </w:tc>
                              <w:tc>
                                <w:tcPr>
                                  <w:tcW w:w="4479" w:type="dxa"/>
                                  <w:gridSpan w:val="5"/>
                                  <w:tcBorders>
                                    <w:top w:val="nil"/>
                                    <w:left w:val="nil"/>
                                    <w:bottom w:val="single" w:sz="4" w:space="0" w:color="auto"/>
                                    <w:right w:val="nil"/>
                                  </w:tcBorders>
                                  <w:vAlign w:val="center"/>
                                </w:tcPr>
                                <w:p w14:paraId="054FDEF6" w14:textId="77777777" w:rsidR="00F86926" w:rsidRPr="00D14483" w:rsidRDefault="00F86926" w:rsidP="006F06C8">
                                  <w:pPr>
                                    <w:spacing w:line="280" w:lineRule="exact"/>
                                    <w:ind w:rightChars="-37" w:right="-89"/>
                                    <w:jc w:val="right"/>
                                    <w:rPr>
                                      <w:rFonts w:ascii="標楷體" w:eastAsia="標楷體" w:hAnsi="標楷體"/>
                                      <w:sz w:val="20"/>
                                    </w:rPr>
                                  </w:pPr>
                                  <w:r w:rsidRPr="00D14483">
                                    <w:rPr>
                                      <w:rFonts w:ascii="標楷體" w:eastAsia="標楷體" w:hAnsi="標楷體" w:hint="eastAsia"/>
                                      <w:sz w:val="20"/>
                                    </w:rPr>
                                    <w:t>單位：新臺幣</w:t>
                                  </w:r>
                                  <w:r>
                                    <w:rPr>
                                      <w:rFonts w:ascii="標楷體" w:eastAsia="標楷體" w:hAnsi="標楷體" w:hint="eastAsia"/>
                                      <w:sz w:val="20"/>
                                    </w:rPr>
                                    <w:t>千</w:t>
                                  </w:r>
                                  <w:r w:rsidRPr="00D14483">
                                    <w:rPr>
                                      <w:rFonts w:ascii="標楷體" w:eastAsia="標楷體" w:hAnsi="標楷體" w:hint="eastAsia"/>
                                      <w:sz w:val="20"/>
                                    </w:rPr>
                                    <w:t>元</w:t>
                                  </w:r>
                                </w:p>
                              </w:tc>
                            </w:tr>
                            <w:tr w:rsidR="00F86926" w:rsidRPr="00D14483" w14:paraId="617F849A" w14:textId="77777777" w:rsidTr="004E00FB">
                              <w:trPr>
                                <w:trHeight w:val="397"/>
                                <w:jc w:val="right"/>
                              </w:trPr>
                              <w:tc>
                                <w:tcPr>
                                  <w:tcW w:w="621" w:type="dxa"/>
                                  <w:vMerge w:val="restart"/>
                                  <w:tcBorders>
                                    <w:top w:val="single" w:sz="4" w:space="0" w:color="auto"/>
                                  </w:tcBorders>
                                  <w:vAlign w:val="center"/>
                                </w:tcPr>
                                <w:p w14:paraId="19EDC7E1" w14:textId="77777777" w:rsidR="00F86926" w:rsidRPr="008F4C3D" w:rsidRDefault="00F86926" w:rsidP="006F06C8">
                                  <w:pPr>
                                    <w:spacing w:line="240" w:lineRule="exact"/>
                                    <w:jc w:val="center"/>
                                    <w:rPr>
                                      <w:rFonts w:ascii="標楷體" w:eastAsia="標楷體" w:hAnsi="標楷體"/>
                                      <w:sz w:val="20"/>
                                    </w:rPr>
                                  </w:pPr>
                                  <w:r w:rsidRPr="008F4C3D">
                                    <w:rPr>
                                      <w:rFonts w:ascii="標楷體" w:eastAsia="標楷體" w:hAnsi="標楷體" w:hint="eastAsia"/>
                                      <w:sz w:val="20"/>
                                    </w:rPr>
                                    <w:t>年度</w:t>
                                  </w:r>
                                </w:p>
                              </w:tc>
                              <w:tc>
                                <w:tcPr>
                                  <w:tcW w:w="1081" w:type="dxa"/>
                                  <w:gridSpan w:val="2"/>
                                  <w:vMerge w:val="restart"/>
                                  <w:tcBorders>
                                    <w:top w:val="single" w:sz="4" w:space="0" w:color="auto"/>
                                  </w:tcBorders>
                                  <w:vAlign w:val="center"/>
                                </w:tcPr>
                                <w:p w14:paraId="5219C43A" w14:textId="77777777" w:rsidR="00F86926" w:rsidRPr="008F4C3D" w:rsidRDefault="00F86926" w:rsidP="006F06C8">
                                  <w:pPr>
                                    <w:spacing w:line="240" w:lineRule="exact"/>
                                    <w:jc w:val="center"/>
                                    <w:rPr>
                                      <w:rFonts w:ascii="標楷體" w:eastAsia="標楷體" w:hAnsi="標楷體"/>
                                      <w:sz w:val="20"/>
                                    </w:rPr>
                                  </w:pPr>
                                  <w:proofErr w:type="gramStart"/>
                                  <w:r w:rsidRPr="008F4C3D">
                                    <w:rPr>
                                      <w:rFonts w:ascii="標楷體" w:eastAsia="標楷體" w:hAnsi="標楷體" w:hint="eastAsia"/>
                                      <w:sz w:val="20"/>
                                    </w:rPr>
                                    <w:t>動支數</w:t>
                                  </w:r>
                                  <w:proofErr w:type="gramEnd"/>
                                </w:p>
                              </w:tc>
                              <w:tc>
                                <w:tcPr>
                                  <w:tcW w:w="1082" w:type="dxa"/>
                                  <w:vMerge w:val="restart"/>
                                  <w:tcBorders>
                                    <w:top w:val="single" w:sz="4" w:space="0" w:color="auto"/>
                                  </w:tcBorders>
                                  <w:vAlign w:val="center"/>
                                </w:tcPr>
                                <w:p w14:paraId="4189B578"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實現數</w:t>
                                  </w:r>
                                </w:p>
                              </w:tc>
                              <w:tc>
                                <w:tcPr>
                                  <w:tcW w:w="1001" w:type="dxa"/>
                                  <w:vMerge w:val="restart"/>
                                  <w:tcBorders>
                                    <w:top w:val="single" w:sz="4" w:space="0" w:color="auto"/>
                                  </w:tcBorders>
                                  <w:vAlign w:val="center"/>
                                </w:tcPr>
                                <w:p w14:paraId="5B03929C"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賸餘數</w:t>
                                  </w:r>
                                </w:p>
                              </w:tc>
                              <w:tc>
                                <w:tcPr>
                                  <w:tcW w:w="1729" w:type="dxa"/>
                                  <w:gridSpan w:val="2"/>
                                  <w:tcBorders>
                                    <w:top w:val="single" w:sz="4" w:space="0" w:color="auto"/>
                                  </w:tcBorders>
                                  <w:vAlign w:val="center"/>
                                </w:tcPr>
                                <w:p w14:paraId="331C5898"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應付保留</w:t>
                                  </w:r>
                                  <w:r w:rsidRPr="008F4C3D">
                                    <w:rPr>
                                      <w:rFonts w:ascii="標楷體" w:eastAsia="標楷體" w:hAnsi="標楷體" w:hint="eastAsia"/>
                                      <w:sz w:val="20"/>
                                    </w:rPr>
                                    <w:t>數</w:t>
                                  </w:r>
                                </w:p>
                              </w:tc>
                            </w:tr>
                            <w:tr w:rsidR="00F86926" w:rsidRPr="00D14483" w14:paraId="1FB844E9" w14:textId="77777777" w:rsidTr="004E00FB">
                              <w:trPr>
                                <w:trHeight w:val="397"/>
                                <w:jc w:val="right"/>
                              </w:trPr>
                              <w:tc>
                                <w:tcPr>
                                  <w:tcW w:w="621" w:type="dxa"/>
                                  <w:vMerge/>
                                  <w:vAlign w:val="center"/>
                                </w:tcPr>
                                <w:p w14:paraId="740EE96D" w14:textId="77777777" w:rsidR="00F86926" w:rsidRPr="008F4C3D" w:rsidRDefault="00F86926" w:rsidP="006F06C8">
                                  <w:pPr>
                                    <w:spacing w:line="240" w:lineRule="exact"/>
                                    <w:jc w:val="center"/>
                                    <w:rPr>
                                      <w:rFonts w:ascii="標楷體" w:eastAsia="標楷體" w:hAnsi="標楷體"/>
                                      <w:sz w:val="20"/>
                                    </w:rPr>
                                  </w:pPr>
                                </w:p>
                              </w:tc>
                              <w:tc>
                                <w:tcPr>
                                  <w:tcW w:w="1081" w:type="dxa"/>
                                  <w:gridSpan w:val="2"/>
                                  <w:vMerge/>
                                  <w:vAlign w:val="center"/>
                                </w:tcPr>
                                <w:p w14:paraId="7B1DE07F" w14:textId="77777777" w:rsidR="00F86926" w:rsidRPr="008F4C3D" w:rsidRDefault="00F86926" w:rsidP="006F06C8">
                                  <w:pPr>
                                    <w:spacing w:line="240" w:lineRule="exact"/>
                                    <w:jc w:val="right"/>
                                    <w:rPr>
                                      <w:rFonts w:ascii="標楷體" w:eastAsia="標楷體" w:hAnsi="標楷體"/>
                                      <w:noProof/>
                                      <w:spacing w:val="-10"/>
                                      <w:sz w:val="20"/>
                                    </w:rPr>
                                  </w:pPr>
                                </w:p>
                              </w:tc>
                              <w:tc>
                                <w:tcPr>
                                  <w:tcW w:w="1082" w:type="dxa"/>
                                  <w:vMerge/>
                                  <w:vAlign w:val="center"/>
                                </w:tcPr>
                                <w:p w14:paraId="443A698A" w14:textId="77777777" w:rsidR="00F86926" w:rsidRPr="008F4C3D" w:rsidRDefault="00F86926" w:rsidP="006F06C8">
                                  <w:pPr>
                                    <w:spacing w:line="240" w:lineRule="exact"/>
                                    <w:jc w:val="center"/>
                                    <w:rPr>
                                      <w:rFonts w:ascii="標楷體" w:eastAsia="標楷體" w:hAnsi="標楷體"/>
                                      <w:noProof/>
                                      <w:spacing w:val="-10"/>
                                      <w:sz w:val="20"/>
                                    </w:rPr>
                                  </w:pPr>
                                </w:p>
                              </w:tc>
                              <w:tc>
                                <w:tcPr>
                                  <w:tcW w:w="1001" w:type="dxa"/>
                                  <w:vMerge/>
                                  <w:vAlign w:val="center"/>
                                </w:tcPr>
                                <w:p w14:paraId="0FEFA149" w14:textId="77777777" w:rsidR="00F86926" w:rsidRPr="008F4C3D" w:rsidRDefault="00F86926" w:rsidP="006F06C8">
                                  <w:pPr>
                                    <w:spacing w:line="240" w:lineRule="exact"/>
                                    <w:jc w:val="center"/>
                                    <w:rPr>
                                      <w:rFonts w:ascii="標楷體" w:eastAsia="標楷體" w:hAnsi="標楷體"/>
                                      <w:noProof/>
                                      <w:spacing w:val="-10"/>
                                      <w:sz w:val="20"/>
                                    </w:rPr>
                                  </w:pPr>
                                </w:p>
                              </w:tc>
                              <w:tc>
                                <w:tcPr>
                                  <w:tcW w:w="995" w:type="dxa"/>
                                  <w:vAlign w:val="center"/>
                                </w:tcPr>
                                <w:p w14:paraId="770B324D" w14:textId="77777777" w:rsidR="00F86926" w:rsidRPr="008F4C3D" w:rsidRDefault="00F86926" w:rsidP="006F06C8">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34" w:type="dxa"/>
                                  <w:vAlign w:val="center"/>
                                </w:tcPr>
                                <w:p w14:paraId="0395AA70" w14:textId="77777777" w:rsidR="00F86926" w:rsidRPr="008F4C3D" w:rsidRDefault="00F86926" w:rsidP="006F06C8">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r>
                            <w:tr w:rsidR="00F86926" w:rsidRPr="00D14483" w14:paraId="085FDF4E" w14:textId="77777777" w:rsidTr="00BE0435">
                              <w:trPr>
                                <w:trHeight w:val="340"/>
                                <w:jc w:val="right"/>
                              </w:trPr>
                              <w:tc>
                                <w:tcPr>
                                  <w:tcW w:w="621" w:type="dxa"/>
                                  <w:vAlign w:val="center"/>
                                </w:tcPr>
                                <w:p w14:paraId="7B385749"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113</w:t>
                                  </w:r>
                                </w:p>
                              </w:tc>
                              <w:tc>
                                <w:tcPr>
                                  <w:tcW w:w="1081" w:type="dxa"/>
                                  <w:gridSpan w:val="2"/>
                                  <w:vAlign w:val="center"/>
                                </w:tcPr>
                                <w:p w14:paraId="3B79980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7,332,149</w:t>
                                  </w:r>
                                </w:p>
                              </w:tc>
                              <w:tc>
                                <w:tcPr>
                                  <w:tcW w:w="1082" w:type="dxa"/>
                                  <w:vAlign w:val="center"/>
                                </w:tcPr>
                                <w:p w14:paraId="42C974BF" w14:textId="77777777" w:rsidR="00F86926"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6,405,692</w:t>
                                  </w:r>
                                </w:p>
                              </w:tc>
                              <w:tc>
                                <w:tcPr>
                                  <w:tcW w:w="1001" w:type="dxa"/>
                                  <w:vAlign w:val="center"/>
                                </w:tcPr>
                                <w:p w14:paraId="45908C11" w14:textId="77777777" w:rsidR="00F86926" w:rsidRPr="005303A0" w:rsidRDefault="00F86926" w:rsidP="005303A0">
                                  <w:pPr>
                                    <w:spacing w:line="240" w:lineRule="exact"/>
                                    <w:jc w:val="right"/>
                                    <w:rPr>
                                      <w:rFonts w:ascii="標楷體" w:eastAsia="標楷體" w:hAnsi="標楷體"/>
                                      <w:noProof/>
                                      <w:spacing w:val="-10"/>
                                      <w:sz w:val="20"/>
                                    </w:rPr>
                                  </w:pPr>
                                  <w:r w:rsidRPr="005303A0">
                                    <w:rPr>
                                      <w:rFonts w:ascii="標楷體" w:eastAsia="標楷體" w:hAnsi="標楷體" w:hint="eastAsia"/>
                                      <w:noProof/>
                                      <w:spacing w:val="-10"/>
                                      <w:sz w:val="20"/>
                                    </w:rPr>
                                    <w:t>18</w:t>
                                  </w:r>
                                  <w:r w:rsidRPr="005303A0">
                                    <w:rPr>
                                      <w:rFonts w:ascii="標楷體" w:eastAsia="標楷體" w:hAnsi="標楷體"/>
                                      <w:noProof/>
                                      <w:spacing w:val="-10"/>
                                      <w:sz w:val="20"/>
                                    </w:rPr>
                                    <w:t>7,783</w:t>
                                  </w:r>
                                </w:p>
                              </w:tc>
                              <w:tc>
                                <w:tcPr>
                                  <w:tcW w:w="995" w:type="dxa"/>
                                  <w:vAlign w:val="center"/>
                                </w:tcPr>
                                <w:p w14:paraId="555A495B" w14:textId="77777777" w:rsidR="00F86926" w:rsidRPr="00356ABF" w:rsidRDefault="00F86926" w:rsidP="006F06C8">
                                  <w:pPr>
                                    <w:spacing w:line="240" w:lineRule="exact"/>
                                    <w:jc w:val="right"/>
                                    <w:rPr>
                                      <w:rFonts w:ascii="標楷體" w:eastAsia="標楷體" w:hAnsi="標楷體"/>
                                      <w:noProof/>
                                      <w:color w:val="FF0000"/>
                                      <w:spacing w:val="-10"/>
                                      <w:sz w:val="20"/>
                                    </w:rPr>
                                  </w:pPr>
                                  <w:r w:rsidRPr="005303A0">
                                    <w:rPr>
                                      <w:rFonts w:ascii="標楷體" w:eastAsia="標楷體" w:hAnsi="標楷體" w:hint="eastAsia"/>
                                      <w:noProof/>
                                      <w:spacing w:val="-10"/>
                                      <w:sz w:val="20"/>
                                    </w:rPr>
                                    <w:t>738</w:t>
                                  </w:r>
                                  <w:r w:rsidRPr="005303A0">
                                    <w:rPr>
                                      <w:rFonts w:ascii="標楷體" w:eastAsia="標楷體" w:hAnsi="標楷體"/>
                                      <w:noProof/>
                                      <w:spacing w:val="-10"/>
                                      <w:sz w:val="20"/>
                                    </w:rPr>
                                    <w:t>,</w:t>
                                  </w:r>
                                  <w:r w:rsidRPr="005303A0">
                                    <w:rPr>
                                      <w:rFonts w:ascii="標楷體" w:eastAsia="標楷體" w:hAnsi="標楷體" w:hint="eastAsia"/>
                                      <w:noProof/>
                                      <w:spacing w:val="-10"/>
                                      <w:sz w:val="20"/>
                                    </w:rPr>
                                    <w:t>674</w:t>
                                  </w:r>
                                </w:p>
                              </w:tc>
                              <w:tc>
                                <w:tcPr>
                                  <w:tcW w:w="734" w:type="dxa"/>
                                  <w:vAlign w:val="center"/>
                                </w:tcPr>
                                <w:p w14:paraId="03BD1874" w14:textId="77777777" w:rsidR="00F86926"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10.07</w:t>
                                  </w:r>
                                </w:p>
                              </w:tc>
                            </w:tr>
                            <w:tr w:rsidR="00F86926" w:rsidRPr="00D14483" w14:paraId="69B8F6F5" w14:textId="77777777" w:rsidTr="00BE0435">
                              <w:trPr>
                                <w:trHeight w:val="340"/>
                                <w:jc w:val="right"/>
                              </w:trPr>
                              <w:tc>
                                <w:tcPr>
                                  <w:tcW w:w="621" w:type="dxa"/>
                                  <w:vAlign w:val="center"/>
                                </w:tcPr>
                                <w:p w14:paraId="6106598C" w14:textId="77777777" w:rsidR="00F86926" w:rsidRPr="008F4C3D" w:rsidRDefault="00F86926" w:rsidP="00356ABF">
                                  <w:pPr>
                                    <w:spacing w:line="240" w:lineRule="exact"/>
                                    <w:jc w:val="center"/>
                                    <w:rPr>
                                      <w:rFonts w:ascii="標楷體" w:eastAsia="標楷體" w:hAnsi="標楷體"/>
                                      <w:sz w:val="20"/>
                                    </w:rPr>
                                  </w:pPr>
                                  <w:r w:rsidRPr="008F4C3D">
                                    <w:rPr>
                                      <w:rFonts w:ascii="標楷體" w:eastAsia="標楷體" w:hAnsi="標楷體" w:hint="eastAsia"/>
                                      <w:sz w:val="20"/>
                                    </w:rPr>
                                    <w:t>112</w:t>
                                  </w:r>
                                </w:p>
                              </w:tc>
                              <w:tc>
                                <w:tcPr>
                                  <w:tcW w:w="1081" w:type="dxa"/>
                                  <w:gridSpan w:val="2"/>
                                  <w:vAlign w:val="center"/>
                                </w:tcPr>
                                <w:p w14:paraId="4BA64220" w14:textId="77777777" w:rsidR="00F86926" w:rsidRPr="008F4C3D" w:rsidRDefault="00F86926" w:rsidP="00356ABF">
                                  <w:pPr>
                                    <w:spacing w:line="240" w:lineRule="exact"/>
                                    <w:jc w:val="right"/>
                                    <w:rPr>
                                      <w:rFonts w:ascii="標楷體" w:eastAsia="標楷體" w:hAnsi="標楷體"/>
                                      <w:noProof/>
                                      <w:spacing w:val="-10"/>
                                      <w:sz w:val="20"/>
                                    </w:rPr>
                                  </w:pPr>
                                  <w:r w:rsidRPr="008F4C3D">
                                    <w:rPr>
                                      <w:rFonts w:ascii="標楷體" w:eastAsia="標楷體" w:hAnsi="標楷體" w:hint="eastAsia"/>
                                      <w:noProof/>
                                      <w:spacing w:val="-10"/>
                                      <w:sz w:val="20"/>
                                    </w:rPr>
                                    <w:t>7,328,843</w:t>
                                  </w:r>
                                </w:p>
                              </w:tc>
                              <w:tc>
                                <w:tcPr>
                                  <w:tcW w:w="1082" w:type="dxa"/>
                                  <w:vAlign w:val="center"/>
                                </w:tcPr>
                                <w:p w14:paraId="44439F8A"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6,964,691</w:t>
                                  </w:r>
                                </w:p>
                              </w:tc>
                              <w:tc>
                                <w:tcPr>
                                  <w:tcW w:w="1001" w:type="dxa"/>
                                  <w:vAlign w:val="center"/>
                                </w:tcPr>
                                <w:p w14:paraId="714C49C5"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70</w:t>
                                  </w:r>
                                  <w:r>
                                    <w:rPr>
                                      <w:rFonts w:ascii="標楷體" w:eastAsia="標楷體" w:hAnsi="標楷體"/>
                                      <w:noProof/>
                                      <w:spacing w:val="-10"/>
                                      <w:sz w:val="20"/>
                                    </w:rPr>
                                    <w:t>,</w:t>
                                  </w:r>
                                  <w:r>
                                    <w:rPr>
                                      <w:rFonts w:ascii="標楷體" w:eastAsia="標楷體" w:hAnsi="標楷體" w:hint="eastAsia"/>
                                      <w:noProof/>
                                      <w:spacing w:val="-10"/>
                                      <w:sz w:val="20"/>
                                    </w:rPr>
                                    <w:t>046</w:t>
                                  </w:r>
                                </w:p>
                              </w:tc>
                              <w:tc>
                                <w:tcPr>
                                  <w:tcW w:w="995" w:type="dxa"/>
                                  <w:vAlign w:val="center"/>
                                </w:tcPr>
                                <w:p w14:paraId="16B70633"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noProof/>
                                      <w:spacing w:val="-10"/>
                                      <w:sz w:val="20"/>
                                    </w:rPr>
                                    <w:t>294,105</w:t>
                                  </w:r>
                                </w:p>
                              </w:tc>
                              <w:tc>
                                <w:tcPr>
                                  <w:tcW w:w="734" w:type="dxa"/>
                                  <w:vAlign w:val="center"/>
                                </w:tcPr>
                                <w:p w14:paraId="0675A148"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hint="eastAsia"/>
                                      <w:sz w:val="20"/>
                                    </w:rPr>
                                    <w:t>4</w:t>
                                  </w:r>
                                  <w:r>
                                    <w:rPr>
                                      <w:rFonts w:ascii="標楷體" w:eastAsia="標楷體" w:hAnsi="標楷體"/>
                                      <w:sz w:val="20"/>
                                    </w:rPr>
                                    <w:t>.01</w:t>
                                  </w:r>
                                </w:p>
                              </w:tc>
                            </w:tr>
                            <w:tr w:rsidR="00F86926" w:rsidRPr="00D14483" w14:paraId="720A3B6D" w14:textId="77777777" w:rsidTr="00BE0435">
                              <w:trPr>
                                <w:trHeight w:val="340"/>
                                <w:jc w:val="right"/>
                              </w:trPr>
                              <w:tc>
                                <w:tcPr>
                                  <w:tcW w:w="621" w:type="dxa"/>
                                  <w:vAlign w:val="center"/>
                                </w:tcPr>
                                <w:p w14:paraId="77E710DB" w14:textId="77777777" w:rsidR="00F86926" w:rsidRPr="008F4C3D" w:rsidRDefault="00F86926" w:rsidP="006F06C8">
                                  <w:pPr>
                                    <w:spacing w:line="240" w:lineRule="exact"/>
                                    <w:jc w:val="center"/>
                                    <w:rPr>
                                      <w:rFonts w:ascii="標楷體" w:eastAsia="標楷體" w:hAnsi="標楷體"/>
                                      <w:sz w:val="20"/>
                                    </w:rPr>
                                  </w:pPr>
                                  <w:r w:rsidRPr="008F4C3D">
                                    <w:rPr>
                                      <w:rFonts w:ascii="標楷體" w:eastAsia="標楷體" w:hAnsi="標楷體" w:hint="eastAsia"/>
                                      <w:sz w:val="20"/>
                                    </w:rPr>
                                    <w:t>111</w:t>
                                  </w:r>
                                </w:p>
                              </w:tc>
                              <w:tc>
                                <w:tcPr>
                                  <w:tcW w:w="1081" w:type="dxa"/>
                                  <w:gridSpan w:val="2"/>
                                  <w:vAlign w:val="center"/>
                                </w:tcPr>
                                <w:p w14:paraId="767EAB6C" w14:textId="77777777" w:rsidR="00F86926" w:rsidRPr="008F4C3D" w:rsidRDefault="00F86926" w:rsidP="006F06C8">
                                  <w:pPr>
                                    <w:spacing w:line="240" w:lineRule="exact"/>
                                    <w:jc w:val="right"/>
                                    <w:rPr>
                                      <w:rFonts w:ascii="標楷體" w:eastAsia="標楷體" w:hAnsi="標楷體"/>
                                      <w:sz w:val="20"/>
                                    </w:rPr>
                                  </w:pPr>
                                  <w:r w:rsidRPr="008F4C3D">
                                    <w:rPr>
                                      <w:rFonts w:ascii="標楷體" w:eastAsia="標楷體" w:hAnsi="標楷體"/>
                                      <w:noProof/>
                                      <w:spacing w:val="-10"/>
                                      <w:sz w:val="20"/>
                                    </w:rPr>
                                    <w:t>7,158,999</w:t>
                                  </w:r>
                                </w:p>
                              </w:tc>
                              <w:tc>
                                <w:tcPr>
                                  <w:tcW w:w="1082" w:type="dxa"/>
                                  <w:vAlign w:val="center"/>
                                </w:tcPr>
                                <w:p w14:paraId="748356D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6,544,047</w:t>
                                  </w:r>
                                </w:p>
                              </w:tc>
                              <w:tc>
                                <w:tcPr>
                                  <w:tcW w:w="1001" w:type="dxa"/>
                                  <w:vAlign w:val="center"/>
                                </w:tcPr>
                                <w:p w14:paraId="6DA6E1F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358</w:t>
                                  </w:r>
                                  <w:r>
                                    <w:rPr>
                                      <w:rFonts w:ascii="標楷體" w:eastAsia="標楷體" w:hAnsi="標楷體"/>
                                      <w:noProof/>
                                      <w:spacing w:val="-10"/>
                                      <w:sz w:val="20"/>
                                    </w:rPr>
                                    <w:t>,</w:t>
                                  </w:r>
                                  <w:r>
                                    <w:rPr>
                                      <w:rFonts w:ascii="標楷體" w:eastAsia="標楷體" w:hAnsi="標楷體" w:hint="eastAsia"/>
                                      <w:noProof/>
                                      <w:spacing w:val="-10"/>
                                      <w:sz w:val="20"/>
                                    </w:rPr>
                                    <w:t>271</w:t>
                                  </w:r>
                                </w:p>
                              </w:tc>
                              <w:tc>
                                <w:tcPr>
                                  <w:tcW w:w="995" w:type="dxa"/>
                                  <w:vAlign w:val="center"/>
                                </w:tcPr>
                                <w:p w14:paraId="3637068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256</w:t>
                                  </w:r>
                                  <w:r>
                                    <w:rPr>
                                      <w:rFonts w:ascii="標楷體" w:eastAsia="標楷體" w:hAnsi="標楷體"/>
                                      <w:noProof/>
                                      <w:spacing w:val="-10"/>
                                      <w:sz w:val="20"/>
                                    </w:rPr>
                                    <w:t>,</w:t>
                                  </w:r>
                                  <w:r>
                                    <w:rPr>
                                      <w:rFonts w:ascii="標楷體" w:eastAsia="標楷體" w:hAnsi="標楷體" w:hint="eastAsia"/>
                                      <w:noProof/>
                                      <w:spacing w:val="-10"/>
                                      <w:sz w:val="20"/>
                                    </w:rPr>
                                    <w:t>681</w:t>
                                  </w:r>
                                </w:p>
                              </w:tc>
                              <w:tc>
                                <w:tcPr>
                                  <w:tcW w:w="734" w:type="dxa"/>
                                  <w:vAlign w:val="center"/>
                                </w:tcPr>
                                <w:p w14:paraId="7801A455" w14:textId="77777777" w:rsidR="00F86926" w:rsidRPr="008F4C3D" w:rsidRDefault="00F86926" w:rsidP="006F06C8">
                                  <w:pPr>
                                    <w:spacing w:line="240" w:lineRule="exac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.59</w:t>
                                  </w:r>
                                </w:p>
                              </w:tc>
                            </w:tr>
                            <w:tr w:rsidR="00F86926" w:rsidRPr="00D14483" w14:paraId="67FDECC6" w14:textId="77777777" w:rsidTr="004E00FB">
                              <w:trPr>
                                <w:trHeight w:val="340"/>
                                <w:jc w:val="right"/>
                              </w:trPr>
                              <w:tc>
                                <w:tcPr>
                                  <w:tcW w:w="5514" w:type="dxa"/>
                                  <w:gridSpan w:val="7"/>
                                  <w:tcBorders>
                                    <w:top w:val="single" w:sz="4" w:space="0" w:color="auto"/>
                                    <w:left w:val="nil"/>
                                    <w:bottom w:val="nil"/>
                                    <w:right w:val="nil"/>
                                  </w:tcBorders>
                                </w:tcPr>
                                <w:p w14:paraId="0D96A9D4" w14:textId="77777777" w:rsidR="00F86926" w:rsidRPr="008F4F3A" w:rsidRDefault="00F86926" w:rsidP="00825B27">
                                  <w:pPr>
                                    <w:spacing w:line="240" w:lineRule="exact"/>
                                    <w:ind w:leftChars="-45" w:left="-108"/>
                                    <w:rPr>
                                      <w:rFonts w:ascii="標楷體" w:eastAsia="標楷體" w:hAnsi="標楷體"/>
                                      <w:noProof/>
                                      <w:sz w:val="18"/>
                                      <w:szCs w:val="18"/>
                                    </w:rPr>
                                  </w:pPr>
                                  <w:r w:rsidRPr="008F4F3A">
                                    <w:rPr>
                                      <w:rFonts w:ascii="標楷體" w:eastAsia="標楷體" w:hAnsi="標楷體" w:hint="eastAsia"/>
                                      <w:noProof/>
                                      <w:sz w:val="18"/>
                                      <w:szCs w:val="18"/>
                                    </w:rPr>
                                    <w:t>資料來源</w:t>
                                  </w:r>
                                  <w:r w:rsidRPr="008F4F3A">
                                    <w:rPr>
                                      <w:rFonts w:ascii="標楷體" w:eastAsia="標楷體" w:hAnsi="標楷體"/>
                                      <w:noProof/>
                                      <w:sz w:val="18"/>
                                      <w:szCs w:val="18"/>
                                    </w:rPr>
                                    <w:t>：整理自</w:t>
                                  </w:r>
                                  <w:r>
                                    <w:rPr>
                                      <w:rFonts w:ascii="標楷體" w:eastAsia="標楷體" w:hAnsi="標楷體" w:hint="eastAsia"/>
                                      <w:noProof/>
                                      <w:sz w:val="18"/>
                                      <w:szCs w:val="18"/>
                                    </w:rPr>
                                    <w:t>各機關查填調查表</w:t>
                                  </w:r>
                                  <w:r w:rsidRPr="008F4F3A">
                                    <w:rPr>
                                      <w:rFonts w:ascii="標楷體" w:eastAsia="標楷體" w:hAnsi="標楷體" w:hint="eastAsia"/>
                                      <w:noProof/>
                                      <w:sz w:val="18"/>
                                      <w:szCs w:val="18"/>
                                    </w:rPr>
                                    <w:t>。</w:t>
                                  </w:r>
                                </w:p>
                              </w:tc>
                            </w:tr>
                          </w:tbl>
                          <w:p w14:paraId="13716211" w14:textId="77777777" w:rsidR="00F86926" w:rsidRDefault="00F86926" w:rsidP="00F8692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D6E86D" id="_x0000_s1156" type="#_x0000_t202" style="position:absolute;left:0;text-align:left;margin-left:204.4pt;margin-top:124.65pt;width:292.35pt;height:143.45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" stroked="f">
                <v:textbox>
                  <w:txbxContent>
                    <w:tbl>
                      <w:tblPr>
                        <w:tblStyle w:val="afff"/>
                        <w:tblW w:w="5514" w:type="dxa"/>
                        <w:jc w:val="right"/>
                        <w:tblLayout w:type="fixed"/>
                        <w:tblLook w:val="04A0" w:firstRow="1" w:lastRow="0" w:firstColumn="1" w:lastColumn="0" w:noHBand="0" w:noVBand="1"/>
                      </w:tblPr>
                      <w:tblGrid>
                        <w:gridCol w:w="621"/>
                        <w:gridCol w:w="414"/>
                        <w:gridCol w:w="667"/>
                        <w:gridCol w:w="1082"/>
                        <w:gridCol w:w="1001"/>
                        <w:gridCol w:w="995"/>
                        <w:gridCol w:w="734"/>
                      </w:tblGrid>
                      <w:tr w:rsidR="00F86926" w:rsidRPr="00D14483" w14:paraId="18FAD79B" w14:textId="77777777" w:rsidTr="004E00FB">
                        <w:trPr>
                          <w:trHeight w:val="283"/>
                          <w:jc w:val="right"/>
                        </w:trPr>
                        <w:tc>
                          <w:tcPr>
                            <w:tcW w:w="5514" w:type="dxa"/>
                            <w:gridSpan w:val="7"/>
                            <w:tcBorders>
                              <w:top w:val="nil"/>
                              <w:left w:val="nil"/>
                              <w:bottom w:val="nil"/>
                              <w:right w:val="nil"/>
                            </w:tcBorders>
                          </w:tcPr>
                          <w:p w14:paraId="08AE1225" w14:textId="54AC7ED0" w:rsidR="00F86926" w:rsidRPr="008F4C3D" w:rsidRDefault="00F86926" w:rsidP="008701F0">
                            <w:pPr>
                              <w:spacing w:line="280" w:lineRule="exact"/>
                              <w:jc w:val="center"/>
                              <w:rPr>
                                <w:rFonts w:ascii="標楷體" w:eastAsia="標楷體" w:hAnsi="標楷體"/>
                                <w:b/>
                                <w:szCs w:val="24"/>
                              </w:rPr>
                            </w:pPr>
                            <w:r w:rsidRPr="008F4C3D">
                              <w:rPr>
                                <w:rFonts w:ascii="標楷體" w:eastAsia="標楷體" w:hAnsi="標楷體" w:hint="eastAsia"/>
                                <w:b/>
                                <w:szCs w:val="24"/>
                              </w:rPr>
                              <w:t>表</w:t>
                            </w:r>
                            <w:r>
                              <w:rPr>
                                <w:rFonts w:ascii="標楷體" w:eastAsia="標楷體" w:hAnsi="標楷體"/>
                                <w:b/>
                                <w:szCs w:val="24"/>
                              </w:rPr>
                              <w:t>4</w:t>
                            </w:r>
                            <w:r w:rsidR="000532D9">
                              <w:rPr>
                                <w:rFonts w:ascii="標楷體" w:eastAsia="標楷體" w:hAnsi="標楷體"/>
                                <w:b/>
                                <w:szCs w:val="24"/>
                              </w:rPr>
                              <w:t>8</w:t>
                            </w:r>
                            <w:r w:rsidRPr="00EC39BD">
                              <w:rPr>
                                <w:rFonts w:ascii="標楷體" w:eastAsia="標楷體" w:hAnsi="標楷體" w:hint="eastAsia"/>
                                <w:b/>
                                <w:spacing w:val="-6"/>
                              </w:rPr>
                              <w:t xml:space="preserve">　</w:t>
                            </w:r>
                            <w:r w:rsidRPr="008F4C3D">
                              <w:rPr>
                                <w:rFonts w:ascii="標楷體" w:eastAsia="標楷體" w:hAnsi="標楷體" w:hint="eastAsia"/>
                                <w:b/>
                                <w:szCs w:val="24"/>
                              </w:rPr>
                              <w:t>11</w:t>
                            </w:r>
                            <w:r>
                              <w:rPr>
                                <w:rFonts w:ascii="標楷體" w:eastAsia="標楷體" w:hAnsi="標楷體"/>
                                <w:b/>
                                <w:szCs w:val="24"/>
                              </w:rPr>
                              <w:t>1</w:t>
                            </w:r>
                            <w:r w:rsidRPr="008F4C3D">
                              <w:rPr>
                                <w:rFonts w:ascii="標楷體" w:eastAsia="標楷體" w:hAnsi="標楷體" w:hint="eastAsia"/>
                                <w:b/>
                                <w:szCs w:val="24"/>
                              </w:rPr>
                              <w:t>至</w:t>
                            </w:r>
                            <w:r>
                              <w:rPr>
                                <w:rFonts w:ascii="標楷體" w:eastAsia="標楷體" w:hAnsi="標楷體" w:hint="eastAsia"/>
                                <w:b/>
                                <w:szCs w:val="24"/>
                              </w:rPr>
                              <w:t>11</w:t>
                            </w:r>
                            <w:r>
                              <w:rPr>
                                <w:rFonts w:ascii="標楷體" w:eastAsia="標楷體" w:hAnsi="標楷體"/>
                                <w:b/>
                                <w:szCs w:val="24"/>
                              </w:rPr>
                              <w:t>3</w:t>
                            </w:r>
                            <w:r w:rsidRPr="008F4C3D">
                              <w:rPr>
                                <w:rFonts w:ascii="標楷體" w:eastAsia="標楷體" w:hAnsi="標楷體" w:hint="eastAsia"/>
                                <w:b/>
                                <w:szCs w:val="24"/>
                              </w:rPr>
                              <w:t>年度第二預備金</w:t>
                            </w:r>
                            <w:r>
                              <w:rPr>
                                <w:rFonts w:ascii="標楷體" w:eastAsia="標楷體" w:hAnsi="標楷體" w:hint="eastAsia"/>
                                <w:b/>
                                <w:szCs w:val="24"/>
                              </w:rPr>
                              <w:t>執行</w:t>
                            </w:r>
                            <w:r w:rsidRPr="008F4C3D">
                              <w:rPr>
                                <w:rFonts w:ascii="標楷體" w:eastAsia="標楷體" w:hAnsi="標楷體" w:hint="eastAsia"/>
                                <w:b/>
                                <w:szCs w:val="24"/>
                              </w:rPr>
                              <w:t>情形</w:t>
                            </w:r>
                          </w:p>
                        </w:tc>
                      </w:tr>
                      <w:tr w:rsidR="00F86926" w:rsidRPr="00D14483" w14:paraId="642927EE" w14:textId="77777777" w:rsidTr="004E00FB">
                        <w:trPr>
                          <w:trHeight w:val="312"/>
                          <w:jc w:val="right"/>
                        </w:trPr>
                        <w:tc>
                          <w:tcPr>
                            <w:tcW w:w="1035" w:type="dxa"/>
                            <w:gridSpan w:val="2"/>
                            <w:tcBorders>
                              <w:top w:val="nil"/>
                              <w:left w:val="nil"/>
                              <w:bottom w:val="single" w:sz="4" w:space="0" w:color="auto"/>
                              <w:right w:val="nil"/>
                            </w:tcBorders>
                          </w:tcPr>
                          <w:p w14:paraId="6A2E17B1" w14:textId="77777777" w:rsidR="00F86926" w:rsidRPr="00D14483" w:rsidRDefault="00F86926" w:rsidP="006F06C8">
                            <w:pPr>
                              <w:spacing w:line="280" w:lineRule="exact"/>
                              <w:ind w:rightChars="-37" w:right="-89"/>
                              <w:jc w:val="right"/>
                              <w:rPr>
                                <w:rFonts w:ascii="標楷體" w:eastAsia="標楷體" w:hAnsi="標楷體"/>
                                <w:sz w:val="20"/>
                              </w:rPr>
                            </w:pPr>
                          </w:p>
                        </w:tc>
                        <w:tc>
                          <w:tcPr>
                            <w:tcW w:w="4479" w:type="dxa"/>
                            <w:gridSpan w:val="5"/>
                            <w:tcBorders>
                              <w:top w:val="nil"/>
                              <w:left w:val="nil"/>
                              <w:bottom w:val="single" w:sz="4" w:space="0" w:color="auto"/>
                              <w:right w:val="nil"/>
                            </w:tcBorders>
                            <w:vAlign w:val="center"/>
                          </w:tcPr>
                          <w:p w14:paraId="054FDEF6" w14:textId="77777777" w:rsidR="00F86926" w:rsidRPr="00D14483" w:rsidRDefault="00F86926" w:rsidP="006F06C8">
                            <w:pPr>
                              <w:spacing w:line="280" w:lineRule="exact"/>
                              <w:ind w:rightChars="-37" w:right="-89"/>
                              <w:jc w:val="right"/>
                              <w:rPr>
                                <w:rFonts w:ascii="標楷體" w:eastAsia="標楷體" w:hAnsi="標楷體"/>
                                <w:sz w:val="20"/>
                              </w:rPr>
                            </w:pPr>
                            <w:r w:rsidRPr="00D14483">
                              <w:rPr>
                                <w:rFonts w:ascii="標楷體" w:eastAsia="標楷體" w:hAnsi="標楷體" w:hint="eastAsia"/>
                                <w:sz w:val="20"/>
                              </w:rPr>
                              <w:t>單位：新臺幣</w:t>
                            </w:r>
                            <w:r>
                              <w:rPr>
                                <w:rFonts w:ascii="標楷體" w:eastAsia="標楷體" w:hAnsi="標楷體" w:hint="eastAsia"/>
                                <w:sz w:val="20"/>
                              </w:rPr>
                              <w:t>千</w:t>
                            </w:r>
                            <w:r w:rsidRPr="00D14483">
                              <w:rPr>
                                <w:rFonts w:ascii="標楷體" w:eastAsia="標楷體" w:hAnsi="標楷體" w:hint="eastAsia"/>
                                <w:sz w:val="20"/>
                              </w:rPr>
                              <w:t>元</w:t>
                            </w:r>
                          </w:p>
                        </w:tc>
                      </w:tr>
                      <w:tr w:rsidR="00F86926" w:rsidRPr="00D14483" w14:paraId="617F849A" w14:textId="77777777" w:rsidTr="004E00FB">
                        <w:trPr>
                          <w:trHeight w:val="397"/>
                          <w:jc w:val="right"/>
                        </w:trPr>
                        <w:tc>
                          <w:tcPr>
                            <w:tcW w:w="621" w:type="dxa"/>
                            <w:vMerge w:val="restart"/>
                            <w:tcBorders>
                              <w:top w:val="single" w:sz="4" w:space="0" w:color="auto"/>
                            </w:tcBorders>
                            <w:vAlign w:val="center"/>
                          </w:tcPr>
                          <w:p w14:paraId="19EDC7E1" w14:textId="77777777" w:rsidR="00F86926" w:rsidRPr="008F4C3D" w:rsidRDefault="00F86926" w:rsidP="006F06C8">
                            <w:pPr>
                              <w:spacing w:line="240" w:lineRule="exact"/>
                              <w:jc w:val="center"/>
                              <w:rPr>
                                <w:rFonts w:ascii="標楷體" w:eastAsia="標楷體" w:hAnsi="標楷體"/>
                                <w:sz w:val="20"/>
                              </w:rPr>
                            </w:pPr>
                            <w:r w:rsidRPr="008F4C3D">
                              <w:rPr>
                                <w:rFonts w:ascii="標楷體" w:eastAsia="標楷體" w:hAnsi="標楷體" w:hint="eastAsia"/>
                                <w:sz w:val="20"/>
                              </w:rPr>
                              <w:t>年度</w:t>
                            </w:r>
                          </w:p>
                        </w:tc>
                        <w:tc>
                          <w:tcPr>
                            <w:tcW w:w="1081" w:type="dxa"/>
                            <w:gridSpan w:val="2"/>
                            <w:vMerge w:val="restart"/>
                            <w:tcBorders>
                              <w:top w:val="single" w:sz="4" w:space="0" w:color="auto"/>
                            </w:tcBorders>
                            <w:vAlign w:val="center"/>
                          </w:tcPr>
                          <w:p w14:paraId="5219C43A" w14:textId="77777777" w:rsidR="00F86926" w:rsidRPr="008F4C3D" w:rsidRDefault="00F86926" w:rsidP="006F06C8">
                            <w:pPr>
                              <w:spacing w:line="240" w:lineRule="exact"/>
                              <w:jc w:val="center"/>
                              <w:rPr>
                                <w:rFonts w:ascii="標楷體" w:eastAsia="標楷體" w:hAnsi="標楷體"/>
                                <w:sz w:val="20"/>
                              </w:rPr>
                            </w:pPr>
                            <w:proofErr w:type="gramStart"/>
                            <w:r w:rsidRPr="008F4C3D">
                              <w:rPr>
                                <w:rFonts w:ascii="標楷體" w:eastAsia="標楷體" w:hAnsi="標楷體" w:hint="eastAsia"/>
                                <w:sz w:val="20"/>
                              </w:rPr>
                              <w:t>動支數</w:t>
                            </w:r>
                            <w:proofErr w:type="gramEnd"/>
                          </w:p>
                        </w:tc>
                        <w:tc>
                          <w:tcPr>
                            <w:tcW w:w="1082" w:type="dxa"/>
                            <w:vMerge w:val="restart"/>
                            <w:tcBorders>
                              <w:top w:val="single" w:sz="4" w:space="0" w:color="auto"/>
                            </w:tcBorders>
                            <w:vAlign w:val="center"/>
                          </w:tcPr>
                          <w:p w14:paraId="4189B578"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實現數</w:t>
                            </w:r>
                          </w:p>
                        </w:tc>
                        <w:tc>
                          <w:tcPr>
                            <w:tcW w:w="1001" w:type="dxa"/>
                            <w:vMerge w:val="restart"/>
                            <w:tcBorders>
                              <w:top w:val="single" w:sz="4" w:space="0" w:color="auto"/>
                            </w:tcBorders>
                            <w:vAlign w:val="center"/>
                          </w:tcPr>
                          <w:p w14:paraId="5B03929C"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賸餘數</w:t>
                            </w:r>
                          </w:p>
                        </w:tc>
                        <w:tc>
                          <w:tcPr>
                            <w:tcW w:w="1729" w:type="dxa"/>
                            <w:gridSpan w:val="2"/>
                            <w:tcBorders>
                              <w:top w:val="single" w:sz="4" w:space="0" w:color="auto"/>
                            </w:tcBorders>
                            <w:vAlign w:val="center"/>
                          </w:tcPr>
                          <w:p w14:paraId="331C5898"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應付保留</w:t>
                            </w:r>
                            <w:r w:rsidRPr="008F4C3D">
                              <w:rPr>
                                <w:rFonts w:ascii="標楷體" w:eastAsia="標楷體" w:hAnsi="標楷體" w:hint="eastAsia"/>
                                <w:sz w:val="20"/>
                              </w:rPr>
                              <w:t>數</w:t>
                            </w:r>
                          </w:p>
                        </w:tc>
                      </w:tr>
                      <w:tr w:rsidR="00F86926" w:rsidRPr="00D14483" w14:paraId="1FB844E9" w14:textId="77777777" w:rsidTr="004E00FB">
                        <w:trPr>
                          <w:trHeight w:val="397"/>
                          <w:jc w:val="right"/>
                        </w:trPr>
                        <w:tc>
                          <w:tcPr>
                            <w:tcW w:w="621" w:type="dxa"/>
                            <w:vMerge/>
                            <w:vAlign w:val="center"/>
                          </w:tcPr>
                          <w:p w14:paraId="740EE96D" w14:textId="77777777" w:rsidR="00F86926" w:rsidRPr="008F4C3D" w:rsidRDefault="00F86926" w:rsidP="006F06C8">
                            <w:pPr>
                              <w:spacing w:line="240" w:lineRule="exact"/>
                              <w:jc w:val="center"/>
                              <w:rPr>
                                <w:rFonts w:ascii="標楷體" w:eastAsia="標楷體" w:hAnsi="標楷體"/>
                                <w:sz w:val="20"/>
                              </w:rPr>
                            </w:pPr>
                          </w:p>
                        </w:tc>
                        <w:tc>
                          <w:tcPr>
                            <w:tcW w:w="1081" w:type="dxa"/>
                            <w:gridSpan w:val="2"/>
                            <w:vMerge/>
                            <w:vAlign w:val="center"/>
                          </w:tcPr>
                          <w:p w14:paraId="7B1DE07F" w14:textId="77777777" w:rsidR="00F86926" w:rsidRPr="008F4C3D" w:rsidRDefault="00F86926" w:rsidP="006F06C8">
                            <w:pPr>
                              <w:spacing w:line="240" w:lineRule="exact"/>
                              <w:jc w:val="right"/>
                              <w:rPr>
                                <w:rFonts w:ascii="標楷體" w:eastAsia="標楷體" w:hAnsi="標楷體"/>
                                <w:noProof/>
                                <w:spacing w:val="-10"/>
                                <w:sz w:val="20"/>
                              </w:rPr>
                            </w:pPr>
                          </w:p>
                        </w:tc>
                        <w:tc>
                          <w:tcPr>
                            <w:tcW w:w="1082" w:type="dxa"/>
                            <w:vMerge/>
                            <w:vAlign w:val="center"/>
                          </w:tcPr>
                          <w:p w14:paraId="443A698A" w14:textId="77777777" w:rsidR="00F86926" w:rsidRPr="008F4C3D" w:rsidRDefault="00F86926" w:rsidP="006F06C8">
                            <w:pPr>
                              <w:spacing w:line="240" w:lineRule="exact"/>
                              <w:jc w:val="center"/>
                              <w:rPr>
                                <w:rFonts w:ascii="標楷體" w:eastAsia="標楷體" w:hAnsi="標楷體"/>
                                <w:noProof/>
                                <w:spacing w:val="-10"/>
                                <w:sz w:val="20"/>
                              </w:rPr>
                            </w:pPr>
                          </w:p>
                        </w:tc>
                        <w:tc>
                          <w:tcPr>
                            <w:tcW w:w="1001" w:type="dxa"/>
                            <w:vMerge/>
                            <w:vAlign w:val="center"/>
                          </w:tcPr>
                          <w:p w14:paraId="0FEFA149" w14:textId="77777777" w:rsidR="00F86926" w:rsidRPr="008F4C3D" w:rsidRDefault="00F86926" w:rsidP="006F06C8">
                            <w:pPr>
                              <w:spacing w:line="240" w:lineRule="exact"/>
                              <w:jc w:val="center"/>
                              <w:rPr>
                                <w:rFonts w:ascii="標楷體" w:eastAsia="標楷體" w:hAnsi="標楷體"/>
                                <w:noProof/>
                                <w:spacing w:val="-10"/>
                                <w:sz w:val="20"/>
                              </w:rPr>
                            </w:pPr>
                          </w:p>
                        </w:tc>
                        <w:tc>
                          <w:tcPr>
                            <w:tcW w:w="995" w:type="dxa"/>
                            <w:vAlign w:val="center"/>
                          </w:tcPr>
                          <w:p w14:paraId="770B324D" w14:textId="77777777" w:rsidR="00F86926" w:rsidRPr="008F4C3D" w:rsidRDefault="00F86926" w:rsidP="006F06C8">
                            <w:pPr>
                              <w:spacing w:line="240" w:lineRule="exact"/>
                              <w:jc w:val="center"/>
                              <w:rPr>
                                <w:rFonts w:ascii="標楷體" w:eastAsia="標楷體" w:hAnsi="標楷體"/>
                                <w:noProof/>
                                <w:spacing w:val="-10"/>
                                <w:sz w:val="20"/>
                              </w:rPr>
                            </w:pPr>
                            <w:r>
                              <w:rPr>
                                <w:rFonts w:ascii="標楷體" w:eastAsia="標楷體" w:hAnsi="標楷體" w:hint="eastAsia"/>
                                <w:sz w:val="20"/>
                              </w:rPr>
                              <w:t>金額</w:t>
                            </w:r>
                          </w:p>
                        </w:tc>
                        <w:tc>
                          <w:tcPr>
                            <w:tcW w:w="734" w:type="dxa"/>
                            <w:vAlign w:val="center"/>
                          </w:tcPr>
                          <w:p w14:paraId="0395AA70" w14:textId="77777777" w:rsidR="00F86926" w:rsidRPr="008F4C3D" w:rsidRDefault="00F86926" w:rsidP="006F06C8">
                            <w:pPr>
                              <w:spacing w:line="240" w:lineRule="exact"/>
                              <w:jc w:val="center"/>
                              <w:rPr>
                                <w:rFonts w:ascii="標楷體" w:eastAsia="標楷體" w:hAnsi="標楷體"/>
                                <w:noProof/>
                                <w:spacing w:val="-10"/>
                                <w:sz w:val="20"/>
                              </w:rPr>
                            </w:pPr>
                            <w:r w:rsidRPr="00D14483">
                              <w:rPr>
                                <w:rFonts w:ascii="標楷體" w:eastAsia="標楷體" w:hAnsi="標楷體" w:hint="eastAsia"/>
                                <w:sz w:val="20"/>
                              </w:rPr>
                              <w:t>％</w:t>
                            </w:r>
                          </w:p>
                        </w:tc>
                      </w:tr>
                      <w:tr w:rsidR="00F86926" w:rsidRPr="00D14483" w14:paraId="085FDF4E" w14:textId="77777777" w:rsidTr="00BE0435">
                        <w:trPr>
                          <w:trHeight w:val="340"/>
                          <w:jc w:val="right"/>
                        </w:trPr>
                        <w:tc>
                          <w:tcPr>
                            <w:tcW w:w="621" w:type="dxa"/>
                            <w:vAlign w:val="center"/>
                          </w:tcPr>
                          <w:p w14:paraId="7B385749" w14:textId="77777777" w:rsidR="00F86926" w:rsidRPr="008F4C3D" w:rsidRDefault="00F86926" w:rsidP="006F06C8">
                            <w:pPr>
                              <w:spacing w:line="240" w:lineRule="exact"/>
                              <w:jc w:val="center"/>
                              <w:rPr>
                                <w:rFonts w:ascii="標楷體" w:eastAsia="標楷體" w:hAnsi="標楷體"/>
                                <w:sz w:val="20"/>
                              </w:rPr>
                            </w:pPr>
                            <w:r>
                              <w:rPr>
                                <w:rFonts w:ascii="標楷體" w:eastAsia="標楷體" w:hAnsi="標楷體" w:hint="eastAsia"/>
                                <w:sz w:val="20"/>
                              </w:rPr>
                              <w:t>113</w:t>
                            </w:r>
                          </w:p>
                        </w:tc>
                        <w:tc>
                          <w:tcPr>
                            <w:tcW w:w="1081" w:type="dxa"/>
                            <w:gridSpan w:val="2"/>
                            <w:vAlign w:val="center"/>
                          </w:tcPr>
                          <w:p w14:paraId="3B79980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7,332,149</w:t>
                            </w:r>
                          </w:p>
                        </w:tc>
                        <w:tc>
                          <w:tcPr>
                            <w:tcW w:w="1082" w:type="dxa"/>
                            <w:vAlign w:val="center"/>
                          </w:tcPr>
                          <w:p w14:paraId="42C974BF" w14:textId="77777777" w:rsidR="00F86926"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6,405,692</w:t>
                            </w:r>
                          </w:p>
                        </w:tc>
                        <w:tc>
                          <w:tcPr>
                            <w:tcW w:w="1001" w:type="dxa"/>
                            <w:vAlign w:val="center"/>
                          </w:tcPr>
                          <w:p w14:paraId="45908C11" w14:textId="77777777" w:rsidR="00F86926" w:rsidRPr="005303A0" w:rsidRDefault="00F86926" w:rsidP="005303A0">
                            <w:pPr>
                              <w:spacing w:line="240" w:lineRule="exact"/>
                              <w:jc w:val="right"/>
                              <w:rPr>
                                <w:rFonts w:ascii="標楷體" w:eastAsia="標楷體" w:hAnsi="標楷體"/>
                                <w:noProof/>
                                <w:spacing w:val="-10"/>
                                <w:sz w:val="20"/>
                              </w:rPr>
                            </w:pPr>
                            <w:r w:rsidRPr="005303A0">
                              <w:rPr>
                                <w:rFonts w:ascii="標楷體" w:eastAsia="標楷體" w:hAnsi="標楷體" w:hint="eastAsia"/>
                                <w:noProof/>
                                <w:spacing w:val="-10"/>
                                <w:sz w:val="20"/>
                              </w:rPr>
                              <w:t>18</w:t>
                            </w:r>
                            <w:r w:rsidRPr="005303A0">
                              <w:rPr>
                                <w:rFonts w:ascii="標楷體" w:eastAsia="標楷體" w:hAnsi="標楷體"/>
                                <w:noProof/>
                                <w:spacing w:val="-10"/>
                                <w:sz w:val="20"/>
                              </w:rPr>
                              <w:t>7,783</w:t>
                            </w:r>
                          </w:p>
                        </w:tc>
                        <w:tc>
                          <w:tcPr>
                            <w:tcW w:w="995" w:type="dxa"/>
                            <w:vAlign w:val="center"/>
                          </w:tcPr>
                          <w:p w14:paraId="555A495B" w14:textId="77777777" w:rsidR="00F86926" w:rsidRPr="00356ABF" w:rsidRDefault="00F86926" w:rsidP="006F06C8">
                            <w:pPr>
                              <w:spacing w:line="240" w:lineRule="exact"/>
                              <w:jc w:val="right"/>
                              <w:rPr>
                                <w:rFonts w:ascii="標楷體" w:eastAsia="標楷體" w:hAnsi="標楷體"/>
                                <w:noProof/>
                                <w:color w:val="FF0000"/>
                                <w:spacing w:val="-10"/>
                                <w:sz w:val="20"/>
                              </w:rPr>
                            </w:pPr>
                            <w:r w:rsidRPr="005303A0">
                              <w:rPr>
                                <w:rFonts w:ascii="標楷體" w:eastAsia="標楷體" w:hAnsi="標楷體" w:hint="eastAsia"/>
                                <w:noProof/>
                                <w:spacing w:val="-10"/>
                                <w:sz w:val="20"/>
                              </w:rPr>
                              <w:t>738</w:t>
                            </w:r>
                            <w:r w:rsidRPr="005303A0">
                              <w:rPr>
                                <w:rFonts w:ascii="標楷體" w:eastAsia="標楷體" w:hAnsi="標楷體"/>
                                <w:noProof/>
                                <w:spacing w:val="-10"/>
                                <w:sz w:val="20"/>
                              </w:rPr>
                              <w:t>,</w:t>
                            </w:r>
                            <w:r w:rsidRPr="005303A0">
                              <w:rPr>
                                <w:rFonts w:ascii="標楷體" w:eastAsia="標楷體" w:hAnsi="標楷體" w:hint="eastAsia"/>
                                <w:noProof/>
                                <w:spacing w:val="-10"/>
                                <w:sz w:val="20"/>
                              </w:rPr>
                              <w:t>674</w:t>
                            </w:r>
                          </w:p>
                        </w:tc>
                        <w:tc>
                          <w:tcPr>
                            <w:tcW w:w="734" w:type="dxa"/>
                            <w:vAlign w:val="center"/>
                          </w:tcPr>
                          <w:p w14:paraId="03BD1874" w14:textId="77777777" w:rsidR="00F86926"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10.07</w:t>
                            </w:r>
                          </w:p>
                        </w:tc>
                      </w:tr>
                      <w:tr w:rsidR="00F86926" w:rsidRPr="00D14483" w14:paraId="69B8F6F5" w14:textId="77777777" w:rsidTr="00BE0435">
                        <w:trPr>
                          <w:trHeight w:val="340"/>
                          <w:jc w:val="right"/>
                        </w:trPr>
                        <w:tc>
                          <w:tcPr>
                            <w:tcW w:w="621" w:type="dxa"/>
                            <w:vAlign w:val="center"/>
                          </w:tcPr>
                          <w:p w14:paraId="6106598C" w14:textId="77777777" w:rsidR="00F86926" w:rsidRPr="008F4C3D" w:rsidRDefault="00F86926" w:rsidP="00356ABF">
                            <w:pPr>
                              <w:spacing w:line="240" w:lineRule="exact"/>
                              <w:jc w:val="center"/>
                              <w:rPr>
                                <w:rFonts w:ascii="標楷體" w:eastAsia="標楷體" w:hAnsi="標楷體"/>
                                <w:sz w:val="20"/>
                              </w:rPr>
                            </w:pPr>
                            <w:r w:rsidRPr="008F4C3D">
                              <w:rPr>
                                <w:rFonts w:ascii="標楷體" w:eastAsia="標楷體" w:hAnsi="標楷體" w:hint="eastAsia"/>
                                <w:sz w:val="20"/>
                              </w:rPr>
                              <w:t>112</w:t>
                            </w:r>
                          </w:p>
                        </w:tc>
                        <w:tc>
                          <w:tcPr>
                            <w:tcW w:w="1081" w:type="dxa"/>
                            <w:gridSpan w:val="2"/>
                            <w:vAlign w:val="center"/>
                          </w:tcPr>
                          <w:p w14:paraId="4BA64220" w14:textId="77777777" w:rsidR="00F86926" w:rsidRPr="008F4C3D" w:rsidRDefault="00F86926" w:rsidP="00356ABF">
                            <w:pPr>
                              <w:spacing w:line="240" w:lineRule="exact"/>
                              <w:jc w:val="right"/>
                              <w:rPr>
                                <w:rFonts w:ascii="標楷體" w:eastAsia="標楷體" w:hAnsi="標楷體"/>
                                <w:noProof/>
                                <w:spacing w:val="-10"/>
                                <w:sz w:val="20"/>
                              </w:rPr>
                            </w:pPr>
                            <w:r w:rsidRPr="008F4C3D">
                              <w:rPr>
                                <w:rFonts w:ascii="標楷體" w:eastAsia="標楷體" w:hAnsi="標楷體" w:hint="eastAsia"/>
                                <w:noProof/>
                                <w:spacing w:val="-10"/>
                                <w:sz w:val="20"/>
                              </w:rPr>
                              <w:t>7,328,843</w:t>
                            </w:r>
                          </w:p>
                        </w:tc>
                        <w:tc>
                          <w:tcPr>
                            <w:tcW w:w="1082" w:type="dxa"/>
                            <w:vAlign w:val="center"/>
                          </w:tcPr>
                          <w:p w14:paraId="44439F8A"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6,964,691</w:t>
                            </w:r>
                          </w:p>
                        </w:tc>
                        <w:tc>
                          <w:tcPr>
                            <w:tcW w:w="1001" w:type="dxa"/>
                            <w:vAlign w:val="center"/>
                          </w:tcPr>
                          <w:p w14:paraId="714C49C5"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70</w:t>
                            </w:r>
                            <w:r>
                              <w:rPr>
                                <w:rFonts w:ascii="標楷體" w:eastAsia="標楷體" w:hAnsi="標楷體"/>
                                <w:noProof/>
                                <w:spacing w:val="-10"/>
                                <w:sz w:val="20"/>
                              </w:rPr>
                              <w:t>,</w:t>
                            </w:r>
                            <w:r>
                              <w:rPr>
                                <w:rFonts w:ascii="標楷體" w:eastAsia="標楷體" w:hAnsi="標楷體" w:hint="eastAsia"/>
                                <w:noProof/>
                                <w:spacing w:val="-10"/>
                                <w:sz w:val="20"/>
                              </w:rPr>
                              <w:t>046</w:t>
                            </w:r>
                          </w:p>
                        </w:tc>
                        <w:tc>
                          <w:tcPr>
                            <w:tcW w:w="995" w:type="dxa"/>
                            <w:vAlign w:val="center"/>
                          </w:tcPr>
                          <w:p w14:paraId="16B70633"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noProof/>
                                <w:spacing w:val="-10"/>
                                <w:sz w:val="20"/>
                              </w:rPr>
                              <w:t>294,105</w:t>
                            </w:r>
                          </w:p>
                        </w:tc>
                        <w:tc>
                          <w:tcPr>
                            <w:tcW w:w="734" w:type="dxa"/>
                            <w:vAlign w:val="center"/>
                          </w:tcPr>
                          <w:p w14:paraId="0675A148" w14:textId="77777777" w:rsidR="00F86926" w:rsidRDefault="00F86926" w:rsidP="00356ABF">
                            <w:pPr>
                              <w:spacing w:line="240" w:lineRule="exact"/>
                              <w:jc w:val="right"/>
                              <w:rPr>
                                <w:rFonts w:ascii="標楷體" w:eastAsia="標楷體" w:hAnsi="標楷體"/>
                                <w:noProof/>
                                <w:spacing w:val="-10"/>
                                <w:sz w:val="20"/>
                              </w:rPr>
                            </w:pPr>
                            <w:r>
                              <w:rPr>
                                <w:rFonts w:ascii="標楷體" w:eastAsia="標楷體" w:hAnsi="標楷體" w:hint="eastAsia"/>
                                <w:sz w:val="20"/>
                              </w:rPr>
                              <w:t>4</w:t>
                            </w:r>
                            <w:r>
                              <w:rPr>
                                <w:rFonts w:ascii="標楷體" w:eastAsia="標楷體" w:hAnsi="標楷體"/>
                                <w:sz w:val="20"/>
                              </w:rPr>
                              <w:t>.01</w:t>
                            </w:r>
                          </w:p>
                        </w:tc>
                      </w:tr>
                      <w:tr w:rsidR="00F86926" w:rsidRPr="00D14483" w14:paraId="720A3B6D" w14:textId="77777777" w:rsidTr="00BE0435">
                        <w:trPr>
                          <w:trHeight w:val="340"/>
                          <w:jc w:val="right"/>
                        </w:trPr>
                        <w:tc>
                          <w:tcPr>
                            <w:tcW w:w="621" w:type="dxa"/>
                            <w:vAlign w:val="center"/>
                          </w:tcPr>
                          <w:p w14:paraId="77E710DB" w14:textId="77777777" w:rsidR="00F86926" w:rsidRPr="008F4C3D" w:rsidRDefault="00F86926" w:rsidP="006F06C8">
                            <w:pPr>
                              <w:spacing w:line="240" w:lineRule="exact"/>
                              <w:jc w:val="center"/>
                              <w:rPr>
                                <w:rFonts w:ascii="標楷體" w:eastAsia="標楷體" w:hAnsi="標楷體"/>
                                <w:sz w:val="20"/>
                              </w:rPr>
                            </w:pPr>
                            <w:r w:rsidRPr="008F4C3D">
                              <w:rPr>
                                <w:rFonts w:ascii="標楷體" w:eastAsia="標楷體" w:hAnsi="標楷體" w:hint="eastAsia"/>
                                <w:sz w:val="20"/>
                              </w:rPr>
                              <w:t>111</w:t>
                            </w:r>
                          </w:p>
                        </w:tc>
                        <w:tc>
                          <w:tcPr>
                            <w:tcW w:w="1081" w:type="dxa"/>
                            <w:gridSpan w:val="2"/>
                            <w:vAlign w:val="center"/>
                          </w:tcPr>
                          <w:p w14:paraId="767EAB6C" w14:textId="77777777" w:rsidR="00F86926" w:rsidRPr="008F4C3D" w:rsidRDefault="00F86926" w:rsidP="006F06C8">
                            <w:pPr>
                              <w:spacing w:line="240" w:lineRule="exact"/>
                              <w:jc w:val="right"/>
                              <w:rPr>
                                <w:rFonts w:ascii="標楷體" w:eastAsia="標楷體" w:hAnsi="標楷體"/>
                                <w:sz w:val="20"/>
                              </w:rPr>
                            </w:pPr>
                            <w:r w:rsidRPr="008F4C3D">
                              <w:rPr>
                                <w:rFonts w:ascii="標楷體" w:eastAsia="標楷體" w:hAnsi="標楷體"/>
                                <w:noProof/>
                                <w:spacing w:val="-10"/>
                                <w:sz w:val="20"/>
                              </w:rPr>
                              <w:t>7,158,999</w:t>
                            </w:r>
                          </w:p>
                        </w:tc>
                        <w:tc>
                          <w:tcPr>
                            <w:tcW w:w="1082" w:type="dxa"/>
                            <w:vAlign w:val="center"/>
                          </w:tcPr>
                          <w:p w14:paraId="748356D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6,544,047</w:t>
                            </w:r>
                          </w:p>
                        </w:tc>
                        <w:tc>
                          <w:tcPr>
                            <w:tcW w:w="1001" w:type="dxa"/>
                            <w:vAlign w:val="center"/>
                          </w:tcPr>
                          <w:p w14:paraId="6DA6E1F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358</w:t>
                            </w:r>
                            <w:r>
                              <w:rPr>
                                <w:rFonts w:ascii="標楷體" w:eastAsia="標楷體" w:hAnsi="標楷體"/>
                                <w:noProof/>
                                <w:spacing w:val="-10"/>
                                <w:sz w:val="20"/>
                              </w:rPr>
                              <w:t>,</w:t>
                            </w:r>
                            <w:r>
                              <w:rPr>
                                <w:rFonts w:ascii="標楷體" w:eastAsia="標楷體" w:hAnsi="標楷體" w:hint="eastAsia"/>
                                <w:noProof/>
                                <w:spacing w:val="-10"/>
                                <w:sz w:val="20"/>
                              </w:rPr>
                              <w:t>271</w:t>
                            </w:r>
                          </w:p>
                        </w:tc>
                        <w:tc>
                          <w:tcPr>
                            <w:tcW w:w="995" w:type="dxa"/>
                            <w:vAlign w:val="center"/>
                          </w:tcPr>
                          <w:p w14:paraId="36370683" w14:textId="77777777" w:rsidR="00F86926" w:rsidRPr="008F4C3D" w:rsidRDefault="00F86926" w:rsidP="006F06C8">
                            <w:pPr>
                              <w:spacing w:line="240" w:lineRule="exact"/>
                              <w:jc w:val="right"/>
                              <w:rPr>
                                <w:rFonts w:ascii="標楷體" w:eastAsia="標楷體" w:hAnsi="標楷體"/>
                                <w:noProof/>
                                <w:spacing w:val="-10"/>
                                <w:sz w:val="20"/>
                              </w:rPr>
                            </w:pPr>
                            <w:r>
                              <w:rPr>
                                <w:rFonts w:ascii="標楷體" w:eastAsia="標楷體" w:hAnsi="標楷體" w:hint="eastAsia"/>
                                <w:noProof/>
                                <w:spacing w:val="-10"/>
                                <w:sz w:val="20"/>
                              </w:rPr>
                              <w:t>256</w:t>
                            </w:r>
                            <w:r>
                              <w:rPr>
                                <w:rFonts w:ascii="標楷體" w:eastAsia="標楷體" w:hAnsi="標楷體"/>
                                <w:noProof/>
                                <w:spacing w:val="-10"/>
                                <w:sz w:val="20"/>
                              </w:rPr>
                              <w:t>,</w:t>
                            </w:r>
                            <w:r>
                              <w:rPr>
                                <w:rFonts w:ascii="標楷體" w:eastAsia="標楷體" w:hAnsi="標楷體" w:hint="eastAsia"/>
                                <w:noProof/>
                                <w:spacing w:val="-10"/>
                                <w:sz w:val="20"/>
                              </w:rPr>
                              <w:t>681</w:t>
                            </w:r>
                          </w:p>
                        </w:tc>
                        <w:tc>
                          <w:tcPr>
                            <w:tcW w:w="734" w:type="dxa"/>
                            <w:vAlign w:val="center"/>
                          </w:tcPr>
                          <w:p w14:paraId="7801A455" w14:textId="77777777" w:rsidR="00F86926" w:rsidRPr="008F4C3D" w:rsidRDefault="00F86926" w:rsidP="006F06C8">
                            <w:pPr>
                              <w:spacing w:line="240" w:lineRule="exact"/>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.59</w:t>
                            </w:r>
                          </w:p>
                        </w:tc>
                      </w:tr>
                      <w:tr w:rsidR="00F86926" w:rsidRPr="00D14483" w14:paraId="67FDECC6" w14:textId="77777777" w:rsidTr="004E00FB">
                        <w:trPr>
                          <w:trHeight w:val="340"/>
                          <w:jc w:val="right"/>
                        </w:trPr>
                        <w:tc>
                          <w:tcPr>
                            <w:tcW w:w="5514" w:type="dxa"/>
                            <w:gridSpan w:val="7"/>
                            <w:tcBorders>
                              <w:top w:val="single" w:sz="4" w:space="0" w:color="auto"/>
                              <w:left w:val="nil"/>
                              <w:bottom w:val="nil"/>
                              <w:right w:val="nil"/>
                            </w:tcBorders>
                          </w:tcPr>
                          <w:p w14:paraId="0D96A9D4" w14:textId="77777777" w:rsidR="00F86926" w:rsidRPr="008F4F3A" w:rsidRDefault="00F86926" w:rsidP="00825B27">
                            <w:pPr>
                              <w:spacing w:line="240" w:lineRule="exact"/>
                              <w:ind w:leftChars="-45" w:left="-108"/>
                              <w:rPr>
                                <w:rFonts w:ascii="標楷體" w:eastAsia="標楷體" w:hAnsi="標楷體"/>
                                <w:noProof/>
                                <w:sz w:val="18"/>
                                <w:szCs w:val="18"/>
                              </w:rPr>
                            </w:pPr>
                            <w:r w:rsidRPr="008F4F3A">
                              <w:rPr>
                                <w:rFonts w:ascii="標楷體" w:eastAsia="標楷體" w:hAnsi="標楷體" w:hint="eastAsia"/>
                                <w:noProof/>
                                <w:sz w:val="18"/>
                                <w:szCs w:val="18"/>
                              </w:rPr>
                              <w:t>資料來源</w:t>
                            </w:r>
                            <w:r w:rsidRPr="008F4F3A">
                              <w:rPr>
                                <w:rFonts w:ascii="標楷體" w:eastAsia="標楷體" w:hAnsi="標楷體"/>
                                <w:noProof/>
                                <w:sz w:val="18"/>
                                <w:szCs w:val="18"/>
                              </w:rPr>
                              <w:t>：整理自</w:t>
                            </w:r>
                            <w:r>
                              <w:rPr>
                                <w:rFonts w:ascii="標楷體" w:eastAsia="標楷體" w:hAnsi="標楷體" w:hint="eastAsia"/>
                                <w:noProof/>
                                <w:sz w:val="18"/>
                                <w:szCs w:val="18"/>
                              </w:rPr>
                              <w:t>各機關查填調查表</w:t>
                            </w:r>
                            <w:r w:rsidRPr="008F4F3A">
                              <w:rPr>
                                <w:rFonts w:ascii="標楷體" w:eastAsia="標楷體" w:hAnsi="標楷體" w:hint="eastAsia"/>
                                <w:noProof/>
                                <w:sz w:val="18"/>
                                <w:szCs w:val="18"/>
                              </w:rPr>
                              <w:t>。</w:t>
                            </w:r>
                          </w:p>
                        </w:tc>
                      </w:tr>
                    </w:tbl>
                    <w:p w14:paraId="13716211" w14:textId="77777777" w:rsidR="00F86926" w:rsidRDefault="00F86926" w:rsidP="00F86926"/>
                  </w:txbxContent>
                </v:textbox>
                <w10:wrap type="square"/>
              </v:shape>
            </w:pict>
          </mc:Fallback>
        </mc:AlternateContent>
      </w:r>
      <w:r w:rsidR="00650F3B" w:rsidRPr="00821D34">
        <w:rPr>
          <w:rFonts w:ascii="標楷體" w:eastAsia="標楷體" w:hAnsi="標楷體" w:hint="eastAsia"/>
          <w:b/>
          <w:bCs/>
          <w:spacing w:val="-6"/>
          <w:szCs w:val="24"/>
        </w:rPr>
        <w:t>2.</w:t>
      </w:r>
      <w:r w:rsidR="00650F3B" w:rsidRPr="00821D34">
        <w:rPr>
          <w:rFonts w:ascii="標楷體" w:eastAsia="標楷體" w:hAnsi="標楷體" w:hint="eastAsia"/>
          <w:b/>
          <w:bCs/>
          <w:spacing w:val="-6"/>
        </w:rPr>
        <w:t xml:space="preserve">　</w:t>
      </w:r>
      <w:r w:rsidR="00650F3B" w:rsidRPr="00776189">
        <w:rPr>
          <w:rFonts w:ascii="標楷體" w:eastAsia="標楷體" w:hAnsi="標楷體" w:hint="eastAsia"/>
          <w:b/>
          <w:bCs/>
          <w:spacing w:val="-6"/>
          <w:szCs w:val="24"/>
        </w:rPr>
        <w:t>部分機關動支第二預備金保留比率偏高，允宜督促檢討提升預算執行效能，並從嚴控管第二預備金之動支，以確保資源有效運用</w:t>
      </w:r>
      <w:r w:rsidR="00650F3B">
        <w:rPr>
          <w:rFonts w:ascii="標楷體" w:eastAsia="標楷體" w:hAnsi="標楷體" w:hint="eastAsia"/>
          <w:b/>
          <w:bCs/>
          <w:spacing w:val="-6"/>
          <w:szCs w:val="24"/>
        </w:rPr>
        <w:t>：</w:t>
      </w:r>
      <w:proofErr w:type="gramStart"/>
      <w:r w:rsidR="00650F3B" w:rsidRPr="00776189">
        <w:rPr>
          <w:rFonts w:ascii="標楷體" w:eastAsia="標楷體" w:hAnsi="標楷體" w:hint="eastAsia"/>
          <w:spacing w:val="-2"/>
          <w:szCs w:val="24"/>
        </w:rPr>
        <w:t>113</w:t>
      </w:r>
      <w:proofErr w:type="gramEnd"/>
      <w:r w:rsidR="00650F3B" w:rsidRPr="00776189">
        <w:rPr>
          <w:rFonts w:ascii="標楷體" w:eastAsia="標楷體" w:hAnsi="標楷體" w:hint="eastAsia"/>
          <w:spacing w:val="-2"/>
          <w:szCs w:val="24"/>
        </w:rPr>
        <w:t>年度計有17個主管機關動支第二預備金，合計</w:t>
      </w:r>
      <w:r w:rsidR="00650F3B" w:rsidRPr="00776189">
        <w:rPr>
          <w:rFonts w:ascii="標楷體" w:eastAsia="標楷體" w:hAnsi="標楷體"/>
          <w:spacing w:val="-2"/>
          <w:szCs w:val="24"/>
        </w:rPr>
        <w:t>73億3,214</w:t>
      </w:r>
      <w:r w:rsidR="00650F3B" w:rsidRPr="00776189">
        <w:rPr>
          <w:rFonts w:ascii="標楷體" w:eastAsia="標楷體" w:hAnsi="標楷體" w:hint="eastAsia"/>
          <w:spacing w:val="-2"/>
          <w:szCs w:val="24"/>
        </w:rPr>
        <w:t>萬餘元，經查，其中內政部等6個主管機關未及於當年度執行完竣，應付保留數合計</w:t>
      </w:r>
      <w:r w:rsidR="00650F3B" w:rsidRPr="00776189">
        <w:rPr>
          <w:rFonts w:ascii="標楷體" w:eastAsia="標楷體" w:hAnsi="標楷體"/>
          <w:spacing w:val="-2"/>
          <w:szCs w:val="24"/>
        </w:rPr>
        <w:t>7</w:t>
      </w:r>
      <w:r w:rsidR="00650F3B" w:rsidRPr="00776189">
        <w:rPr>
          <w:rFonts w:ascii="標楷體" w:eastAsia="標楷體" w:hAnsi="標楷體" w:hint="eastAsia"/>
          <w:spacing w:val="-2"/>
          <w:szCs w:val="24"/>
        </w:rPr>
        <w:t>億</w:t>
      </w:r>
      <w:r w:rsidR="00650F3B" w:rsidRPr="00776189">
        <w:rPr>
          <w:rFonts w:ascii="標楷體" w:eastAsia="標楷體" w:hAnsi="標楷體"/>
          <w:spacing w:val="-2"/>
          <w:szCs w:val="24"/>
        </w:rPr>
        <w:t>3,867</w:t>
      </w:r>
      <w:r w:rsidR="00650F3B" w:rsidRPr="00776189">
        <w:rPr>
          <w:rFonts w:ascii="標楷體" w:eastAsia="標楷體" w:hAnsi="標楷體" w:hint="eastAsia"/>
          <w:spacing w:val="-2"/>
          <w:szCs w:val="24"/>
        </w:rPr>
        <w:t>萬餘元，占</w:t>
      </w:r>
      <w:r w:rsidR="00650F3B" w:rsidRPr="00776189">
        <w:rPr>
          <w:rFonts w:ascii="標楷體" w:eastAsia="標楷體" w:hAnsi="標楷體"/>
          <w:spacing w:val="-2"/>
          <w:szCs w:val="24"/>
        </w:rPr>
        <w:t>10.07</w:t>
      </w:r>
      <w:r w:rsidR="00650F3B" w:rsidRPr="00776189">
        <w:rPr>
          <w:rFonts w:ascii="標楷體" w:eastAsia="標楷體" w:hAnsi="標楷體" w:hint="eastAsia"/>
          <w:spacing w:val="-2"/>
          <w:szCs w:val="24"/>
        </w:rPr>
        <w:t>％，保留金額及保留</w:t>
      </w:r>
      <w:proofErr w:type="gramStart"/>
      <w:r w:rsidR="00650F3B" w:rsidRPr="00776189">
        <w:rPr>
          <w:rFonts w:ascii="標楷體" w:eastAsia="標楷體" w:hAnsi="標楷體" w:hint="eastAsia"/>
          <w:spacing w:val="-2"/>
          <w:szCs w:val="24"/>
        </w:rPr>
        <w:t>比率均為近3</w:t>
      </w:r>
      <w:proofErr w:type="gramEnd"/>
      <w:r w:rsidR="00650F3B" w:rsidRPr="00776189">
        <w:rPr>
          <w:rFonts w:ascii="標楷體" w:eastAsia="標楷體" w:hAnsi="標楷體" w:hint="eastAsia"/>
          <w:spacing w:val="-2"/>
          <w:szCs w:val="24"/>
        </w:rPr>
        <w:t>年度</w:t>
      </w:r>
      <w:r w:rsidR="00650F3B" w:rsidRPr="00DA31BA">
        <w:rPr>
          <w:rFonts w:ascii="標楷體" w:eastAsia="標楷體" w:hAnsi="標楷體" w:hint="eastAsia"/>
          <w:spacing w:val="-2"/>
          <w:szCs w:val="24"/>
        </w:rPr>
        <w:t>（111至113年度）</w:t>
      </w:r>
      <w:r w:rsidR="00650F3B" w:rsidRPr="00776189">
        <w:rPr>
          <w:rFonts w:ascii="標楷體" w:eastAsia="標楷體" w:hAnsi="標楷體" w:hint="eastAsia"/>
          <w:spacing w:val="-2"/>
          <w:szCs w:val="24"/>
        </w:rPr>
        <w:t>最高（表</w:t>
      </w:r>
      <w:r w:rsidR="00594440">
        <w:rPr>
          <w:rFonts w:ascii="標楷體" w:eastAsia="標楷體" w:hAnsi="標楷體" w:hint="eastAsia"/>
          <w:spacing w:val="-2"/>
          <w:szCs w:val="24"/>
        </w:rPr>
        <w:t>4</w:t>
      </w:r>
      <w:r w:rsidR="000532D9">
        <w:rPr>
          <w:rFonts w:ascii="標楷體" w:eastAsia="標楷體" w:hAnsi="標楷體" w:hint="eastAsia"/>
          <w:spacing w:val="-2"/>
          <w:szCs w:val="24"/>
        </w:rPr>
        <w:t>8</w:t>
      </w:r>
      <w:r w:rsidR="00650F3B" w:rsidRPr="00776189">
        <w:rPr>
          <w:rFonts w:ascii="標楷體" w:eastAsia="標楷體" w:hAnsi="標楷體" w:hint="eastAsia"/>
          <w:spacing w:val="-2"/>
          <w:szCs w:val="24"/>
        </w:rPr>
        <w:t>）；又</w:t>
      </w:r>
      <w:proofErr w:type="gramStart"/>
      <w:r w:rsidR="00650F3B" w:rsidRPr="00776189">
        <w:rPr>
          <w:rFonts w:ascii="標楷體" w:eastAsia="標楷體" w:hAnsi="標楷體" w:hint="eastAsia"/>
          <w:spacing w:val="-2"/>
          <w:szCs w:val="24"/>
        </w:rPr>
        <w:t>113</w:t>
      </w:r>
      <w:proofErr w:type="gramEnd"/>
      <w:r w:rsidR="00650F3B" w:rsidRPr="00776189">
        <w:rPr>
          <w:rFonts w:ascii="標楷體" w:eastAsia="標楷體" w:hAnsi="標楷體" w:hint="eastAsia"/>
          <w:spacing w:val="-2"/>
          <w:szCs w:val="24"/>
        </w:rPr>
        <w:t>年度第二預備金保留比率逾</w:t>
      </w:r>
      <w:proofErr w:type="gramStart"/>
      <w:r w:rsidR="00650F3B" w:rsidRPr="00776189">
        <w:rPr>
          <w:rFonts w:ascii="標楷體" w:eastAsia="標楷體" w:hAnsi="標楷體" w:hint="eastAsia"/>
          <w:spacing w:val="-2"/>
          <w:szCs w:val="24"/>
        </w:rPr>
        <w:t>2成</w:t>
      </w:r>
      <w:proofErr w:type="gramEnd"/>
      <w:r w:rsidR="00650F3B" w:rsidRPr="00776189">
        <w:rPr>
          <w:rFonts w:ascii="標楷體" w:eastAsia="標楷體" w:hAnsi="標楷體" w:hint="eastAsia"/>
          <w:spacing w:val="-2"/>
          <w:szCs w:val="24"/>
        </w:rPr>
        <w:t>之動支機關，計有立法院、內政部國家公園署、教育部、交通部觀光署、航港局、文化部國立臺灣文學館等6個機關，主要係因工程發包作業延遲、契約期程跨年度、執行進度尚未達付款條件等，致預算執行進度有欠理想。經函請</w:t>
      </w:r>
      <w:r w:rsidR="00650F3B">
        <w:rPr>
          <w:rFonts w:ascii="標楷體" w:eastAsia="標楷體" w:hAnsi="標楷體" w:hint="eastAsia"/>
          <w:spacing w:val="-2"/>
          <w:szCs w:val="24"/>
        </w:rPr>
        <w:t>行政院</w:t>
      </w:r>
      <w:r w:rsidR="00650F3B" w:rsidRPr="00776189">
        <w:rPr>
          <w:rFonts w:ascii="標楷體" w:eastAsia="標楷體" w:hAnsi="標楷體" w:hint="eastAsia"/>
          <w:spacing w:val="-2"/>
          <w:szCs w:val="24"/>
        </w:rPr>
        <w:t>督促各相關機關落實評估經費執行能力，以減少第二預備金保留情形；</w:t>
      </w:r>
      <w:r w:rsidR="00650F3B">
        <w:rPr>
          <w:rFonts w:ascii="標楷體" w:eastAsia="標楷體" w:hAnsi="標楷體" w:hint="eastAsia"/>
          <w:spacing w:val="-2"/>
          <w:szCs w:val="24"/>
        </w:rPr>
        <w:t>並</w:t>
      </w:r>
      <w:r w:rsidR="00650F3B" w:rsidRPr="00776189">
        <w:rPr>
          <w:rFonts w:ascii="標楷體" w:eastAsia="標楷體" w:hAnsi="標楷體" w:hint="eastAsia"/>
          <w:spacing w:val="-2"/>
          <w:szCs w:val="24"/>
        </w:rPr>
        <w:t>對於接近年底提出之第二預備金申請案件，</w:t>
      </w:r>
      <w:proofErr w:type="gramStart"/>
      <w:r w:rsidR="00650F3B" w:rsidRPr="00776189">
        <w:rPr>
          <w:rFonts w:ascii="標楷體" w:eastAsia="標楷體" w:hAnsi="標楷體"/>
          <w:spacing w:val="-2"/>
          <w:szCs w:val="24"/>
        </w:rPr>
        <w:t>盱衡</w:t>
      </w:r>
      <w:r w:rsidR="00650F3B" w:rsidRPr="00776189">
        <w:rPr>
          <w:rFonts w:ascii="標楷體" w:eastAsia="標楷體" w:hAnsi="標楷體" w:hint="eastAsia"/>
          <w:spacing w:val="-2"/>
          <w:szCs w:val="24"/>
        </w:rPr>
        <w:t>動</w:t>
      </w:r>
      <w:proofErr w:type="gramEnd"/>
      <w:r w:rsidR="00650F3B" w:rsidRPr="00776189">
        <w:rPr>
          <w:rFonts w:ascii="標楷體" w:eastAsia="標楷體" w:hAnsi="標楷體" w:hint="eastAsia"/>
          <w:spacing w:val="-2"/>
          <w:szCs w:val="24"/>
        </w:rPr>
        <w:t>支機關執行量能及次年度預算容納額度等，落實從嚴審核</w:t>
      </w:r>
      <w:r w:rsidR="00650F3B" w:rsidRPr="00776189">
        <w:rPr>
          <w:rFonts w:ascii="標楷體" w:eastAsia="標楷體" w:hAnsi="標楷體"/>
          <w:spacing w:val="-2"/>
          <w:szCs w:val="24"/>
        </w:rPr>
        <w:t>。</w:t>
      </w:r>
      <w:r w:rsidR="00387A92" w:rsidRPr="00706F32">
        <w:rPr>
          <w:rFonts w:ascii="標楷體" w:eastAsia="標楷體" w:hAnsi="標楷體" w:hint="eastAsia"/>
          <w:spacing w:val="-2"/>
          <w:szCs w:val="24"/>
          <w:shd w:val="clear" w:color="auto" w:fill="FFFFFF" w:themeFill="background1"/>
        </w:rPr>
        <w:t>據復：</w:t>
      </w:r>
      <w:r w:rsidR="00706F32" w:rsidRPr="00706F32">
        <w:rPr>
          <w:rFonts w:ascii="標楷體" w:eastAsia="標楷體" w:hAnsi="標楷體" w:hint="eastAsia"/>
          <w:spacing w:val="-2"/>
          <w:szCs w:val="24"/>
        </w:rPr>
        <w:t>已督促各相關機關積極辦理，如各機關於執行過程中，因實際</w:t>
      </w:r>
      <w:proofErr w:type="gramStart"/>
      <w:r w:rsidR="00706F32" w:rsidRPr="00706F32">
        <w:rPr>
          <w:rFonts w:ascii="標楷體" w:eastAsia="標楷體" w:hAnsi="標楷體" w:hint="eastAsia"/>
          <w:spacing w:val="-2"/>
          <w:szCs w:val="24"/>
        </w:rPr>
        <w:t>撙</w:t>
      </w:r>
      <w:proofErr w:type="gramEnd"/>
      <w:r w:rsidR="00706F32" w:rsidRPr="00706F32">
        <w:rPr>
          <w:rFonts w:ascii="標楷體" w:eastAsia="標楷體" w:hAnsi="標楷體" w:hint="eastAsia"/>
          <w:spacing w:val="-2"/>
          <w:szCs w:val="24"/>
        </w:rPr>
        <w:t>節情況或受不可預期因素影響致進度延宕，</w:t>
      </w:r>
      <w:proofErr w:type="gramStart"/>
      <w:r w:rsidR="00706F32" w:rsidRPr="00706F32">
        <w:rPr>
          <w:rFonts w:ascii="標楷體" w:eastAsia="標楷體" w:hAnsi="標楷體" w:hint="eastAsia"/>
          <w:spacing w:val="-2"/>
          <w:szCs w:val="24"/>
        </w:rPr>
        <w:t>且次年度</w:t>
      </w:r>
      <w:proofErr w:type="gramEnd"/>
      <w:r w:rsidR="00706F32" w:rsidRPr="00706F32">
        <w:rPr>
          <w:rFonts w:ascii="標楷體" w:eastAsia="標楷體" w:hAnsi="標楷體" w:hint="eastAsia"/>
          <w:spacing w:val="-2"/>
          <w:szCs w:val="24"/>
        </w:rPr>
        <w:t>已編列相關經費者，將不予同意保留；另將持續依各機關單位預算執行要點第32點規定，加強審核辦理第二預備金之動支、核定分配及撥款作業。</w:t>
      </w:r>
      <w:r w:rsidR="001633EC" w:rsidRPr="001633EC">
        <w:rPr>
          <w:rFonts w:ascii="標楷體" w:eastAsia="標楷體" w:hAnsi="標楷體" w:cstheme="minorBidi" w:hint="eastAsia"/>
          <w:bCs/>
          <w:noProof/>
        </w:rPr>
        <mc:AlternateContent>
          <mc:Choice Requires="wps">
            <w:drawing>
              <wp:anchor distT="0" distB="0" distL="114300" distR="114300" simplePos="0" relativeHeight="251646976" behindDoc="0" locked="0" layoutInCell="1" allowOverlap="1" wp14:anchorId="1F031AC6" wp14:editId="618880DA">
                <wp:simplePos x="0" y="0"/>
                <wp:positionH relativeFrom="page">
                  <wp:posOffset>586740</wp:posOffset>
                </wp:positionH>
                <wp:positionV relativeFrom="margin">
                  <wp:posOffset>17006570</wp:posOffset>
                </wp:positionV>
                <wp:extent cx="6374765" cy="4146550"/>
                <wp:effectExtent l="0" t="0" r="6985" b="6350"/>
                <wp:wrapSquare wrapText="bothSides"/>
                <wp:docPr id="64" name="文字方塊 64"/>
                <wp:cNvGraphicFramePr/>
                <a:graphic xmlns:a="http://schemas.openxmlformats.org/drawingml/2006/main">
                  <a:graphicData uri="http://schemas.microsoft.com/office/word/2010/wordprocessingShape">
                    <wps:wsp>
                      <wps:cNvSpPr txBox="1"/>
                      <wps:spPr>
                        <a:xfrm>
                          <a:off x="0" y="0"/>
                          <a:ext cx="6374765" cy="4146550"/>
                        </a:xfrm>
                        <a:prstGeom prst="rect">
                          <a:avLst/>
                        </a:prstGeom>
                        <a:solidFill>
                          <a:sysClr val="window" lastClr="FFFFFF"/>
                        </a:solidFill>
                        <a:ln w="6350">
                          <a:noFill/>
                        </a:ln>
                        <a:effectLst/>
                      </wps:spPr>
                      <wps:txbx>
                        <w:txbxContent>
                          <w:tbl>
                            <w:tblPr>
                              <w:tblW w:w="9592" w:type="dxa"/>
                              <w:jc w:val="center"/>
                              <w:tblCellMar>
                                <w:left w:w="28" w:type="dxa"/>
                                <w:right w:w="28" w:type="dxa"/>
                              </w:tblCellMar>
                              <w:tblLook w:val="04A0" w:firstRow="1" w:lastRow="0" w:firstColumn="1" w:lastColumn="0" w:noHBand="0" w:noVBand="1"/>
                            </w:tblPr>
                            <w:tblGrid>
                              <w:gridCol w:w="681"/>
                              <w:gridCol w:w="1465"/>
                              <w:gridCol w:w="1077"/>
                              <w:gridCol w:w="1389"/>
                              <w:gridCol w:w="958"/>
                              <w:gridCol w:w="956"/>
                              <w:gridCol w:w="758"/>
                              <w:gridCol w:w="656"/>
                              <w:gridCol w:w="896"/>
                              <w:gridCol w:w="756"/>
                            </w:tblGrid>
                            <w:tr w:rsidR="00A2675B" w:rsidRPr="00FE4B26" w14:paraId="381E4B21" w14:textId="77777777" w:rsidTr="001633EC">
                              <w:trPr>
                                <w:trHeight w:val="20"/>
                                <w:jc w:val="center"/>
                              </w:trPr>
                              <w:tc>
                                <w:tcPr>
                                  <w:tcW w:w="9592" w:type="dxa"/>
                                  <w:gridSpan w:val="10"/>
                                  <w:shd w:val="clear" w:color="auto" w:fill="auto"/>
                                  <w:vAlign w:val="center"/>
                                </w:tcPr>
                                <w:p w14:paraId="59EEC592"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bookmarkStart w:id="41" w:name="_Hlk169256133"/>
                                  <w:r w:rsidRPr="00FE4B26">
                                    <w:rPr>
                                      <w:rFonts w:ascii="標楷體" w:eastAsia="標楷體" w:hAnsi="標楷體" w:cs="新細明體" w:hint="eastAsia"/>
                                      <w:b/>
                                      <w:bCs/>
                                      <w:color w:val="000000"/>
                                      <w:kern w:val="0"/>
                                    </w:rPr>
                                    <w:t>表</w:t>
                                  </w:r>
                                  <w:r>
                                    <w:rPr>
                                      <w:rFonts w:ascii="標楷體" w:eastAsia="標楷體" w:hAnsi="標楷體" w:cs="新細明體"/>
                                      <w:b/>
                                      <w:bCs/>
                                      <w:color w:val="000000"/>
                                      <w:kern w:val="0"/>
                                    </w:rPr>
                                    <w:t>7</w:t>
                                  </w:r>
                                  <w:r w:rsidRPr="00FE4B26">
                                    <w:rPr>
                                      <w:rFonts w:ascii="標楷體" w:eastAsia="標楷體" w:hAnsi="標楷體" w:cs="新細明體" w:hint="eastAsia"/>
                                      <w:b/>
                                      <w:bCs/>
                                      <w:color w:val="000000"/>
                                      <w:kern w:val="0"/>
                                    </w:rPr>
                                    <w:t xml:space="preserve">　前瞻計畫第</w:t>
                                  </w:r>
                                  <w:r w:rsidRPr="00FE4B26">
                                    <w:rPr>
                                      <w:rFonts w:ascii="標楷體" w:eastAsia="標楷體" w:hAnsi="標楷體" w:cs="新細明體"/>
                                      <w:b/>
                                      <w:bCs/>
                                      <w:color w:val="000000"/>
                                      <w:kern w:val="0"/>
                                    </w:rPr>
                                    <w:t>4期特別預算</w:t>
                                  </w:r>
                                  <w:proofErr w:type="gramStart"/>
                                  <w:r w:rsidRPr="00FE4B26">
                                    <w:rPr>
                                      <w:rFonts w:ascii="標楷體" w:eastAsia="標楷體" w:hAnsi="標楷體" w:cs="新細明體" w:hint="eastAsia"/>
                                      <w:b/>
                                      <w:bCs/>
                                      <w:color w:val="000000"/>
                                      <w:kern w:val="0"/>
                                    </w:rPr>
                                    <w:t>1</w:t>
                                  </w:r>
                                  <w:r w:rsidRPr="00FE4B26">
                                    <w:rPr>
                                      <w:rFonts w:ascii="標楷體" w:eastAsia="標楷體" w:hAnsi="標楷體" w:cs="新細明體"/>
                                      <w:b/>
                                      <w:bCs/>
                                      <w:color w:val="000000"/>
                                      <w:kern w:val="0"/>
                                    </w:rPr>
                                    <w:t>12</w:t>
                                  </w:r>
                                  <w:proofErr w:type="gramEnd"/>
                                  <w:r w:rsidRPr="00FE4B26">
                                    <w:rPr>
                                      <w:rFonts w:ascii="標楷體" w:eastAsia="標楷體" w:hAnsi="標楷體" w:cs="新細明體" w:hint="eastAsia"/>
                                      <w:b/>
                                      <w:bCs/>
                                      <w:color w:val="000000"/>
                                      <w:kern w:val="0"/>
                                    </w:rPr>
                                    <w:t>年度實現率未達</w:t>
                                  </w:r>
                                  <w:proofErr w:type="gramStart"/>
                                  <w:r w:rsidRPr="00FE4B26">
                                    <w:rPr>
                                      <w:rFonts w:ascii="標楷體" w:eastAsia="標楷體" w:hAnsi="標楷體" w:cs="新細明體" w:hint="eastAsia"/>
                                      <w:b/>
                                      <w:bCs/>
                                      <w:color w:val="000000"/>
                                      <w:kern w:val="0"/>
                                    </w:rPr>
                                    <w:t>1成</w:t>
                                  </w:r>
                                  <w:proofErr w:type="gramEnd"/>
                                  <w:r>
                                    <w:rPr>
                                      <w:rFonts w:ascii="標楷體" w:eastAsia="標楷體" w:hAnsi="標楷體" w:cs="新細明體" w:hint="eastAsia"/>
                                      <w:b/>
                                      <w:bCs/>
                                      <w:color w:val="000000"/>
                                      <w:kern w:val="0"/>
                                    </w:rPr>
                                    <w:t>工作計畫</w:t>
                                  </w:r>
                                  <w:r w:rsidRPr="00FE4B26">
                                    <w:rPr>
                                      <w:rFonts w:ascii="標楷體" w:eastAsia="標楷體" w:hAnsi="標楷體" w:cs="新細明體" w:hint="eastAsia"/>
                                      <w:b/>
                                      <w:bCs/>
                                      <w:color w:val="000000"/>
                                      <w:kern w:val="0"/>
                                    </w:rPr>
                                    <w:t>執行情形</w:t>
                                  </w:r>
                                </w:p>
                              </w:tc>
                            </w:tr>
                            <w:tr w:rsidR="00A2675B" w:rsidRPr="00FE4B26" w14:paraId="76C21AA0" w14:textId="77777777" w:rsidTr="001633EC">
                              <w:trPr>
                                <w:trHeight w:val="20"/>
                                <w:jc w:val="center"/>
                              </w:trPr>
                              <w:tc>
                                <w:tcPr>
                                  <w:tcW w:w="9592" w:type="dxa"/>
                                  <w:gridSpan w:val="10"/>
                                  <w:shd w:val="clear" w:color="auto" w:fill="auto"/>
                                  <w:vAlign w:val="center"/>
                                </w:tcPr>
                                <w:p w14:paraId="7D3509B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kern w:val="0"/>
                                      <w:sz w:val="18"/>
                                      <w:szCs w:val="18"/>
                                    </w:rPr>
                                    <w:t>單位：新臺幣千元、％</w:t>
                                  </w:r>
                                </w:p>
                              </w:tc>
                            </w:tr>
                            <w:tr w:rsidR="00A2675B" w:rsidRPr="00FE4B26" w14:paraId="01EB0E82" w14:textId="77777777" w:rsidTr="001633EC">
                              <w:trPr>
                                <w:trHeight w:val="20"/>
                                <w:jc w:val="center"/>
                              </w:trPr>
                              <w:tc>
                                <w:tcPr>
                                  <w:tcW w:w="681" w:type="dxa"/>
                                  <w:vMerge w:val="restart"/>
                                  <w:tcBorders>
                                    <w:top w:val="single" w:sz="4" w:space="0" w:color="auto"/>
                                    <w:left w:val="single" w:sz="4" w:space="0" w:color="auto"/>
                                    <w:right w:val="single" w:sz="4" w:space="0" w:color="auto"/>
                                  </w:tcBorders>
                                  <w:shd w:val="clear" w:color="auto" w:fill="auto"/>
                                  <w:vAlign w:val="center"/>
                                  <w:hideMark/>
                                </w:tcPr>
                                <w:p w14:paraId="0F845D0C"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主管</w:t>
                                  </w:r>
                                </w:p>
                                <w:p w14:paraId="63F23EA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機關</w:t>
                                  </w:r>
                                </w:p>
                              </w:tc>
                              <w:tc>
                                <w:tcPr>
                                  <w:tcW w:w="1465" w:type="dxa"/>
                                  <w:vMerge w:val="restart"/>
                                  <w:tcBorders>
                                    <w:top w:val="single" w:sz="4" w:space="0" w:color="auto"/>
                                    <w:left w:val="nil"/>
                                    <w:right w:val="single" w:sz="4" w:space="0" w:color="auto"/>
                                  </w:tcBorders>
                                  <w:shd w:val="clear" w:color="auto" w:fill="auto"/>
                                  <w:vAlign w:val="center"/>
                                  <w:hideMark/>
                                </w:tcPr>
                                <w:p w14:paraId="5F5A1D00"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執行機關</w:t>
                                  </w:r>
                                </w:p>
                              </w:tc>
                              <w:tc>
                                <w:tcPr>
                                  <w:tcW w:w="1077" w:type="dxa"/>
                                  <w:vMerge w:val="restart"/>
                                  <w:tcBorders>
                                    <w:top w:val="single" w:sz="4" w:space="0" w:color="auto"/>
                                    <w:left w:val="nil"/>
                                    <w:right w:val="single" w:sz="4" w:space="0" w:color="auto"/>
                                  </w:tcBorders>
                                  <w:shd w:val="clear" w:color="auto" w:fill="auto"/>
                                  <w:vAlign w:val="center"/>
                                  <w:hideMark/>
                                </w:tcPr>
                                <w:p w14:paraId="1F1779C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建設類別</w:t>
                                  </w:r>
                                </w:p>
                              </w:tc>
                              <w:tc>
                                <w:tcPr>
                                  <w:tcW w:w="1389" w:type="dxa"/>
                                  <w:vMerge w:val="restart"/>
                                  <w:tcBorders>
                                    <w:top w:val="single" w:sz="4" w:space="0" w:color="auto"/>
                                    <w:left w:val="nil"/>
                                    <w:right w:val="single" w:sz="4" w:space="0" w:color="auto"/>
                                  </w:tcBorders>
                                  <w:shd w:val="clear" w:color="auto" w:fill="auto"/>
                                  <w:vAlign w:val="center"/>
                                  <w:hideMark/>
                                </w:tcPr>
                                <w:p w14:paraId="62A73C34"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工作計畫</w:t>
                                  </w:r>
                                </w:p>
                              </w:tc>
                              <w:tc>
                                <w:tcPr>
                                  <w:tcW w:w="958" w:type="dxa"/>
                                  <w:vMerge w:val="restart"/>
                                  <w:tcBorders>
                                    <w:top w:val="single" w:sz="4" w:space="0" w:color="auto"/>
                                    <w:left w:val="nil"/>
                                    <w:right w:val="single" w:sz="4" w:space="0" w:color="auto"/>
                                  </w:tcBorders>
                                  <w:shd w:val="clear" w:color="auto" w:fill="auto"/>
                                  <w:vAlign w:val="center"/>
                                  <w:hideMark/>
                                </w:tcPr>
                                <w:p w14:paraId="44BD753A"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預算數</w:t>
                                  </w:r>
                                </w:p>
                              </w:tc>
                              <w:tc>
                                <w:tcPr>
                                  <w:tcW w:w="956" w:type="dxa"/>
                                  <w:vMerge w:val="restart"/>
                                  <w:tcBorders>
                                    <w:top w:val="single" w:sz="4" w:space="0" w:color="auto"/>
                                    <w:left w:val="nil"/>
                                    <w:right w:val="single" w:sz="4" w:space="0" w:color="auto"/>
                                  </w:tcBorders>
                                  <w:shd w:val="clear" w:color="auto" w:fill="auto"/>
                                  <w:vAlign w:val="center"/>
                                  <w:hideMark/>
                                </w:tcPr>
                                <w:p w14:paraId="3346FFD9" w14:textId="77777777" w:rsidR="00A2675B" w:rsidRDefault="00A2675B" w:rsidP="001633EC">
                                  <w:pPr>
                                    <w:widowControl/>
                                    <w:spacing w:line="240" w:lineRule="exact"/>
                                    <w:jc w:val="center"/>
                                    <w:rPr>
                                      <w:rFonts w:ascii="標楷體" w:eastAsia="標楷體" w:hAnsi="標楷體" w:cs="新細明體"/>
                                      <w:color w:val="000000"/>
                                      <w:spacing w:val="-20"/>
                                      <w:kern w:val="0"/>
                                      <w:sz w:val="20"/>
                                    </w:rPr>
                                  </w:pPr>
                                  <w:proofErr w:type="gramStart"/>
                                  <w:r w:rsidRPr="00DE2D47">
                                    <w:rPr>
                                      <w:rFonts w:ascii="標楷體" w:eastAsia="標楷體" w:hAnsi="標楷體" w:cs="新細明體" w:hint="eastAsia"/>
                                      <w:color w:val="000000"/>
                                      <w:spacing w:val="-20"/>
                                      <w:kern w:val="0"/>
                                      <w:sz w:val="20"/>
                                    </w:rPr>
                                    <w:t>1</w:t>
                                  </w:r>
                                  <w:r w:rsidRPr="00DE2D47">
                                    <w:rPr>
                                      <w:rFonts w:ascii="標楷體" w:eastAsia="標楷體" w:hAnsi="標楷體" w:cs="新細明體"/>
                                      <w:color w:val="000000"/>
                                      <w:spacing w:val="-20"/>
                                      <w:kern w:val="0"/>
                                      <w:sz w:val="20"/>
                                    </w:rPr>
                                    <w:t>12</w:t>
                                  </w:r>
                                  <w:proofErr w:type="gramEnd"/>
                                  <w:r w:rsidRPr="00DE2D47">
                                    <w:rPr>
                                      <w:rFonts w:ascii="標楷體" w:eastAsia="標楷體" w:hAnsi="標楷體" w:cs="新細明體" w:hint="eastAsia"/>
                                      <w:color w:val="000000"/>
                                      <w:spacing w:val="-20"/>
                                      <w:kern w:val="0"/>
                                      <w:sz w:val="20"/>
                                    </w:rPr>
                                    <w:t>年度</w:t>
                                  </w:r>
                                </w:p>
                                <w:p w14:paraId="45D1F023" w14:textId="77777777" w:rsidR="00A2675B" w:rsidRPr="00DE2D47" w:rsidRDefault="00A2675B" w:rsidP="001633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分配預算數</w:t>
                                  </w:r>
                                </w:p>
                              </w:tc>
                              <w:tc>
                                <w:tcPr>
                                  <w:tcW w:w="3066" w:type="dxa"/>
                                  <w:gridSpan w:val="4"/>
                                  <w:tcBorders>
                                    <w:top w:val="single" w:sz="4" w:space="0" w:color="auto"/>
                                    <w:left w:val="nil"/>
                                    <w:bottom w:val="single" w:sz="4" w:space="0" w:color="auto"/>
                                    <w:right w:val="single" w:sz="4" w:space="0" w:color="auto"/>
                                  </w:tcBorders>
                                  <w:shd w:val="clear" w:color="auto" w:fill="auto"/>
                                  <w:vAlign w:val="center"/>
                                  <w:hideMark/>
                                </w:tcPr>
                                <w:p w14:paraId="21F6536C"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執行情形</w:t>
                                  </w:r>
                                </w:p>
                              </w:tc>
                            </w:tr>
                            <w:tr w:rsidR="00A2675B" w:rsidRPr="00FE4B26" w14:paraId="7BA7D955"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31985483"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1465" w:type="dxa"/>
                                  <w:vMerge/>
                                  <w:tcBorders>
                                    <w:left w:val="nil"/>
                                    <w:bottom w:val="single" w:sz="4" w:space="0" w:color="auto"/>
                                    <w:right w:val="single" w:sz="4" w:space="0" w:color="auto"/>
                                  </w:tcBorders>
                                  <w:shd w:val="clear" w:color="auto" w:fill="auto"/>
                                  <w:vAlign w:val="center"/>
                                  <w:hideMark/>
                                </w:tcPr>
                                <w:p w14:paraId="3BEF03C7"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1077" w:type="dxa"/>
                                  <w:vMerge/>
                                  <w:tcBorders>
                                    <w:left w:val="nil"/>
                                    <w:bottom w:val="single" w:sz="4" w:space="0" w:color="auto"/>
                                    <w:right w:val="single" w:sz="4" w:space="0" w:color="auto"/>
                                  </w:tcBorders>
                                  <w:shd w:val="clear" w:color="auto" w:fill="auto"/>
                                  <w:vAlign w:val="center"/>
                                  <w:hideMark/>
                                </w:tcPr>
                                <w:p w14:paraId="5B70C022"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1389" w:type="dxa"/>
                                  <w:vMerge/>
                                  <w:tcBorders>
                                    <w:left w:val="nil"/>
                                    <w:bottom w:val="single" w:sz="4" w:space="0" w:color="auto"/>
                                    <w:right w:val="single" w:sz="4" w:space="0" w:color="auto"/>
                                  </w:tcBorders>
                                  <w:shd w:val="clear" w:color="auto" w:fill="auto"/>
                                  <w:vAlign w:val="center"/>
                                  <w:hideMark/>
                                </w:tcPr>
                                <w:p w14:paraId="0F87C633"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958" w:type="dxa"/>
                                  <w:vMerge/>
                                  <w:tcBorders>
                                    <w:left w:val="nil"/>
                                    <w:bottom w:val="single" w:sz="4" w:space="0" w:color="auto"/>
                                    <w:right w:val="single" w:sz="4" w:space="0" w:color="auto"/>
                                  </w:tcBorders>
                                  <w:shd w:val="clear" w:color="auto" w:fill="auto"/>
                                  <w:vAlign w:val="center"/>
                                  <w:hideMark/>
                                </w:tcPr>
                                <w:p w14:paraId="66CB50F1"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956" w:type="dxa"/>
                                  <w:vMerge/>
                                  <w:tcBorders>
                                    <w:left w:val="nil"/>
                                    <w:bottom w:val="single" w:sz="4" w:space="0" w:color="auto"/>
                                    <w:right w:val="single" w:sz="4" w:space="0" w:color="auto"/>
                                  </w:tcBorders>
                                  <w:shd w:val="clear" w:color="auto" w:fill="auto"/>
                                  <w:vAlign w:val="center"/>
                                  <w:hideMark/>
                                </w:tcPr>
                                <w:p w14:paraId="20ED1328"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758" w:type="dxa"/>
                                  <w:tcBorders>
                                    <w:top w:val="nil"/>
                                    <w:left w:val="nil"/>
                                    <w:bottom w:val="single" w:sz="4" w:space="0" w:color="auto"/>
                                    <w:right w:val="single" w:sz="4" w:space="0" w:color="auto"/>
                                  </w:tcBorders>
                                  <w:shd w:val="clear" w:color="auto" w:fill="auto"/>
                                  <w:vAlign w:val="center"/>
                                  <w:hideMark/>
                                </w:tcPr>
                                <w:p w14:paraId="4204A4B2"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合計</w:t>
                                  </w:r>
                                </w:p>
                              </w:tc>
                              <w:tc>
                                <w:tcPr>
                                  <w:tcW w:w="656" w:type="dxa"/>
                                  <w:tcBorders>
                                    <w:top w:val="nil"/>
                                    <w:left w:val="nil"/>
                                    <w:bottom w:val="single" w:sz="4" w:space="0" w:color="auto"/>
                                    <w:right w:val="single" w:sz="4" w:space="0" w:color="auto"/>
                                  </w:tcBorders>
                                  <w:shd w:val="clear" w:color="auto" w:fill="auto"/>
                                  <w:vAlign w:val="center"/>
                                  <w:hideMark/>
                                </w:tcPr>
                                <w:p w14:paraId="472F1F39"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實現數</w:t>
                                  </w:r>
                                </w:p>
                              </w:tc>
                              <w:tc>
                                <w:tcPr>
                                  <w:tcW w:w="896" w:type="dxa"/>
                                  <w:tcBorders>
                                    <w:top w:val="nil"/>
                                    <w:left w:val="nil"/>
                                    <w:bottom w:val="single" w:sz="4" w:space="0" w:color="auto"/>
                                    <w:right w:val="single" w:sz="4" w:space="0" w:color="auto"/>
                                  </w:tcBorders>
                                  <w:shd w:val="clear" w:color="auto" w:fill="auto"/>
                                  <w:vAlign w:val="center"/>
                                  <w:hideMark/>
                                </w:tcPr>
                                <w:p w14:paraId="75CDB062" w14:textId="77777777" w:rsidR="00A2675B"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實現率</w:t>
                                  </w:r>
                                </w:p>
                                <w:p w14:paraId="6EF4A84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roofErr w:type="gramStart"/>
                                  <w:r>
                                    <w:rPr>
                                      <w:rFonts w:ascii="標楷體" w:eastAsia="標楷體" w:hAnsi="標楷體" w:cs="新細明體" w:hint="eastAsia"/>
                                      <w:color w:val="000000"/>
                                      <w:kern w:val="0"/>
                                      <w:sz w:val="20"/>
                                    </w:rPr>
                                    <w:t>註</w:t>
                                  </w:r>
                                  <w:proofErr w:type="gramEnd"/>
                                  <w:r>
                                    <w:rPr>
                                      <w:rFonts w:ascii="標楷體" w:eastAsia="標楷體" w:hAnsi="標楷體" w:cs="新細明體" w:hint="eastAsia"/>
                                      <w:color w:val="000000"/>
                                      <w:kern w:val="0"/>
                                      <w:sz w:val="20"/>
                                    </w:rPr>
                                    <w:t>1）</w:t>
                                  </w:r>
                                </w:p>
                              </w:tc>
                              <w:tc>
                                <w:tcPr>
                                  <w:tcW w:w="756" w:type="dxa"/>
                                  <w:tcBorders>
                                    <w:top w:val="nil"/>
                                    <w:left w:val="nil"/>
                                    <w:bottom w:val="single" w:sz="4" w:space="0" w:color="auto"/>
                                    <w:right w:val="single" w:sz="4" w:space="0" w:color="auto"/>
                                  </w:tcBorders>
                                  <w:shd w:val="clear" w:color="auto" w:fill="auto"/>
                                  <w:vAlign w:val="center"/>
                                  <w:hideMark/>
                                </w:tcPr>
                                <w:p w14:paraId="3AE844E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預付數</w:t>
                                  </w:r>
                                </w:p>
                              </w:tc>
                            </w:tr>
                            <w:tr w:rsidR="00A2675B" w:rsidRPr="00FE4B26" w14:paraId="68388224"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71499167"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行政院</w:t>
                                  </w:r>
                                </w:p>
                              </w:tc>
                              <w:tc>
                                <w:tcPr>
                                  <w:tcW w:w="1465" w:type="dxa"/>
                                  <w:tcBorders>
                                    <w:top w:val="nil"/>
                                    <w:left w:val="nil"/>
                                    <w:bottom w:val="single" w:sz="4" w:space="0" w:color="auto"/>
                                    <w:right w:val="single" w:sz="4" w:space="0" w:color="auto"/>
                                  </w:tcBorders>
                                  <w:shd w:val="clear" w:color="auto" w:fill="auto"/>
                                  <w:vAlign w:val="center"/>
                                  <w:hideMark/>
                                </w:tcPr>
                                <w:p w14:paraId="2E5C229E"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國家發展委員會</w:t>
                                  </w:r>
                                </w:p>
                              </w:tc>
                              <w:tc>
                                <w:tcPr>
                                  <w:tcW w:w="1077" w:type="dxa"/>
                                  <w:tcBorders>
                                    <w:top w:val="nil"/>
                                    <w:left w:val="nil"/>
                                    <w:bottom w:val="single" w:sz="4" w:space="0" w:color="auto"/>
                                    <w:right w:val="single" w:sz="4" w:space="0" w:color="auto"/>
                                  </w:tcBorders>
                                  <w:shd w:val="clear" w:color="auto" w:fill="auto"/>
                                  <w:vAlign w:val="center"/>
                                  <w:hideMark/>
                                </w:tcPr>
                                <w:p w14:paraId="1FA8C72A"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1389" w:type="dxa"/>
                                  <w:tcBorders>
                                    <w:top w:val="nil"/>
                                    <w:left w:val="nil"/>
                                    <w:bottom w:val="single" w:sz="4" w:space="0" w:color="auto"/>
                                    <w:right w:val="single" w:sz="4" w:space="0" w:color="auto"/>
                                  </w:tcBorders>
                                  <w:shd w:val="clear" w:color="auto" w:fill="auto"/>
                                  <w:vAlign w:val="center"/>
                                  <w:hideMark/>
                                </w:tcPr>
                                <w:p w14:paraId="28ED5FD7"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958" w:type="dxa"/>
                                  <w:tcBorders>
                                    <w:top w:val="nil"/>
                                    <w:left w:val="nil"/>
                                    <w:bottom w:val="single" w:sz="4" w:space="0" w:color="auto"/>
                                    <w:right w:val="single" w:sz="4" w:space="0" w:color="auto"/>
                                  </w:tcBorders>
                                  <w:shd w:val="clear" w:color="auto" w:fill="auto"/>
                                  <w:vAlign w:val="center"/>
                                  <w:hideMark/>
                                </w:tcPr>
                                <w:p w14:paraId="35827CD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908,900 </w:t>
                                  </w:r>
                                </w:p>
                              </w:tc>
                              <w:tc>
                                <w:tcPr>
                                  <w:tcW w:w="956" w:type="dxa"/>
                                  <w:tcBorders>
                                    <w:top w:val="nil"/>
                                    <w:left w:val="nil"/>
                                    <w:bottom w:val="single" w:sz="4" w:space="0" w:color="auto"/>
                                    <w:right w:val="single" w:sz="4" w:space="0" w:color="auto"/>
                                  </w:tcBorders>
                                  <w:shd w:val="clear" w:color="auto" w:fill="auto"/>
                                  <w:vAlign w:val="center"/>
                                  <w:hideMark/>
                                </w:tcPr>
                                <w:p w14:paraId="69FB433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366,450 </w:t>
                                  </w:r>
                                </w:p>
                              </w:tc>
                              <w:tc>
                                <w:tcPr>
                                  <w:tcW w:w="758" w:type="dxa"/>
                                  <w:tcBorders>
                                    <w:top w:val="nil"/>
                                    <w:left w:val="nil"/>
                                    <w:bottom w:val="single" w:sz="4" w:space="0" w:color="auto"/>
                                    <w:right w:val="single" w:sz="4" w:space="0" w:color="auto"/>
                                  </w:tcBorders>
                                  <w:shd w:val="clear" w:color="auto" w:fill="auto"/>
                                  <w:vAlign w:val="center"/>
                                  <w:hideMark/>
                                </w:tcPr>
                                <w:p w14:paraId="674EF816"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44,247 </w:t>
                                  </w:r>
                                </w:p>
                              </w:tc>
                              <w:tc>
                                <w:tcPr>
                                  <w:tcW w:w="656" w:type="dxa"/>
                                  <w:tcBorders>
                                    <w:top w:val="nil"/>
                                    <w:left w:val="nil"/>
                                    <w:bottom w:val="single" w:sz="4" w:space="0" w:color="auto"/>
                                    <w:right w:val="single" w:sz="4" w:space="0" w:color="auto"/>
                                  </w:tcBorders>
                                  <w:shd w:val="clear" w:color="auto" w:fill="auto"/>
                                  <w:vAlign w:val="center"/>
                                  <w:hideMark/>
                                </w:tcPr>
                                <w:p w14:paraId="5B905309"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34,599 </w:t>
                                  </w:r>
                                </w:p>
                              </w:tc>
                              <w:tc>
                                <w:tcPr>
                                  <w:tcW w:w="896" w:type="dxa"/>
                                  <w:tcBorders>
                                    <w:top w:val="nil"/>
                                    <w:left w:val="nil"/>
                                    <w:bottom w:val="single" w:sz="4" w:space="0" w:color="auto"/>
                                    <w:right w:val="single" w:sz="4" w:space="0" w:color="auto"/>
                                  </w:tcBorders>
                                  <w:shd w:val="clear" w:color="auto" w:fill="auto"/>
                                  <w:vAlign w:val="center"/>
                                  <w:hideMark/>
                                </w:tcPr>
                                <w:p w14:paraId="4ACE617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9.44 </w:t>
                                  </w:r>
                                </w:p>
                              </w:tc>
                              <w:tc>
                                <w:tcPr>
                                  <w:tcW w:w="756" w:type="dxa"/>
                                  <w:tcBorders>
                                    <w:top w:val="nil"/>
                                    <w:left w:val="nil"/>
                                    <w:bottom w:val="single" w:sz="4" w:space="0" w:color="auto"/>
                                    <w:right w:val="single" w:sz="4" w:space="0" w:color="auto"/>
                                  </w:tcBorders>
                                  <w:shd w:val="clear" w:color="auto" w:fill="auto"/>
                                  <w:vAlign w:val="center"/>
                                  <w:hideMark/>
                                </w:tcPr>
                                <w:p w14:paraId="6A7D692B"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9,648 </w:t>
                                  </w:r>
                                </w:p>
                              </w:tc>
                            </w:tr>
                            <w:tr w:rsidR="00A2675B" w:rsidRPr="00FE4B26" w14:paraId="11E62486"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AE59204"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1F95B8"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原住民族委員會</w:t>
                                  </w:r>
                                </w:p>
                              </w:tc>
                              <w:tc>
                                <w:tcPr>
                                  <w:tcW w:w="1077" w:type="dxa"/>
                                  <w:tcBorders>
                                    <w:top w:val="nil"/>
                                    <w:left w:val="nil"/>
                                    <w:bottom w:val="single" w:sz="4" w:space="0" w:color="auto"/>
                                    <w:right w:val="single" w:sz="4" w:space="0" w:color="auto"/>
                                  </w:tcBorders>
                                  <w:shd w:val="clear" w:color="auto" w:fill="auto"/>
                                  <w:vAlign w:val="center"/>
                                  <w:hideMark/>
                                </w:tcPr>
                                <w:p w14:paraId="3ABF8DC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61AE241D"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推廣數位公益服務</w:t>
                                  </w:r>
                                </w:p>
                              </w:tc>
                              <w:tc>
                                <w:tcPr>
                                  <w:tcW w:w="958" w:type="dxa"/>
                                  <w:tcBorders>
                                    <w:top w:val="nil"/>
                                    <w:left w:val="nil"/>
                                    <w:bottom w:val="single" w:sz="4" w:space="0" w:color="auto"/>
                                    <w:right w:val="single" w:sz="4" w:space="0" w:color="auto"/>
                                  </w:tcBorders>
                                  <w:shd w:val="clear" w:color="auto" w:fill="auto"/>
                                  <w:vAlign w:val="center"/>
                                  <w:hideMark/>
                                </w:tcPr>
                                <w:p w14:paraId="70AC682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956" w:type="dxa"/>
                                  <w:tcBorders>
                                    <w:top w:val="nil"/>
                                    <w:left w:val="nil"/>
                                    <w:bottom w:val="single" w:sz="4" w:space="0" w:color="auto"/>
                                    <w:right w:val="single" w:sz="4" w:space="0" w:color="auto"/>
                                  </w:tcBorders>
                                  <w:shd w:val="clear" w:color="auto" w:fill="auto"/>
                                  <w:vAlign w:val="center"/>
                                  <w:hideMark/>
                                </w:tcPr>
                                <w:p w14:paraId="21250839"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758" w:type="dxa"/>
                                  <w:tcBorders>
                                    <w:top w:val="nil"/>
                                    <w:left w:val="nil"/>
                                    <w:bottom w:val="single" w:sz="4" w:space="0" w:color="auto"/>
                                    <w:right w:val="single" w:sz="4" w:space="0" w:color="auto"/>
                                  </w:tcBorders>
                                  <w:shd w:val="clear" w:color="auto" w:fill="auto"/>
                                  <w:vAlign w:val="center"/>
                                  <w:hideMark/>
                                </w:tcPr>
                                <w:p w14:paraId="24B93B04"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1,483 </w:t>
                                  </w:r>
                                </w:p>
                              </w:tc>
                              <w:tc>
                                <w:tcPr>
                                  <w:tcW w:w="656" w:type="dxa"/>
                                  <w:tcBorders>
                                    <w:top w:val="nil"/>
                                    <w:left w:val="nil"/>
                                    <w:bottom w:val="single" w:sz="4" w:space="0" w:color="auto"/>
                                    <w:right w:val="single" w:sz="4" w:space="0" w:color="auto"/>
                                  </w:tcBorders>
                                  <w:shd w:val="clear" w:color="auto" w:fill="auto"/>
                                  <w:vAlign w:val="center"/>
                                  <w:hideMark/>
                                </w:tcPr>
                                <w:p w14:paraId="7119C6C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1,483 </w:t>
                                  </w:r>
                                </w:p>
                              </w:tc>
                              <w:tc>
                                <w:tcPr>
                                  <w:tcW w:w="896" w:type="dxa"/>
                                  <w:tcBorders>
                                    <w:top w:val="nil"/>
                                    <w:left w:val="nil"/>
                                    <w:bottom w:val="single" w:sz="4" w:space="0" w:color="auto"/>
                                    <w:right w:val="single" w:sz="4" w:space="0" w:color="auto"/>
                                  </w:tcBorders>
                                  <w:shd w:val="clear" w:color="auto" w:fill="auto"/>
                                  <w:vAlign w:val="center"/>
                                  <w:hideMark/>
                                </w:tcPr>
                                <w:p w14:paraId="04EC386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9.89 </w:t>
                                  </w:r>
                                </w:p>
                              </w:tc>
                              <w:tc>
                                <w:tcPr>
                                  <w:tcW w:w="756" w:type="dxa"/>
                                  <w:tcBorders>
                                    <w:top w:val="nil"/>
                                    <w:left w:val="nil"/>
                                    <w:bottom w:val="single" w:sz="4" w:space="0" w:color="auto"/>
                                    <w:right w:val="single" w:sz="4" w:space="0" w:color="auto"/>
                                  </w:tcBorders>
                                  <w:shd w:val="clear" w:color="auto" w:fill="auto"/>
                                  <w:vAlign w:val="center"/>
                                  <w:hideMark/>
                                </w:tcPr>
                                <w:p w14:paraId="753BCAF6"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2675B" w:rsidRPr="00FE4B26" w14:paraId="4A5FC2D6"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13E48C"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465" w:type="dxa"/>
                                  <w:tcBorders>
                                    <w:top w:val="nil"/>
                                    <w:left w:val="nil"/>
                                    <w:bottom w:val="single" w:sz="4" w:space="0" w:color="auto"/>
                                    <w:right w:val="single" w:sz="4" w:space="0" w:color="auto"/>
                                  </w:tcBorders>
                                  <w:shd w:val="clear" w:color="auto" w:fill="auto"/>
                                  <w:vAlign w:val="center"/>
                                  <w:hideMark/>
                                </w:tcPr>
                                <w:p w14:paraId="2733ADB8"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077" w:type="dxa"/>
                                  <w:tcBorders>
                                    <w:top w:val="nil"/>
                                    <w:left w:val="nil"/>
                                    <w:bottom w:val="single" w:sz="4" w:space="0" w:color="auto"/>
                                    <w:right w:val="single" w:sz="4" w:space="0" w:color="auto"/>
                                  </w:tcBorders>
                                  <w:shd w:val="clear" w:color="auto" w:fill="auto"/>
                                  <w:vAlign w:val="center"/>
                                  <w:hideMark/>
                                </w:tcPr>
                                <w:p w14:paraId="049C440A"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79EADF17"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公共服務據點整備</w:t>
                                  </w:r>
                                </w:p>
                              </w:tc>
                              <w:tc>
                                <w:tcPr>
                                  <w:tcW w:w="958" w:type="dxa"/>
                                  <w:tcBorders>
                                    <w:top w:val="nil"/>
                                    <w:left w:val="nil"/>
                                    <w:bottom w:val="single" w:sz="4" w:space="0" w:color="auto"/>
                                    <w:right w:val="single" w:sz="4" w:space="0" w:color="auto"/>
                                  </w:tcBorders>
                                  <w:shd w:val="clear" w:color="auto" w:fill="auto"/>
                                  <w:vAlign w:val="center"/>
                                  <w:hideMark/>
                                </w:tcPr>
                                <w:p w14:paraId="427D5CAF"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368,680 </w:t>
                                  </w:r>
                                </w:p>
                              </w:tc>
                              <w:tc>
                                <w:tcPr>
                                  <w:tcW w:w="956" w:type="dxa"/>
                                  <w:tcBorders>
                                    <w:top w:val="nil"/>
                                    <w:left w:val="nil"/>
                                    <w:bottom w:val="single" w:sz="4" w:space="0" w:color="auto"/>
                                    <w:right w:val="single" w:sz="4" w:space="0" w:color="auto"/>
                                  </w:tcBorders>
                                  <w:shd w:val="clear" w:color="auto" w:fill="auto"/>
                                  <w:vAlign w:val="center"/>
                                  <w:hideMark/>
                                </w:tcPr>
                                <w:p w14:paraId="5E596BA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184,340 </w:t>
                                  </w:r>
                                </w:p>
                              </w:tc>
                              <w:tc>
                                <w:tcPr>
                                  <w:tcW w:w="758" w:type="dxa"/>
                                  <w:tcBorders>
                                    <w:top w:val="nil"/>
                                    <w:left w:val="nil"/>
                                    <w:bottom w:val="single" w:sz="4" w:space="0" w:color="auto"/>
                                    <w:right w:val="single" w:sz="4" w:space="0" w:color="auto"/>
                                  </w:tcBorders>
                                  <w:shd w:val="clear" w:color="auto" w:fill="auto"/>
                                  <w:vAlign w:val="center"/>
                                  <w:hideMark/>
                                </w:tcPr>
                                <w:p w14:paraId="2782F953"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39,837 </w:t>
                                  </w:r>
                                </w:p>
                              </w:tc>
                              <w:tc>
                                <w:tcPr>
                                  <w:tcW w:w="656" w:type="dxa"/>
                                  <w:tcBorders>
                                    <w:top w:val="nil"/>
                                    <w:left w:val="nil"/>
                                    <w:bottom w:val="single" w:sz="4" w:space="0" w:color="auto"/>
                                    <w:right w:val="single" w:sz="4" w:space="0" w:color="auto"/>
                                  </w:tcBorders>
                                  <w:shd w:val="clear" w:color="auto" w:fill="auto"/>
                                  <w:vAlign w:val="center"/>
                                  <w:hideMark/>
                                </w:tcPr>
                                <w:p w14:paraId="66A3A5F7"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10,527 </w:t>
                                  </w:r>
                                </w:p>
                              </w:tc>
                              <w:tc>
                                <w:tcPr>
                                  <w:tcW w:w="896" w:type="dxa"/>
                                  <w:tcBorders>
                                    <w:top w:val="nil"/>
                                    <w:left w:val="nil"/>
                                    <w:bottom w:val="single" w:sz="4" w:space="0" w:color="auto"/>
                                    <w:right w:val="single" w:sz="4" w:space="0" w:color="auto"/>
                                  </w:tcBorders>
                                  <w:shd w:val="clear" w:color="auto" w:fill="auto"/>
                                  <w:vAlign w:val="center"/>
                                  <w:hideMark/>
                                </w:tcPr>
                                <w:p w14:paraId="2F22D32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5.71 </w:t>
                                  </w:r>
                                </w:p>
                              </w:tc>
                              <w:tc>
                                <w:tcPr>
                                  <w:tcW w:w="756" w:type="dxa"/>
                                  <w:tcBorders>
                                    <w:top w:val="nil"/>
                                    <w:left w:val="nil"/>
                                    <w:bottom w:val="single" w:sz="4" w:space="0" w:color="auto"/>
                                    <w:right w:val="single" w:sz="4" w:space="0" w:color="auto"/>
                                  </w:tcBorders>
                                  <w:shd w:val="clear" w:color="auto" w:fill="auto"/>
                                  <w:vAlign w:val="center"/>
                                  <w:hideMark/>
                                </w:tcPr>
                                <w:p w14:paraId="660AE0D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29,310 </w:t>
                                  </w:r>
                                </w:p>
                              </w:tc>
                            </w:tr>
                            <w:tr w:rsidR="00A2675B" w:rsidRPr="00FE4B26" w14:paraId="03ED660C"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6C270D2"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7C6F0366"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水利署及所屬</w:t>
                                  </w:r>
                                </w:p>
                              </w:tc>
                              <w:tc>
                                <w:tcPr>
                                  <w:tcW w:w="1077" w:type="dxa"/>
                                  <w:tcBorders>
                                    <w:top w:val="nil"/>
                                    <w:left w:val="nil"/>
                                    <w:bottom w:val="single" w:sz="4" w:space="0" w:color="auto"/>
                                    <w:right w:val="single" w:sz="4" w:space="0" w:color="auto"/>
                                  </w:tcBorders>
                                  <w:shd w:val="clear" w:color="auto" w:fill="auto"/>
                                  <w:vAlign w:val="center"/>
                                  <w:hideMark/>
                                </w:tcPr>
                                <w:p w14:paraId="49E25B76"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DB9E01"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建構開放政府及智慧城鄉服務</w:t>
                                  </w:r>
                                </w:p>
                              </w:tc>
                              <w:tc>
                                <w:tcPr>
                                  <w:tcW w:w="958" w:type="dxa"/>
                                  <w:tcBorders>
                                    <w:top w:val="nil"/>
                                    <w:left w:val="nil"/>
                                    <w:bottom w:val="single" w:sz="4" w:space="0" w:color="auto"/>
                                    <w:right w:val="single" w:sz="4" w:space="0" w:color="auto"/>
                                  </w:tcBorders>
                                  <w:shd w:val="clear" w:color="auto" w:fill="auto"/>
                                  <w:vAlign w:val="center"/>
                                  <w:hideMark/>
                                </w:tcPr>
                                <w:p w14:paraId="0349419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102,960 </w:t>
                                  </w:r>
                                </w:p>
                              </w:tc>
                              <w:tc>
                                <w:tcPr>
                                  <w:tcW w:w="956" w:type="dxa"/>
                                  <w:tcBorders>
                                    <w:top w:val="nil"/>
                                    <w:left w:val="nil"/>
                                    <w:bottom w:val="single" w:sz="4" w:space="0" w:color="auto"/>
                                    <w:right w:val="single" w:sz="4" w:space="0" w:color="auto"/>
                                  </w:tcBorders>
                                  <w:shd w:val="clear" w:color="auto" w:fill="auto"/>
                                  <w:vAlign w:val="center"/>
                                  <w:hideMark/>
                                </w:tcPr>
                                <w:p w14:paraId="2C6509CE"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51,480 </w:t>
                                  </w:r>
                                </w:p>
                              </w:tc>
                              <w:tc>
                                <w:tcPr>
                                  <w:tcW w:w="758" w:type="dxa"/>
                                  <w:tcBorders>
                                    <w:top w:val="nil"/>
                                    <w:left w:val="nil"/>
                                    <w:bottom w:val="single" w:sz="4" w:space="0" w:color="auto"/>
                                    <w:right w:val="single" w:sz="4" w:space="0" w:color="auto"/>
                                  </w:tcBorders>
                                  <w:shd w:val="clear" w:color="auto" w:fill="auto"/>
                                  <w:vAlign w:val="center"/>
                                  <w:hideMark/>
                                </w:tcPr>
                                <w:p w14:paraId="3B35EB2C"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51,454 </w:t>
                                  </w:r>
                                </w:p>
                              </w:tc>
                              <w:tc>
                                <w:tcPr>
                                  <w:tcW w:w="656" w:type="dxa"/>
                                  <w:tcBorders>
                                    <w:top w:val="nil"/>
                                    <w:left w:val="nil"/>
                                    <w:bottom w:val="single" w:sz="4" w:space="0" w:color="auto"/>
                                    <w:right w:val="single" w:sz="4" w:space="0" w:color="auto"/>
                                  </w:tcBorders>
                                  <w:shd w:val="clear" w:color="auto" w:fill="auto"/>
                                  <w:vAlign w:val="center"/>
                                  <w:hideMark/>
                                </w:tcPr>
                                <w:p w14:paraId="1E8BBE78"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 </w:t>
                                  </w:r>
                                </w:p>
                              </w:tc>
                              <w:tc>
                                <w:tcPr>
                                  <w:tcW w:w="896" w:type="dxa"/>
                                  <w:tcBorders>
                                    <w:top w:val="nil"/>
                                    <w:left w:val="nil"/>
                                    <w:bottom w:val="single" w:sz="4" w:space="0" w:color="auto"/>
                                    <w:right w:val="single" w:sz="4" w:space="0" w:color="auto"/>
                                  </w:tcBorders>
                                  <w:shd w:val="clear" w:color="auto" w:fill="auto"/>
                                  <w:vAlign w:val="center"/>
                                  <w:hideMark/>
                                </w:tcPr>
                                <w:p w14:paraId="7216C00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0.05 </w:t>
                                  </w:r>
                                </w:p>
                              </w:tc>
                              <w:tc>
                                <w:tcPr>
                                  <w:tcW w:w="756" w:type="dxa"/>
                                  <w:tcBorders>
                                    <w:top w:val="nil"/>
                                    <w:left w:val="nil"/>
                                    <w:bottom w:val="single" w:sz="4" w:space="0" w:color="auto"/>
                                    <w:right w:val="single" w:sz="4" w:space="0" w:color="auto"/>
                                  </w:tcBorders>
                                  <w:shd w:val="clear" w:color="auto" w:fill="auto"/>
                                  <w:vAlign w:val="center"/>
                                  <w:hideMark/>
                                </w:tcPr>
                                <w:p w14:paraId="6DD0F25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51,430 </w:t>
                                  </w:r>
                                </w:p>
                              </w:tc>
                            </w:tr>
                            <w:tr w:rsidR="00A2675B" w:rsidRPr="00FE4B26" w14:paraId="399788BE"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7092A1"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465" w:type="dxa"/>
                                  <w:tcBorders>
                                    <w:top w:val="nil"/>
                                    <w:left w:val="nil"/>
                                    <w:bottom w:val="single" w:sz="4" w:space="0" w:color="auto"/>
                                    <w:right w:val="single" w:sz="4" w:space="0" w:color="auto"/>
                                  </w:tcBorders>
                                  <w:shd w:val="clear" w:color="auto" w:fill="auto"/>
                                  <w:vAlign w:val="center"/>
                                  <w:hideMark/>
                                </w:tcPr>
                                <w:p w14:paraId="0AB61424"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077" w:type="dxa"/>
                                  <w:tcBorders>
                                    <w:top w:val="nil"/>
                                    <w:left w:val="nil"/>
                                    <w:bottom w:val="single" w:sz="4" w:space="0" w:color="auto"/>
                                    <w:right w:val="single" w:sz="4" w:space="0" w:color="auto"/>
                                  </w:tcBorders>
                                  <w:shd w:val="clear" w:color="auto" w:fill="auto"/>
                                  <w:vAlign w:val="center"/>
                                  <w:hideMark/>
                                </w:tcPr>
                                <w:p w14:paraId="062F60E7"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62A53DC1"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proofErr w:type="gramStart"/>
                                  <w:r w:rsidRPr="00FE4B26">
                                    <w:rPr>
                                      <w:rFonts w:ascii="標楷體" w:eastAsia="標楷體" w:hAnsi="標楷體" w:cs="新細明體" w:hint="eastAsia"/>
                                      <w:color w:val="000000"/>
                                      <w:kern w:val="0"/>
                                      <w:sz w:val="20"/>
                                    </w:rPr>
                                    <w:t>臺</w:t>
                                  </w:r>
                                  <w:proofErr w:type="gramEnd"/>
                                  <w:r w:rsidRPr="00FE4B26">
                                    <w:rPr>
                                      <w:rFonts w:ascii="標楷體" w:eastAsia="標楷體" w:hAnsi="標楷體" w:cs="新細明體" w:hint="eastAsia"/>
                                      <w:color w:val="000000"/>
                                      <w:kern w:val="0"/>
                                      <w:sz w:val="20"/>
                                    </w:rPr>
                                    <w:t>鐵升級及改善東部服務</w:t>
                                  </w:r>
                                </w:p>
                              </w:tc>
                              <w:tc>
                                <w:tcPr>
                                  <w:tcW w:w="958" w:type="dxa"/>
                                  <w:tcBorders>
                                    <w:top w:val="nil"/>
                                    <w:left w:val="nil"/>
                                    <w:bottom w:val="single" w:sz="4" w:space="0" w:color="auto"/>
                                    <w:right w:val="single" w:sz="4" w:space="0" w:color="auto"/>
                                  </w:tcBorders>
                                  <w:shd w:val="clear" w:color="auto" w:fill="auto"/>
                                  <w:vAlign w:val="center"/>
                                  <w:hideMark/>
                                </w:tcPr>
                                <w:p w14:paraId="783F0C05"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5,891,168 </w:t>
                                  </w:r>
                                </w:p>
                              </w:tc>
                              <w:tc>
                                <w:tcPr>
                                  <w:tcW w:w="956" w:type="dxa"/>
                                  <w:tcBorders>
                                    <w:top w:val="nil"/>
                                    <w:left w:val="nil"/>
                                    <w:bottom w:val="single" w:sz="4" w:space="0" w:color="auto"/>
                                    <w:right w:val="single" w:sz="4" w:space="0" w:color="auto"/>
                                  </w:tcBorders>
                                  <w:shd w:val="clear" w:color="auto" w:fill="auto"/>
                                  <w:vAlign w:val="center"/>
                                  <w:hideMark/>
                                </w:tcPr>
                                <w:p w14:paraId="25BD262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2,000,000 </w:t>
                                  </w:r>
                                </w:p>
                              </w:tc>
                              <w:tc>
                                <w:tcPr>
                                  <w:tcW w:w="758" w:type="dxa"/>
                                  <w:tcBorders>
                                    <w:top w:val="nil"/>
                                    <w:left w:val="nil"/>
                                    <w:bottom w:val="single" w:sz="4" w:space="0" w:color="auto"/>
                                    <w:right w:val="single" w:sz="4" w:space="0" w:color="auto"/>
                                  </w:tcBorders>
                                  <w:shd w:val="clear" w:color="auto" w:fill="auto"/>
                                  <w:vAlign w:val="center"/>
                                  <w:hideMark/>
                                </w:tcPr>
                                <w:p w14:paraId="646CCC2D"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34,106 </w:t>
                                  </w:r>
                                </w:p>
                              </w:tc>
                              <w:tc>
                                <w:tcPr>
                                  <w:tcW w:w="656" w:type="dxa"/>
                                  <w:tcBorders>
                                    <w:top w:val="nil"/>
                                    <w:left w:val="nil"/>
                                    <w:bottom w:val="single" w:sz="4" w:space="0" w:color="auto"/>
                                    <w:right w:val="single" w:sz="4" w:space="0" w:color="auto"/>
                                  </w:tcBorders>
                                  <w:shd w:val="clear" w:color="auto" w:fill="auto"/>
                                  <w:vAlign w:val="center"/>
                                  <w:hideMark/>
                                </w:tcPr>
                                <w:p w14:paraId="3CE1D4C8"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34,106 </w:t>
                                  </w:r>
                                </w:p>
                              </w:tc>
                              <w:tc>
                                <w:tcPr>
                                  <w:tcW w:w="896" w:type="dxa"/>
                                  <w:tcBorders>
                                    <w:top w:val="nil"/>
                                    <w:left w:val="nil"/>
                                    <w:bottom w:val="single" w:sz="4" w:space="0" w:color="auto"/>
                                    <w:right w:val="single" w:sz="4" w:space="0" w:color="auto"/>
                                  </w:tcBorders>
                                  <w:shd w:val="clear" w:color="auto" w:fill="auto"/>
                                  <w:vAlign w:val="center"/>
                                  <w:hideMark/>
                                </w:tcPr>
                                <w:p w14:paraId="3EACCED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1.71 </w:t>
                                  </w:r>
                                </w:p>
                              </w:tc>
                              <w:tc>
                                <w:tcPr>
                                  <w:tcW w:w="756" w:type="dxa"/>
                                  <w:tcBorders>
                                    <w:top w:val="nil"/>
                                    <w:left w:val="nil"/>
                                    <w:bottom w:val="single" w:sz="4" w:space="0" w:color="auto"/>
                                    <w:right w:val="single" w:sz="4" w:space="0" w:color="auto"/>
                                  </w:tcBorders>
                                  <w:shd w:val="clear" w:color="auto" w:fill="auto"/>
                                  <w:vAlign w:val="center"/>
                                  <w:hideMark/>
                                </w:tcPr>
                                <w:p w14:paraId="0688650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2675B" w:rsidRPr="00FE4B26" w14:paraId="4C2D195E" w14:textId="77777777" w:rsidTr="001633EC">
                              <w:trPr>
                                <w:trHeight w:val="20"/>
                                <w:jc w:val="center"/>
                              </w:trPr>
                              <w:tc>
                                <w:tcPr>
                                  <w:tcW w:w="681" w:type="dxa"/>
                                  <w:vMerge/>
                                  <w:tcBorders>
                                    <w:left w:val="single" w:sz="4" w:space="0" w:color="auto"/>
                                    <w:right w:val="single" w:sz="4" w:space="0" w:color="auto"/>
                                  </w:tcBorders>
                                  <w:shd w:val="clear" w:color="auto" w:fill="auto"/>
                                  <w:vAlign w:val="center"/>
                                  <w:hideMark/>
                                </w:tcPr>
                                <w:p w14:paraId="0565AF67" w14:textId="77777777" w:rsidR="00A2675B" w:rsidRPr="00FE4B26" w:rsidRDefault="00A2675B" w:rsidP="001633EC">
                                  <w:pPr>
                                    <w:spacing w:line="240" w:lineRule="exact"/>
                                    <w:ind w:left="480" w:firstLine="400"/>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2906B5BF"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公路局及所屬</w:t>
                                  </w:r>
                                </w:p>
                              </w:tc>
                              <w:tc>
                                <w:tcPr>
                                  <w:tcW w:w="1077" w:type="dxa"/>
                                  <w:tcBorders>
                                    <w:top w:val="nil"/>
                                    <w:left w:val="nil"/>
                                    <w:bottom w:val="single" w:sz="4" w:space="0" w:color="auto"/>
                                    <w:right w:val="single" w:sz="4" w:space="0" w:color="auto"/>
                                  </w:tcBorders>
                                  <w:shd w:val="clear" w:color="auto" w:fill="auto"/>
                                  <w:vAlign w:val="center"/>
                                  <w:hideMark/>
                                </w:tcPr>
                                <w:p w14:paraId="01772420" w14:textId="77777777" w:rsidR="00A2675B" w:rsidRPr="00FE4B26" w:rsidRDefault="00A2675B" w:rsidP="001633EC">
                                  <w:pPr>
                                    <w:widowControl/>
                                    <w:spacing w:line="240" w:lineRule="exact"/>
                                    <w:rPr>
                                      <w:rFonts w:ascii="標楷體" w:eastAsia="標楷體" w:hAnsi="標楷體" w:cs="新細明體"/>
                                      <w:color w:val="000000"/>
                                      <w:kern w:val="0"/>
                                      <w:sz w:val="20"/>
                                    </w:rPr>
                                  </w:pPr>
                                  <w:proofErr w:type="gramStart"/>
                                  <w:r w:rsidRPr="00FE4B26">
                                    <w:rPr>
                                      <w:rFonts w:ascii="標楷體" w:eastAsia="標楷體" w:hAnsi="標楷體" w:cs="新細明體" w:hint="eastAsia"/>
                                      <w:color w:val="000000"/>
                                      <w:kern w:val="0"/>
                                      <w:sz w:val="20"/>
                                    </w:rPr>
                                    <w:t>綠能建設</w:t>
                                  </w:r>
                                  <w:proofErr w:type="gramEnd"/>
                                </w:p>
                              </w:tc>
                              <w:tc>
                                <w:tcPr>
                                  <w:tcW w:w="1389" w:type="dxa"/>
                                  <w:tcBorders>
                                    <w:top w:val="nil"/>
                                    <w:left w:val="nil"/>
                                    <w:bottom w:val="single" w:sz="4" w:space="0" w:color="auto"/>
                                    <w:right w:val="single" w:sz="4" w:space="0" w:color="auto"/>
                                  </w:tcBorders>
                                  <w:shd w:val="clear" w:color="auto" w:fill="auto"/>
                                  <w:vAlign w:val="center"/>
                                  <w:hideMark/>
                                </w:tcPr>
                                <w:p w14:paraId="52B19AE4"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公共充電樁設置及區域充電需求評估計畫</w:t>
                                  </w:r>
                                </w:p>
                              </w:tc>
                              <w:tc>
                                <w:tcPr>
                                  <w:tcW w:w="958" w:type="dxa"/>
                                  <w:tcBorders>
                                    <w:top w:val="nil"/>
                                    <w:left w:val="nil"/>
                                    <w:bottom w:val="single" w:sz="4" w:space="0" w:color="auto"/>
                                    <w:right w:val="single" w:sz="4" w:space="0" w:color="auto"/>
                                  </w:tcBorders>
                                  <w:shd w:val="clear" w:color="auto" w:fill="auto"/>
                                  <w:vAlign w:val="center"/>
                                  <w:hideMark/>
                                </w:tcPr>
                                <w:p w14:paraId="029010AC"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970,000 </w:t>
                                  </w:r>
                                </w:p>
                              </w:tc>
                              <w:tc>
                                <w:tcPr>
                                  <w:tcW w:w="956" w:type="dxa"/>
                                  <w:tcBorders>
                                    <w:top w:val="nil"/>
                                    <w:left w:val="nil"/>
                                    <w:bottom w:val="single" w:sz="4" w:space="0" w:color="auto"/>
                                    <w:right w:val="single" w:sz="4" w:space="0" w:color="auto"/>
                                  </w:tcBorders>
                                  <w:shd w:val="clear" w:color="auto" w:fill="auto"/>
                                  <w:vAlign w:val="center"/>
                                  <w:hideMark/>
                                </w:tcPr>
                                <w:p w14:paraId="6BDC4E6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323,000 </w:t>
                                  </w:r>
                                </w:p>
                              </w:tc>
                              <w:tc>
                                <w:tcPr>
                                  <w:tcW w:w="758" w:type="dxa"/>
                                  <w:tcBorders>
                                    <w:top w:val="nil"/>
                                    <w:left w:val="nil"/>
                                    <w:bottom w:val="single" w:sz="4" w:space="0" w:color="auto"/>
                                    <w:right w:val="single" w:sz="4" w:space="0" w:color="auto"/>
                                  </w:tcBorders>
                                  <w:shd w:val="clear" w:color="auto" w:fill="auto"/>
                                  <w:vAlign w:val="center"/>
                                  <w:hideMark/>
                                </w:tcPr>
                                <w:p w14:paraId="7DB7CC68"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189,644 </w:t>
                                  </w:r>
                                </w:p>
                              </w:tc>
                              <w:tc>
                                <w:tcPr>
                                  <w:tcW w:w="656" w:type="dxa"/>
                                  <w:tcBorders>
                                    <w:top w:val="nil"/>
                                    <w:left w:val="nil"/>
                                    <w:bottom w:val="single" w:sz="4" w:space="0" w:color="auto"/>
                                    <w:right w:val="single" w:sz="4" w:space="0" w:color="auto"/>
                                  </w:tcBorders>
                                  <w:shd w:val="clear" w:color="auto" w:fill="auto"/>
                                  <w:vAlign w:val="center"/>
                                  <w:hideMark/>
                                </w:tcPr>
                                <w:p w14:paraId="0F29BB9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25,029 </w:t>
                                  </w:r>
                                </w:p>
                              </w:tc>
                              <w:tc>
                                <w:tcPr>
                                  <w:tcW w:w="896" w:type="dxa"/>
                                  <w:tcBorders>
                                    <w:top w:val="nil"/>
                                    <w:left w:val="nil"/>
                                    <w:bottom w:val="single" w:sz="4" w:space="0" w:color="auto"/>
                                    <w:right w:val="single" w:sz="4" w:space="0" w:color="auto"/>
                                  </w:tcBorders>
                                  <w:shd w:val="clear" w:color="auto" w:fill="auto"/>
                                  <w:vAlign w:val="center"/>
                                  <w:hideMark/>
                                </w:tcPr>
                                <w:p w14:paraId="4F0DD1BD"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7.75 </w:t>
                                  </w:r>
                                </w:p>
                              </w:tc>
                              <w:tc>
                                <w:tcPr>
                                  <w:tcW w:w="756" w:type="dxa"/>
                                  <w:tcBorders>
                                    <w:top w:val="nil"/>
                                    <w:left w:val="nil"/>
                                    <w:bottom w:val="single" w:sz="4" w:space="0" w:color="auto"/>
                                    <w:right w:val="single" w:sz="4" w:space="0" w:color="auto"/>
                                  </w:tcBorders>
                                  <w:shd w:val="clear" w:color="auto" w:fill="auto"/>
                                  <w:vAlign w:val="center"/>
                                  <w:hideMark/>
                                </w:tcPr>
                                <w:p w14:paraId="6034299B"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164,615 </w:t>
                                  </w:r>
                                </w:p>
                              </w:tc>
                            </w:tr>
                            <w:tr w:rsidR="00A2675B" w:rsidRPr="00FE4B26" w14:paraId="7DD94410"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793300DD"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B516B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鐵道局及所屬</w:t>
                                  </w:r>
                                </w:p>
                              </w:tc>
                              <w:tc>
                                <w:tcPr>
                                  <w:tcW w:w="1077" w:type="dxa"/>
                                  <w:tcBorders>
                                    <w:top w:val="nil"/>
                                    <w:left w:val="nil"/>
                                    <w:bottom w:val="single" w:sz="4" w:space="0" w:color="auto"/>
                                    <w:right w:val="single" w:sz="4" w:space="0" w:color="auto"/>
                                  </w:tcBorders>
                                  <w:shd w:val="clear" w:color="auto" w:fill="auto"/>
                                  <w:vAlign w:val="center"/>
                                  <w:hideMark/>
                                </w:tcPr>
                                <w:p w14:paraId="2234809C"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5336A142"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都市推動捷運</w:t>
                                  </w:r>
                                </w:p>
                              </w:tc>
                              <w:tc>
                                <w:tcPr>
                                  <w:tcW w:w="958" w:type="dxa"/>
                                  <w:tcBorders>
                                    <w:top w:val="nil"/>
                                    <w:left w:val="nil"/>
                                    <w:bottom w:val="single" w:sz="4" w:space="0" w:color="auto"/>
                                    <w:right w:val="single" w:sz="4" w:space="0" w:color="auto"/>
                                  </w:tcBorders>
                                  <w:shd w:val="clear" w:color="auto" w:fill="auto"/>
                                  <w:vAlign w:val="center"/>
                                  <w:hideMark/>
                                </w:tcPr>
                                <w:p w14:paraId="71D550D7"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977,900 </w:t>
                                  </w:r>
                                </w:p>
                              </w:tc>
                              <w:tc>
                                <w:tcPr>
                                  <w:tcW w:w="956" w:type="dxa"/>
                                  <w:tcBorders>
                                    <w:top w:val="nil"/>
                                    <w:left w:val="nil"/>
                                    <w:bottom w:val="single" w:sz="4" w:space="0" w:color="auto"/>
                                    <w:right w:val="single" w:sz="4" w:space="0" w:color="auto"/>
                                  </w:tcBorders>
                                  <w:shd w:val="clear" w:color="auto" w:fill="auto"/>
                                  <w:vAlign w:val="center"/>
                                  <w:hideMark/>
                                </w:tcPr>
                                <w:p w14:paraId="1F8B4F9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292,900 </w:t>
                                  </w:r>
                                </w:p>
                              </w:tc>
                              <w:tc>
                                <w:tcPr>
                                  <w:tcW w:w="758" w:type="dxa"/>
                                  <w:tcBorders>
                                    <w:top w:val="nil"/>
                                    <w:left w:val="nil"/>
                                    <w:bottom w:val="single" w:sz="4" w:space="0" w:color="auto"/>
                                    <w:right w:val="single" w:sz="4" w:space="0" w:color="auto"/>
                                  </w:tcBorders>
                                  <w:shd w:val="clear" w:color="auto" w:fill="auto"/>
                                  <w:vAlign w:val="center"/>
                                  <w:hideMark/>
                                </w:tcPr>
                                <w:p w14:paraId="3E78A3D4"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193,899 </w:t>
                                  </w:r>
                                </w:p>
                              </w:tc>
                              <w:tc>
                                <w:tcPr>
                                  <w:tcW w:w="656" w:type="dxa"/>
                                  <w:tcBorders>
                                    <w:top w:val="nil"/>
                                    <w:left w:val="nil"/>
                                    <w:bottom w:val="single" w:sz="4" w:space="0" w:color="auto"/>
                                    <w:right w:val="single" w:sz="4" w:space="0" w:color="auto"/>
                                  </w:tcBorders>
                                  <w:shd w:val="clear" w:color="auto" w:fill="auto"/>
                                  <w:vAlign w:val="center"/>
                                  <w:hideMark/>
                                </w:tcPr>
                                <w:p w14:paraId="3531C54C"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21,304 </w:t>
                                  </w:r>
                                </w:p>
                              </w:tc>
                              <w:tc>
                                <w:tcPr>
                                  <w:tcW w:w="896" w:type="dxa"/>
                                  <w:tcBorders>
                                    <w:top w:val="nil"/>
                                    <w:left w:val="nil"/>
                                    <w:bottom w:val="single" w:sz="4" w:space="0" w:color="auto"/>
                                    <w:right w:val="single" w:sz="4" w:space="0" w:color="auto"/>
                                  </w:tcBorders>
                                  <w:shd w:val="clear" w:color="auto" w:fill="auto"/>
                                  <w:vAlign w:val="center"/>
                                  <w:hideMark/>
                                </w:tcPr>
                                <w:p w14:paraId="516AC0D0"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7.27 </w:t>
                                  </w:r>
                                </w:p>
                              </w:tc>
                              <w:tc>
                                <w:tcPr>
                                  <w:tcW w:w="756" w:type="dxa"/>
                                  <w:tcBorders>
                                    <w:top w:val="nil"/>
                                    <w:left w:val="nil"/>
                                    <w:bottom w:val="single" w:sz="4" w:space="0" w:color="auto"/>
                                    <w:right w:val="single" w:sz="4" w:space="0" w:color="auto"/>
                                  </w:tcBorders>
                                  <w:shd w:val="clear" w:color="auto" w:fill="auto"/>
                                  <w:vAlign w:val="center"/>
                                  <w:hideMark/>
                                </w:tcPr>
                                <w:p w14:paraId="0773BAFE"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172,595 </w:t>
                                  </w:r>
                                </w:p>
                              </w:tc>
                            </w:tr>
                            <w:tr w:rsidR="00A2675B" w:rsidRPr="00FE4B26" w14:paraId="06DB1A41"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31516F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465" w:type="dxa"/>
                                  <w:tcBorders>
                                    <w:top w:val="nil"/>
                                    <w:left w:val="nil"/>
                                    <w:bottom w:val="single" w:sz="4" w:space="0" w:color="auto"/>
                                    <w:right w:val="single" w:sz="4" w:space="0" w:color="auto"/>
                                  </w:tcBorders>
                                  <w:shd w:val="clear" w:color="auto" w:fill="auto"/>
                                  <w:vAlign w:val="center"/>
                                  <w:hideMark/>
                                </w:tcPr>
                                <w:p w14:paraId="2B1E0294"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077" w:type="dxa"/>
                                  <w:tcBorders>
                                    <w:top w:val="nil"/>
                                    <w:left w:val="nil"/>
                                    <w:bottom w:val="single" w:sz="4" w:space="0" w:color="auto"/>
                                    <w:right w:val="single" w:sz="4" w:space="0" w:color="auto"/>
                                  </w:tcBorders>
                                  <w:shd w:val="clear" w:color="auto" w:fill="auto"/>
                                  <w:vAlign w:val="center"/>
                                  <w:hideMark/>
                                </w:tcPr>
                                <w:p w14:paraId="3955B83D"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2889D926"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加速推動地方創生</w:t>
                                  </w:r>
                                </w:p>
                              </w:tc>
                              <w:tc>
                                <w:tcPr>
                                  <w:tcW w:w="958" w:type="dxa"/>
                                  <w:tcBorders>
                                    <w:top w:val="nil"/>
                                    <w:left w:val="nil"/>
                                    <w:bottom w:val="single" w:sz="4" w:space="0" w:color="auto"/>
                                    <w:right w:val="single" w:sz="4" w:space="0" w:color="auto"/>
                                  </w:tcBorders>
                                  <w:shd w:val="clear" w:color="auto" w:fill="auto"/>
                                  <w:vAlign w:val="center"/>
                                  <w:hideMark/>
                                </w:tcPr>
                                <w:p w14:paraId="4B5C4A3D"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60,400 </w:t>
                                  </w:r>
                                </w:p>
                              </w:tc>
                              <w:tc>
                                <w:tcPr>
                                  <w:tcW w:w="956" w:type="dxa"/>
                                  <w:tcBorders>
                                    <w:top w:val="nil"/>
                                    <w:left w:val="nil"/>
                                    <w:bottom w:val="single" w:sz="4" w:space="0" w:color="auto"/>
                                    <w:right w:val="single" w:sz="4" w:space="0" w:color="auto"/>
                                  </w:tcBorders>
                                  <w:shd w:val="clear" w:color="auto" w:fill="auto"/>
                                  <w:vAlign w:val="center"/>
                                  <w:hideMark/>
                                </w:tcPr>
                                <w:p w14:paraId="2E98F248"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40,000 </w:t>
                                  </w:r>
                                </w:p>
                              </w:tc>
                              <w:tc>
                                <w:tcPr>
                                  <w:tcW w:w="758" w:type="dxa"/>
                                  <w:tcBorders>
                                    <w:top w:val="nil"/>
                                    <w:left w:val="nil"/>
                                    <w:bottom w:val="single" w:sz="4" w:space="0" w:color="auto"/>
                                    <w:right w:val="single" w:sz="4" w:space="0" w:color="auto"/>
                                  </w:tcBorders>
                                  <w:shd w:val="clear" w:color="auto" w:fill="auto"/>
                                  <w:vAlign w:val="center"/>
                                  <w:hideMark/>
                                </w:tcPr>
                                <w:p w14:paraId="3C93921E"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1,567 </w:t>
                                  </w:r>
                                </w:p>
                              </w:tc>
                              <w:tc>
                                <w:tcPr>
                                  <w:tcW w:w="656" w:type="dxa"/>
                                  <w:tcBorders>
                                    <w:top w:val="nil"/>
                                    <w:left w:val="nil"/>
                                    <w:bottom w:val="single" w:sz="4" w:space="0" w:color="auto"/>
                                    <w:right w:val="single" w:sz="4" w:space="0" w:color="auto"/>
                                  </w:tcBorders>
                                  <w:shd w:val="clear" w:color="auto" w:fill="auto"/>
                                  <w:vAlign w:val="center"/>
                                  <w:hideMark/>
                                </w:tcPr>
                                <w:p w14:paraId="04595A3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1,567 </w:t>
                                  </w:r>
                                </w:p>
                              </w:tc>
                              <w:tc>
                                <w:tcPr>
                                  <w:tcW w:w="896" w:type="dxa"/>
                                  <w:tcBorders>
                                    <w:top w:val="nil"/>
                                    <w:left w:val="nil"/>
                                    <w:bottom w:val="single" w:sz="4" w:space="0" w:color="auto"/>
                                    <w:right w:val="single" w:sz="4" w:space="0" w:color="auto"/>
                                  </w:tcBorders>
                                  <w:shd w:val="clear" w:color="auto" w:fill="auto"/>
                                  <w:vAlign w:val="center"/>
                                  <w:hideMark/>
                                </w:tcPr>
                                <w:p w14:paraId="72E60D1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3.92 </w:t>
                                  </w:r>
                                </w:p>
                              </w:tc>
                              <w:tc>
                                <w:tcPr>
                                  <w:tcW w:w="756" w:type="dxa"/>
                                  <w:tcBorders>
                                    <w:top w:val="nil"/>
                                    <w:left w:val="nil"/>
                                    <w:bottom w:val="single" w:sz="4" w:space="0" w:color="auto"/>
                                    <w:right w:val="single" w:sz="4" w:space="0" w:color="auto"/>
                                  </w:tcBorders>
                                  <w:shd w:val="clear" w:color="auto" w:fill="auto"/>
                                  <w:vAlign w:val="center"/>
                                  <w:hideMark/>
                                </w:tcPr>
                                <w:p w14:paraId="7E9074BB"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2675B" w:rsidRPr="00FE4B26" w14:paraId="0CB35528"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E8AEDE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465" w:type="dxa"/>
                                  <w:tcBorders>
                                    <w:top w:val="nil"/>
                                    <w:left w:val="nil"/>
                                    <w:bottom w:val="single" w:sz="4" w:space="0" w:color="auto"/>
                                    <w:right w:val="single" w:sz="4" w:space="0" w:color="auto"/>
                                  </w:tcBorders>
                                  <w:shd w:val="clear" w:color="auto" w:fill="auto"/>
                                  <w:vAlign w:val="center"/>
                                  <w:hideMark/>
                                </w:tcPr>
                                <w:p w14:paraId="52D4A867"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077" w:type="dxa"/>
                                  <w:tcBorders>
                                    <w:top w:val="nil"/>
                                    <w:left w:val="nil"/>
                                    <w:bottom w:val="single" w:sz="4" w:space="0" w:color="auto"/>
                                    <w:right w:val="single" w:sz="4" w:space="0" w:color="auto"/>
                                  </w:tcBorders>
                                  <w:shd w:val="clear" w:color="auto" w:fill="auto"/>
                                  <w:vAlign w:val="center"/>
                                  <w:hideMark/>
                                </w:tcPr>
                                <w:p w14:paraId="434D6530"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2FC040"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基礎建設環境</w:t>
                                  </w:r>
                                </w:p>
                              </w:tc>
                              <w:tc>
                                <w:tcPr>
                                  <w:tcW w:w="958" w:type="dxa"/>
                                  <w:tcBorders>
                                    <w:top w:val="nil"/>
                                    <w:left w:val="nil"/>
                                    <w:bottom w:val="single" w:sz="4" w:space="0" w:color="auto"/>
                                    <w:right w:val="single" w:sz="4" w:space="0" w:color="auto"/>
                                  </w:tcBorders>
                                  <w:shd w:val="clear" w:color="auto" w:fill="auto"/>
                                  <w:vAlign w:val="center"/>
                                  <w:hideMark/>
                                </w:tcPr>
                                <w:p w14:paraId="41EF1A9C"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597,380 </w:t>
                                  </w:r>
                                </w:p>
                              </w:tc>
                              <w:tc>
                                <w:tcPr>
                                  <w:tcW w:w="956" w:type="dxa"/>
                                  <w:tcBorders>
                                    <w:top w:val="nil"/>
                                    <w:left w:val="nil"/>
                                    <w:bottom w:val="single" w:sz="4" w:space="0" w:color="auto"/>
                                    <w:right w:val="single" w:sz="4" w:space="0" w:color="auto"/>
                                  </w:tcBorders>
                                  <w:shd w:val="clear" w:color="auto" w:fill="auto"/>
                                  <w:vAlign w:val="center"/>
                                  <w:hideMark/>
                                </w:tcPr>
                                <w:p w14:paraId="0CDCB7D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320,370 </w:t>
                                  </w:r>
                                </w:p>
                              </w:tc>
                              <w:tc>
                                <w:tcPr>
                                  <w:tcW w:w="758" w:type="dxa"/>
                                  <w:tcBorders>
                                    <w:top w:val="nil"/>
                                    <w:left w:val="nil"/>
                                    <w:bottom w:val="single" w:sz="4" w:space="0" w:color="auto"/>
                                    <w:right w:val="single" w:sz="4" w:space="0" w:color="auto"/>
                                  </w:tcBorders>
                                  <w:shd w:val="clear" w:color="auto" w:fill="auto"/>
                                  <w:vAlign w:val="center"/>
                                  <w:hideMark/>
                                </w:tcPr>
                                <w:p w14:paraId="0A84FBBD"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69,933 </w:t>
                                  </w:r>
                                </w:p>
                              </w:tc>
                              <w:tc>
                                <w:tcPr>
                                  <w:tcW w:w="656" w:type="dxa"/>
                                  <w:tcBorders>
                                    <w:top w:val="nil"/>
                                    <w:left w:val="nil"/>
                                    <w:bottom w:val="single" w:sz="4" w:space="0" w:color="auto"/>
                                    <w:right w:val="single" w:sz="4" w:space="0" w:color="auto"/>
                                  </w:tcBorders>
                                  <w:shd w:val="clear" w:color="auto" w:fill="auto"/>
                                  <w:vAlign w:val="center"/>
                                  <w:hideMark/>
                                </w:tcPr>
                                <w:p w14:paraId="2ABA2C39"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24,933 </w:t>
                                  </w:r>
                                </w:p>
                              </w:tc>
                              <w:tc>
                                <w:tcPr>
                                  <w:tcW w:w="896" w:type="dxa"/>
                                  <w:tcBorders>
                                    <w:top w:val="nil"/>
                                    <w:left w:val="nil"/>
                                    <w:bottom w:val="single" w:sz="4" w:space="0" w:color="auto"/>
                                    <w:right w:val="single" w:sz="4" w:space="0" w:color="auto"/>
                                  </w:tcBorders>
                                  <w:shd w:val="clear" w:color="auto" w:fill="auto"/>
                                  <w:vAlign w:val="center"/>
                                  <w:hideMark/>
                                </w:tcPr>
                                <w:p w14:paraId="433F40C7"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7.78 </w:t>
                                  </w:r>
                                </w:p>
                              </w:tc>
                              <w:tc>
                                <w:tcPr>
                                  <w:tcW w:w="756" w:type="dxa"/>
                                  <w:tcBorders>
                                    <w:top w:val="nil"/>
                                    <w:left w:val="nil"/>
                                    <w:bottom w:val="single" w:sz="4" w:space="0" w:color="auto"/>
                                    <w:right w:val="single" w:sz="4" w:space="0" w:color="auto"/>
                                  </w:tcBorders>
                                  <w:shd w:val="clear" w:color="auto" w:fill="auto"/>
                                  <w:vAlign w:val="center"/>
                                  <w:hideMark/>
                                </w:tcPr>
                                <w:p w14:paraId="6CA4E35D"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45,000 </w:t>
                                  </w:r>
                                </w:p>
                              </w:tc>
                            </w:tr>
                            <w:tr w:rsidR="00A2675B" w:rsidRPr="00FE4B26" w14:paraId="1D1F44A2" w14:textId="77777777" w:rsidTr="001633EC">
                              <w:trPr>
                                <w:trHeight w:val="20"/>
                                <w:jc w:val="center"/>
                              </w:trPr>
                              <w:tc>
                                <w:tcPr>
                                  <w:tcW w:w="9592" w:type="dxa"/>
                                  <w:gridSpan w:val="10"/>
                                  <w:tcBorders>
                                    <w:top w:val="single" w:sz="4" w:space="0" w:color="auto"/>
                                  </w:tcBorders>
                                  <w:shd w:val="clear" w:color="auto" w:fill="auto"/>
                                </w:tcPr>
                                <w:p w14:paraId="56D6A86F" w14:textId="77777777" w:rsidR="00A2675B" w:rsidRPr="0081537A" w:rsidRDefault="00A2675B" w:rsidP="001633EC">
                                  <w:pPr>
                                    <w:spacing w:line="240" w:lineRule="exact"/>
                                    <w:rPr>
                                      <w:rFonts w:ascii="標楷體" w:eastAsia="標楷體" w:hAnsi="標楷體" w:cs="新細明體"/>
                                      <w:color w:val="000000"/>
                                      <w:kern w:val="0"/>
                                      <w:sz w:val="18"/>
                                      <w:szCs w:val="18"/>
                                    </w:rPr>
                                  </w:pPr>
                                  <w:proofErr w:type="gramStart"/>
                                  <w:r w:rsidRPr="0081537A">
                                    <w:rPr>
                                      <w:rFonts w:ascii="標楷體" w:eastAsia="標楷體" w:hAnsi="標楷體" w:cstheme="minorBidi" w:hint="eastAsia"/>
                                      <w:sz w:val="18"/>
                                      <w:szCs w:val="18"/>
                                    </w:rPr>
                                    <w:t>註</w:t>
                                  </w:r>
                                  <w:proofErr w:type="gramEnd"/>
                                  <w:r w:rsidRPr="0081537A">
                                    <w:rPr>
                                      <w:rFonts w:ascii="標楷體" w:eastAsia="標楷體" w:hAnsi="標楷體" w:cstheme="minorBidi" w:hint="eastAsia"/>
                                      <w:sz w:val="18"/>
                                      <w:szCs w:val="18"/>
                                    </w:rPr>
                                    <w:t>：1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proofErr w:type="gramStart"/>
                                  <w:r w:rsidRPr="0081537A">
                                    <w:rPr>
                                      <w:rFonts w:ascii="標楷體" w:eastAsia="標楷體" w:hAnsi="標楷體" w:cs="新細明體" w:hint="eastAsia"/>
                                      <w:color w:val="000000"/>
                                      <w:kern w:val="0"/>
                                      <w:sz w:val="18"/>
                                      <w:szCs w:val="18"/>
                                    </w:rPr>
                                    <w:t>112</w:t>
                                  </w:r>
                                  <w:proofErr w:type="gramEnd"/>
                                  <w:r w:rsidRPr="0081537A">
                                    <w:rPr>
                                      <w:rFonts w:ascii="標楷體" w:eastAsia="標楷體" w:hAnsi="標楷體" w:cs="新細明體" w:hint="eastAsia"/>
                                      <w:color w:val="000000"/>
                                      <w:kern w:val="0"/>
                                      <w:sz w:val="18"/>
                                      <w:szCs w:val="18"/>
                                    </w:rPr>
                                    <w:t>年度分配預算數</w:t>
                                  </w:r>
                                  <w:r w:rsidRPr="0081537A">
                                    <w:rPr>
                                      <w:rFonts w:ascii="標楷體" w:eastAsia="標楷體" w:hAnsi="標楷體" w:cs="新細明體"/>
                                      <w:color w:val="000000"/>
                                      <w:kern w:val="0"/>
                                      <w:sz w:val="18"/>
                                      <w:szCs w:val="18"/>
                                    </w:rPr>
                                    <w:t>×100</w:t>
                                  </w:r>
                                  <w:r w:rsidRPr="0081537A">
                                    <w:rPr>
                                      <w:rFonts w:ascii="標楷體" w:eastAsia="標楷體" w:hAnsi="標楷體" w:cs="新細明體" w:hint="eastAsia"/>
                                      <w:color w:val="000000"/>
                                      <w:kern w:val="0"/>
                                      <w:sz w:val="18"/>
                                      <w:szCs w:val="18"/>
                                    </w:rPr>
                                    <w:t>。</w:t>
                                  </w:r>
                                </w:p>
                                <w:p w14:paraId="0408A06A" w14:textId="77777777" w:rsidR="00A2675B" w:rsidRPr="00FE4B26" w:rsidRDefault="00A2675B" w:rsidP="001633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2.</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proofErr w:type="gramStart"/>
                                  <w:r w:rsidRPr="00FE4B26">
                                    <w:rPr>
                                      <w:rFonts w:ascii="標楷體" w:eastAsia="標楷體" w:hAnsi="標楷體" w:cstheme="minorBidi" w:hint="eastAsia"/>
                                      <w:sz w:val="18"/>
                                      <w:szCs w:val="18"/>
                                    </w:rPr>
                                    <w:t>112</w:t>
                                  </w:r>
                                  <w:proofErr w:type="gramEnd"/>
                                  <w:r w:rsidRPr="00FE4B26">
                                    <w:rPr>
                                      <w:rFonts w:ascii="標楷體" w:eastAsia="標楷體" w:hAnsi="標楷體" w:cstheme="minorBidi" w:hint="eastAsia"/>
                                      <w:sz w:val="18"/>
                                      <w:szCs w:val="18"/>
                                    </w:rPr>
                                    <w:t>年度中央政府總決算總說明、主要表及相關附屬表（第1冊）。</w:t>
                                  </w:r>
                                </w:p>
                                <w:p w14:paraId="59FEC02C"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r>
                            <w:bookmarkEnd w:id="41"/>
                          </w:tbl>
                          <w:p w14:paraId="5398BCDD" w14:textId="77777777" w:rsidR="00A2675B" w:rsidRPr="00CC045A" w:rsidRDefault="00A2675B" w:rsidP="001633EC">
                            <w:pPr>
                              <w:spacing w:line="220" w:lineRule="exact"/>
                              <w:ind w:leftChars="155" w:left="552" w:hangingChars="100" w:hanging="180"/>
                              <w:jc w:val="center"/>
                              <w:rPr>
                                <w:rFonts w:ascii="標楷體" w:eastAsia="標楷體" w:hAnsi="標楷體"/>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31AC6" id="文字方塊 64" o:spid="_x0000_s1157" type="#_x0000_t202" style="position:absolute;left:0;text-align:left;margin-left:46.2pt;margin-top:1339.1pt;width:501.95pt;height:326.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" fillcolor="window" stroked="f" strokeweight=".5pt">
                <v:textbox>
                  <w:txbxContent>
                    <w:tbl>
                      <w:tblPr>
                        <w:tblW w:w="9592" w:type="dxa"/>
                        <w:jc w:val="center"/>
                        <w:tblCellMar>
                          <w:left w:w="28" w:type="dxa"/>
                          <w:right w:w="28" w:type="dxa"/>
                        </w:tblCellMar>
                        <w:tblLook w:val="04A0" w:firstRow="1" w:lastRow="0" w:firstColumn="1" w:lastColumn="0" w:noHBand="0" w:noVBand="1"/>
                      </w:tblPr>
                      <w:tblGrid>
                        <w:gridCol w:w="681"/>
                        <w:gridCol w:w="1465"/>
                        <w:gridCol w:w="1077"/>
                        <w:gridCol w:w="1389"/>
                        <w:gridCol w:w="958"/>
                        <w:gridCol w:w="956"/>
                        <w:gridCol w:w="758"/>
                        <w:gridCol w:w="656"/>
                        <w:gridCol w:w="896"/>
                        <w:gridCol w:w="756"/>
                      </w:tblGrid>
                      <w:tr w:rsidR="00A2675B" w:rsidRPr="00FE4B26" w14:paraId="381E4B21" w14:textId="77777777" w:rsidTr="001633EC">
                        <w:trPr>
                          <w:trHeight w:val="20"/>
                          <w:jc w:val="center"/>
                        </w:trPr>
                        <w:tc>
                          <w:tcPr>
                            <w:tcW w:w="9592" w:type="dxa"/>
                            <w:gridSpan w:val="10"/>
                            <w:shd w:val="clear" w:color="auto" w:fill="auto"/>
                            <w:vAlign w:val="center"/>
                          </w:tcPr>
                          <w:p w14:paraId="59EEC592"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bookmarkStart w:id="42" w:name="_Hlk169256133"/>
                            <w:r w:rsidRPr="00FE4B26">
                              <w:rPr>
                                <w:rFonts w:ascii="標楷體" w:eastAsia="標楷體" w:hAnsi="標楷體" w:cs="新細明體" w:hint="eastAsia"/>
                                <w:b/>
                                <w:bCs/>
                                <w:color w:val="000000"/>
                                <w:kern w:val="0"/>
                              </w:rPr>
                              <w:t>表</w:t>
                            </w:r>
                            <w:r>
                              <w:rPr>
                                <w:rFonts w:ascii="標楷體" w:eastAsia="標楷體" w:hAnsi="標楷體" w:cs="新細明體"/>
                                <w:b/>
                                <w:bCs/>
                                <w:color w:val="000000"/>
                                <w:kern w:val="0"/>
                              </w:rPr>
                              <w:t>7</w:t>
                            </w:r>
                            <w:r w:rsidRPr="00FE4B26">
                              <w:rPr>
                                <w:rFonts w:ascii="標楷體" w:eastAsia="標楷體" w:hAnsi="標楷體" w:cs="新細明體" w:hint="eastAsia"/>
                                <w:b/>
                                <w:bCs/>
                                <w:color w:val="000000"/>
                                <w:kern w:val="0"/>
                              </w:rPr>
                              <w:t xml:space="preserve">　前瞻計畫第</w:t>
                            </w:r>
                            <w:r w:rsidRPr="00FE4B26">
                              <w:rPr>
                                <w:rFonts w:ascii="標楷體" w:eastAsia="標楷體" w:hAnsi="標楷體" w:cs="新細明體"/>
                                <w:b/>
                                <w:bCs/>
                                <w:color w:val="000000"/>
                                <w:kern w:val="0"/>
                              </w:rPr>
                              <w:t>4期特別預算</w:t>
                            </w:r>
                            <w:proofErr w:type="gramStart"/>
                            <w:r w:rsidRPr="00FE4B26">
                              <w:rPr>
                                <w:rFonts w:ascii="標楷體" w:eastAsia="標楷體" w:hAnsi="標楷體" w:cs="新細明體" w:hint="eastAsia"/>
                                <w:b/>
                                <w:bCs/>
                                <w:color w:val="000000"/>
                                <w:kern w:val="0"/>
                              </w:rPr>
                              <w:t>1</w:t>
                            </w:r>
                            <w:r w:rsidRPr="00FE4B26">
                              <w:rPr>
                                <w:rFonts w:ascii="標楷體" w:eastAsia="標楷體" w:hAnsi="標楷體" w:cs="新細明體"/>
                                <w:b/>
                                <w:bCs/>
                                <w:color w:val="000000"/>
                                <w:kern w:val="0"/>
                              </w:rPr>
                              <w:t>12</w:t>
                            </w:r>
                            <w:proofErr w:type="gramEnd"/>
                            <w:r w:rsidRPr="00FE4B26">
                              <w:rPr>
                                <w:rFonts w:ascii="標楷體" w:eastAsia="標楷體" w:hAnsi="標楷體" w:cs="新細明體" w:hint="eastAsia"/>
                                <w:b/>
                                <w:bCs/>
                                <w:color w:val="000000"/>
                                <w:kern w:val="0"/>
                              </w:rPr>
                              <w:t>年度實現率未達</w:t>
                            </w:r>
                            <w:proofErr w:type="gramStart"/>
                            <w:r w:rsidRPr="00FE4B26">
                              <w:rPr>
                                <w:rFonts w:ascii="標楷體" w:eastAsia="標楷體" w:hAnsi="標楷體" w:cs="新細明體" w:hint="eastAsia"/>
                                <w:b/>
                                <w:bCs/>
                                <w:color w:val="000000"/>
                                <w:kern w:val="0"/>
                              </w:rPr>
                              <w:t>1成</w:t>
                            </w:r>
                            <w:proofErr w:type="gramEnd"/>
                            <w:r>
                              <w:rPr>
                                <w:rFonts w:ascii="標楷體" w:eastAsia="標楷體" w:hAnsi="標楷體" w:cs="新細明體" w:hint="eastAsia"/>
                                <w:b/>
                                <w:bCs/>
                                <w:color w:val="000000"/>
                                <w:kern w:val="0"/>
                              </w:rPr>
                              <w:t>工作計畫</w:t>
                            </w:r>
                            <w:r w:rsidRPr="00FE4B26">
                              <w:rPr>
                                <w:rFonts w:ascii="標楷體" w:eastAsia="標楷體" w:hAnsi="標楷體" w:cs="新細明體" w:hint="eastAsia"/>
                                <w:b/>
                                <w:bCs/>
                                <w:color w:val="000000"/>
                                <w:kern w:val="0"/>
                              </w:rPr>
                              <w:t>執行情形</w:t>
                            </w:r>
                          </w:p>
                        </w:tc>
                      </w:tr>
                      <w:tr w:rsidR="00A2675B" w:rsidRPr="00FE4B26" w14:paraId="76C21AA0" w14:textId="77777777" w:rsidTr="001633EC">
                        <w:trPr>
                          <w:trHeight w:val="20"/>
                          <w:jc w:val="center"/>
                        </w:trPr>
                        <w:tc>
                          <w:tcPr>
                            <w:tcW w:w="9592" w:type="dxa"/>
                            <w:gridSpan w:val="10"/>
                            <w:shd w:val="clear" w:color="auto" w:fill="auto"/>
                            <w:vAlign w:val="center"/>
                          </w:tcPr>
                          <w:p w14:paraId="7D3509B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kern w:val="0"/>
                                <w:sz w:val="18"/>
                                <w:szCs w:val="18"/>
                              </w:rPr>
                              <w:t>單位：新臺幣千元、％</w:t>
                            </w:r>
                          </w:p>
                        </w:tc>
                      </w:tr>
                      <w:tr w:rsidR="00A2675B" w:rsidRPr="00FE4B26" w14:paraId="01EB0E82" w14:textId="77777777" w:rsidTr="001633EC">
                        <w:trPr>
                          <w:trHeight w:val="20"/>
                          <w:jc w:val="center"/>
                        </w:trPr>
                        <w:tc>
                          <w:tcPr>
                            <w:tcW w:w="681" w:type="dxa"/>
                            <w:vMerge w:val="restart"/>
                            <w:tcBorders>
                              <w:top w:val="single" w:sz="4" w:space="0" w:color="auto"/>
                              <w:left w:val="single" w:sz="4" w:space="0" w:color="auto"/>
                              <w:right w:val="single" w:sz="4" w:space="0" w:color="auto"/>
                            </w:tcBorders>
                            <w:shd w:val="clear" w:color="auto" w:fill="auto"/>
                            <w:vAlign w:val="center"/>
                            <w:hideMark/>
                          </w:tcPr>
                          <w:p w14:paraId="0F845D0C"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主管</w:t>
                            </w:r>
                          </w:p>
                          <w:p w14:paraId="63F23EA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機關</w:t>
                            </w:r>
                          </w:p>
                        </w:tc>
                        <w:tc>
                          <w:tcPr>
                            <w:tcW w:w="1465" w:type="dxa"/>
                            <w:vMerge w:val="restart"/>
                            <w:tcBorders>
                              <w:top w:val="single" w:sz="4" w:space="0" w:color="auto"/>
                              <w:left w:val="nil"/>
                              <w:right w:val="single" w:sz="4" w:space="0" w:color="auto"/>
                            </w:tcBorders>
                            <w:shd w:val="clear" w:color="auto" w:fill="auto"/>
                            <w:vAlign w:val="center"/>
                            <w:hideMark/>
                          </w:tcPr>
                          <w:p w14:paraId="5F5A1D00"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執行機關</w:t>
                            </w:r>
                          </w:p>
                        </w:tc>
                        <w:tc>
                          <w:tcPr>
                            <w:tcW w:w="1077" w:type="dxa"/>
                            <w:vMerge w:val="restart"/>
                            <w:tcBorders>
                              <w:top w:val="single" w:sz="4" w:space="0" w:color="auto"/>
                              <w:left w:val="nil"/>
                              <w:right w:val="single" w:sz="4" w:space="0" w:color="auto"/>
                            </w:tcBorders>
                            <w:shd w:val="clear" w:color="auto" w:fill="auto"/>
                            <w:vAlign w:val="center"/>
                            <w:hideMark/>
                          </w:tcPr>
                          <w:p w14:paraId="1F1779C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建設類別</w:t>
                            </w:r>
                          </w:p>
                        </w:tc>
                        <w:tc>
                          <w:tcPr>
                            <w:tcW w:w="1389" w:type="dxa"/>
                            <w:vMerge w:val="restart"/>
                            <w:tcBorders>
                              <w:top w:val="single" w:sz="4" w:space="0" w:color="auto"/>
                              <w:left w:val="nil"/>
                              <w:right w:val="single" w:sz="4" w:space="0" w:color="auto"/>
                            </w:tcBorders>
                            <w:shd w:val="clear" w:color="auto" w:fill="auto"/>
                            <w:vAlign w:val="center"/>
                            <w:hideMark/>
                          </w:tcPr>
                          <w:p w14:paraId="62A73C34"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工作計畫</w:t>
                            </w:r>
                          </w:p>
                        </w:tc>
                        <w:tc>
                          <w:tcPr>
                            <w:tcW w:w="958" w:type="dxa"/>
                            <w:vMerge w:val="restart"/>
                            <w:tcBorders>
                              <w:top w:val="single" w:sz="4" w:space="0" w:color="auto"/>
                              <w:left w:val="nil"/>
                              <w:right w:val="single" w:sz="4" w:space="0" w:color="auto"/>
                            </w:tcBorders>
                            <w:shd w:val="clear" w:color="auto" w:fill="auto"/>
                            <w:vAlign w:val="center"/>
                            <w:hideMark/>
                          </w:tcPr>
                          <w:p w14:paraId="44BD753A"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預算數</w:t>
                            </w:r>
                          </w:p>
                        </w:tc>
                        <w:tc>
                          <w:tcPr>
                            <w:tcW w:w="956" w:type="dxa"/>
                            <w:vMerge w:val="restart"/>
                            <w:tcBorders>
                              <w:top w:val="single" w:sz="4" w:space="0" w:color="auto"/>
                              <w:left w:val="nil"/>
                              <w:right w:val="single" w:sz="4" w:space="0" w:color="auto"/>
                            </w:tcBorders>
                            <w:shd w:val="clear" w:color="auto" w:fill="auto"/>
                            <w:vAlign w:val="center"/>
                            <w:hideMark/>
                          </w:tcPr>
                          <w:p w14:paraId="3346FFD9" w14:textId="77777777" w:rsidR="00A2675B" w:rsidRDefault="00A2675B" w:rsidP="001633EC">
                            <w:pPr>
                              <w:widowControl/>
                              <w:spacing w:line="240" w:lineRule="exact"/>
                              <w:jc w:val="center"/>
                              <w:rPr>
                                <w:rFonts w:ascii="標楷體" w:eastAsia="標楷體" w:hAnsi="標楷體" w:cs="新細明體"/>
                                <w:color w:val="000000"/>
                                <w:spacing w:val="-20"/>
                                <w:kern w:val="0"/>
                                <w:sz w:val="20"/>
                              </w:rPr>
                            </w:pPr>
                            <w:proofErr w:type="gramStart"/>
                            <w:r w:rsidRPr="00DE2D47">
                              <w:rPr>
                                <w:rFonts w:ascii="標楷體" w:eastAsia="標楷體" w:hAnsi="標楷體" w:cs="新細明體" w:hint="eastAsia"/>
                                <w:color w:val="000000"/>
                                <w:spacing w:val="-20"/>
                                <w:kern w:val="0"/>
                                <w:sz w:val="20"/>
                              </w:rPr>
                              <w:t>1</w:t>
                            </w:r>
                            <w:r w:rsidRPr="00DE2D47">
                              <w:rPr>
                                <w:rFonts w:ascii="標楷體" w:eastAsia="標楷體" w:hAnsi="標楷體" w:cs="新細明體"/>
                                <w:color w:val="000000"/>
                                <w:spacing w:val="-20"/>
                                <w:kern w:val="0"/>
                                <w:sz w:val="20"/>
                              </w:rPr>
                              <w:t>12</w:t>
                            </w:r>
                            <w:proofErr w:type="gramEnd"/>
                            <w:r w:rsidRPr="00DE2D47">
                              <w:rPr>
                                <w:rFonts w:ascii="標楷體" w:eastAsia="標楷體" w:hAnsi="標楷體" w:cs="新細明體" w:hint="eastAsia"/>
                                <w:color w:val="000000"/>
                                <w:spacing w:val="-20"/>
                                <w:kern w:val="0"/>
                                <w:sz w:val="20"/>
                              </w:rPr>
                              <w:t>年度</w:t>
                            </w:r>
                          </w:p>
                          <w:p w14:paraId="45D1F023" w14:textId="77777777" w:rsidR="00A2675B" w:rsidRPr="00DE2D47" w:rsidRDefault="00A2675B" w:rsidP="001633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分配預算數</w:t>
                            </w:r>
                          </w:p>
                        </w:tc>
                        <w:tc>
                          <w:tcPr>
                            <w:tcW w:w="3066" w:type="dxa"/>
                            <w:gridSpan w:val="4"/>
                            <w:tcBorders>
                              <w:top w:val="single" w:sz="4" w:space="0" w:color="auto"/>
                              <w:left w:val="nil"/>
                              <w:bottom w:val="single" w:sz="4" w:space="0" w:color="auto"/>
                              <w:right w:val="single" w:sz="4" w:space="0" w:color="auto"/>
                            </w:tcBorders>
                            <w:shd w:val="clear" w:color="auto" w:fill="auto"/>
                            <w:vAlign w:val="center"/>
                            <w:hideMark/>
                          </w:tcPr>
                          <w:p w14:paraId="21F6536C"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執行情形</w:t>
                            </w:r>
                          </w:p>
                        </w:tc>
                      </w:tr>
                      <w:tr w:rsidR="00A2675B" w:rsidRPr="00FE4B26" w14:paraId="7BA7D955"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31985483"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1465" w:type="dxa"/>
                            <w:vMerge/>
                            <w:tcBorders>
                              <w:left w:val="nil"/>
                              <w:bottom w:val="single" w:sz="4" w:space="0" w:color="auto"/>
                              <w:right w:val="single" w:sz="4" w:space="0" w:color="auto"/>
                            </w:tcBorders>
                            <w:shd w:val="clear" w:color="auto" w:fill="auto"/>
                            <w:vAlign w:val="center"/>
                            <w:hideMark/>
                          </w:tcPr>
                          <w:p w14:paraId="3BEF03C7"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1077" w:type="dxa"/>
                            <w:vMerge/>
                            <w:tcBorders>
                              <w:left w:val="nil"/>
                              <w:bottom w:val="single" w:sz="4" w:space="0" w:color="auto"/>
                              <w:right w:val="single" w:sz="4" w:space="0" w:color="auto"/>
                            </w:tcBorders>
                            <w:shd w:val="clear" w:color="auto" w:fill="auto"/>
                            <w:vAlign w:val="center"/>
                            <w:hideMark/>
                          </w:tcPr>
                          <w:p w14:paraId="5B70C022"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1389" w:type="dxa"/>
                            <w:vMerge/>
                            <w:tcBorders>
                              <w:left w:val="nil"/>
                              <w:bottom w:val="single" w:sz="4" w:space="0" w:color="auto"/>
                              <w:right w:val="single" w:sz="4" w:space="0" w:color="auto"/>
                            </w:tcBorders>
                            <w:shd w:val="clear" w:color="auto" w:fill="auto"/>
                            <w:vAlign w:val="center"/>
                            <w:hideMark/>
                          </w:tcPr>
                          <w:p w14:paraId="0F87C633"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958" w:type="dxa"/>
                            <w:vMerge/>
                            <w:tcBorders>
                              <w:left w:val="nil"/>
                              <w:bottom w:val="single" w:sz="4" w:space="0" w:color="auto"/>
                              <w:right w:val="single" w:sz="4" w:space="0" w:color="auto"/>
                            </w:tcBorders>
                            <w:shd w:val="clear" w:color="auto" w:fill="auto"/>
                            <w:vAlign w:val="center"/>
                            <w:hideMark/>
                          </w:tcPr>
                          <w:p w14:paraId="66CB50F1"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956" w:type="dxa"/>
                            <w:vMerge/>
                            <w:tcBorders>
                              <w:left w:val="nil"/>
                              <w:bottom w:val="single" w:sz="4" w:space="0" w:color="auto"/>
                              <w:right w:val="single" w:sz="4" w:space="0" w:color="auto"/>
                            </w:tcBorders>
                            <w:shd w:val="clear" w:color="auto" w:fill="auto"/>
                            <w:vAlign w:val="center"/>
                            <w:hideMark/>
                          </w:tcPr>
                          <w:p w14:paraId="20ED1328"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p>
                        </w:tc>
                        <w:tc>
                          <w:tcPr>
                            <w:tcW w:w="758" w:type="dxa"/>
                            <w:tcBorders>
                              <w:top w:val="nil"/>
                              <w:left w:val="nil"/>
                              <w:bottom w:val="single" w:sz="4" w:space="0" w:color="auto"/>
                              <w:right w:val="single" w:sz="4" w:space="0" w:color="auto"/>
                            </w:tcBorders>
                            <w:shd w:val="clear" w:color="auto" w:fill="auto"/>
                            <w:vAlign w:val="center"/>
                            <w:hideMark/>
                          </w:tcPr>
                          <w:p w14:paraId="4204A4B2"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合計</w:t>
                            </w:r>
                          </w:p>
                        </w:tc>
                        <w:tc>
                          <w:tcPr>
                            <w:tcW w:w="656" w:type="dxa"/>
                            <w:tcBorders>
                              <w:top w:val="nil"/>
                              <w:left w:val="nil"/>
                              <w:bottom w:val="single" w:sz="4" w:space="0" w:color="auto"/>
                              <w:right w:val="single" w:sz="4" w:space="0" w:color="auto"/>
                            </w:tcBorders>
                            <w:shd w:val="clear" w:color="auto" w:fill="auto"/>
                            <w:vAlign w:val="center"/>
                            <w:hideMark/>
                          </w:tcPr>
                          <w:p w14:paraId="472F1F39"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實現數</w:t>
                            </w:r>
                          </w:p>
                        </w:tc>
                        <w:tc>
                          <w:tcPr>
                            <w:tcW w:w="896" w:type="dxa"/>
                            <w:tcBorders>
                              <w:top w:val="nil"/>
                              <w:left w:val="nil"/>
                              <w:bottom w:val="single" w:sz="4" w:space="0" w:color="auto"/>
                              <w:right w:val="single" w:sz="4" w:space="0" w:color="auto"/>
                            </w:tcBorders>
                            <w:shd w:val="clear" w:color="auto" w:fill="auto"/>
                            <w:vAlign w:val="center"/>
                            <w:hideMark/>
                          </w:tcPr>
                          <w:p w14:paraId="75CDB062" w14:textId="77777777" w:rsidR="00A2675B"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實現率</w:t>
                            </w:r>
                          </w:p>
                          <w:p w14:paraId="6EF4A84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roofErr w:type="gramStart"/>
                            <w:r>
                              <w:rPr>
                                <w:rFonts w:ascii="標楷體" w:eastAsia="標楷體" w:hAnsi="標楷體" w:cs="新細明體" w:hint="eastAsia"/>
                                <w:color w:val="000000"/>
                                <w:kern w:val="0"/>
                                <w:sz w:val="20"/>
                              </w:rPr>
                              <w:t>註</w:t>
                            </w:r>
                            <w:proofErr w:type="gramEnd"/>
                            <w:r>
                              <w:rPr>
                                <w:rFonts w:ascii="標楷體" w:eastAsia="標楷體" w:hAnsi="標楷體" w:cs="新細明體" w:hint="eastAsia"/>
                                <w:color w:val="000000"/>
                                <w:kern w:val="0"/>
                                <w:sz w:val="20"/>
                              </w:rPr>
                              <w:t>1）</w:t>
                            </w:r>
                          </w:p>
                        </w:tc>
                        <w:tc>
                          <w:tcPr>
                            <w:tcW w:w="756" w:type="dxa"/>
                            <w:tcBorders>
                              <w:top w:val="nil"/>
                              <w:left w:val="nil"/>
                              <w:bottom w:val="single" w:sz="4" w:space="0" w:color="auto"/>
                              <w:right w:val="single" w:sz="4" w:space="0" w:color="auto"/>
                            </w:tcBorders>
                            <w:shd w:val="clear" w:color="auto" w:fill="auto"/>
                            <w:vAlign w:val="center"/>
                            <w:hideMark/>
                          </w:tcPr>
                          <w:p w14:paraId="3AE844E5" w14:textId="77777777" w:rsidR="00A2675B" w:rsidRPr="00FE4B26" w:rsidRDefault="00A2675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預付數</w:t>
                            </w:r>
                          </w:p>
                        </w:tc>
                      </w:tr>
                      <w:tr w:rsidR="00A2675B" w:rsidRPr="00FE4B26" w14:paraId="68388224"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71499167"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行政院</w:t>
                            </w:r>
                          </w:p>
                        </w:tc>
                        <w:tc>
                          <w:tcPr>
                            <w:tcW w:w="1465" w:type="dxa"/>
                            <w:tcBorders>
                              <w:top w:val="nil"/>
                              <w:left w:val="nil"/>
                              <w:bottom w:val="single" w:sz="4" w:space="0" w:color="auto"/>
                              <w:right w:val="single" w:sz="4" w:space="0" w:color="auto"/>
                            </w:tcBorders>
                            <w:shd w:val="clear" w:color="auto" w:fill="auto"/>
                            <w:vAlign w:val="center"/>
                            <w:hideMark/>
                          </w:tcPr>
                          <w:p w14:paraId="2E5C229E"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國家發展委員會</w:t>
                            </w:r>
                          </w:p>
                        </w:tc>
                        <w:tc>
                          <w:tcPr>
                            <w:tcW w:w="1077" w:type="dxa"/>
                            <w:tcBorders>
                              <w:top w:val="nil"/>
                              <w:left w:val="nil"/>
                              <w:bottom w:val="single" w:sz="4" w:space="0" w:color="auto"/>
                              <w:right w:val="single" w:sz="4" w:space="0" w:color="auto"/>
                            </w:tcBorders>
                            <w:shd w:val="clear" w:color="auto" w:fill="auto"/>
                            <w:vAlign w:val="center"/>
                            <w:hideMark/>
                          </w:tcPr>
                          <w:p w14:paraId="1FA8C72A"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1389" w:type="dxa"/>
                            <w:tcBorders>
                              <w:top w:val="nil"/>
                              <w:left w:val="nil"/>
                              <w:bottom w:val="single" w:sz="4" w:space="0" w:color="auto"/>
                              <w:right w:val="single" w:sz="4" w:space="0" w:color="auto"/>
                            </w:tcBorders>
                            <w:shd w:val="clear" w:color="auto" w:fill="auto"/>
                            <w:vAlign w:val="center"/>
                            <w:hideMark/>
                          </w:tcPr>
                          <w:p w14:paraId="28ED5FD7"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958" w:type="dxa"/>
                            <w:tcBorders>
                              <w:top w:val="nil"/>
                              <w:left w:val="nil"/>
                              <w:bottom w:val="single" w:sz="4" w:space="0" w:color="auto"/>
                              <w:right w:val="single" w:sz="4" w:space="0" w:color="auto"/>
                            </w:tcBorders>
                            <w:shd w:val="clear" w:color="auto" w:fill="auto"/>
                            <w:vAlign w:val="center"/>
                            <w:hideMark/>
                          </w:tcPr>
                          <w:p w14:paraId="35827CD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908,900 </w:t>
                            </w:r>
                          </w:p>
                        </w:tc>
                        <w:tc>
                          <w:tcPr>
                            <w:tcW w:w="956" w:type="dxa"/>
                            <w:tcBorders>
                              <w:top w:val="nil"/>
                              <w:left w:val="nil"/>
                              <w:bottom w:val="single" w:sz="4" w:space="0" w:color="auto"/>
                              <w:right w:val="single" w:sz="4" w:space="0" w:color="auto"/>
                            </w:tcBorders>
                            <w:shd w:val="clear" w:color="auto" w:fill="auto"/>
                            <w:vAlign w:val="center"/>
                            <w:hideMark/>
                          </w:tcPr>
                          <w:p w14:paraId="69FB433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366,450 </w:t>
                            </w:r>
                          </w:p>
                        </w:tc>
                        <w:tc>
                          <w:tcPr>
                            <w:tcW w:w="758" w:type="dxa"/>
                            <w:tcBorders>
                              <w:top w:val="nil"/>
                              <w:left w:val="nil"/>
                              <w:bottom w:val="single" w:sz="4" w:space="0" w:color="auto"/>
                              <w:right w:val="single" w:sz="4" w:space="0" w:color="auto"/>
                            </w:tcBorders>
                            <w:shd w:val="clear" w:color="auto" w:fill="auto"/>
                            <w:vAlign w:val="center"/>
                            <w:hideMark/>
                          </w:tcPr>
                          <w:p w14:paraId="674EF816"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44,247 </w:t>
                            </w:r>
                          </w:p>
                        </w:tc>
                        <w:tc>
                          <w:tcPr>
                            <w:tcW w:w="656" w:type="dxa"/>
                            <w:tcBorders>
                              <w:top w:val="nil"/>
                              <w:left w:val="nil"/>
                              <w:bottom w:val="single" w:sz="4" w:space="0" w:color="auto"/>
                              <w:right w:val="single" w:sz="4" w:space="0" w:color="auto"/>
                            </w:tcBorders>
                            <w:shd w:val="clear" w:color="auto" w:fill="auto"/>
                            <w:vAlign w:val="center"/>
                            <w:hideMark/>
                          </w:tcPr>
                          <w:p w14:paraId="5B905309"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34,599 </w:t>
                            </w:r>
                          </w:p>
                        </w:tc>
                        <w:tc>
                          <w:tcPr>
                            <w:tcW w:w="896" w:type="dxa"/>
                            <w:tcBorders>
                              <w:top w:val="nil"/>
                              <w:left w:val="nil"/>
                              <w:bottom w:val="single" w:sz="4" w:space="0" w:color="auto"/>
                              <w:right w:val="single" w:sz="4" w:space="0" w:color="auto"/>
                            </w:tcBorders>
                            <w:shd w:val="clear" w:color="auto" w:fill="auto"/>
                            <w:vAlign w:val="center"/>
                            <w:hideMark/>
                          </w:tcPr>
                          <w:p w14:paraId="4ACE617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9.44 </w:t>
                            </w:r>
                          </w:p>
                        </w:tc>
                        <w:tc>
                          <w:tcPr>
                            <w:tcW w:w="756" w:type="dxa"/>
                            <w:tcBorders>
                              <w:top w:val="nil"/>
                              <w:left w:val="nil"/>
                              <w:bottom w:val="single" w:sz="4" w:space="0" w:color="auto"/>
                              <w:right w:val="single" w:sz="4" w:space="0" w:color="auto"/>
                            </w:tcBorders>
                            <w:shd w:val="clear" w:color="auto" w:fill="auto"/>
                            <w:vAlign w:val="center"/>
                            <w:hideMark/>
                          </w:tcPr>
                          <w:p w14:paraId="6A7D692B"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9,648 </w:t>
                            </w:r>
                          </w:p>
                        </w:tc>
                      </w:tr>
                      <w:tr w:rsidR="00A2675B" w:rsidRPr="00FE4B26" w14:paraId="11E62486"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AE59204"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1F95B8"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原住民族委員會</w:t>
                            </w:r>
                          </w:p>
                        </w:tc>
                        <w:tc>
                          <w:tcPr>
                            <w:tcW w:w="1077" w:type="dxa"/>
                            <w:tcBorders>
                              <w:top w:val="nil"/>
                              <w:left w:val="nil"/>
                              <w:bottom w:val="single" w:sz="4" w:space="0" w:color="auto"/>
                              <w:right w:val="single" w:sz="4" w:space="0" w:color="auto"/>
                            </w:tcBorders>
                            <w:shd w:val="clear" w:color="auto" w:fill="auto"/>
                            <w:vAlign w:val="center"/>
                            <w:hideMark/>
                          </w:tcPr>
                          <w:p w14:paraId="3ABF8DC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61AE241D"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推廣數位公益服務</w:t>
                            </w:r>
                          </w:p>
                        </w:tc>
                        <w:tc>
                          <w:tcPr>
                            <w:tcW w:w="958" w:type="dxa"/>
                            <w:tcBorders>
                              <w:top w:val="nil"/>
                              <w:left w:val="nil"/>
                              <w:bottom w:val="single" w:sz="4" w:space="0" w:color="auto"/>
                              <w:right w:val="single" w:sz="4" w:space="0" w:color="auto"/>
                            </w:tcBorders>
                            <w:shd w:val="clear" w:color="auto" w:fill="auto"/>
                            <w:vAlign w:val="center"/>
                            <w:hideMark/>
                          </w:tcPr>
                          <w:p w14:paraId="70AC682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956" w:type="dxa"/>
                            <w:tcBorders>
                              <w:top w:val="nil"/>
                              <w:left w:val="nil"/>
                              <w:bottom w:val="single" w:sz="4" w:space="0" w:color="auto"/>
                              <w:right w:val="single" w:sz="4" w:space="0" w:color="auto"/>
                            </w:tcBorders>
                            <w:shd w:val="clear" w:color="auto" w:fill="auto"/>
                            <w:vAlign w:val="center"/>
                            <w:hideMark/>
                          </w:tcPr>
                          <w:p w14:paraId="21250839"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758" w:type="dxa"/>
                            <w:tcBorders>
                              <w:top w:val="nil"/>
                              <w:left w:val="nil"/>
                              <w:bottom w:val="single" w:sz="4" w:space="0" w:color="auto"/>
                              <w:right w:val="single" w:sz="4" w:space="0" w:color="auto"/>
                            </w:tcBorders>
                            <w:shd w:val="clear" w:color="auto" w:fill="auto"/>
                            <w:vAlign w:val="center"/>
                            <w:hideMark/>
                          </w:tcPr>
                          <w:p w14:paraId="24B93B04"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1,483 </w:t>
                            </w:r>
                          </w:p>
                        </w:tc>
                        <w:tc>
                          <w:tcPr>
                            <w:tcW w:w="656" w:type="dxa"/>
                            <w:tcBorders>
                              <w:top w:val="nil"/>
                              <w:left w:val="nil"/>
                              <w:bottom w:val="single" w:sz="4" w:space="0" w:color="auto"/>
                              <w:right w:val="single" w:sz="4" w:space="0" w:color="auto"/>
                            </w:tcBorders>
                            <w:shd w:val="clear" w:color="auto" w:fill="auto"/>
                            <w:vAlign w:val="center"/>
                            <w:hideMark/>
                          </w:tcPr>
                          <w:p w14:paraId="7119C6C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1,483 </w:t>
                            </w:r>
                          </w:p>
                        </w:tc>
                        <w:tc>
                          <w:tcPr>
                            <w:tcW w:w="896" w:type="dxa"/>
                            <w:tcBorders>
                              <w:top w:val="nil"/>
                              <w:left w:val="nil"/>
                              <w:bottom w:val="single" w:sz="4" w:space="0" w:color="auto"/>
                              <w:right w:val="single" w:sz="4" w:space="0" w:color="auto"/>
                            </w:tcBorders>
                            <w:shd w:val="clear" w:color="auto" w:fill="auto"/>
                            <w:vAlign w:val="center"/>
                            <w:hideMark/>
                          </w:tcPr>
                          <w:p w14:paraId="04EC386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9.89 </w:t>
                            </w:r>
                          </w:p>
                        </w:tc>
                        <w:tc>
                          <w:tcPr>
                            <w:tcW w:w="756" w:type="dxa"/>
                            <w:tcBorders>
                              <w:top w:val="nil"/>
                              <w:left w:val="nil"/>
                              <w:bottom w:val="single" w:sz="4" w:space="0" w:color="auto"/>
                              <w:right w:val="single" w:sz="4" w:space="0" w:color="auto"/>
                            </w:tcBorders>
                            <w:shd w:val="clear" w:color="auto" w:fill="auto"/>
                            <w:vAlign w:val="center"/>
                            <w:hideMark/>
                          </w:tcPr>
                          <w:p w14:paraId="753BCAF6"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2675B" w:rsidRPr="00FE4B26" w14:paraId="4A5FC2D6"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13E48C"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465" w:type="dxa"/>
                            <w:tcBorders>
                              <w:top w:val="nil"/>
                              <w:left w:val="nil"/>
                              <w:bottom w:val="single" w:sz="4" w:space="0" w:color="auto"/>
                              <w:right w:val="single" w:sz="4" w:space="0" w:color="auto"/>
                            </w:tcBorders>
                            <w:shd w:val="clear" w:color="auto" w:fill="auto"/>
                            <w:vAlign w:val="center"/>
                            <w:hideMark/>
                          </w:tcPr>
                          <w:p w14:paraId="2733ADB8"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077" w:type="dxa"/>
                            <w:tcBorders>
                              <w:top w:val="nil"/>
                              <w:left w:val="nil"/>
                              <w:bottom w:val="single" w:sz="4" w:space="0" w:color="auto"/>
                              <w:right w:val="single" w:sz="4" w:space="0" w:color="auto"/>
                            </w:tcBorders>
                            <w:shd w:val="clear" w:color="auto" w:fill="auto"/>
                            <w:vAlign w:val="center"/>
                            <w:hideMark/>
                          </w:tcPr>
                          <w:p w14:paraId="049C440A"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79EADF17"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公共服務據點整備</w:t>
                            </w:r>
                          </w:p>
                        </w:tc>
                        <w:tc>
                          <w:tcPr>
                            <w:tcW w:w="958" w:type="dxa"/>
                            <w:tcBorders>
                              <w:top w:val="nil"/>
                              <w:left w:val="nil"/>
                              <w:bottom w:val="single" w:sz="4" w:space="0" w:color="auto"/>
                              <w:right w:val="single" w:sz="4" w:space="0" w:color="auto"/>
                            </w:tcBorders>
                            <w:shd w:val="clear" w:color="auto" w:fill="auto"/>
                            <w:vAlign w:val="center"/>
                            <w:hideMark/>
                          </w:tcPr>
                          <w:p w14:paraId="427D5CAF"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368,680 </w:t>
                            </w:r>
                          </w:p>
                        </w:tc>
                        <w:tc>
                          <w:tcPr>
                            <w:tcW w:w="956" w:type="dxa"/>
                            <w:tcBorders>
                              <w:top w:val="nil"/>
                              <w:left w:val="nil"/>
                              <w:bottom w:val="single" w:sz="4" w:space="0" w:color="auto"/>
                              <w:right w:val="single" w:sz="4" w:space="0" w:color="auto"/>
                            </w:tcBorders>
                            <w:shd w:val="clear" w:color="auto" w:fill="auto"/>
                            <w:vAlign w:val="center"/>
                            <w:hideMark/>
                          </w:tcPr>
                          <w:p w14:paraId="5E596BA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184,340 </w:t>
                            </w:r>
                          </w:p>
                        </w:tc>
                        <w:tc>
                          <w:tcPr>
                            <w:tcW w:w="758" w:type="dxa"/>
                            <w:tcBorders>
                              <w:top w:val="nil"/>
                              <w:left w:val="nil"/>
                              <w:bottom w:val="single" w:sz="4" w:space="0" w:color="auto"/>
                              <w:right w:val="single" w:sz="4" w:space="0" w:color="auto"/>
                            </w:tcBorders>
                            <w:shd w:val="clear" w:color="auto" w:fill="auto"/>
                            <w:vAlign w:val="center"/>
                            <w:hideMark/>
                          </w:tcPr>
                          <w:p w14:paraId="2782F953"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39,837 </w:t>
                            </w:r>
                          </w:p>
                        </w:tc>
                        <w:tc>
                          <w:tcPr>
                            <w:tcW w:w="656" w:type="dxa"/>
                            <w:tcBorders>
                              <w:top w:val="nil"/>
                              <w:left w:val="nil"/>
                              <w:bottom w:val="single" w:sz="4" w:space="0" w:color="auto"/>
                              <w:right w:val="single" w:sz="4" w:space="0" w:color="auto"/>
                            </w:tcBorders>
                            <w:shd w:val="clear" w:color="auto" w:fill="auto"/>
                            <w:vAlign w:val="center"/>
                            <w:hideMark/>
                          </w:tcPr>
                          <w:p w14:paraId="66A3A5F7"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10,527 </w:t>
                            </w:r>
                          </w:p>
                        </w:tc>
                        <w:tc>
                          <w:tcPr>
                            <w:tcW w:w="896" w:type="dxa"/>
                            <w:tcBorders>
                              <w:top w:val="nil"/>
                              <w:left w:val="nil"/>
                              <w:bottom w:val="single" w:sz="4" w:space="0" w:color="auto"/>
                              <w:right w:val="single" w:sz="4" w:space="0" w:color="auto"/>
                            </w:tcBorders>
                            <w:shd w:val="clear" w:color="auto" w:fill="auto"/>
                            <w:vAlign w:val="center"/>
                            <w:hideMark/>
                          </w:tcPr>
                          <w:p w14:paraId="2F22D32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5.71 </w:t>
                            </w:r>
                          </w:p>
                        </w:tc>
                        <w:tc>
                          <w:tcPr>
                            <w:tcW w:w="756" w:type="dxa"/>
                            <w:tcBorders>
                              <w:top w:val="nil"/>
                              <w:left w:val="nil"/>
                              <w:bottom w:val="single" w:sz="4" w:space="0" w:color="auto"/>
                              <w:right w:val="single" w:sz="4" w:space="0" w:color="auto"/>
                            </w:tcBorders>
                            <w:shd w:val="clear" w:color="auto" w:fill="auto"/>
                            <w:vAlign w:val="center"/>
                            <w:hideMark/>
                          </w:tcPr>
                          <w:p w14:paraId="660AE0D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29,310 </w:t>
                            </w:r>
                          </w:p>
                        </w:tc>
                      </w:tr>
                      <w:tr w:rsidR="00A2675B" w:rsidRPr="00FE4B26" w14:paraId="03ED660C"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6C270D2"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7C6F0366"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水利署及所屬</w:t>
                            </w:r>
                          </w:p>
                        </w:tc>
                        <w:tc>
                          <w:tcPr>
                            <w:tcW w:w="1077" w:type="dxa"/>
                            <w:tcBorders>
                              <w:top w:val="nil"/>
                              <w:left w:val="nil"/>
                              <w:bottom w:val="single" w:sz="4" w:space="0" w:color="auto"/>
                              <w:right w:val="single" w:sz="4" w:space="0" w:color="auto"/>
                            </w:tcBorders>
                            <w:shd w:val="clear" w:color="auto" w:fill="auto"/>
                            <w:vAlign w:val="center"/>
                            <w:hideMark/>
                          </w:tcPr>
                          <w:p w14:paraId="49E25B76"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DB9E01"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建構開放政府及智慧城鄉服務</w:t>
                            </w:r>
                          </w:p>
                        </w:tc>
                        <w:tc>
                          <w:tcPr>
                            <w:tcW w:w="958" w:type="dxa"/>
                            <w:tcBorders>
                              <w:top w:val="nil"/>
                              <w:left w:val="nil"/>
                              <w:bottom w:val="single" w:sz="4" w:space="0" w:color="auto"/>
                              <w:right w:val="single" w:sz="4" w:space="0" w:color="auto"/>
                            </w:tcBorders>
                            <w:shd w:val="clear" w:color="auto" w:fill="auto"/>
                            <w:vAlign w:val="center"/>
                            <w:hideMark/>
                          </w:tcPr>
                          <w:p w14:paraId="0349419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102,960 </w:t>
                            </w:r>
                          </w:p>
                        </w:tc>
                        <w:tc>
                          <w:tcPr>
                            <w:tcW w:w="956" w:type="dxa"/>
                            <w:tcBorders>
                              <w:top w:val="nil"/>
                              <w:left w:val="nil"/>
                              <w:bottom w:val="single" w:sz="4" w:space="0" w:color="auto"/>
                              <w:right w:val="single" w:sz="4" w:space="0" w:color="auto"/>
                            </w:tcBorders>
                            <w:shd w:val="clear" w:color="auto" w:fill="auto"/>
                            <w:vAlign w:val="center"/>
                            <w:hideMark/>
                          </w:tcPr>
                          <w:p w14:paraId="2C6509CE"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51,480 </w:t>
                            </w:r>
                          </w:p>
                        </w:tc>
                        <w:tc>
                          <w:tcPr>
                            <w:tcW w:w="758" w:type="dxa"/>
                            <w:tcBorders>
                              <w:top w:val="nil"/>
                              <w:left w:val="nil"/>
                              <w:bottom w:val="single" w:sz="4" w:space="0" w:color="auto"/>
                              <w:right w:val="single" w:sz="4" w:space="0" w:color="auto"/>
                            </w:tcBorders>
                            <w:shd w:val="clear" w:color="auto" w:fill="auto"/>
                            <w:vAlign w:val="center"/>
                            <w:hideMark/>
                          </w:tcPr>
                          <w:p w14:paraId="3B35EB2C"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51,454 </w:t>
                            </w:r>
                          </w:p>
                        </w:tc>
                        <w:tc>
                          <w:tcPr>
                            <w:tcW w:w="656" w:type="dxa"/>
                            <w:tcBorders>
                              <w:top w:val="nil"/>
                              <w:left w:val="nil"/>
                              <w:bottom w:val="single" w:sz="4" w:space="0" w:color="auto"/>
                              <w:right w:val="single" w:sz="4" w:space="0" w:color="auto"/>
                            </w:tcBorders>
                            <w:shd w:val="clear" w:color="auto" w:fill="auto"/>
                            <w:vAlign w:val="center"/>
                            <w:hideMark/>
                          </w:tcPr>
                          <w:p w14:paraId="1E8BBE78"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 </w:t>
                            </w:r>
                          </w:p>
                        </w:tc>
                        <w:tc>
                          <w:tcPr>
                            <w:tcW w:w="896" w:type="dxa"/>
                            <w:tcBorders>
                              <w:top w:val="nil"/>
                              <w:left w:val="nil"/>
                              <w:bottom w:val="single" w:sz="4" w:space="0" w:color="auto"/>
                              <w:right w:val="single" w:sz="4" w:space="0" w:color="auto"/>
                            </w:tcBorders>
                            <w:shd w:val="clear" w:color="auto" w:fill="auto"/>
                            <w:vAlign w:val="center"/>
                            <w:hideMark/>
                          </w:tcPr>
                          <w:p w14:paraId="7216C002"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0.05 </w:t>
                            </w:r>
                          </w:p>
                        </w:tc>
                        <w:tc>
                          <w:tcPr>
                            <w:tcW w:w="756" w:type="dxa"/>
                            <w:tcBorders>
                              <w:top w:val="nil"/>
                              <w:left w:val="nil"/>
                              <w:bottom w:val="single" w:sz="4" w:space="0" w:color="auto"/>
                              <w:right w:val="single" w:sz="4" w:space="0" w:color="auto"/>
                            </w:tcBorders>
                            <w:shd w:val="clear" w:color="auto" w:fill="auto"/>
                            <w:vAlign w:val="center"/>
                            <w:hideMark/>
                          </w:tcPr>
                          <w:p w14:paraId="6DD0F25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51,430 </w:t>
                            </w:r>
                          </w:p>
                        </w:tc>
                      </w:tr>
                      <w:tr w:rsidR="00A2675B" w:rsidRPr="00FE4B26" w14:paraId="399788BE"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7092A1"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465" w:type="dxa"/>
                            <w:tcBorders>
                              <w:top w:val="nil"/>
                              <w:left w:val="nil"/>
                              <w:bottom w:val="single" w:sz="4" w:space="0" w:color="auto"/>
                              <w:right w:val="single" w:sz="4" w:space="0" w:color="auto"/>
                            </w:tcBorders>
                            <w:shd w:val="clear" w:color="auto" w:fill="auto"/>
                            <w:vAlign w:val="center"/>
                            <w:hideMark/>
                          </w:tcPr>
                          <w:p w14:paraId="0AB61424"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077" w:type="dxa"/>
                            <w:tcBorders>
                              <w:top w:val="nil"/>
                              <w:left w:val="nil"/>
                              <w:bottom w:val="single" w:sz="4" w:space="0" w:color="auto"/>
                              <w:right w:val="single" w:sz="4" w:space="0" w:color="auto"/>
                            </w:tcBorders>
                            <w:shd w:val="clear" w:color="auto" w:fill="auto"/>
                            <w:vAlign w:val="center"/>
                            <w:hideMark/>
                          </w:tcPr>
                          <w:p w14:paraId="062F60E7"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62A53DC1"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proofErr w:type="gramStart"/>
                            <w:r w:rsidRPr="00FE4B26">
                              <w:rPr>
                                <w:rFonts w:ascii="標楷體" w:eastAsia="標楷體" w:hAnsi="標楷體" w:cs="新細明體" w:hint="eastAsia"/>
                                <w:color w:val="000000"/>
                                <w:kern w:val="0"/>
                                <w:sz w:val="20"/>
                              </w:rPr>
                              <w:t>臺</w:t>
                            </w:r>
                            <w:proofErr w:type="gramEnd"/>
                            <w:r w:rsidRPr="00FE4B26">
                              <w:rPr>
                                <w:rFonts w:ascii="標楷體" w:eastAsia="標楷體" w:hAnsi="標楷體" w:cs="新細明體" w:hint="eastAsia"/>
                                <w:color w:val="000000"/>
                                <w:kern w:val="0"/>
                                <w:sz w:val="20"/>
                              </w:rPr>
                              <w:t>鐵升級及改善東部服務</w:t>
                            </w:r>
                          </w:p>
                        </w:tc>
                        <w:tc>
                          <w:tcPr>
                            <w:tcW w:w="958" w:type="dxa"/>
                            <w:tcBorders>
                              <w:top w:val="nil"/>
                              <w:left w:val="nil"/>
                              <w:bottom w:val="single" w:sz="4" w:space="0" w:color="auto"/>
                              <w:right w:val="single" w:sz="4" w:space="0" w:color="auto"/>
                            </w:tcBorders>
                            <w:shd w:val="clear" w:color="auto" w:fill="auto"/>
                            <w:vAlign w:val="center"/>
                            <w:hideMark/>
                          </w:tcPr>
                          <w:p w14:paraId="783F0C05"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5,891,168 </w:t>
                            </w:r>
                          </w:p>
                        </w:tc>
                        <w:tc>
                          <w:tcPr>
                            <w:tcW w:w="956" w:type="dxa"/>
                            <w:tcBorders>
                              <w:top w:val="nil"/>
                              <w:left w:val="nil"/>
                              <w:bottom w:val="single" w:sz="4" w:space="0" w:color="auto"/>
                              <w:right w:val="single" w:sz="4" w:space="0" w:color="auto"/>
                            </w:tcBorders>
                            <w:shd w:val="clear" w:color="auto" w:fill="auto"/>
                            <w:vAlign w:val="center"/>
                            <w:hideMark/>
                          </w:tcPr>
                          <w:p w14:paraId="25BD262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2,000,000 </w:t>
                            </w:r>
                          </w:p>
                        </w:tc>
                        <w:tc>
                          <w:tcPr>
                            <w:tcW w:w="758" w:type="dxa"/>
                            <w:tcBorders>
                              <w:top w:val="nil"/>
                              <w:left w:val="nil"/>
                              <w:bottom w:val="single" w:sz="4" w:space="0" w:color="auto"/>
                              <w:right w:val="single" w:sz="4" w:space="0" w:color="auto"/>
                            </w:tcBorders>
                            <w:shd w:val="clear" w:color="auto" w:fill="auto"/>
                            <w:vAlign w:val="center"/>
                            <w:hideMark/>
                          </w:tcPr>
                          <w:p w14:paraId="646CCC2D"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34,106 </w:t>
                            </w:r>
                          </w:p>
                        </w:tc>
                        <w:tc>
                          <w:tcPr>
                            <w:tcW w:w="656" w:type="dxa"/>
                            <w:tcBorders>
                              <w:top w:val="nil"/>
                              <w:left w:val="nil"/>
                              <w:bottom w:val="single" w:sz="4" w:space="0" w:color="auto"/>
                              <w:right w:val="single" w:sz="4" w:space="0" w:color="auto"/>
                            </w:tcBorders>
                            <w:shd w:val="clear" w:color="auto" w:fill="auto"/>
                            <w:vAlign w:val="center"/>
                            <w:hideMark/>
                          </w:tcPr>
                          <w:p w14:paraId="3CE1D4C8"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34,106 </w:t>
                            </w:r>
                          </w:p>
                        </w:tc>
                        <w:tc>
                          <w:tcPr>
                            <w:tcW w:w="896" w:type="dxa"/>
                            <w:tcBorders>
                              <w:top w:val="nil"/>
                              <w:left w:val="nil"/>
                              <w:bottom w:val="single" w:sz="4" w:space="0" w:color="auto"/>
                              <w:right w:val="single" w:sz="4" w:space="0" w:color="auto"/>
                            </w:tcBorders>
                            <w:shd w:val="clear" w:color="auto" w:fill="auto"/>
                            <w:vAlign w:val="center"/>
                            <w:hideMark/>
                          </w:tcPr>
                          <w:p w14:paraId="3EACCEDA"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1.71 </w:t>
                            </w:r>
                          </w:p>
                        </w:tc>
                        <w:tc>
                          <w:tcPr>
                            <w:tcW w:w="756" w:type="dxa"/>
                            <w:tcBorders>
                              <w:top w:val="nil"/>
                              <w:left w:val="nil"/>
                              <w:bottom w:val="single" w:sz="4" w:space="0" w:color="auto"/>
                              <w:right w:val="single" w:sz="4" w:space="0" w:color="auto"/>
                            </w:tcBorders>
                            <w:shd w:val="clear" w:color="auto" w:fill="auto"/>
                            <w:vAlign w:val="center"/>
                            <w:hideMark/>
                          </w:tcPr>
                          <w:p w14:paraId="0688650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2675B" w:rsidRPr="00FE4B26" w14:paraId="4C2D195E" w14:textId="77777777" w:rsidTr="001633EC">
                        <w:trPr>
                          <w:trHeight w:val="20"/>
                          <w:jc w:val="center"/>
                        </w:trPr>
                        <w:tc>
                          <w:tcPr>
                            <w:tcW w:w="681" w:type="dxa"/>
                            <w:vMerge/>
                            <w:tcBorders>
                              <w:left w:val="single" w:sz="4" w:space="0" w:color="auto"/>
                              <w:right w:val="single" w:sz="4" w:space="0" w:color="auto"/>
                            </w:tcBorders>
                            <w:shd w:val="clear" w:color="auto" w:fill="auto"/>
                            <w:vAlign w:val="center"/>
                            <w:hideMark/>
                          </w:tcPr>
                          <w:p w14:paraId="0565AF67" w14:textId="77777777" w:rsidR="00A2675B" w:rsidRPr="00FE4B26" w:rsidRDefault="00A2675B" w:rsidP="001633EC">
                            <w:pPr>
                              <w:spacing w:line="240" w:lineRule="exact"/>
                              <w:ind w:left="480" w:firstLine="400"/>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2906B5BF"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公路局及所屬</w:t>
                            </w:r>
                          </w:p>
                        </w:tc>
                        <w:tc>
                          <w:tcPr>
                            <w:tcW w:w="1077" w:type="dxa"/>
                            <w:tcBorders>
                              <w:top w:val="nil"/>
                              <w:left w:val="nil"/>
                              <w:bottom w:val="single" w:sz="4" w:space="0" w:color="auto"/>
                              <w:right w:val="single" w:sz="4" w:space="0" w:color="auto"/>
                            </w:tcBorders>
                            <w:shd w:val="clear" w:color="auto" w:fill="auto"/>
                            <w:vAlign w:val="center"/>
                            <w:hideMark/>
                          </w:tcPr>
                          <w:p w14:paraId="01772420" w14:textId="77777777" w:rsidR="00A2675B" w:rsidRPr="00FE4B26" w:rsidRDefault="00A2675B" w:rsidP="001633EC">
                            <w:pPr>
                              <w:widowControl/>
                              <w:spacing w:line="240" w:lineRule="exact"/>
                              <w:rPr>
                                <w:rFonts w:ascii="標楷體" w:eastAsia="標楷體" w:hAnsi="標楷體" w:cs="新細明體"/>
                                <w:color w:val="000000"/>
                                <w:kern w:val="0"/>
                                <w:sz w:val="20"/>
                              </w:rPr>
                            </w:pPr>
                            <w:proofErr w:type="gramStart"/>
                            <w:r w:rsidRPr="00FE4B26">
                              <w:rPr>
                                <w:rFonts w:ascii="標楷體" w:eastAsia="標楷體" w:hAnsi="標楷體" w:cs="新細明體" w:hint="eastAsia"/>
                                <w:color w:val="000000"/>
                                <w:kern w:val="0"/>
                                <w:sz w:val="20"/>
                              </w:rPr>
                              <w:t>綠能建設</w:t>
                            </w:r>
                            <w:proofErr w:type="gramEnd"/>
                          </w:p>
                        </w:tc>
                        <w:tc>
                          <w:tcPr>
                            <w:tcW w:w="1389" w:type="dxa"/>
                            <w:tcBorders>
                              <w:top w:val="nil"/>
                              <w:left w:val="nil"/>
                              <w:bottom w:val="single" w:sz="4" w:space="0" w:color="auto"/>
                              <w:right w:val="single" w:sz="4" w:space="0" w:color="auto"/>
                            </w:tcBorders>
                            <w:shd w:val="clear" w:color="auto" w:fill="auto"/>
                            <w:vAlign w:val="center"/>
                            <w:hideMark/>
                          </w:tcPr>
                          <w:p w14:paraId="52B19AE4"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公共充電樁設置及區域充電需求評估計畫</w:t>
                            </w:r>
                          </w:p>
                        </w:tc>
                        <w:tc>
                          <w:tcPr>
                            <w:tcW w:w="958" w:type="dxa"/>
                            <w:tcBorders>
                              <w:top w:val="nil"/>
                              <w:left w:val="nil"/>
                              <w:bottom w:val="single" w:sz="4" w:space="0" w:color="auto"/>
                              <w:right w:val="single" w:sz="4" w:space="0" w:color="auto"/>
                            </w:tcBorders>
                            <w:shd w:val="clear" w:color="auto" w:fill="auto"/>
                            <w:vAlign w:val="center"/>
                            <w:hideMark/>
                          </w:tcPr>
                          <w:p w14:paraId="029010AC"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970,000 </w:t>
                            </w:r>
                          </w:p>
                        </w:tc>
                        <w:tc>
                          <w:tcPr>
                            <w:tcW w:w="956" w:type="dxa"/>
                            <w:tcBorders>
                              <w:top w:val="nil"/>
                              <w:left w:val="nil"/>
                              <w:bottom w:val="single" w:sz="4" w:space="0" w:color="auto"/>
                              <w:right w:val="single" w:sz="4" w:space="0" w:color="auto"/>
                            </w:tcBorders>
                            <w:shd w:val="clear" w:color="auto" w:fill="auto"/>
                            <w:vAlign w:val="center"/>
                            <w:hideMark/>
                          </w:tcPr>
                          <w:p w14:paraId="6BDC4E61"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323,000 </w:t>
                            </w:r>
                          </w:p>
                        </w:tc>
                        <w:tc>
                          <w:tcPr>
                            <w:tcW w:w="758" w:type="dxa"/>
                            <w:tcBorders>
                              <w:top w:val="nil"/>
                              <w:left w:val="nil"/>
                              <w:bottom w:val="single" w:sz="4" w:space="0" w:color="auto"/>
                              <w:right w:val="single" w:sz="4" w:space="0" w:color="auto"/>
                            </w:tcBorders>
                            <w:shd w:val="clear" w:color="auto" w:fill="auto"/>
                            <w:vAlign w:val="center"/>
                            <w:hideMark/>
                          </w:tcPr>
                          <w:p w14:paraId="7DB7CC68"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189,644 </w:t>
                            </w:r>
                          </w:p>
                        </w:tc>
                        <w:tc>
                          <w:tcPr>
                            <w:tcW w:w="656" w:type="dxa"/>
                            <w:tcBorders>
                              <w:top w:val="nil"/>
                              <w:left w:val="nil"/>
                              <w:bottom w:val="single" w:sz="4" w:space="0" w:color="auto"/>
                              <w:right w:val="single" w:sz="4" w:space="0" w:color="auto"/>
                            </w:tcBorders>
                            <w:shd w:val="clear" w:color="auto" w:fill="auto"/>
                            <w:vAlign w:val="center"/>
                            <w:hideMark/>
                          </w:tcPr>
                          <w:p w14:paraId="0F29BB9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25,029 </w:t>
                            </w:r>
                          </w:p>
                        </w:tc>
                        <w:tc>
                          <w:tcPr>
                            <w:tcW w:w="896" w:type="dxa"/>
                            <w:tcBorders>
                              <w:top w:val="nil"/>
                              <w:left w:val="nil"/>
                              <w:bottom w:val="single" w:sz="4" w:space="0" w:color="auto"/>
                              <w:right w:val="single" w:sz="4" w:space="0" w:color="auto"/>
                            </w:tcBorders>
                            <w:shd w:val="clear" w:color="auto" w:fill="auto"/>
                            <w:vAlign w:val="center"/>
                            <w:hideMark/>
                          </w:tcPr>
                          <w:p w14:paraId="4F0DD1BD"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7.75 </w:t>
                            </w:r>
                          </w:p>
                        </w:tc>
                        <w:tc>
                          <w:tcPr>
                            <w:tcW w:w="756" w:type="dxa"/>
                            <w:tcBorders>
                              <w:top w:val="nil"/>
                              <w:left w:val="nil"/>
                              <w:bottom w:val="single" w:sz="4" w:space="0" w:color="auto"/>
                              <w:right w:val="single" w:sz="4" w:space="0" w:color="auto"/>
                            </w:tcBorders>
                            <w:shd w:val="clear" w:color="auto" w:fill="auto"/>
                            <w:vAlign w:val="center"/>
                            <w:hideMark/>
                          </w:tcPr>
                          <w:p w14:paraId="6034299B"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164,615 </w:t>
                            </w:r>
                          </w:p>
                        </w:tc>
                      </w:tr>
                      <w:tr w:rsidR="00A2675B" w:rsidRPr="00FE4B26" w14:paraId="7DD94410"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793300DD"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B516B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鐵道局及所屬</w:t>
                            </w:r>
                          </w:p>
                        </w:tc>
                        <w:tc>
                          <w:tcPr>
                            <w:tcW w:w="1077" w:type="dxa"/>
                            <w:tcBorders>
                              <w:top w:val="nil"/>
                              <w:left w:val="nil"/>
                              <w:bottom w:val="single" w:sz="4" w:space="0" w:color="auto"/>
                              <w:right w:val="single" w:sz="4" w:space="0" w:color="auto"/>
                            </w:tcBorders>
                            <w:shd w:val="clear" w:color="auto" w:fill="auto"/>
                            <w:vAlign w:val="center"/>
                            <w:hideMark/>
                          </w:tcPr>
                          <w:p w14:paraId="2234809C"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5336A142"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都市推動捷運</w:t>
                            </w:r>
                          </w:p>
                        </w:tc>
                        <w:tc>
                          <w:tcPr>
                            <w:tcW w:w="958" w:type="dxa"/>
                            <w:tcBorders>
                              <w:top w:val="nil"/>
                              <w:left w:val="nil"/>
                              <w:bottom w:val="single" w:sz="4" w:space="0" w:color="auto"/>
                              <w:right w:val="single" w:sz="4" w:space="0" w:color="auto"/>
                            </w:tcBorders>
                            <w:shd w:val="clear" w:color="auto" w:fill="auto"/>
                            <w:vAlign w:val="center"/>
                            <w:hideMark/>
                          </w:tcPr>
                          <w:p w14:paraId="71D550D7"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977,900 </w:t>
                            </w:r>
                          </w:p>
                        </w:tc>
                        <w:tc>
                          <w:tcPr>
                            <w:tcW w:w="956" w:type="dxa"/>
                            <w:tcBorders>
                              <w:top w:val="nil"/>
                              <w:left w:val="nil"/>
                              <w:bottom w:val="single" w:sz="4" w:space="0" w:color="auto"/>
                              <w:right w:val="single" w:sz="4" w:space="0" w:color="auto"/>
                            </w:tcBorders>
                            <w:shd w:val="clear" w:color="auto" w:fill="auto"/>
                            <w:vAlign w:val="center"/>
                            <w:hideMark/>
                          </w:tcPr>
                          <w:p w14:paraId="1F8B4F9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292,900 </w:t>
                            </w:r>
                          </w:p>
                        </w:tc>
                        <w:tc>
                          <w:tcPr>
                            <w:tcW w:w="758" w:type="dxa"/>
                            <w:tcBorders>
                              <w:top w:val="nil"/>
                              <w:left w:val="nil"/>
                              <w:bottom w:val="single" w:sz="4" w:space="0" w:color="auto"/>
                              <w:right w:val="single" w:sz="4" w:space="0" w:color="auto"/>
                            </w:tcBorders>
                            <w:shd w:val="clear" w:color="auto" w:fill="auto"/>
                            <w:vAlign w:val="center"/>
                            <w:hideMark/>
                          </w:tcPr>
                          <w:p w14:paraId="3E78A3D4"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193,899 </w:t>
                            </w:r>
                          </w:p>
                        </w:tc>
                        <w:tc>
                          <w:tcPr>
                            <w:tcW w:w="656" w:type="dxa"/>
                            <w:tcBorders>
                              <w:top w:val="nil"/>
                              <w:left w:val="nil"/>
                              <w:bottom w:val="single" w:sz="4" w:space="0" w:color="auto"/>
                              <w:right w:val="single" w:sz="4" w:space="0" w:color="auto"/>
                            </w:tcBorders>
                            <w:shd w:val="clear" w:color="auto" w:fill="auto"/>
                            <w:vAlign w:val="center"/>
                            <w:hideMark/>
                          </w:tcPr>
                          <w:p w14:paraId="3531C54C"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21,304 </w:t>
                            </w:r>
                          </w:p>
                        </w:tc>
                        <w:tc>
                          <w:tcPr>
                            <w:tcW w:w="896" w:type="dxa"/>
                            <w:tcBorders>
                              <w:top w:val="nil"/>
                              <w:left w:val="nil"/>
                              <w:bottom w:val="single" w:sz="4" w:space="0" w:color="auto"/>
                              <w:right w:val="single" w:sz="4" w:space="0" w:color="auto"/>
                            </w:tcBorders>
                            <w:shd w:val="clear" w:color="auto" w:fill="auto"/>
                            <w:vAlign w:val="center"/>
                            <w:hideMark/>
                          </w:tcPr>
                          <w:p w14:paraId="516AC0D0"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7.27 </w:t>
                            </w:r>
                          </w:p>
                        </w:tc>
                        <w:tc>
                          <w:tcPr>
                            <w:tcW w:w="756" w:type="dxa"/>
                            <w:tcBorders>
                              <w:top w:val="nil"/>
                              <w:left w:val="nil"/>
                              <w:bottom w:val="single" w:sz="4" w:space="0" w:color="auto"/>
                              <w:right w:val="single" w:sz="4" w:space="0" w:color="auto"/>
                            </w:tcBorders>
                            <w:shd w:val="clear" w:color="auto" w:fill="auto"/>
                            <w:vAlign w:val="center"/>
                            <w:hideMark/>
                          </w:tcPr>
                          <w:p w14:paraId="0773BAFE"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172,595 </w:t>
                            </w:r>
                          </w:p>
                        </w:tc>
                      </w:tr>
                      <w:tr w:rsidR="00A2675B" w:rsidRPr="00FE4B26" w14:paraId="06DB1A41"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31516F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465" w:type="dxa"/>
                            <w:tcBorders>
                              <w:top w:val="nil"/>
                              <w:left w:val="nil"/>
                              <w:bottom w:val="single" w:sz="4" w:space="0" w:color="auto"/>
                              <w:right w:val="single" w:sz="4" w:space="0" w:color="auto"/>
                            </w:tcBorders>
                            <w:shd w:val="clear" w:color="auto" w:fill="auto"/>
                            <w:vAlign w:val="center"/>
                            <w:hideMark/>
                          </w:tcPr>
                          <w:p w14:paraId="2B1E0294"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077" w:type="dxa"/>
                            <w:tcBorders>
                              <w:top w:val="nil"/>
                              <w:left w:val="nil"/>
                              <w:bottom w:val="single" w:sz="4" w:space="0" w:color="auto"/>
                              <w:right w:val="single" w:sz="4" w:space="0" w:color="auto"/>
                            </w:tcBorders>
                            <w:shd w:val="clear" w:color="auto" w:fill="auto"/>
                            <w:vAlign w:val="center"/>
                            <w:hideMark/>
                          </w:tcPr>
                          <w:p w14:paraId="3955B83D"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2889D926"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加速推動地方創生</w:t>
                            </w:r>
                          </w:p>
                        </w:tc>
                        <w:tc>
                          <w:tcPr>
                            <w:tcW w:w="958" w:type="dxa"/>
                            <w:tcBorders>
                              <w:top w:val="nil"/>
                              <w:left w:val="nil"/>
                              <w:bottom w:val="single" w:sz="4" w:space="0" w:color="auto"/>
                              <w:right w:val="single" w:sz="4" w:space="0" w:color="auto"/>
                            </w:tcBorders>
                            <w:shd w:val="clear" w:color="auto" w:fill="auto"/>
                            <w:vAlign w:val="center"/>
                            <w:hideMark/>
                          </w:tcPr>
                          <w:p w14:paraId="4B5C4A3D"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60,400 </w:t>
                            </w:r>
                          </w:p>
                        </w:tc>
                        <w:tc>
                          <w:tcPr>
                            <w:tcW w:w="956" w:type="dxa"/>
                            <w:tcBorders>
                              <w:top w:val="nil"/>
                              <w:left w:val="nil"/>
                              <w:bottom w:val="single" w:sz="4" w:space="0" w:color="auto"/>
                              <w:right w:val="single" w:sz="4" w:space="0" w:color="auto"/>
                            </w:tcBorders>
                            <w:shd w:val="clear" w:color="auto" w:fill="auto"/>
                            <w:vAlign w:val="center"/>
                            <w:hideMark/>
                          </w:tcPr>
                          <w:p w14:paraId="2E98F248"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40,000 </w:t>
                            </w:r>
                          </w:p>
                        </w:tc>
                        <w:tc>
                          <w:tcPr>
                            <w:tcW w:w="758" w:type="dxa"/>
                            <w:tcBorders>
                              <w:top w:val="nil"/>
                              <w:left w:val="nil"/>
                              <w:bottom w:val="single" w:sz="4" w:space="0" w:color="auto"/>
                              <w:right w:val="single" w:sz="4" w:space="0" w:color="auto"/>
                            </w:tcBorders>
                            <w:shd w:val="clear" w:color="auto" w:fill="auto"/>
                            <w:vAlign w:val="center"/>
                            <w:hideMark/>
                          </w:tcPr>
                          <w:p w14:paraId="3C93921E"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1,567 </w:t>
                            </w:r>
                          </w:p>
                        </w:tc>
                        <w:tc>
                          <w:tcPr>
                            <w:tcW w:w="656" w:type="dxa"/>
                            <w:tcBorders>
                              <w:top w:val="nil"/>
                              <w:left w:val="nil"/>
                              <w:bottom w:val="single" w:sz="4" w:space="0" w:color="auto"/>
                              <w:right w:val="single" w:sz="4" w:space="0" w:color="auto"/>
                            </w:tcBorders>
                            <w:shd w:val="clear" w:color="auto" w:fill="auto"/>
                            <w:vAlign w:val="center"/>
                            <w:hideMark/>
                          </w:tcPr>
                          <w:p w14:paraId="04595A3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1,567 </w:t>
                            </w:r>
                          </w:p>
                        </w:tc>
                        <w:tc>
                          <w:tcPr>
                            <w:tcW w:w="896" w:type="dxa"/>
                            <w:tcBorders>
                              <w:top w:val="nil"/>
                              <w:left w:val="nil"/>
                              <w:bottom w:val="single" w:sz="4" w:space="0" w:color="auto"/>
                              <w:right w:val="single" w:sz="4" w:space="0" w:color="auto"/>
                            </w:tcBorders>
                            <w:shd w:val="clear" w:color="auto" w:fill="auto"/>
                            <w:vAlign w:val="center"/>
                            <w:hideMark/>
                          </w:tcPr>
                          <w:p w14:paraId="72E60D13"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3.92 </w:t>
                            </w:r>
                          </w:p>
                        </w:tc>
                        <w:tc>
                          <w:tcPr>
                            <w:tcW w:w="756" w:type="dxa"/>
                            <w:tcBorders>
                              <w:top w:val="nil"/>
                              <w:left w:val="nil"/>
                              <w:bottom w:val="single" w:sz="4" w:space="0" w:color="auto"/>
                              <w:right w:val="single" w:sz="4" w:space="0" w:color="auto"/>
                            </w:tcBorders>
                            <w:shd w:val="clear" w:color="auto" w:fill="auto"/>
                            <w:vAlign w:val="center"/>
                            <w:hideMark/>
                          </w:tcPr>
                          <w:p w14:paraId="7E9074BB"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2675B" w:rsidRPr="00FE4B26" w14:paraId="0CB35528"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E8AEDE2"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465" w:type="dxa"/>
                            <w:tcBorders>
                              <w:top w:val="nil"/>
                              <w:left w:val="nil"/>
                              <w:bottom w:val="single" w:sz="4" w:space="0" w:color="auto"/>
                              <w:right w:val="single" w:sz="4" w:space="0" w:color="auto"/>
                            </w:tcBorders>
                            <w:shd w:val="clear" w:color="auto" w:fill="auto"/>
                            <w:vAlign w:val="center"/>
                            <w:hideMark/>
                          </w:tcPr>
                          <w:p w14:paraId="52D4A867"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077" w:type="dxa"/>
                            <w:tcBorders>
                              <w:top w:val="nil"/>
                              <w:left w:val="nil"/>
                              <w:bottom w:val="single" w:sz="4" w:space="0" w:color="auto"/>
                              <w:right w:val="single" w:sz="4" w:space="0" w:color="auto"/>
                            </w:tcBorders>
                            <w:shd w:val="clear" w:color="auto" w:fill="auto"/>
                            <w:vAlign w:val="center"/>
                            <w:hideMark/>
                          </w:tcPr>
                          <w:p w14:paraId="434D6530" w14:textId="77777777" w:rsidR="00A2675B" w:rsidRPr="00FE4B26" w:rsidRDefault="00A2675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2FC040" w14:textId="77777777" w:rsidR="00A2675B" w:rsidRPr="00FE4B26" w:rsidRDefault="00A2675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基礎建設環境</w:t>
                            </w:r>
                          </w:p>
                        </w:tc>
                        <w:tc>
                          <w:tcPr>
                            <w:tcW w:w="958" w:type="dxa"/>
                            <w:tcBorders>
                              <w:top w:val="nil"/>
                              <w:left w:val="nil"/>
                              <w:bottom w:val="single" w:sz="4" w:space="0" w:color="auto"/>
                              <w:right w:val="single" w:sz="4" w:space="0" w:color="auto"/>
                            </w:tcBorders>
                            <w:shd w:val="clear" w:color="auto" w:fill="auto"/>
                            <w:vAlign w:val="center"/>
                            <w:hideMark/>
                          </w:tcPr>
                          <w:p w14:paraId="41EF1A9C"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597,380 </w:t>
                            </w:r>
                          </w:p>
                        </w:tc>
                        <w:tc>
                          <w:tcPr>
                            <w:tcW w:w="956" w:type="dxa"/>
                            <w:tcBorders>
                              <w:top w:val="nil"/>
                              <w:left w:val="nil"/>
                              <w:bottom w:val="single" w:sz="4" w:space="0" w:color="auto"/>
                              <w:right w:val="single" w:sz="4" w:space="0" w:color="auto"/>
                            </w:tcBorders>
                            <w:shd w:val="clear" w:color="auto" w:fill="auto"/>
                            <w:vAlign w:val="center"/>
                            <w:hideMark/>
                          </w:tcPr>
                          <w:p w14:paraId="0CDCB7D4"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320,370 </w:t>
                            </w:r>
                          </w:p>
                        </w:tc>
                        <w:tc>
                          <w:tcPr>
                            <w:tcW w:w="758" w:type="dxa"/>
                            <w:tcBorders>
                              <w:top w:val="nil"/>
                              <w:left w:val="nil"/>
                              <w:bottom w:val="single" w:sz="4" w:space="0" w:color="auto"/>
                              <w:right w:val="single" w:sz="4" w:space="0" w:color="auto"/>
                            </w:tcBorders>
                            <w:shd w:val="clear" w:color="auto" w:fill="auto"/>
                            <w:vAlign w:val="center"/>
                            <w:hideMark/>
                          </w:tcPr>
                          <w:p w14:paraId="0A84FBBD" w14:textId="77777777" w:rsidR="00A2675B" w:rsidRPr="00FE4B26" w:rsidRDefault="00A2675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69,933 </w:t>
                            </w:r>
                          </w:p>
                        </w:tc>
                        <w:tc>
                          <w:tcPr>
                            <w:tcW w:w="656" w:type="dxa"/>
                            <w:tcBorders>
                              <w:top w:val="nil"/>
                              <w:left w:val="nil"/>
                              <w:bottom w:val="single" w:sz="4" w:space="0" w:color="auto"/>
                              <w:right w:val="single" w:sz="4" w:space="0" w:color="auto"/>
                            </w:tcBorders>
                            <w:shd w:val="clear" w:color="auto" w:fill="auto"/>
                            <w:vAlign w:val="center"/>
                            <w:hideMark/>
                          </w:tcPr>
                          <w:p w14:paraId="2ABA2C39"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24,933 </w:t>
                            </w:r>
                          </w:p>
                        </w:tc>
                        <w:tc>
                          <w:tcPr>
                            <w:tcW w:w="896" w:type="dxa"/>
                            <w:tcBorders>
                              <w:top w:val="nil"/>
                              <w:left w:val="nil"/>
                              <w:bottom w:val="single" w:sz="4" w:space="0" w:color="auto"/>
                              <w:right w:val="single" w:sz="4" w:space="0" w:color="auto"/>
                            </w:tcBorders>
                            <w:shd w:val="clear" w:color="auto" w:fill="auto"/>
                            <w:vAlign w:val="center"/>
                            <w:hideMark/>
                          </w:tcPr>
                          <w:p w14:paraId="433F40C7"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7.78 </w:t>
                            </w:r>
                          </w:p>
                        </w:tc>
                        <w:tc>
                          <w:tcPr>
                            <w:tcW w:w="756" w:type="dxa"/>
                            <w:tcBorders>
                              <w:top w:val="nil"/>
                              <w:left w:val="nil"/>
                              <w:bottom w:val="single" w:sz="4" w:space="0" w:color="auto"/>
                              <w:right w:val="single" w:sz="4" w:space="0" w:color="auto"/>
                            </w:tcBorders>
                            <w:shd w:val="clear" w:color="auto" w:fill="auto"/>
                            <w:vAlign w:val="center"/>
                            <w:hideMark/>
                          </w:tcPr>
                          <w:p w14:paraId="6CA4E35D" w14:textId="77777777" w:rsidR="00A2675B" w:rsidRPr="00FE4B26" w:rsidRDefault="00A2675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45,000 </w:t>
                            </w:r>
                          </w:p>
                        </w:tc>
                      </w:tr>
                      <w:tr w:rsidR="00A2675B" w:rsidRPr="00FE4B26" w14:paraId="1D1F44A2" w14:textId="77777777" w:rsidTr="001633EC">
                        <w:trPr>
                          <w:trHeight w:val="20"/>
                          <w:jc w:val="center"/>
                        </w:trPr>
                        <w:tc>
                          <w:tcPr>
                            <w:tcW w:w="9592" w:type="dxa"/>
                            <w:gridSpan w:val="10"/>
                            <w:tcBorders>
                              <w:top w:val="single" w:sz="4" w:space="0" w:color="auto"/>
                            </w:tcBorders>
                            <w:shd w:val="clear" w:color="auto" w:fill="auto"/>
                          </w:tcPr>
                          <w:p w14:paraId="56D6A86F" w14:textId="77777777" w:rsidR="00A2675B" w:rsidRPr="0081537A" w:rsidRDefault="00A2675B" w:rsidP="001633EC">
                            <w:pPr>
                              <w:spacing w:line="240" w:lineRule="exact"/>
                              <w:rPr>
                                <w:rFonts w:ascii="標楷體" w:eastAsia="標楷體" w:hAnsi="標楷體" w:cs="新細明體"/>
                                <w:color w:val="000000"/>
                                <w:kern w:val="0"/>
                                <w:sz w:val="18"/>
                                <w:szCs w:val="18"/>
                              </w:rPr>
                            </w:pPr>
                            <w:proofErr w:type="gramStart"/>
                            <w:r w:rsidRPr="0081537A">
                              <w:rPr>
                                <w:rFonts w:ascii="標楷體" w:eastAsia="標楷體" w:hAnsi="標楷體" w:cstheme="minorBidi" w:hint="eastAsia"/>
                                <w:sz w:val="18"/>
                                <w:szCs w:val="18"/>
                              </w:rPr>
                              <w:t>註</w:t>
                            </w:r>
                            <w:proofErr w:type="gramEnd"/>
                            <w:r w:rsidRPr="0081537A">
                              <w:rPr>
                                <w:rFonts w:ascii="標楷體" w:eastAsia="標楷體" w:hAnsi="標楷體" w:cstheme="minorBidi" w:hint="eastAsia"/>
                                <w:sz w:val="18"/>
                                <w:szCs w:val="18"/>
                              </w:rPr>
                              <w:t>：1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proofErr w:type="gramStart"/>
                            <w:r w:rsidRPr="0081537A">
                              <w:rPr>
                                <w:rFonts w:ascii="標楷體" w:eastAsia="標楷體" w:hAnsi="標楷體" w:cs="新細明體" w:hint="eastAsia"/>
                                <w:color w:val="000000"/>
                                <w:kern w:val="0"/>
                                <w:sz w:val="18"/>
                                <w:szCs w:val="18"/>
                              </w:rPr>
                              <w:t>112</w:t>
                            </w:r>
                            <w:proofErr w:type="gramEnd"/>
                            <w:r w:rsidRPr="0081537A">
                              <w:rPr>
                                <w:rFonts w:ascii="標楷體" w:eastAsia="標楷體" w:hAnsi="標楷體" w:cs="新細明體" w:hint="eastAsia"/>
                                <w:color w:val="000000"/>
                                <w:kern w:val="0"/>
                                <w:sz w:val="18"/>
                                <w:szCs w:val="18"/>
                              </w:rPr>
                              <w:t>年度分配預算數</w:t>
                            </w:r>
                            <w:r w:rsidRPr="0081537A">
                              <w:rPr>
                                <w:rFonts w:ascii="標楷體" w:eastAsia="標楷體" w:hAnsi="標楷體" w:cs="新細明體"/>
                                <w:color w:val="000000"/>
                                <w:kern w:val="0"/>
                                <w:sz w:val="18"/>
                                <w:szCs w:val="18"/>
                              </w:rPr>
                              <w:t>×100</w:t>
                            </w:r>
                            <w:r w:rsidRPr="0081537A">
                              <w:rPr>
                                <w:rFonts w:ascii="標楷體" w:eastAsia="標楷體" w:hAnsi="標楷體" w:cs="新細明體" w:hint="eastAsia"/>
                                <w:color w:val="000000"/>
                                <w:kern w:val="0"/>
                                <w:sz w:val="18"/>
                                <w:szCs w:val="18"/>
                              </w:rPr>
                              <w:t>。</w:t>
                            </w:r>
                          </w:p>
                          <w:p w14:paraId="0408A06A" w14:textId="77777777" w:rsidR="00A2675B" w:rsidRPr="00FE4B26" w:rsidRDefault="00A2675B" w:rsidP="001633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2.</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proofErr w:type="gramStart"/>
                            <w:r w:rsidRPr="00FE4B26">
                              <w:rPr>
                                <w:rFonts w:ascii="標楷體" w:eastAsia="標楷體" w:hAnsi="標楷體" w:cstheme="minorBidi" w:hint="eastAsia"/>
                                <w:sz w:val="18"/>
                                <w:szCs w:val="18"/>
                              </w:rPr>
                              <w:t>112</w:t>
                            </w:r>
                            <w:proofErr w:type="gramEnd"/>
                            <w:r w:rsidRPr="00FE4B26">
                              <w:rPr>
                                <w:rFonts w:ascii="標楷體" w:eastAsia="標楷體" w:hAnsi="標楷體" w:cstheme="minorBidi" w:hint="eastAsia"/>
                                <w:sz w:val="18"/>
                                <w:szCs w:val="18"/>
                              </w:rPr>
                              <w:t>年度中央政府總決算總說明、主要表及相關附屬表（第1冊）。</w:t>
                            </w:r>
                          </w:p>
                          <w:p w14:paraId="59FEC02C" w14:textId="77777777" w:rsidR="00A2675B" w:rsidRPr="00FE4B26" w:rsidRDefault="00A2675B" w:rsidP="001633EC">
                            <w:pPr>
                              <w:widowControl/>
                              <w:spacing w:line="240" w:lineRule="exact"/>
                              <w:rPr>
                                <w:rFonts w:ascii="標楷體" w:eastAsia="標楷體" w:hAnsi="標楷體" w:cs="新細明體"/>
                                <w:color w:val="000000"/>
                                <w:kern w:val="0"/>
                                <w:sz w:val="20"/>
                              </w:rPr>
                            </w:pPr>
                          </w:p>
                        </w:tc>
                      </w:tr>
                      <w:bookmarkEnd w:id="42"/>
                    </w:tbl>
                    <w:p w14:paraId="5398BCDD" w14:textId="77777777" w:rsidR="00A2675B" w:rsidRPr="00CC045A" w:rsidRDefault="00A2675B" w:rsidP="001633EC">
                      <w:pPr>
                        <w:spacing w:line="220" w:lineRule="exact"/>
                        <w:ind w:leftChars="155" w:left="552" w:hangingChars="100" w:hanging="180"/>
                        <w:jc w:val="center"/>
                        <w:rPr>
                          <w:rFonts w:ascii="標楷體" w:eastAsia="標楷體" w:hAnsi="標楷體"/>
                          <w:sz w:val="18"/>
                        </w:rPr>
                      </w:pPr>
                    </w:p>
                  </w:txbxContent>
                </v:textbox>
                <w10:wrap type="square" anchorx="page" anchory="margin"/>
              </v:shape>
            </w:pict>
          </mc:Fallback>
        </mc:AlternateContent>
      </w:r>
    </w:p>
    <w:p w14:paraId="3E4DCD86" w14:textId="7E1DEDE3" w:rsidR="0071716B" w:rsidRDefault="0071716B" w:rsidP="00C414E4">
      <w:pPr>
        <w:overflowPunct w:val="0"/>
        <w:spacing w:beforeLines="20" w:before="72" w:afterLines="20" w:after="72" w:line="460" w:lineRule="exact"/>
        <w:ind w:firstLineChars="200" w:firstLine="561"/>
        <w:jc w:val="both"/>
        <w:outlineLvl w:val="1"/>
        <w:rPr>
          <w:rFonts w:ascii="標楷體" w:eastAsia="標楷體" w:hAnsi="標楷體"/>
          <w:b/>
          <w:bCs/>
          <w:snapToGrid w:val="0"/>
          <w:color w:val="0D0D0D" w:themeColor="text1" w:themeTint="F2"/>
          <w:kern w:val="0"/>
          <w:sz w:val="28"/>
          <w:szCs w:val="28"/>
        </w:rPr>
      </w:pPr>
      <w:r w:rsidRPr="00C30430">
        <w:rPr>
          <w:rFonts w:ascii="標楷體" w:eastAsia="標楷體" w:hAnsi="標楷體" w:hint="eastAsia"/>
          <w:b/>
          <w:color w:val="000000" w:themeColor="text1"/>
          <w:sz w:val="28"/>
          <w:szCs w:val="28"/>
        </w:rPr>
        <w:lastRenderedPageBreak/>
        <w:t>（</w:t>
      </w:r>
      <w:r>
        <w:rPr>
          <w:rFonts w:ascii="標楷體" w:eastAsia="標楷體" w:hAnsi="標楷體" w:hint="eastAsia"/>
          <w:b/>
          <w:color w:val="000000" w:themeColor="text1"/>
          <w:sz w:val="28"/>
          <w:szCs w:val="28"/>
        </w:rPr>
        <w:t>三十</w:t>
      </w:r>
      <w:r w:rsidR="00781889">
        <w:rPr>
          <w:rFonts w:ascii="標楷體" w:eastAsia="標楷體" w:hAnsi="標楷體" w:hint="eastAsia"/>
          <w:b/>
          <w:color w:val="000000" w:themeColor="text1"/>
          <w:sz w:val="28"/>
          <w:szCs w:val="28"/>
        </w:rPr>
        <w:t>三</w:t>
      </w:r>
      <w:r w:rsidRPr="00C30430">
        <w:rPr>
          <w:rFonts w:ascii="標楷體" w:eastAsia="標楷體" w:hAnsi="標楷體" w:hint="eastAsia"/>
          <w:b/>
          <w:color w:val="000000" w:themeColor="text1"/>
          <w:sz w:val="28"/>
          <w:szCs w:val="28"/>
        </w:rPr>
        <w:t>）</w:t>
      </w:r>
      <w:r w:rsidRPr="0011694F">
        <w:rPr>
          <w:rFonts w:ascii="標楷體" w:eastAsia="標楷體" w:hAnsi="標楷體" w:hint="eastAsia"/>
          <w:b/>
          <w:bCs/>
          <w:snapToGrid w:val="0"/>
          <w:color w:val="0D0D0D" w:themeColor="text1" w:themeTint="F2"/>
          <w:kern w:val="0"/>
          <w:sz w:val="28"/>
          <w:szCs w:val="28"/>
        </w:rPr>
        <w:t xml:space="preserve">　</w:t>
      </w:r>
      <w:r w:rsidR="005510B5" w:rsidRPr="005510B5">
        <w:rPr>
          <w:rFonts w:ascii="標楷體" w:eastAsia="標楷體" w:hAnsi="標楷體" w:hint="eastAsia"/>
          <w:b/>
          <w:bCs/>
          <w:snapToGrid w:val="0"/>
          <w:color w:val="0D0D0D" w:themeColor="text1" w:themeTint="F2"/>
          <w:kern w:val="0"/>
          <w:sz w:val="28"/>
          <w:szCs w:val="28"/>
        </w:rPr>
        <w:t>國家發展委員會統籌辦理加速推動地方創生計畫，惟計畫績效指標之訂定及衡量情形</w:t>
      </w:r>
      <w:proofErr w:type="gramStart"/>
      <w:r w:rsidR="00C414E4">
        <w:rPr>
          <w:rFonts w:ascii="標楷體" w:eastAsia="標楷體" w:hAnsi="標楷體" w:hint="eastAsia"/>
          <w:b/>
          <w:bCs/>
          <w:snapToGrid w:val="0"/>
          <w:color w:val="0D0D0D" w:themeColor="text1" w:themeTint="F2"/>
          <w:kern w:val="0"/>
          <w:sz w:val="28"/>
          <w:szCs w:val="28"/>
        </w:rPr>
        <w:t>尚待策進</w:t>
      </w:r>
      <w:proofErr w:type="gramEnd"/>
      <w:r w:rsidR="005510B5" w:rsidRPr="005510B5">
        <w:rPr>
          <w:rFonts w:ascii="標楷體" w:eastAsia="標楷體" w:hAnsi="標楷體" w:hint="eastAsia"/>
          <w:b/>
          <w:bCs/>
          <w:snapToGrid w:val="0"/>
          <w:color w:val="0D0D0D" w:themeColor="text1" w:themeTint="F2"/>
          <w:kern w:val="0"/>
          <w:sz w:val="28"/>
          <w:szCs w:val="28"/>
        </w:rPr>
        <w:t>；另計畫已訂定相關提案輔導及審查機制，惟仍有</w:t>
      </w:r>
      <w:proofErr w:type="gramStart"/>
      <w:r w:rsidR="005510B5" w:rsidRPr="005510B5">
        <w:rPr>
          <w:rFonts w:ascii="標楷體" w:eastAsia="標楷體" w:hAnsi="標楷體" w:hint="eastAsia"/>
          <w:b/>
          <w:bCs/>
          <w:snapToGrid w:val="0"/>
          <w:color w:val="0D0D0D" w:themeColor="text1" w:themeTint="F2"/>
          <w:kern w:val="0"/>
          <w:sz w:val="28"/>
          <w:szCs w:val="28"/>
        </w:rPr>
        <w:t>1成</w:t>
      </w:r>
      <w:proofErr w:type="gramEnd"/>
      <w:r w:rsidR="005510B5" w:rsidRPr="005510B5">
        <w:rPr>
          <w:rFonts w:ascii="標楷體" w:eastAsia="標楷體" w:hAnsi="標楷體" w:hint="eastAsia"/>
          <w:b/>
          <w:bCs/>
          <w:snapToGrid w:val="0"/>
          <w:color w:val="0D0D0D" w:themeColor="text1" w:themeTint="F2"/>
          <w:kern w:val="0"/>
          <w:sz w:val="28"/>
          <w:szCs w:val="28"/>
        </w:rPr>
        <w:t>餘審查通過案件未續辦申請、中途撤案，或未獲各中央主管部會核定補助等情，允宜</w:t>
      </w:r>
      <w:proofErr w:type="gramStart"/>
      <w:r w:rsidR="005510B5" w:rsidRPr="005510B5">
        <w:rPr>
          <w:rFonts w:ascii="標楷體" w:eastAsia="標楷體" w:hAnsi="標楷體" w:hint="eastAsia"/>
          <w:b/>
          <w:bCs/>
          <w:snapToGrid w:val="0"/>
          <w:color w:val="0D0D0D" w:themeColor="text1" w:themeTint="F2"/>
          <w:kern w:val="0"/>
          <w:sz w:val="28"/>
          <w:szCs w:val="28"/>
        </w:rPr>
        <w:t>研</w:t>
      </w:r>
      <w:proofErr w:type="gramEnd"/>
      <w:r w:rsidR="005510B5" w:rsidRPr="005510B5">
        <w:rPr>
          <w:rFonts w:ascii="標楷體" w:eastAsia="標楷體" w:hAnsi="標楷體" w:hint="eastAsia"/>
          <w:b/>
          <w:bCs/>
          <w:snapToGrid w:val="0"/>
          <w:color w:val="0D0D0D" w:themeColor="text1" w:themeTint="F2"/>
          <w:kern w:val="0"/>
          <w:sz w:val="28"/>
          <w:szCs w:val="28"/>
        </w:rPr>
        <w:t>謀改善，以策進計畫執行成效，帶動地方創生發展。</w:t>
      </w:r>
    </w:p>
    <w:p w14:paraId="292DC5CF" w14:textId="77777777" w:rsidR="00223371" w:rsidRPr="00C414E4" w:rsidRDefault="00223371" w:rsidP="00C414E4">
      <w:pPr>
        <w:overflowPunct w:val="0"/>
        <w:adjustRightInd w:val="0"/>
        <w:snapToGrid w:val="0"/>
        <w:spacing w:line="460" w:lineRule="exact"/>
        <w:ind w:firstLineChars="210" w:firstLine="529"/>
        <w:jc w:val="both"/>
        <w:rPr>
          <w:rFonts w:ascii="標楷體" w:eastAsia="標楷體" w:hAnsi="標楷體"/>
          <w:bCs/>
          <w:spacing w:val="6"/>
          <w:szCs w:val="32"/>
        </w:rPr>
      </w:pPr>
      <w:r w:rsidRPr="00C414E4">
        <w:rPr>
          <w:rFonts w:ascii="標楷體" w:eastAsia="標楷體" w:hAnsi="標楷體" w:hint="eastAsia"/>
          <w:bCs/>
          <w:spacing w:val="6"/>
          <w:szCs w:val="32"/>
        </w:rPr>
        <w:t>國家發展委員會為協助地方加速落實地方創生，經行政院於109年9月核定加速推動地方創生計畫（110至114年），計畫總經費60億元，由國家發展委員會及相關部會共同編列中央政府前瞻基礎建設計畫特別預算項下城鄉建設支應，用於支持青年留鄉或返鄉相關軟硬體建置，</w:t>
      </w:r>
      <w:proofErr w:type="gramStart"/>
      <w:r w:rsidRPr="00C414E4">
        <w:rPr>
          <w:rFonts w:ascii="標楷體" w:eastAsia="標楷體" w:hAnsi="標楷體" w:hint="eastAsia"/>
          <w:bCs/>
          <w:spacing w:val="6"/>
          <w:szCs w:val="32"/>
        </w:rPr>
        <w:t>暨經行政院</w:t>
      </w:r>
      <w:proofErr w:type="gramEnd"/>
      <w:r w:rsidRPr="00C414E4">
        <w:rPr>
          <w:rFonts w:ascii="標楷體" w:eastAsia="標楷體" w:hAnsi="標楷體" w:hint="eastAsia"/>
          <w:bCs/>
          <w:spacing w:val="6"/>
          <w:szCs w:val="32"/>
        </w:rPr>
        <w:t>地方創生會報工作會議（下稱地方創生會報工作會議）審查通過有關強化城鎮機能或環境整備之地方創生計畫及其事業提案等為主。110至113年度地方創生會報工作會議共通過171件地方創生計畫，項下包括891項事業提案（子計畫），排除核定結果全額由民間投資或地方政府自籌之64項，該工作會議協助媒合中央部會（基金）相關計畫資源共827項，</w:t>
      </w:r>
      <w:proofErr w:type="gramStart"/>
      <w:r w:rsidRPr="00C414E4">
        <w:rPr>
          <w:rFonts w:ascii="標楷體" w:eastAsia="標楷體" w:hAnsi="標楷體" w:hint="eastAsia"/>
          <w:bCs/>
          <w:spacing w:val="6"/>
          <w:szCs w:val="32"/>
        </w:rPr>
        <w:t>匡列總</w:t>
      </w:r>
      <w:proofErr w:type="gramEnd"/>
      <w:r w:rsidRPr="00C414E4">
        <w:rPr>
          <w:rFonts w:ascii="標楷體" w:eastAsia="標楷體" w:hAnsi="標楷體" w:hint="eastAsia"/>
          <w:bCs/>
          <w:spacing w:val="6"/>
          <w:szCs w:val="32"/>
        </w:rPr>
        <w:t>經費合計35億餘元。經查前揭運作機制及相關計畫執行情形，核有下列事項：</w:t>
      </w:r>
    </w:p>
    <w:p w14:paraId="4EF9F0DC" w14:textId="42AE7BA6" w:rsidR="002D7164" w:rsidRDefault="00223371" w:rsidP="00C414E4">
      <w:pPr>
        <w:overflowPunct w:val="0"/>
        <w:adjustRightInd w:val="0"/>
        <w:snapToGrid w:val="0"/>
        <w:spacing w:beforeLines="20" w:before="72" w:line="460" w:lineRule="exact"/>
        <w:ind w:firstLineChars="450" w:firstLine="1081"/>
        <w:jc w:val="both"/>
        <w:rPr>
          <w:rFonts w:ascii="標楷體" w:eastAsia="標楷體" w:hAnsi="標楷體"/>
          <w:color w:val="FF0000"/>
          <w:spacing w:val="-4"/>
          <w:kern w:val="0"/>
          <w:szCs w:val="24"/>
        </w:rPr>
      </w:pPr>
      <w:r>
        <w:rPr>
          <w:rFonts w:ascii="標楷體" w:eastAsia="標楷體" w:hAnsi="標楷體" w:hint="eastAsia"/>
          <w:b/>
          <w:kern w:val="0"/>
          <w:szCs w:val="24"/>
        </w:rPr>
        <w:t>1</w:t>
      </w:r>
      <w:r w:rsidRPr="00B4405D">
        <w:rPr>
          <w:rFonts w:ascii="標楷體" w:eastAsia="標楷體" w:hAnsi="標楷體" w:hint="eastAsia"/>
          <w:b/>
          <w:kern w:val="0"/>
          <w:szCs w:val="24"/>
        </w:rPr>
        <w:t xml:space="preserve">.　</w:t>
      </w:r>
      <w:r w:rsidRPr="005F50FE">
        <w:rPr>
          <w:rFonts w:ascii="標楷體" w:eastAsia="標楷體" w:hAnsi="標楷體" w:hint="eastAsia"/>
          <w:b/>
          <w:kern w:val="0"/>
          <w:szCs w:val="24"/>
        </w:rPr>
        <w:t>加速推動地方創生計畫績效指標之訂定及衡量情形，</w:t>
      </w:r>
      <w:proofErr w:type="gramStart"/>
      <w:r w:rsidRPr="005F50FE">
        <w:rPr>
          <w:rFonts w:ascii="標楷體" w:eastAsia="標楷體" w:hAnsi="標楷體" w:hint="eastAsia"/>
          <w:b/>
          <w:kern w:val="0"/>
          <w:szCs w:val="24"/>
        </w:rPr>
        <w:t>間有非</w:t>
      </w:r>
      <w:proofErr w:type="gramEnd"/>
      <w:r w:rsidRPr="005F50FE">
        <w:rPr>
          <w:rFonts w:ascii="標楷體" w:eastAsia="標楷體" w:hAnsi="標楷體" w:hint="eastAsia"/>
          <w:b/>
          <w:kern w:val="0"/>
          <w:szCs w:val="24"/>
        </w:rPr>
        <w:t>屬成果型指標，或統計範圍僅限於自行辦理項目，未</w:t>
      </w:r>
      <w:r>
        <w:rPr>
          <w:rFonts w:ascii="標楷體" w:eastAsia="標楷體" w:hAnsi="標楷體" w:hint="eastAsia"/>
          <w:b/>
          <w:kern w:val="0"/>
          <w:szCs w:val="24"/>
        </w:rPr>
        <w:t>完整</w:t>
      </w:r>
      <w:r w:rsidRPr="005F50FE">
        <w:rPr>
          <w:rFonts w:ascii="標楷體" w:eastAsia="標楷體" w:hAnsi="標楷體" w:hint="eastAsia"/>
          <w:b/>
          <w:kern w:val="0"/>
          <w:szCs w:val="24"/>
        </w:rPr>
        <w:t>涵蓋計畫各工作事項等情，不利全面評核及呈現地方創生推動成果</w:t>
      </w:r>
      <w:r w:rsidRPr="00B4405D">
        <w:rPr>
          <w:rFonts w:ascii="標楷體" w:eastAsia="標楷體" w:hAnsi="標楷體" w:hint="eastAsia"/>
          <w:b/>
          <w:kern w:val="0"/>
          <w:szCs w:val="24"/>
        </w:rPr>
        <w:t>：</w:t>
      </w:r>
      <w:r w:rsidRPr="00E71730">
        <w:rPr>
          <w:rFonts w:ascii="標楷體" w:eastAsia="標楷體" w:hAnsi="標楷體" w:hint="eastAsia"/>
          <w:kern w:val="0"/>
          <w:szCs w:val="24"/>
        </w:rPr>
        <w:t>依據加速推動地方創生計畫</w:t>
      </w:r>
      <w:r>
        <w:rPr>
          <w:rFonts w:ascii="標楷體" w:eastAsia="標楷體" w:hAnsi="標楷體" w:hint="eastAsia"/>
          <w:kern w:val="0"/>
          <w:szCs w:val="24"/>
        </w:rPr>
        <w:t>（</w:t>
      </w:r>
      <w:r w:rsidRPr="00E71730">
        <w:rPr>
          <w:rFonts w:ascii="標楷體" w:eastAsia="標楷體" w:hAnsi="標楷體" w:hint="eastAsia"/>
          <w:kern w:val="0"/>
          <w:szCs w:val="24"/>
        </w:rPr>
        <w:t>110至114年</w:t>
      </w:r>
      <w:r>
        <w:rPr>
          <w:rFonts w:ascii="標楷體" w:eastAsia="標楷體" w:hAnsi="標楷體" w:hint="eastAsia"/>
          <w:kern w:val="0"/>
          <w:szCs w:val="24"/>
        </w:rPr>
        <w:t>）</w:t>
      </w:r>
      <w:r w:rsidRPr="00E71730">
        <w:rPr>
          <w:rFonts w:ascii="標楷體" w:eastAsia="標楷體" w:hAnsi="標楷體" w:hint="eastAsia"/>
          <w:kern w:val="0"/>
          <w:szCs w:val="24"/>
        </w:rPr>
        <w:t>貳、三</w:t>
      </w:r>
      <w:r>
        <w:rPr>
          <w:rFonts w:ascii="標楷體" w:eastAsia="標楷體" w:hAnsi="標楷體" w:hint="eastAsia"/>
          <w:kern w:val="0"/>
          <w:szCs w:val="24"/>
        </w:rPr>
        <w:t>規定</w:t>
      </w:r>
      <w:r w:rsidRPr="00E71730">
        <w:rPr>
          <w:rFonts w:ascii="標楷體" w:eastAsia="標楷體" w:hAnsi="標楷體" w:hint="eastAsia"/>
          <w:kern w:val="0"/>
          <w:szCs w:val="24"/>
        </w:rPr>
        <w:t>，該計畫訂定1項工作指標－審查通過地方創生計畫每年20件（110至114年5年合計100件），2項績效指標－推動地方創生事業每年80項（110至114年5年合計400項）</w:t>
      </w:r>
      <w:r>
        <w:rPr>
          <w:rFonts w:ascii="標楷體" w:eastAsia="標楷體" w:hAnsi="標楷體" w:hint="eastAsia"/>
          <w:kern w:val="0"/>
          <w:szCs w:val="24"/>
        </w:rPr>
        <w:t>、</w:t>
      </w:r>
      <w:r w:rsidRPr="00E71730">
        <w:rPr>
          <w:rFonts w:ascii="標楷體" w:eastAsia="標楷體" w:hAnsi="標楷體" w:hint="eastAsia"/>
          <w:kern w:val="0"/>
          <w:szCs w:val="24"/>
        </w:rPr>
        <w:t>吸引種子青年留鄉或返鄉推動地方創生每年125人（110至113年4年合計500人，114年未訂定目標值）。據</w:t>
      </w:r>
      <w:r>
        <w:rPr>
          <w:rFonts w:ascii="標楷體" w:eastAsia="標楷體" w:hAnsi="標楷體" w:hint="eastAsia"/>
          <w:kern w:val="0"/>
          <w:szCs w:val="24"/>
        </w:rPr>
        <w:t>國家發展委員</w:t>
      </w:r>
      <w:r w:rsidRPr="00E71730">
        <w:rPr>
          <w:rFonts w:ascii="標楷體" w:eastAsia="標楷體" w:hAnsi="標楷體" w:hint="eastAsia"/>
          <w:kern w:val="0"/>
          <w:szCs w:val="24"/>
        </w:rPr>
        <w:t>會說明</w:t>
      </w:r>
      <w:r w:rsidR="009226FB">
        <w:rPr>
          <w:rFonts w:ascii="標楷體" w:eastAsia="標楷體" w:hAnsi="標楷體" w:hint="eastAsia"/>
          <w:kern w:val="0"/>
          <w:szCs w:val="24"/>
        </w:rPr>
        <w:t>，</w:t>
      </w:r>
      <w:r w:rsidRPr="00E71730">
        <w:rPr>
          <w:rFonts w:ascii="標楷體" w:eastAsia="標楷體" w:hAnsi="標楷體" w:hint="eastAsia"/>
          <w:kern w:val="0"/>
          <w:szCs w:val="24"/>
        </w:rPr>
        <w:t>各該指標意涵及統計達成情形，截至113年底止，已召集45場跨部會、跨縣市、跨鄉鎮之地方創生會報工作會議，通過171件地方創生計畫，協助</w:t>
      </w:r>
      <w:proofErr w:type="gramStart"/>
      <w:r w:rsidRPr="00E71730">
        <w:rPr>
          <w:rFonts w:ascii="標楷體" w:eastAsia="標楷體" w:hAnsi="標楷體" w:hint="eastAsia"/>
          <w:kern w:val="0"/>
          <w:szCs w:val="24"/>
        </w:rPr>
        <w:t>媒合項下</w:t>
      </w:r>
      <w:proofErr w:type="gramEnd"/>
      <w:r w:rsidRPr="00E71730">
        <w:rPr>
          <w:rFonts w:ascii="標楷體" w:eastAsia="標楷體" w:hAnsi="標楷體" w:hint="eastAsia"/>
          <w:kern w:val="0"/>
          <w:szCs w:val="24"/>
        </w:rPr>
        <w:t>共891項地方創生事業提案所需資源，並藉由</w:t>
      </w:r>
      <w:r>
        <w:rPr>
          <w:rFonts w:ascii="標楷體" w:eastAsia="標楷體" w:hAnsi="標楷體" w:hint="eastAsia"/>
          <w:kern w:val="0"/>
          <w:szCs w:val="24"/>
        </w:rPr>
        <w:t>該</w:t>
      </w:r>
      <w:r w:rsidRPr="00E71730">
        <w:rPr>
          <w:rFonts w:ascii="標楷體" w:eastAsia="標楷體" w:hAnsi="標楷體" w:hint="eastAsia"/>
          <w:kern w:val="0"/>
          <w:szCs w:val="24"/>
        </w:rPr>
        <w:t>會於該計畫辦理工作項目，包括設置地方創生青年培力工作站、獎勵青年投入地方創生等，已吸引954位青年留鄉或返鄉紮根，各項工作或績效</w:t>
      </w:r>
      <w:proofErr w:type="gramStart"/>
      <w:r w:rsidRPr="00E71730">
        <w:rPr>
          <w:rFonts w:ascii="標楷體" w:eastAsia="標楷體" w:hAnsi="標楷體" w:hint="eastAsia"/>
          <w:kern w:val="0"/>
          <w:szCs w:val="24"/>
        </w:rPr>
        <w:t>指標均已達成</w:t>
      </w:r>
      <w:proofErr w:type="gramEnd"/>
      <w:r w:rsidRPr="00E71730">
        <w:rPr>
          <w:rFonts w:ascii="標楷體" w:eastAsia="標楷體" w:hAnsi="標楷體" w:hint="eastAsia"/>
          <w:kern w:val="0"/>
          <w:szCs w:val="24"/>
        </w:rPr>
        <w:t>目標值。</w:t>
      </w:r>
      <w:proofErr w:type="gramStart"/>
      <w:r w:rsidRPr="00E71730">
        <w:rPr>
          <w:rFonts w:ascii="標楷體" w:eastAsia="標楷體" w:hAnsi="標楷體" w:hint="eastAsia"/>
          <w:kern w:val="0"/>
          <w:szCs w:val="24"/>
        </w:rPr>
        <w:t>惟查</w:t>
      </w:r>
      <w:proofErr w:type="gramEnd"/>
      <w:r w:rsidRPr="00E71730">
        <w:rPr>
          <w:rFonts w:ascii="標楷體" w:eastAsia="標楷體" w:hAnsi="標楷體" w:hint="eastAsia"/>
          <w:kern w:val="0"/>
          <w:szCs w:val="24"/>
        </w:rPr>
        <w:t>，推動地方創生事業</w:t>
      </w:r>
      <w:r>
        <w:rPr>
          <w:rFonts w:ascii="標楷體" w:eastAsia="標楷體" w:hAnsi="標楷體" w:hint="eastAsia"/>
          <w:kern w:val="0"/>
          <w:szCs w:val="24"/>
        </w:rPr>
        <w:t>之</w:t>
      </w:r>
      <w:r w:rsidRPr="00E71730">
        <w:rPr>
          <w:rFonts w:ascii="標楷體" w:eastAsia="標楷體" w:hAnsi="標楷體" w:hint="eastAsia"/>
          <w:kern w:val="0"/>
          <w:szCs w:val="24"/>
        </w:rPr>
        <w:t>績效指標係統計地方創生會報工作會議審查通過計畫項下之提案數，尚非直接與促進地方創生有關之成果型指標，又審查通過891項提案，其中屬補助地方政府強化基礎建設或環境整備者計457項，占51.29％，其對於地方創生促進地方產業發展、帶動人口回流等政策目標之貢獻程度，仍有待建立具體連結及</w:t>
      </w:r>
      <w:proofErr w:type="gramStart"/>
      <w:r w:rsidRPr="00E71730">
        <w:rPr>
          <w:rFonts w:ascii="標楷體" w:eastAsia="標楷體" w:hAnsi="標楷體" w:hint="eastAsia"/>
          <w:kern w:val="0"/>
          <w:szCs w:val="24"/>
        </w:rPr>
        <w:t>適切量測</w:t>
      </w:r>
      <w:proofErr w:type="gramEnd"/>
      <w:r w:rsidRPr="00E71730">
        <w:rPr>
          <w:rFonts w:ascii="標楷體" w:eastAsia="標楷體" w:hAnsi="標楷體" w:hint="eastAsia"/>
          <w:kern w:val="0"/>
          <w:szCs w:val="24"/>
        </w:rPr>
        <w:t>機制，以利多元</w:t>
      </w:r>
      <w:proofErr w:type="gramStart"/>
      <w:r w:rsidRPr="00E71730">
        <w:rPr>
          <w:rFonts w:ascii="標楷體" w:eastAsia="標楷體" w:hAnsi="標楷體" w:hint="eastAsia"/>
          <w:kern w:val="0"/>
          <w:szCs w:val="24"/>
        </w:rPr>
        <w:t>呈現創生成果</w:t>
      </w:r>
      <w:proofErr w:type="gramEnd"/>
      <w:r>
        <w:rPr>
          <w:rFonts w:ascii="標楷體" w:eastAsia="標楷體" w:hAnsi="標楷體" w:hint="eastAsia"/>
          <w:kern w:val="0"/>
          <w:szCs w:val="24"/>
        </w:rPr>
        <w:t>；</w:t>
      </w:r>
      <w:r w:rsidRPr="00E71730">
        <w:rPr>
          <w:rFonts w:ascii="標楷體" w:eastAsia="標楷體" w:hAnsi="標楷體" w:hint="eastAsia"/>
          <w:kern w:val="0"/>
          <w:szCs w:val="24"/>
        </w:rPr>
        <w:t>又查，吸引種子青年留鄉或返鄉推動地方創生</w:t>
      </w:r>
      <w:r>
        <w:rPr>
          <w:rFonts w:ascii="標楷體" w:eastAsia="標楷體" w:hAnsi="標楷體" w:hint="eastAsia"/>
          <w:kern w:val="0"/>
          <w:szCs w:val="24"/>
        </w:rPr>
        <w:t>之</w:t>
      </w:r>
      <w:r w:rsidRPr="00E71730">
        <w:rPr>
          <w:rFonts w:ascii="標楷體" w:eastAsia="標楷體" w:hAnsi="標楷體" w:hint="eastAsia"/>
          <w:kern w:val="0"/>
          <w:szCs w:val="24"/>
        </w:rPr>
        <w:t>績效指標，雖屬成果型指標，並直接扣合地方創生促進人口回流之政策目標，惟其目標值訂定及達成值之統計範圍，僅限</w:t>
      </w:r>
      <w:r>
        <w:rPr>
          <w:rFonts w:ascii="標楷體" w:eastAsia="標楷體" w:hAnsi="標楷體" w:hint="eastAsia"/>
          <w:kern w:val="0"/>
          <w:szCs w:val="24"/>
        </w:rPr>
        <w:t>國家發展委員</w:t>
      </w:r>
      <w:r w:rsidRPr="00E71730">
        <w:rPr>
          <w:rFonts w:ascii="標楷體" w:eastAsia="標楷體" w:hAnsi="標楷體" w:hint="eastAsia"/>
          <w:kern w:val="0"/>
          <w:szCs w:val="24"/>
        </w:rPr>
        <w:t>會於加速推動地方創生計畫</w:t>
      </w:r>
      <w:r>
        <w:rPr>
          <w:rFonts w:ascii="標楷體" w:eastAsia="標楷體" w:hAnsi="標楷體" w:hint="eastAsia"/>
          <w:kern w:val="0"/>
          <w:szCs w:val="24"/>
        </w:rPr>
        <w:t>（</w:t>
      </w:r>
      <w:r w:rsidRPr="00E71730">
        <w:rPr>
          <w:rFonts w:ascii="標楷體" w:eastAsia="標楷體" w:hAnsi="標楷體" w:hint="eastAsia"/>
          <w:kern w:val="0"/>
          <w:szCs w:val="24"/>
        </w:rPr>
        <w:t>110至114年</w:t>
      </w:r>
      <w:r>
        <w:rPr>
          <w:rFonts w:ascii="標楷體" w:eastAsia="標楷體" w:hAnsi="標楷體" w:hint="eastAsia"/>
          <w:kern w:val="0"/>
          <w:szCs w:val="24"/>
        </w:rPr>
        <w:t>）</w:t>
      </w:r>
      <w:r w:rsidRPr="00E71730">
        <w:rPr>
          <w:rFonts w:ascii="標楷體" w:eastAsia="標楷體" w:hAnsi="標楷體" w:hint="eastAsia"/>
          <w:kern w:val="0"/>
          <w:szCs w:val="24"/>
        </w:rPr>
        <w:t>辦理項目</w:t>
      </w:r>
      <w:r>
        <w:rPr>
          <w:rFonts w:ascii="標楷體" w:eastAsia="標楷體" w:hAnsi="標楷體" w:hint="eastAsia"/>
          <w:kern w:val="0"/>
          <w:szCs w:val="24"/>
        </w:rPr>
        <w:t>所</w:t>
      </w:r>
      <w:r w:rsidRPr="00E71730">
        <w:rPr>
          <w:rFonts w:ascii="標楷體" w:eastAsia="標楷體" w:hAnsi="標楷體" w:hint="eastAsia"/>
          <w:kern w:val="0"/>
          <w:szCs w:val="24"/>
        </w:rPr>
        <w:t>推估帶動青年留鄉、返鄉人數，未涵蓋該計畫其他</w:t>
      </w:r>
      <w:r w:rsidRPr="00E71730">
        <w:rPr>
          <w:rFonts w:ascii="標楷體" w:eastAsia="標楷體" w:hAnsi="標楷體" w:hint="eastAsia"/>
          <w:kern w:val="0"/>
          <w:szCs w:val="24"/>
        </w:rPr>
        <w:lastRenderedPageBreak/>
        <w:t>中央部會及地方政府推動地方創生後帶動人口回流地方之成果，難以全面考核及呈現計畫執行成效。</w:t>
      </w:r>
      <w:proofErr w:type="gramStart"/>
      <w:r w:rsidRPr="00E71730">
        <w:rPr>
          <w:rFonts w:ascii="標楷體" w:eastAsia="標楷體" w:hAnsi="標楷體" w:hint="eastAsia"/>
          <w:kern w:val="0"/>
          <w:szCs w:val="24"/>
        </w:rPr>
        <w:t>鑑</w:t>
      </w:r>
      <w:proofErr w:type="gramEnd"/>
      <w:r w:rsidRPr="00E71730">
        <w:rPr>
          <w:rFonts w:ascii="標楷體" w:eastAsia="標楷體" w:hAnsi="標楷體" w:hint="eastAsia"/>
          <w:kern w:val="0"/>
          <w:szCs w:val="24"/>
        </w:rPr>
        <w:t>於行政院114至117年度國家發展計畫</w:t>
      </w:r>
      <w:r w:rsidR="00E17027">
        <w:rPr>
          <w:rFonts w:ascii="標楷體" w:eastAsia="標楷體" w:hAnsi="標楷體" w:hint="eastAsia"/>
          <w:kern w:val="0"/>
          <w:szCs w:val="24"/>
        </w:rPr>
        <w:t>，</w:t>
      </w:r>
      <w:r w:rsidRPr="00E71730">
        <w:rPr>
          <w:rFonts w:ascii="標楷體" w:eastAsia="標楷體" w:hAnsi="標楷體" w:hint="eastAsia"/>
          <w:kern w:val="0"/>
          <w:szCs w:val="24"/>
        </w:rPr>
        <w:t>揭示推動地方創生</w:t>
      </w:r>
      <w:proofErr w:type="gramStart"/>
      <w:r w:rsidRPr="00E71730">
        <w:rPr>
          <w:rFonts w:ascii="標楷體" w:eastAsia="標楷體" w:hAnsi="標楷體" w:hint="eastAsia"/>
          <w:kern w:val="0"/>
          <w:szCs w:val="24"/>
        </w:rPr>
        <w:t>賡</w:t>
      </w:r>
      <w:proofErr w:type="gramEnd"/>
      <w:r w:rsidRPr="00E71730">
        <w:rPr>
          <w:rFonts w:ascii="標楷體" w:eastAsia="標楷體" w:hAnsi="標楷體" w:hint="eastAsia"/>
          <w:kern w:val="0"/>
          <w:szCs w:val="24"/>
        </w:rPr>
        <w:t>續為我國中長期國家發展策略，</w:t>
      </w:r>
      <w:r>
        <w:rPr>
          <w:rFonts w:ascii="標楷體" w:eastAsia="標楷體" w:hAnsi="標楷體" w:hint="eastAsia"/>
          <w:kern w:val="0"/>
          <w:szCs w:val="24"/>
        </w:rPr>
        <w:t>經函請國家發展委員會</w:t>
      </w:r>
      <w:r w:rsidRPr="00E71730">
        <w:rPr>
          <w:rFonts w:ascii="標楷體" w:eastAsia="標楷體" w:hAnsi="標楷體" w:hint="eastAsia"/>
          <w:kern w:val="0"/>
          <w:szCs w:val="24"/>
        </w:rPr>
        <w:t>視上位政策目標及實際達成情形，適時</w:t>
      </w:r>
      <w:proofErr w:type="gramStart"/>
      <w:r w:rsidRPr="00E71730">
        <w:rPr>
          <w:rFonts w:ascii="標楷體" w:eastAsia="標楷體" w:hAnsi="標楷體" w:hint="eastAsia"/>
          <w:kern w:val="0"/>
          <w:szCs w:val="24"/>
        </w:rPr>
        <w:t>研</w:t>
      </w:r>
      <w:proofErr w:type="gramEnd"/>
      <w:r w:rsidRPr="00E71730">
        <w:rPr>
          <w:rFonts w:ascii="標楷體" w:eastAsia="標楷體" w:hAnsi="標楷體" w:hint="eastAsia"/>
          <w:kern w:val="0"/>
          <w:szCs w:val="24"/>
        </w:rPr>
        <w:t>謀強化地方創生相關計畫績效指標、衡量標準及目標值訂定及量測機制，向上校準至上位政策目標，作為滾動檢討調整計畫執行方向及全面考核地方創生推動成效之依據，</w:t>
      </w:r>
      <w:proofErr w:type="gramStart"/>
      <w:r w:rsidRPr="00E71730">
        <w:rPr>
          <w:rFonts w:ascii="標楷體" w:eastAsia="標楷體" w:hAnsi="標楷體" w:hint="eastAsia"/>
          <w:kern w:val="0"/>
          <w:szCs w:val="24"/>
        </w:rPr>
        <w:t>以利策進</w:t>
      </w:r>
      <w:proofErr w:type="gramEnd"/>
      <w:r w:rsidRPr="00E71730">
        <w:rPr>
          <w:rFonts w:ascii="標楷體" w:eastAsia="標楷體" w:hAnsi="標楷體" w:hint="eastAsia"/>
          <w:kern w:val="0"/>
          <w:szCs w:val="24"/>
        </w:rPr>
        <w:t>及展現多元地方創生之成</w:t>
      </w:r>
      <w:r w:rsidRPr="00A337D3">
        <w:rPr>
          <w:rFonts w:ascii="標楷體" w:eastAsia="標楷體" w:hAnsi="標楷體" w:hint="eastAsia"/>
          <w:kern w:val="0"/>
          <w:szCs w:val="24"/>
        </w:rPr>
        <w:t>果。</w:t>
      </w:r>
      <w:r w:rsidRPr="00A337D3">
        <w:rPr>
          <w:rFonts w:ascii="標楷體" w:eastAsia="標楷體" w:hAnsi="標楷體" w:hint="eastAsia"/>
          <w:spacing w:val="-4"/>
          <w:kern w:val="0"/>
          <w:szCs w:val="24"/>
        </w:rPr>
        <w:t>據復：已參酌相關績效評估方法，目前初步以增加工作機會、提升營收等指標呈現，後續將再納入其他各工作項目具商業或社會價值等範疇，</w:t>
      </w:r>
      <w:proofErr w:type="gramStart"/>
      <w:r w:rsidRPr="00A337D3">
        <w:rPr>
          <w:rFonts w:ascii="標楷體" w:eastAsia="標楷體" w:hAnsi="標楷體" w:hint="eastAsia"/>
          <w:spacing w:val="-4"/>
          <w:kern w:val="0"/>
          <w:szCs w:val="24"/>
        </w:rPr>
        <w:t>調修可量化</w:t>
      </w:r>
      <w:proofErr w:type="gramEnd"/>
      <w:r w:rsidRPr="00A337D3">
        <w:rPr>
          <w:rFonts w:ascii="標楷體" w:eastAsia="標楷體" w:hAnsi="標楷體" w:hint="eastAsia"/>
          <w:spacing w:val="-4"/>
          <w:kern w:val="0"/>
          <w:szCs w:val="24"/>
        </w:rPr>
        <w:t>計算之指標，</w:t>
      </w:r>
      <w:proofErr w:type="gramStart"/>
      <w:r w:rsidRPr="00A337D3">
        <w:rPr>
          <w:rFonts w:ascii="標楷體" w:eastAsia="標楷體" w:hAnsi="標楷體" w:hint="eastAsia"/>
          <w:spacing w:val="-4"/>
          <w:kern w:val="0"/>
          <w:szCs w:val="24"/>
        </w:rPr>
        <w:t>俾</w:t>
      </w:r>
      <w:proofErr w:type="gramEnd"/>
      <w:r w:rsidRPr="00A337D3">
        <w:rPr>
          <w:rFonts w:ascii="標楷體" w:eastAsia="標楷體" w:hAnsi="標楷體" w:hint="eastAsia"/>
          <w:spacing w:val="-4"/>
          <w:kern w:val="0"/>
          <w:szCs w:val="24"/>
        </w:rPr>
        <w:t>使多元型態地方創生</w:t>
      </w:r>
      <w:r>
        <w:rPr>
          <w:rFonts w:ascii="標楷體" w:eastAsia="標楷體" w:hAnsi="標楷體" w:hint="eastAsia"/>
          <w:spacing w:val="-4"/>
          <w:kern w:val="0"/>
          <w:szCs w:val="24"/>
        </w:rPr>
        <w:t>成果</w:t>
      </w:r>
      <w:r w:rsidRPr="00A337D3">
        <w:rPr>
          <w:rFonts w:ascii="標楷體" w:eastAsia="標楷體" w:hAnsi="標楷體" w:hint="eastAsia"/>
          <w:spacing w:val="-4"/>
          <w:kern w:val="0"/>
          <w:szCs w:val="24"/>
        </w:rPr>
        <w:t>能透過績效指標具體呈現。</w:t>
      </w:r>
    </w:p>
    <w:p w14:paraId="49D26FE9" w14:textId="0058C15A" w:rsidR="0071716B" w:rsidRPr="002D7164" w:rsidRDefault="00223371" w:rsidP="00E24268">
      <w:pPr>
        <w:overflowPunct w:val="0"/>
        <w:adjustRightInd w:val="0"/>
        <w:snapToGrid w:val="0"/>
        <w:spacing w:line="420" w:lineRule="exact"/>
        <w:ind w:firstLineChars="450" w:firstLine="1081"/>
        <w:jc w:val="both"/>
        <w:rPr>
          <w:rFonts w:ascii="標楷體" w:eastAsia="標楷體" w:hAnsi="標楷體"/>
          <w:color w:val="FF0000"/>
          <w:spacing w:val="-4"/>
          <w:kern w:val="0"/>
          <w:szCs w:val="24"/>
        </w:rPr>
      </w:pPr>
      <w:r w:rsidRPr="00AD6D2F">
        <w:rPr>
          <w:rFonts w:ascii="標楷體" w:eastAsia="標楷體" w:hAnsi="標楷體" w:hint="eastAsia"/>
          <w:b/>
          <w:kern w:val="0"/>
          <w:szCs w:val="24"/>
        </w:rPr>
        <w:t xml:space="preserve">2.　</w:t>
      </w:r>
      <w:r w:rsidRPr="00175BC4">
        <w:rPr>
          <w:rFonts w:ascii="標楷體" w:eastAsia="標楷體" w:hAnsi="標楷體" w:hint="eastAsia"/>
          <w:b/>
          <w:kern w:val="0"/>
          <w:szCs w:val="24"/>
        </w:rPr>
        <w:t>加速推動地方創生計畫已訂定相關提案輔導及審查機制，惟仍有</w:t>
      </w:r>
      <w:proofErr w:type="gramStart"/>
      <w:r w:rsidRPr="00175BC4">
        <w:rPr>
          <w:rFonts w:ascii="標楷體" w:eastAsia="標楷體" w:hAnsi="標楷體" w:hint="eastAsia"/>
          <w:b/>
          <w:kern w:val="0"/>
          <w:szCs w:val="24"/>
        </w:rPr>
        <w:t>1成</w:t>
      </w:r>
      <w:proofErr w:type="gramEnd"/>
      <w:r w:rsidRPr="00175BC4">
        <w:rPr>
          <w:rFonts w:ascii="標楷體" w:eastAsia="標楷體" w:hAnsi="標楷體" w:hint="eastAsia"/>
          <w:b/>
          <w:kern w:val="0"/>
          <w:szCs w:val="24"/>
        </w:rPr>
        <w:t>餘審查通過案件未續辦申請、中途撤案，或未獲各中央主管部會核定補助</w:t>
      </w:r>
      <w:r w:rsidRPr="00AD6D2F">
        <w:rPr>
          <w:rFonts w:ascii="標楷體" w:eastAsia="標楷體" w:hAnsi="標楷體" w:hint="eastAsia"/>
          <w:b/>
          <w:kern w:val="0"/>
          <w:szCs w:val="24"/>
        </w:rPr>
        <w:t>：</w:t>
      </w:r>
      <w:r w:rsidRPr="00E83129">
        <w:rPr>
          <w:rFonts w:ascii="標楷體" w:eastAsia="標楷體" w:hAnsi="標楷體" w:hint="eastAsia"/>
          <w:kern w:val="0"/>
          <w:szCs w:val="24"/>
        </w:rPr>
        <w:t>依據加速推動地方創生計畫</w:t>
      </w:r>
      <w:r>
        <w:rPr>
          <w:rFonts w:ascii="標楷體" w:eastAsia="標楷體" w:hAnsi="標楷體" w:hint="eastAsia"/>
          <w:kern w:val="0"/>
          <w:szCs w:val="24"/>
        </w:rPr>
        <w:t>（</w:t>
      </w:r>
      <w:r w:rsidRPr="00E83129">
        <w:rPr>
          <w:rFonts w:ascii="標楷體" w:eastAsia="標楷體" w:hAnsi="標楷體" w:hint="eastAsia"/>
          <w:kern w:val="0"/>
          <w:szCs w:val="24"/>
        </w:rPr>
        <w:t>110至114年</w:t>
      </w:r>
      <w:r>
        <w:rPr>
          <w:rFonts w:ascii="標楷體" w:eastAsia="標楷體" w:hAnsi="標楷體" w:hint="eastAsia"/>
          <w:kern w:val="0"/>
          <w:szCs w:val="24"/>
        </w:rPr>
        <w:t>）</w:t>
      </w:r>
      <w:r w:rsidRPr="00E83129">
        <w:rPr>
          <w:rFonts w:ascii="標楷體" w:eastAsia="標楷體" w:hAnsi="標楷體" w:hint="eastAsia"/>
          <w:kern w:val="0"/>
          <w:szCs w:val="24"/>
        </w:rPr>
        <w:t>肆</w:t>
      </w:r>
      <w:r>
        <w:rPr>
          <w:rFonts w:ascii="標楷體" w:eastAsia="標楷體" w:hAnsi="標楷體" w:hint="eastAsia"/>
          <w:kern w:val="0"/>
          <w:szCs w:val="24"/>
        </w:rPr>
        <w:t>、</w:t>
      </w:r>
      <w:r w:rsidRPr="00E83129">
        <w:rPr>
          <w:rFonts w:ascii="標楷體" w:eastAsia="標楷體" w:hAnsi="標楷體" w:hint="eastAsia"/>
          <w:kern w:val="0"/>
          <w:szCs w:val="24"/>
        </w:rPr>
        <w:t>四</w:t>
      </w:r>
      <w:r>
        <w:rPr>
          <w:rFonts w:ascii="標楷體" w:eastAsia="標楷體" w:hAnsi="標楷體" w:hint="eastAsia"/>
          <w:kern w:val="0"/>
          <w:szCs w:val="24"/>
        </w:rPr>
        <w:t>（一）</w:t>
      </w:r>
      <w:r w:rsidRPr="00E83129">
        <w:rPr>
          <w:rFonts w:ascii="標楷體" w:eastAsia="標楷體" w:hAnsi="標楷體" w:hint="eastAsia"/>
          <w:kern w:val="0"/>
          <w:szCs w:val="24"/>
        </w:rPr>
        <w:t>規定，為確保地方創生計畫及其事業提案之品質，確保後續執行順利，減少因地方提案規劃</w:t>
      </w:r>
      <w:proofErr w:type="gramStart"/>
      <w:r w:rsidRPr="00E83129">
        <w:rPr>
          <w:rFonts w:ascii="標楷體" w:eastAsia="標楷體" w:hAnsi="標楷體" w:hint="eastAsia"/>
          <w:kern w:val="0"/>
          <w:szCs w:val="24"/>
        </w:rPr>
        <w:t>不</w:t>
      </w:r>
      <w:proofErr w:type="gramEnd"/>
      <w:r w:rsidRPr="00E83129">
        <w:rPr>
          <w:rFonts w:ascii="標楷體" w:eastAsia="標楷體" w:hAnsi="標楷體" w:hint="eastAsia"/>
          <w:kern w:val="0"/>
          <w:szCs w:val="24"/>
        </w:rPr>
        <w:t>周延致中途撤案之情形，各提案送至</w:t>
      </w:r>
      <w:r>
        <w:rPr>
          <w:rFonts w:ascii="標楷體" w:eastAsia="標楷體" w:hAnsi="標楷體" w:hint="eastAsia"/>
          <w:kern w:val="0"/>
          <w:szCs w:val="24"/>
        </w:rPr>
        <w:t>國家發展委員</w:t>
      </w:r>
      <w:r w:rsidRPr="00E83129">
        <w:rPr>
          <w:rFonts w:ascii="標楷體" w:eastAsia="標楷體" w:hAnsi="標楷體" w:hint="eastAsia"/>
          <w:kern w:val="0"/>
          <w:szCs w:val="24"/>
        </w:rPr>
        <w:t>會後，經</w:t>
      </w:r>
      <w:r>
        <w:rPr>
          <w:rFonts w:ascii="標楷體" w:eastAsia="標楷體" w:hAnsi="標楷體" w:hint="eastAsia"/>
          <w:kern w:val="0"/>
          <w:szCs w:val="24"/>
        </w:rPr>
        <w:t>該</w:t>
      </w:r>
      <w:r w:rsidRPr="00E83129">
        <w:rPr>
          <w:rFonts w:ascii="標楷體" w:eastAsia="標楷體" w:hAnsi="標楷體" w:hint="eastAsia"/>
          <w:kern w:val="0"/>
          <w:szCs w:val="24"/>
        </w:rPr>
        <w:t>會邀集地方政府、相關部會、輔導團專家等，召開2次輔導會議，協助提案進行調整修正，並確認可行性、必要性及經費</w:t>
      </w:r>
      <w:proofErr w:type="gramStart"/>
      <w:r w:rsidRPr="00E83129">
        <w:rPr>
          <w:rFonts w:ascii="標楷體" w:eastAsia="標楷體" w:hAnsi="標楷體" w:hint="eastAsia"/>
          <w:kern w:val="0"/>
          <w:szCs w:val="24"/>
        </w:rPr>
        <w:t>合理性後</w:t>
      </w:r>
      <w:proofErr w:type="gramEnd"/>
      <w:r w:rsidRPr="00E83129">
        <w:rPr>
          <w:rFonts w:ascii="標楷體" w:eastAsia="標楷體" w:hAnsi="標楷體" w:hint="eastAsia"/>
          <w:kern w:val="0"/>
          <w:szCs w:val="24"/>
        </w:rPr>
        <w:t>，</w:t>
      </w:r>
      <w:r>
        <w:rPr>
          <w:rFonts w:ascii="標楷體" w:eastAsia="標楷體" w:hAnsi="標楷體" w:hint="eastAsia"/>
          <w:kern w:val="0"/>
          <w:szCs w:val="24"/>
        </w:rPr>
        <w:t>該</w:t>
      </w:r>
      <w:r w:rsidRPr="00E83129">
        <w:rPr>
          <w:rFonts w:ascii="標楷體" w:eastAsia="標楷體" w:hAnsi="標楷體" w:hint="eastAsia"/>
          <w:kern w:val="0"/>
          <w:szCs w:val="24"/>
        </w:rPr>
        <w:t>會再邀集有關部會及地方政府召開地方創生會報工作會議聯席審查；審查通過</w:t>
      </w:r>
      <w:proofErr w:type="gramStart"/>
      <w:r w:rsidRPr="00E83129">
        <w:rPr>
          <w:rFonts w:ascii="標楷體" w:eastAsia="標楷體" w:hAnsi="標楷體" w:hint="eastAsia"/>
          <w:kern w:val="0"/>
          <w:szCs w:val="24"/>
        </w:rPr>
        <w:t>並媒合至</w:t>
      </w:r>
      <w:proofErr w:type="gramEnd"/>
      <w:r w:rsidRPr="00E83129">
        <w:rPr>
          <w:rFonts w:ascii="標楷體" w:eastAsia="標楷體" w:hAnsi="標楷體" w:hint="eastAsia"/>
          <w:kern w:val="0"/>
          <w:szCs w:val="24"/>
        </w:rPr>
        <w:t>相關部會（基金）資源之提案，後續由各提案單位（主要為市縣政府）循主管部會（基金）相關計畫之申請審查機制正式提出，經核定後落實推動。據</w:t>
      </w:r>
      <w:r w:rsidR="00A64682">
        <w:rPr>
          <w:rFonts w:ascii="標楷體" w:eastAsia="標楷體" w:hAnsi="標楷體" w:hint="eastAsia"/>
          <w:kern w:val="0"/>
          <w:szCs w:val="24"/>
        </w:rPr>
        <w:t>本部</w:t>
      </w:r>
      <w:r w:rsidRPr="00E83129">
        <w:rPr>
          <w:rFonts w:ascii="標楷體" w:eastAsia="標楷體" w:hAnsi="標楷體" w:hint="eastAsia"/>
          <w:kern w:val="0"/>
          <w:szCs w:val="24"/>
        </w:rPr>
        <w:t>書面調查各相關中央主管部會結果，110至113年度地方創生會報工作會議審查通過，協助媒合中央部會（基金）資源之827項提案，其中</w:t>
      </w:r>
      <w:r>
        <w:rPr>
          <w:rFonts w:ascii="標楷體" w:eastAsia="標楷體" w:hAnsi="標楷體" w:hint="eastAsia"/>
          <w:kern w:val="0"/>
          <w:szCs w:val="24"/>
        </w:rPr>
        <w:t>，</w:t>
      </w:r>
      <w:r w:rsidRPr="00E83129">
        <w:rPr>
          <w:rFonts w:ascii="標楷體" w:eastAsia="標楷體" w:hAnsi="標楷體" w:hint="eastAsia"/>
          <w:kern w:val="0"/>
          <w:szCs w:val="24"/>
        </w:rPr>
        <w:t>經中央部會計畫（基金）核定且已結案者543項、執行中者127項，尚在程序中或尚未達計畫審查提報</w:t>
      </w:r>
      <w:proofErr w:type="gramStart"/>
      <w:r w:rsidRPr="00E83129">
        <w:rPr>
          <w:rFonts w:ascii="標楷體" w:eastAsia="標楷體" w:hAnsi="標楷體" w:hint="eastAsia"/>
          <w:kern w:val="0"/>
          <w:szCs w:val="24"/>
        </w:rPr>
        <w:t>時程者61項</w:t>
      </w:r>
      <w:proofErr w:type="gramEnd"/>
      <w:r w:rsidRPr="00E83129">
        <w:rPr>
          <w:rFonts w:ascii="標楷體" w:eastAsia="標楷體" w:hAnsi="標楷體" w:hint="eastAsia"/>
          <w:kern w:val="0"/>
          <w:szCs w:val="24"/>
        </w:rPr>
        <w:t>，合計731項（88.39％）已執行完成或有一定程度推進，顯示</w:t>
      </w:r>
      <w:proofErr w:type="gramStart"/>
      <w:r w:rsidRPr="00E83129">
        <w:rPr>
          <w:rFonts w:ascii="標楷體" w:eastAsia="標楷體" w:hAnsi="標楷體" w:hint="eastAsia"/>
          <w:kern w:val="0"/>
          <w:szCs w:val="24"/>
        </w:rPr>
        <w:t>前揭預為</w:t>
      </w:r>
      <w:proofErr w:type="gramEnd"/>
      <w:r w:rsidRPr="00E83129">
        <w:rPr>
          <w:rFonts w:ascii="標楷體" w:eastAsia="標楷體" w:hAnsi="標楷體" w:hint="eastAsia"/>
          <w:kern w:val="0"/>
          <w:szCs w:val="24"/>
        </w:rPr>
        <w:t>輔導、聯席審查機制已發揮相當效果。惟仍有96項（11.61％）</w:t>
      </w:r>
      <w:proofErr w:type="gramStart"/>
      <w:r w:rsidRPr="00E83129">
        <w:rPr>
          <w:rFonts w:ascii="標楷體" w:eastAsia="標楷體" w:hAnsi="標楷體" w:hint="eastAsia"/>
          <w:kern w:val="0"/>
          <w:szCs w:val="24"/>
        </w:rPr>
        <w:t>提案於地方創生</w:t>
      </w:r>
      <w:proofErr w:type="gramEnd"/>
      <w:r w:rsidRPr="00E83129">
        <w:rPr>
          <w:rFonts w:ascii="標楷體" w:eastAsia="標楷體" w:hAnsi="標楷體" w:hint="eastAsia"/>
          <w:kern w:val="0"/>
          <w:szCs w:val="24"/>
        </w:rPr>
        <w:t>工作會議審查通過後，因提案單位欠缺執行人力、經費，或無法配合計畫期程，逾期未提出申請；提案內容與上位計畫缺乏關聯性；計畫誤</w:t>
      </w:r>
      <w:proofErr w:type="gramStart"/>
      <w:r w:rsidRPr="00E83129">
        <w:rPr>
          <w:rFonts w:ascii="標楷體" w:eastAsia="標楷體" w:hAnsi="標楷體" w:hint="eastAsia"/>
          <w:kern w:val="0"/>
          <w:szCs w:val="24"/>
        </w:rPr>
        <w:t>繕</w:t>
      </w:r>
      <w:proofErr w:type="gramEnd"/>
      <w:r w:rsidRPr="00E83129">
        <w:rPr>
          <w:rFonts w:ascii="標楷體" w:eastAsia="標楷體" w:hAnsi="標楷體" w:hint="eastAsia"/>
          <w:kern w:val="0"/>
          <w:szCs w:val="24"/>
        </w:rPr>
        <w:t>或無對應中央主管部會承接；經主管機關審查未通過或中途撤案等，實際並未推動執行。</w:t>
      </w:r>
      <w:r>
        <w:rPr>
          <w:rFonts w:ascii="標楷體" w:eastAsia="標楷體" w:hAnsi="標楷體" w:hint="eastAsia"/>
          <w:kern w:val="0"/>
          <w:szCs w:val="24"/>
        </w:rPr>
        <w:t>經函請國家發展委員會</w:t>
      </w:r>
      <w:r w:rsidRPr="00E83129">
        <w:rPr>
          <w:rFonts w:ascii="標楷體" w:eastAsia="標楷體" w:hAnsi="標楷體" w:hint="eastAsia"/>
          <w:kern w:val="0"/>
          <w:szCs w:val="24"/>
        </w:rPr>
        <w:t>偕同相關部會探討問題癥結，回饋強化地方創生會報工作會議之前置輔導及聯席審查功能，進而強化提案品質</w:t>
      </w:r>
      <w:r>
        <w:rPr>
          <w:rFonts w:ascii="標楷體" w:eastAsia="標楷體" w:hAnsi="標楷體" w:hint="eastAsia"/>
          <w:kern w:val="0"/>
          <w:szCs w:val="24"/>
        </w:rPr>
        <w:t>，</w:t>
      </w:r>
      <w:proofErr w:type="gramStart"/>
      <w:r w:rsidRPr="00E83129">
        <w:rPr>
          <w:rFonts w:ascii="標楷體" w:eastAsia="標楷體" w:hAnsi="標楷體" w:hint="eastAsia"/>
          <w:kern w:val="0"/>
          <w:szCs w:val="24"/>
        </w:rPr>
        <w:t>俾</w:t>
      </w:r>
      <w:proofErr w:type="gramEnd"/>
      <w:r w:rsidRPr="00E83129">
        <w:rPr>
          <w:rFonts w:ascii="標楷體" w:eastAsia="標楷體" w:hAnsi="標楷體" w:hint="eastAsia"/>
          <w:kern w:val="0"/>
          <w:szCs w:val="24"/>
        </w:rPr>
        <w:t>利資源有效分配及帶動更多地方創生事業發展。</w:t>
      </w:r>
      <w:r w:rsidRPr="004072FF">
        <w:rPr>
          <w:rFonts w:ascii="標楷體" w:eastAsia="標楷體" w:hAnsi="標楷體" w:hint="eastAsia"/>
          <w:kern w:val="0"/>
          <w:szCs w:val="24"/>
        </w:rPr>
        <w:t>據復：將持續透過分區輔導中心於提案階段加強輔導，協調相關部會預先審查團隊申請文件，評估整合跨部門意見，包含土地、建管等相關法規適法性，並於輔導會議中確認可行性等前置作業，</w:t>
      </w:r>
      <w:proofErr w:type="gramStart"/>
      <w:r>
        <w:rPr>
          <w:rFonts w:ascii="標楷體" w:eastAsia="標楷體" w:hAnsi="標楷體" w:hint="eastAsia"/>
          <w:kern w:val="0"/>
          <w:szCs w:val="24"/>
        </w:rPr>
        <w:t>俾於</w:t>
      </w:r>
      <w:r w:rsidRPr="004072FF">
        <w:rPr>
          <w:rFonts w:ascii="標楷體" w:eastAsia="標楷體" w:hAnsi="標楷體" w:hint="eastAsia"/>
          <w:kern w:val="0"/>
          <w:szCs w:val="24"/>
        </w:rPr>
        <w:t>地</w:t>
      </w:r>
      <w:proofErr w:type="gramEnd"/>
      <w:r w:rsidRPr="004072FF">
        <w:rPr>
          <w:rFonts w:ascii="標楷體" w:eastAsia="標楷體" w:hAnsi="標楷體" w:hint="eastAsia"/>
          <w:kern w:val="0"/>
          <w:szCs w:val="24"/>
        </w:rPr>
        <w:t>方創生會報工作會議</w:t>
      </w:r>
      <w:r>
        <w:rPr>
          <w:rFonts w:ascii="標楷體" w:eastAsia="標楷體" w:hAnsi="標楷體" w:hint="eastAsia"/>
          <w:kern w:val="0"/>
          <w:szCs w:val="24"/>
        </w:rPr>
        <w:t>通過後，</w:t>
      </w:r>
      <w:r w:rsidRPr="004072FF">
        <w:rPr>
          <w:rFonts w:ascii="標楷體" w:eastAsia="標楷體" w:hAnsi="標楷體" w:hint="eastAsia"/>
          <w:kern w:val="0"/>
          <w:szCs w:val="24"/>
        </w:rPr>
        <w:t>順利辦理後續工作，提高執行效率。</w:t>
      </w:r>
    </w:p>
    <w:p w14:paraId="4D4F0B03" w14:textId="5E777B4A" w:rsidR="0071716B" w:rsidRDefault="0040696D" w:rsidP="00F5673C">
      <w:pPr>
        <w:overflowPunct w:val="0"/>
        <w:spacing w:beforeLines="20" w:before="72" w:afterLines="20" w:after="72" w:line="450" w:lineRule="exact"/>
        <w:ind w:firstLineChars="200" w:firstLine="561"/>
        <w:jc w:val="both"/>
        <w:outlineLvl w:val="1"/>
        <w:rPr>
          <w:rFonts w:ascii="標楷體" w:eastAsia="標楷體" w:hAnsi="標楷體"/>
          <w:b/>
          <w:sz w:val="28"/>
          <w:szCs w:val="28"/>
        </w:rPr>
      </w:pPr>
      <w:r>
        <w:rPr>
          <w:rFonts w:ascii="標楷體" w:eastAsia="標楷體" w:hAnsi="標楷體" w:hint="eastAsia"/>
          <w:b/>
          <w:sz w:val="28"/>
          <w:szCs w:val="28"/>
        </w:rPr>
        <w:t>（</w:t>
      </w:r>
      <w:r w:rsidR="0071716B">
        <w:rPr>
          <w:rFonts w:ascii="標楷體" w:eastAsia="標楷體" w:hAnsi="標楷體" w:hint="eastAsia"/>
          <w:b/>
          <w:sz w:val="28"/>
          <w:szCs w:val="28"/>
        </w:rPr>
        <w:t>三十</w:t>
      </w:r>
      <w:r w:rsidR="00781889">
        <w:rPr>
          <w:rFonts w:ascii="標楷體" w:eastAsia="標楷體" w:hAnsi="標楷體" w:hint="eastAsia"/>
          <w:b/>
          <w:sz w:val="28"/>
          <w:szCs w:val="28"/>
        </w:rPr>
        <w:t>四</w:t>
      </w:r>
      <w:r>
        <w:rPr>
          <w:rFonts w:ascii="標楷體" w:eastAsia="標楷體" w:hAnsi="標楷體" w:hint="eastAsia"/>
          <w:b/>
          <w:sz w:val="28"/>
          <w:szCs w:val="28"/>
        </w:rPr>
        <w:t>）</w:t>
      </w:r>
      <w:r w:rsidR="00A9579D">
        <w:rPr>
          <w:rFonts w:ascii="標楷體" w:eastAsia="標楷體" w:hAnsi="標楷體" w:hint="eastAsia"/>
          <w:b/>
          <w:sz w:val="28"/>
          <w:szCs w:val="28"/>
        </w:rPr>
        <w:t xml:space="preserve">　</w:t>
      </w:r>
      <w:proofErr w:type="gramStart"/>
      <w:r w:rsidR="00A9579D" w:rsidRPr="00A9579D">
        <w:rPr>
          <w:rFonts w:ascii="標楷體" w:eastAsia="標楷體" w:hAnsi="標楷體" w:hint="eastAsia"/>
          <w:b/>
          <w:sz w:val="28"/>
          <w:szCs w:val="28"/>
        </w:rPr>
        <w:t>檔管局</w:t>
      </w:r>
      <w:proofErr w:type="gramEnd"/>
      <w:r w:rsidR="00A9579D" w:rsidRPr="00A9579D">
        <w:rPr>
          <w:rFonts w:ascii="標楷體" w:eastAsia="標楷體" w:hAnsi="標楷體" w:hint="eastAsia"/>
          <w:b/>
          <w:sz w:val="28"/>
          <w:szCs w:val="28"/>
        </w:rPr>
        <w:t>建置收發文</w:t>
      </w:r>
      <w:r w:rsidR="0044601D">
        <w:rPr>
          <w:rFonts w:ascii="標楷體" w:eastAsia="標楷體" w:hAnsi="標楷體" w:hint="eastAsia"/>
          <w:b/>
          <w:sz w:val="28"/>
          <w:szCs w:val="28"/>
        </w:rPr>
        <w:t>紀</w:t>
      </w:r>
      <w:r w:rsidR="00A9579D" w:rsidRPr="00A9579D">
        <w:rPr>
          <w:rFonts w:ascii="標楷體" w:eastAsia="標楷體" w:hAnsi="標楷體" w:hint="eastAsia"/>
          <w:b/>
          <w:sz w:val="28"/>
          <w:szCs w:val="28"/>
        </w:rPr>
        <w:t>錄倉儲系統，有助提升收發文紀錄之可信度，惟規劃階段未考量系統維運成本，致試辦作業完成後未能推廣應用；規劃建置AI輔助銷毀目錄審查系統，相關模型訓練資料涵蓋範圍不足，驗收標準訂定</w:t>
      </w:r>
      <w:proofErr w:type="gramStart"/>
      <w:r w:rsidR="00A9579D" w:rsidRPr="00A9579D">
        <w:rPr>
          <w:rFonts w:ascii="標楷體" w:eastAsia="標楷體" w:hAnsi="標楷體" w:hint="eastAsia"/>
          <w:b/>
          <w:sz w:val="28"/>
          <w:szCs w:val="28"/>
        </w:rPr>
        <w:t>未盡周妥</w:t>
      </w:r>
      <w:proofErr w:type="gramEnd"/>
      <w:r w:rsidR="00A9579D" w:rsidRPr="00A9579D">
        <w:rPr>
          <w:rFonts w:ascii="標楷體" w:eastAsia="標楷體" w:hAnsi="標楷體" w:hint="eastAsia"/>
          <w:b/>
          <w:sz w:val="28"/>
          <w:szCs w:val="28"/>
        </w:rPr>
        <w:t>，有影響實際使用成效之虞，允宜</w:t>
      </w:r>
      <w:proofErr w:type="gramStart"/>
      <w:r w:rsidR="00A9579D" w:rsidRPr="00A9579D">
        <w:rPr>
          <w:rFonts w:ascii="標楷體" w:eastAsia="標楷體" w:hAnsi="標楷體" w:hint="eastAsia"/>
          <w:b/>
          <w:sz w:val="28"/>
          <w:szCs w:val="28"/>
        </w:rPr>
        <w:t>研</w:t>
      </w:r>
      <w:proofErr w:type="gramEnd"/>
      <w:r w:rsidR="00A9579D" w:rsidRPr="00A9579D">
        <w:rPr>
          <w:rFonts w:ascii="標楷體" w:eastAsia="標楷體" w:hAnsi="標楷體" w:hint="eastAsia"/>
          <w:b/>
          <w:sz w:val="28"/>
          <w:szCs w:val="28"/>
        </w:rPr>
        <w:t>謀改善。</w:t>
      </w:r>
    </w:p>
    <w:p w14:paraId="2746104C" w14:textId="77777777" w:rsidR="001723AC" w:rsidRDefault="001723AC" w:rsidP="00E24268">
      <w:pPr>
        <w:overflowPunct w:val="0"/>
        <w:spacing w:line="440" w:lineRule="exact"/>
        <w:ind w:firstLineChars="200" w:firstLine="480"/>
        <w:jc w:val="both"/>
        <w:rPr>
          <w:rFonts w:ascii="標楷體" w:eastAsia="標楷體" w:hAnsi="標楷體"/>
          <w:szCs w:val="32"/>
        </w:rPr>
      </w:pPr>
      <w:r>
        <w:rPr>
          <w:rFonts w:ascii="標楷體" w:eastAsia="標楷體" w:hAnsi="標楷體" w:hint="eastAsia"/>
          <w:szCs w:val="32"/>
        </w:rPr>
        <w:lastRenderedPageBreak/>
        <w:t>國家發展委員會檔案管理局（下稱檔管局）為</w:t>
      </w:r>
      <w:proofErr w:type="gramStart"/>
      <w:r>
        <w:rPr>
          <w:rFonts w:ascii="標楷體" w:eastAsia="標楷體" w:hAnsi="標楷體" w:hint="eastAsia"/>
          <w:szCs w:val="32"/>
        </w:rPr>
        <w:t>將文檔業務</w:t>
      </w:r>
      <w:proofErr w:type="gramEnd"/>
      <w:r>
        <w:rPr>
          <w:rFonts w:ascii="標楷體" w:eastAsia="標楷體" w:hAnsi="標楷體" w:hint="eastAsia"/>
          <w:szCs w:val="32"/>
        </w:rPr>
        <w:t>鏈結智慧新興科技、接軌國際與未來發展趨勢、推升國家檔案館資訊服務功能，以</w:t>
      </w:r>
      <w:proofErr w:type="gramStart"/>
      <w:r>
        <w:rPr>
          <w:rFonts w:ascii="標楷體" w:eastAsia="標楷體" w:hAnsi="標楷體" w:hint="eastAsia"/>
          <w:szCs w:val="32"/>
        </w:rPr>
        <w:t>達到文檔服務</w:t>
      </w:r>
      <w:proofErr w:type="gramEnd"/>
      <w:r>
        <w:rPr>
          <w:rFonts w:ascii="標楷體" w:eastAsia="標楷體" w:hAnsi="標楷體" w:hint="eastAsia"/>
          <w:szCs w:val="32"/>
        </w:rPr>
        <w:t>數位轉型願景，於</w:t>
      </w:r>
      <w:r>
        <w:rPr>
          <w:rFonts w:ascii="新細明體" w:hAnsi="新細明體" w:hint="eastAsia"/>
          <w:szCs w:val="32"/>
        </w:rPr>
        <w:t>「</w:t>
      </w:r>
      <w:r>
        <w:rPr>
          <w:rFonts w:ascii="標楷體" w:eastAsia="標楷體" w:hAnsi="標楷體" w:hint="eastAsia"/>
          <w:szCs w:val="32"/>
        </w:rPr>
        <w:t>服務型智慧政府2.0推動計畫</w:t>
      </w:r>
      <w:r>
        <w:rPr>
          <w:rFonts w:ascii="新細明體" w:hAnsi="新細明體" w:hint="eastAsia"/>
          <w:szCs w:val="32"/>
        </w:rPr>
        <w:t>」</w:t>
      </w:r>
      <w:r>
        <w:rPr>
          <w:rFonts w:ascii="標楷體" w:eastAsia="標楷體" w:hAnsi="標楷體" w:hint="eastAsia"/>
          <w:szCs w:val="32"/>
        </w:rPr>
        <w:t>項下辦理文書檔案智慧鏈結計畫，計畫總經費5億808萬餘元，計畫期程為110至114年度，計畫內容包含運用人工智慧（下稱AI）、</w:t>
      </w:r>
      <w:proofErr w:type="gramStart"/>
      <w:r>
        <w:rPr>
          <w:rFonts w:ascii="標楷體" w:eastAsia="標楷體" w:hAnsi="標楷體" w:hint="eastAsia"/>
          <w:szCs w:val="32"/>
        </w:rPr>
        <w:t>區塊鏈等</w:t>
      </w:r>
      <w:proofErr w:type="gramEnd"/>
      <w:r>
        <w:rPr>
          <w:rFonts w:ascii="標楷體" w:eastAsia="標楷體" w:hAnsi="標楷體" w:hint="eastAsia"/>
          <w:szCs w:val="32"/>
        </w:rPr>
        <w:t>新興之智慧科技鏈結公文電子交換服務、文書檔案資訊系統等。經查執行情形，核有下列事項：</w:t>
      </w:r>
    </w:p>
    <w:p w14:paraId="4F524924" w14:textId="7CCECEBC" w:rsidR="001723AC" w:rsidRDefault="001723AC" w:rsidP="00E24268">
      <w:pPr>
        <w:pStyle w:val="afffa"/>
        <w:numPr>
          <w:ilvl w:val="0"/>
          <w:numId w:val="10"/>
        </w:numPr>
        <w:overflowPunct w:val="0"/>
        <w:spacing w:line="440" w:lineRule="exact"/>
        <w:ind w:leftChars="0" w:left="0" w:firstLine="1083"/>
        <w:jc w:val="both"/>
        <w:rPr>
          <w:rFonts w:ascii="標楷體" w:eastAsia="標楷體" w:hAnsi="標楷體"/>
          <w:szCs w:val="32"/>
        </w:rPr>
      </w:pPr>
      <w:r>
        <w:rPr>
          <w:rFonts w:ascii="標楷體" w:eastAsia="標楷體" w:hAnsi="標楷體" w:hint="eastAsia"/>
          <w:b/>
          <w:szCs w:val="32"/>
        </w:rPr>
        <w:t>規劃導入</w:t>
      </w:r>
      <w:proofErr w:type="gramStart"/>
      <w:r>
        <w:rPr>
          <w:rFonts w:ascii="標楷體" w:eastAsia="標楷體" w:hAnsi="標楷體" w:hint="eastAsia"/>
          <w:b/>
          <w:szCs w:val="32"/>
        </w:rPr>
        <w:t>區塊鏈技術</w:t>
      </w:r>
      <w:proofErr w:type="gramEnd"/>
      <w:r>
        <w:rPr>
          <w:rFonts w:ascii="標楷體" w:eastAsia="標楷體" w:hAnsi="標楷體" w:hint="eastAsia"/>
          <w:b/>
          <w:szCs w:val="32"/>
        </w:rPr>
        <w:t>建置收發文紀錄倉儲系統，惟系統規劃建置階段，未充分考量系統維運成本，致系統試辦作業完成後暫緩推廣應用，未能發揮系統之功能：</w:t>
      </w:r>
      <w:proofErr w:type="gramStart"/>
      <w:r>
        <w:rPr>
          <w:rFonts w:ascii="標楷體" w:eastAsia="標楷體" w:hAnsi="標楷體" w:hint="eastAsia"/>
          <w:szCs w:val="32"/>
        </w:rPr>
        <w:t>檔管局</w:t>
      </w:r>
      <w:proofErr w:type="gramEnd"/>
      <w:r>
        <w:rPr>
          <w:rFonts w:ascii="標楷體" w:eastAsia="標楷體" w:hAnsi="標楷體" w:hint="eastAsia"/>
          <w:szCs w:val="32"/>
        </w:rPr>
        <w:t>考量公文電子交換收發文紀錄集中儲存於各統合交換中心，因公文電子交換用戶數量</w:t>
      </w:r>
      <w:proofErr w:type="gramStart"/>
      <w:r>
        <w:rPr>
          <w:rFonts w:ascii="標楷體" w:eastAsia="標楷體" w:hAnsi="標楷體" w:hint="eastAsia"/>
          <w:szCs w:val="32"/>
        </w:rPr>
        <w:t>眾多、</w:t>
      </w:r>
      <w:proofErr w:type="gramEnd"/>
      <w:r>
        <w:rPr>
          <w:rFonts w:ascii="標楷體" w:eastAsia="標楷體" w:hAnsi="標楷體" w:hint="eastAsia"/>
          <w:szCs w:val="32"/>
        </w:rPr>
        <w:t>公文收發文交換數量龐大，致查詢紀錄較為耗時，且亦有部分用戶質疑部分交換中心收發文紀錄之可信度，</w:t>
      </w:r>
      <w:proofErr w:type="gramStart"/>
      <w:r>
        <w:rPr>
          <w:rFonts w:ascii="標楷體" w:eastAsia="標楷體" w:hAnsi="標楷體" w:hint="eastAsia"/>
          <w:szCs w:val="32"/>
        </w:rPr>
        <w:t>爰</w:t>
      </w:r>
      <w:proofErr w:type="gramEnd"/>
      <w:r>
        <w:rPr>
          <w:rFonts w:ascii="標楷體" w:eastAsia="標楷體" w:hAnsi="標楷體" w:hint="eastAsia"/>
          <w:szCs w:val="32"/>
        </w:rPr>
        <w:t>於文書檔案智慧鏈結計畫項下，規劃導入</w:t>
      </w:r>
      <w:proofErr w:type="gramStart"/>
      <w:r>
        <w:rPr>
          <w:rFonts w:ascii="標楷體" w:eastAsia="標楷體" w:hAnsi="標楷體" w:hint="eastAsia"/>
          <w:szCs w:val="32"/>
        </w:rPr>
        <w:t>區塊鏈技術</w:t>
      </w:r>
      <w:proofErr w:type="gramEnd"/>
      <w:r>
        <w:rPr>
          <w:rFonts w:ascii="標楷體" w:eastAsia="標楷體" w:hAnsi="標楷體" w:hint="eastAsia"/>
          <w:szCs w:val="32"/>
        </w:rPr>
        <w:t>，開發公文電子交換收發文紀錄倉儲系統（下稱收發文紀錄倉儲系統），</w:t>
      </w:r>
      <w:proofErr w:type="gramStart"/>
      <w:r>
        <w:rPr>
          <w:rFonts w:ascii="標楷體" w:eastAsia="標楷體" w:hAnsi="標楷體" w:hint="eastAsia"/>
          <w:szCs w:val="32"/>
        </w:rPr>
        <w:t>經檔管</w:t>
      </w:r>
      <w:proofErr w:type="gramEnd"/>
      <w:r>
        <w:rPr>
          <w:rFonts w:ascii="標楷體" w:eastAsia="標楷體" w:hAnsi="標楷體" w:hint="eastAsia"/>
          <w:szCs w:val="32"/>
        </w:rPr>
        <w:t>局於109至110年度納入公文電子交換網路系統維運案內辦理相關系統功能增修，投入全案系統開發費用約545萬餘元。經查</w:t>
      </w:r>
      <w:r w:rsidR="001824E2">
        <w:rPr>
          <w:rFonts w:ascii="標楷體" w:eastAsia="標楷體" w:hAnsi="標楷體" w:hint="eastAsia"/>
          <w:szCs w:val="32"/>
        </w:rPr>
        <w:t>，</w:t>
      </w:r>
      <w:r>
        <w:rPr>
          <w:rFonts w:ascii="標楷體" w:eastAsia="標楷體" w:hAnsi="標楷體" w:hint="eastAsia"/>
          <w:szCs w:val="32"/>
        </w:rPr>
        <w:t>該局於系統規劃建置階段，未充分考量各公務機關全數導入</w:t>
      </w:r>
      <w:proofErr w:type="gramStart"/>
      <w:r>
        <w:rPr>
          <w:rFonts w:ascii="標楷體" w:eastAsia="標楷體" w:hAnsi="標楷體" w:hint="eastAsia"/>
          <w:szCs w:val="32"/>
        </w:rPr>
        <w:t>區塊鏈收發</w:t>
      </w:r>
      <w:proofErr w:type="gramEnd"/>
      <w:r>
        <w:rPr>
          <w:rFonts w:ascii="標楷體" w:eastAsia="標楷體" w:hAnsi="標楷體" w:hint="eastAsia"/>
          <w:szCs w:val="32"/>
        </w:rPr>
        <w:t>文紀錄後，每年約需負擔1,335萬餘元之系統維運成本，</w:t>
      </w:r>
      <w:proofErr w:type="gramStart"/>
      <w:r>
        <w:rPr>
          <w:rFonts w:ascii="標楷體" w:eastAsia="標楷體" w:hAnsi="標楷體" w:hint="eastAsia"/>
          <w:szCs w:val="32"/>
        </w:rPr>
        <w:t>嗣</w:t>
      </w:r>
      <w:proofErr w:type="gramEnd"/>
      <w:r>
        <w:rPr>
          <w:rFonts w:ascii="標楷體" w:eastAsia="標楷體" w:hAnsi="標楷體" w:hint="eastAsia"/>
          <w:szCs w:val="32"/>
        </w:rPr>
        <w:t>於111年間完成系統開發、112年間累計484個機關完成導入試辦作業後，始以節省系統維運經費為由，自</w:t>
      </w:r>
      <w:proofErr w:type="gramStart"/>
      <w:r>
        <w:rPr>
          <w:rFonts w:ascii="標楷體" w:eastAsia="標楷體" w:hAnsi="標楷體" w:hint="eastAsia"/>
          <w:szCs w:val="32"/>
        </w:rPr>
        <w:t>113</w:t>
      </w:r>
      <w:proofErr w:type="gramEnd"/>
      <w:r>
        <w:rPr>
          <w:rFonts w:ascii="標楷體" w:eastAsia="標楷體" w:hAnsi="標楷體" w:hint="eastAsia"/>
          <w:szCs w:val="32"/>
        </w:rPr>
        <w:t>年度起暫緩</w:t>
      </w:r>
      <w:proofErr w:type="gramStart"/>
      <w:r>
        <w:rPr>
          <w:rFonts w:ascii="標楷體" w:eastAsia="標楷體" w:hAnsi="標楷體" w:hint="eastAsia"/>
          <w:szCs w:val="32"/>
        </w:rPr>
        <w:t>區塊鏈公文</w:t>
      </w:r>
      <w:proofErr w:type="gramEnd"/>
      <w:r>
        <w:rPr>
          <w:rFonts w:ascii="標楷體" w:eastAsia="標楷體" w:hAnsi="標楷體" w:hint="eastAsia"/>
          <w:szCs w:val="32"/>
        </w:rPr>
        <w:t>電子交換收發文紀錄之試辦推廣，未能發揮系統功能，經函</w:t>
      </w:r>
      <w:proofErr w:type="gramStart"/>
      <w:r>
        <w:rPr>
          <w:rFonts w:ascii="標楷體" w:eastAsia="標楷體" w:hAnsi="標楷體" w:hint="eastAsia"/>
          <w:szCs w:val="32"/>
        </w:rPr>
        <w:t>請檔管局研</w:t>
      </w:r>
      <w:proofErr w:type="gramEnd"/>
      <w:r>
        <w:rPr>
          <w:rFonts w:ascii="標楷體" w:eastAsia="標楷體" w:hAnsi="標楷體" w:hint="eastAsia"/>
          <w:szCs w:val="32"/>
        </w:rPr>
        <w:t>謀改善。據復：爾後導入新興技術時，將積極爭取相關主管機關核撥足額經費，以利系統推廣應用。另若涉及各機關配合事項，將及早宣導機關配合編列相關預算。</w:t>
      </w:r>
    </w:p>
    <w:p w14:paraId="6C664C73" w14:textId="0DF1FFEA" w:rsidR="0071716B" w:rsidRPr="00AC42A9" w:rsidRDefault="001723AC" w:rsidP="005E7EFA">
      <w:pPr>
        <w:pStyle w:val="afffa"/>
        <w:numPr>
          <w:ilvl w:val="0"/>
          <w:numId w:val="10"/>
        </w:numPr>
        <w:overflowPunct w:val="0"/>
        <w:spacing w:line="434" w:lineRule="exact"/>
        <w:ind w:leftChars="0" w:left="0" w:firstLine="1083"/>
        <w:jc w:val="both"/>
        <w:rPr>
          <w:rFonts w:ascii="標楷體" w:eastAsia="標楷體" w:hAnsi="標楷體"/>
          <w:szCs w:val="32"/>
        </w:rPr>
      </w:pPr>
      <w:r w:rsidRPr="001723AC">
        <w:rPr>
          <w:rFonts w:ascii="標楷體" w:eastAsia="標楷體" w:hAnsi="標楷體" w:hint="eastAsia"/>
          <w:b/>
          <w:szCs w:val="32"/>
        </w:rPr>
        <w:t>規劃建置AI輔助銷毀目錄審查系統，惟系統開發模型訓練資料涵蓋範圍不足，恐影響智能審查系統開發完成後之實際使用成效；另契約規定AI專案之驗收標準聚焦單一指標，難以確保模型可靠有效：</w:t>
      </w:r>
      <w:r w:rsidRPr="001723AC">
        <w:rPr>
          <w:rFonts w:ascii="標楷體" w:eastAsia="標楷體" w:hAnsi="標楷體" w:hint="eastAsia"/>
          <w:szCs w:val="32"/>
        </w:rPr>
        <w:t>依據數位發展部</w:t>
      </w:r>
      <w:proofErr w:type="gramStart"/>
      <w:r w:rsidRPr="001723AC">
        <w:rPr>
          <w:rFonts w:ascii="標楷體" w:eastAsia="標楷體" w:hAnsi="標楷體" w:hint="eastAsia"/>
          <w:szCs w:val="32"/>
        </w:rPr>
        <w:t>113年12月31日函頒公</w:t>
      </w:r>
      <w:proofErr w:type="gramEnd"/>
      <w:r w:rsidRPr="001723AC">
        <w:rPr>
          <w:rFonts w:ascii="標楷體" w:eastAsia="標楷體" w:hAnsi="標楷體" w:hint="eastAsia"/>
          <w:szCs w:val="32"/>
        </w:rPr>
        <w:t>部門人工智慧應用參考手冊（草案）（下稱AI應用參考手冊）第3.6章AI專案驗收標準，驗收模式分為設定模型性能標準（如訂定模型準確率）、系統穩定性（如訂定錯誤率、反應時間和資源利用率等指標）、使用者體驗（如訂定使用便利性、回應速度、整體使用者滿意度等）與公平性指標（如訂定均等機會差距指標）等4種，實際執行可視專案需求綜合選用適合指標，避免過度聚焦單一指標，導致專案成果不如預期，並</w:t>
      </w:r>
      <w:r w:rsidRPr="00AC42A9">
        <w:rPr>
          <w:rFonts w:ascii="標楷體" w:eastAsia="標楷體" w:hAnsi="標楷體" w:hint="eastAsia"/>
          <w:szCs w:val="32"/>
        </w:rPr>
        <w:t>全面考慮實際應用場景中各種因素，平衡各種指標，確保模型在實際操作中的可靠性和有效性。</w:t>
      </w:r>
      <w:proofErr w:type="gramStart"/>
      <w:r w:rsidRPr="00AC42A9">
        <w:rPr>
          <w:rFonts w:ascii="標楷體" w:eastAsia="標楷體" w:hAnsi="標楷體" w:hint="eastAsia"/>
          <w:szCs w:val="32"/>
        </w:rPr>
        <w:t>檔管局</w:t>
      </w:r>
      <w:proofErr w:type="gramEnd"/>
      <w:r w:rsidRPr="00AC42A9">
        <w:rPr>
          <w:rFonts w:ascii="標楷體" w:eastAsia="標楷體" w:hAnsi="標楷體" w:hint="eastAsia"/>
          <w:szCs w:val="32"/>
        </w:rPr>
        <w:t>為提升法定檔案審核之精</w:t>
      </w:r>
      <w:proofErr w:type="gramStart"/>
      <w:r w:rsidRPr="00AC42A9">
        <w:rPr>
          <w:rFonts w:ascii="標楷體" w:eastAsia="標楷體" w:hAnsi="標楷體" w:hint="eastAsia"/>
          <w:szCs w:val="32"/>
        </w:rPr>
        <w:t>準</w:t>
      </w:r>
      <w:proofErr w:type="gramEnd"/>
      <w:r w:rsidRPr="00AC42A9">
        <w:rPr>
          <w:rFonts w:ascii="標楷體" w:eastAsia="標楷體" w:hAnsi="標楷體" w:hint="eastAsia"/>
          <w:szCs w:val="32"/>
        </w:rPr>
        <w:t>度，輔助人工審查銷毀目錄工作負擔及提升行政效率，於文書檔案智慧鏈結計畫內，規劃</w:t>
      </w:r>
      <w:bookmarkStart w:id="43" w:name="_Hlk200533654"/>
      <w:r w:rsidRPr="00AC42A9">
        <w:rPr>
          <w:rFonts w:ascii="標楷體" w:eastAsia="標楷體" w:hAnsi="標楷體" w:hint="eastAsia"/>
          <w:szCs w:val="32"/>
        </w:rPr>
        <w:t>建置AI模型輔助銷毀目錄檔案智能審查系統</w:t>
      </w:r>
      <w:bookmarkEnd w:id="43"/>
      <w:r w:rsidRPr="00AC42A9">
        <w:rPr>
          <w:rFonts w:ascii="標楷體" w:eastAsia="標楷體" w:hAnsi="標楷體" w:hint="eastAsia"/>
          <w:szCs w:val="32"/>
        </w:rPr>
        <w:t>（下稱AI輔助銷毀目錄審查系統）。該局於113年3月辦理「</w:t>
      </w:r>
      <w:proofErr w:type="gramStart"/>
      <w:r w:rsidRPr="00AC42A9">
        <w:rPr>
          <w:rFonts w:ascii="標楷體" w:eastAsia="標楷體" w:hAnsi="標楷體" w:hint="eastAsia"/>
          <w:szCs w:val="32"/>
        </w:rPr>
        <w:t>113至114年文檔資訊</w:t>
      </w:r>
      <w:proofErr w:type="gramEnd"/>
      <w:r w:rsidRPr="00AC42A9">
        <w:rPr>
          <w:rFonts w:ascii="標楷體" w:eastAsia="標楷體" w:hAnsi="標楷體" w:hint="eastAsia"/>
          <w:szCs w:val="32"/>
        </w:rPr>
        <w:t>整合管理服務平台功能</w:t>
      </w:r>
      <w:proofErr w:type="gramStart"/>
      <w:r w:rsidRPr="00AC42A9">
        <w:rPr>
          <w:rFonts w:ascii="標楷體" w:eastAsia="標楷體" w:hAnsi="標楷體" w:hint="eastAsia"/>
          <w:szCs w:val="32"/>
        </w:rPr>
        <w:t>增修維運</w:t>
      </w:r>
      <w:proofErr w:type="gramEnd"/>
      <w:r w:rsidRPr="00AC42A9">
        <w:rPr>
          <w:rFonts w:ascii="標楷體" w:eastAsia="標楷體" w:hAnsi="標楷體" w:hint="eastAsia"/>
          <w:szCs w:val="32"/>
        </w:rPr>
        <w:t>案」，將生成式AI銷毀目錄智能審查功能納入履約項目之一，該採購案有關新版銷毀目錄智能審查功能之契約金額合計656萬餘元，履約期程為113年4月15日至114年8月7日。經查</w:t>
      </w:r>
      <w:r w:rsidR="001824E2">
        <w:rPr>
          <w:rFonts w:ascii="標楷體" w:eastAsia="標楷體" w:hAnsi="標楷體" w:hint="eastAsia"/>
          <w:szCs w:val="32"/>
        </w:rPr>
        <w:t>，</w:t>
      </w:r>
      <w:r w:rsidRPr="00AC42A9">
        <w:rPr>
          <w:rFonts w:ascii="標楷體" w:eastAsia="標楷體" w:hAnsi="標楷體" w:hint="eastAsia"/>
          <w:szCs w:val="32"/>
        </w:rPr>
        <w:t>機關共通性檔案類別包含政風、主計、人事、地政、行政、警務等20</w:t>
      </w:r>
      <w:r w:rsidRPr="00AC42A9">
        <w:rPr>
          <w:rFonts w:ascii="標楷體" w:eastAsia="標楷體" w:hAnsi="標楷體" w:hint="eastAsia"/>
          <w:szCs w:val="32"/>
        </w:rPr>
        <w:lastRenderedPageBreak/>
        <w:t>類，實際使用生成式AI銷毀目錄智能審查系統時包含所有共通性檔案類別之適用機關，</w:t>
      </w:r>
      <w:proofErr w:type="gramStart"/>
      <w:r w:rsidRPr="00AC42A9">
        <w:rPr>
          <w:rFonts w:ascii="標楷體" w:eastAsia="標楷體" w:hAnsi="標楷體" w:hint="eastAsia"/>
          <w:szCs w:val="32"/>
        </w:rPr>
        <w:t>惟查</w:t>
      </w:r>
      <w:proofErr w:type="gramEnd"/>
      <w:r w:rsidR="00D6095C">
        <w:rPr>
          <w:rFonts w:ascii="標楷體" w:eastAsia="標楷體" w:hAnsi="標楷體" w:hint="eastAsia"/>
          <w:szCs w:val="32"/>
        </w:rPr>
        <w:t>，</w:t>
      </w:r>
      <w:r w:rsidRPr="00AC42A9">
        <w:rPr>
          <w:rFonts w:ascii="標楷體" w:eastAsia="標楷體" w:hAnsi="標楷體" w:hint="eastAsia"/>
          <w:szCs w:val="32"/>
        </w:rPr>
        <w:t>該系統納入之訓練資料，僅有警務、戶政、行政、法院、檢察、就業服務、矯正等7類，尚有13類未納入，存有訓練資料涵蓋範圍不足，有影響智能審查系統開發完成後實際使用成效之虞。復查</w:t>
      </w:r>
      <w:r w:rsidR="00D6095C">
        <w:rPr>
          <w:rFonts w:ascii="標楷體" w:eastAsia="標楷體" w:hAnsi="標楷體" w:hint="eastAsia"/>
          <w:szCs w:val="32"/>
        </w:rPr>
        <w:t>，</w:t>
      </w:r>
      <w:r w:rsidRPr="00AC42A9">
        <w:rPr>
          <w:rFonts w:ascii="標楷體" w:eastAsia="標楷體" w:hAnsi="標楷體" w:hint="eastAsia"/>
          <w:szCs w:val="32"/>
        </w:rPr>
        <w:t>本案契約規定驗收方式，為依據生成式AI進行新版銷毀目錄智能審查，以警務類、戶政類為測試標的，功能包含分派、預審、正式審查與回饋等，並審核準確率須達70％以上，</w:t>
      </w:r>
      <w:proofErr w:type="gramStart"/>
      <w:r w:rsidRPr="00AC42A9">
        <w:rPr>
          <w:rFonts w:ascii="標楷體" w:eastAsia="標楷體" w:hAnsi="標楷體" w:hint="eastAsia"/>
          <w:szCs w:val="32"/>
        </w:rPr>
        <w:t>倘未達</w:t>
      </w:r>
      <w:proofErr w:type="gramEnd"/>
      <w:r w:rsidRPr="00AC42A9">
        <w:rPr>
          <w:rFonts w:ascii="標楷體" w:eastAsia="標楷體" w:hAnsi="標楷體" w:hint="eastAsia"/>
          <w:szCs w:val="32"/>
        </w:rPr>
        <w:t>70％，廠商應提出高於使用模型原始預測精確度等，惟</w:t>
      </w:r>
      <w:proofErr w:type="gramStart"/>
      <w:r w:rsidRPr="00AC42A9">
        <w:rPr>
          <w:rFonts w:ascii="標楷體" w:eastAsia="標楷體" w:hAnsi="標楷體" w:hint="eastAsia"/>
          <w:szCs w:val="32"/>
        </w:rPr>
        <w:t>經參據</w:t>
      </w:r>
      <w:proofErr w:type="gramEnd"/>
      <w:r w:rsidRPr="00AC42A9">
        <w:rPr>
          <w:rFonts w:ascii="標楷體" w:eastAsia="標楷體" w:hAnsi="標楷體" w:hint="eastAsia"/>
          <w:szCs w:val="32"/>
        </w:rPr>
        <w:t>數位發展</w:t>
      </w:r>
      <w:proofErr w:type="gramStart"/>
      <w:r w:rsidRPr="00AC42A9">
        <w:rPr>
          <w:rFonts w:ascii="標楷體" w:eastAsia="標楷體" w:hAnsi="標楷體" w:hint="eastAsia"/>
          <w:szCs w:val="32"/>
        </w:rPr>
        <w:t>部函頒</w:t>
      </w:r>
      <w:proofErr w:type="gramEnd"/>
      <w:r w:rsidRPr="00AC42A9">
        <w:rPr>
          <w:rFonts w:ascii="標楷體" w:eastAsia="標楷體" w:hAnsi="標楷體" w:hint="eastAsia"/>
          <w:szCs w:val="32"/>
        </w:rPr>
        <w:t>AI應用參考手冊第3.6章AI專案驗收標準內容，現行驗收方式存有聚焦單一指標，未能確保模型在實際操作中之可靠性與有效性。經函</w:t>
      </w:r>
      <w:proofErr w:type="gramStart"/>
      <w:r w:rsidRPr="00AC42A9">
        <w:rPr>
          <w:rFonts w:ascii="標楷體" w:eastAsia="標楷體" w:hAnsi="標楷體" w:hint="eastAsia"/>
          <w:szCs w:val="32"/>
        </w:rPr>
        <w:t>請檔管局研</w:t>
      </w:r>
      <w:proofErr w:type="gramEnd"/>
      <w:r w:rsidRPr="00AC42A9">
        <w:rPr>
          <w:rFonts w:ascii="標楷體" w:eastAsia="標楷體" w:hAnsi="標楷體" w:hint="eastAsia"/>
          <w:szCs w:val="32"/>
        </w:rPr>
        <w:t>謀改善，以確保生成式AI銷毀目錄智能審查系統有效支援業務工作，提升行政效率。據復：後續系統將依銷毀</w:t>
      </w:r>
      <w:proofErr w:type="gramStart"/>
      <w:r w:rsidRPr="00AC42A9">
        <w:rPr>
          <w:rFonts w:ascii="標楷體" w:eastAsia="標楷體" w:hAnsi="標楷體" w:hint="eastAsia"/>
          <w:szCs w:val="32"/>
        </w:rPr>
        <w:t>目錄線上審查</w:t>
      </w:r>
      <w:proofErr w:type="gramEnd"/>
      <w:r w:rsidRPr="00AC42A9">
        <w:rPr>
          <w:rFonts w:ascii="標楷體" w:eastAsia="標楷體" w:hAnsi="標楷體" w:hint="eastAsia"/>
          <w:szCs w:val="32"/>
        </w:rPr>
        <w:t>回饋建議，納入AI模型訓練，提升銷毀判斷準確率，並提供AI 學習其他如政風、主計、人事等類別資訊，自動擴展資料涵蓋範圍，以降低人工訓練成本。另於辦理延續性標案時，將參考AI應用參考手冊，增列適合之AI 驗收標準，以確保模型在實際操作中之可靠性與有效性。</w:t>
      </w:r>
    </w:p>
    <w:p w14:paraId="6046B172" w14:textId="0F498ED9" w:rsidR="005455D1" w:rsidRPr="007123DA" w:rsidRDefault="005455D1" w:rsidP="009A3588">
      <w:pPr>
        <w:overflowPunct w:val="0"/>
        <w:spacing w:beforeLines="20" w:before="72" w:afterLines="20" w:after="72" w:line="440" w:lineRule="exact"/>
        <w:ind w:firstLineChars="200" w:firstLine="561"/>
        <w:jc w:val="both"/>
        <w:outlineLvl w:val="1"/>
        <w:rPr>
          <w:rFonts w:ascii="標楷體" w:eastAsia="標楷體" w:hAnsi="標楷體"/>
          <w:b/>
          <w:bCs/>
          <w:snapToGrid w:val="0"/>
          <w:sz w:val="28"/>
          <w:szCs w:val="28"/>
          <w:lang w:val="x-none"/>
        </w:rPr>
      </w:pPr>
      <w:r w:rsidRPr="007123DA">
        <w:rPr>
          <w:rFonts w:ascii="標楷體" w:eastAsia="標楷體" w:hAnsi="標楷體"/>
          <w:b/>
          <w:bCs/>
          <w:snapToGrid w:val="0"/>
          <w:sz w:val="28"/>
          <w:szCs w:val="28"/>
          <w:lang w:val="x-none"/>
        </w:rPr>
        <w:t>（</w:t>
      </w:r>
      <w:r>
        <w:rPr>
          <w:rFonts w:ascii="標楷體" w:eastAsia="標楷體" w:hAnsi="標楷體" w:hint="eastAsia"/>
          <w:b/>
          <w:bCs/>
          <w:snapToGrid w:val="0"/>
          <w:sz w:val="28"/>
          <w:szCs w:val="28"/>
          <w:lang w:val="x-none"/>
        </w:rPr>
        <w:t>三十</w:t>
      </w:r>
      <w:r w:rsidR="00781889">
        <w:rPr>
          <w:rFonts w:ascii="標楷體" w:eastAsia="標楷體" w:hAnsi="標楷體" w:hint="eastAsia"/>
          <w:b/>
          <w:bCs/>
          <w:snapToGrid w:val="0"/>
          <w:sz w:val="28"/>
          <w:szCs w:val="28"/>
          <w:lang w:val="x-none"/>
        </w:rPr>
        <w:t>五</w:t>
      </w:r>
      <w:r w:rsidRPr="007123DA">
        <w:rPr>
          <w:rFonts w:ascii="標楷體" w:eastAsia="標楷體" w:hAnsi="標楷體"/>
          <w:b/>
          <w:bCs/>
          <w:snapToGrid w:val="0"/>
          <w:sz w:val="28"/>
          <w:szCs w:val="28"/>
          <w:lang w:val="x-none"/>
        </w:rPr>
        <w:t>）</w:t>
      </w:r>
      <w:r w:rsidRPr="007123DA">
        <w:rPr>
          <w:rFonts w:ascii="標楷體" w:eastAsia="標楷體" w:hAnsi="標楷體" w:hint="eastAsia"/>
          <w:b/>
          <w:bCs/>
          <w:snapToGrid w:val="0"/>
          <w:sz w:val="28"/>
          <w:szCs w:val="28"/>
          <w:lang w:val="x-none"/>
        </w:rPr>
        <w:t xml:space="preserve">　</w:t>
      </w:r>
      <w:r w:rsidR="00567A2E" w:rsidRPr="00567A2E">
        <w:rPr>
          <w:rFonts w:ascii="標楷體" w:eastAsia="標楷體" w:hAnsi="標楷體" w:hint="eastAsia"/>
          <w:b/>
          <w:bCs/>
          <w:snapToGrid w:val="0"/>
          <w:sz w:val="28"/>
          <w:szCs w:val="28"/>
          <w:lang w:val="x-none"/>
        </w:rPr>
        <w:t>故宮為強化軟硬體設施及服務品質，辦理新故宮計畫，惟近</w:t>
      </w:r>
      <w:proofErr w:type="gramStart"/>
      <w:r w:rsidR="00567A2E" w:rsidRPr="00567A2E">
        <w:rPr>
          <w:rFonts w:ascii="標楷體" w:eastAsia="標楷體" w:hAnsi="標楷體" w:hint="eastAsia"/>
          <w:b/>
          <w:bCs/>
          <w:snapToGrid w:val="0"/>
          <w:sz w:val="28"/>
          <w:szCs w:val="28"/>
          <w:lang w:val="x-none"/>
        </w:rPr>
        <w:t>2</w:t>
      </w:r>
      <w:proofErr w:type="gramEnd"/>
      <w:r w:rsidR="00567A2E" w:rsidRPr="00567A2E">
        <w:rPr>
          <w:rFonts w:ascii="標楷體" w:eastAsia="標楷體" w:hAnsi="標楷體" w:hint="eastAsia"/>
          <w:b/>
          <w:bCs/>
          <w:snapToGrid w:val="0"/>
          <w:sz w:val="28"/>
          <w:szCs w:val="28"/>
          <w:lang w:val="x-none"/>
        </w:rPr>
        <w:t>年度參觀人次及購票收入</w:t>
      </w:r>
      <w:r w:rsidR="00E02D34">
        <w:rPr>
          <w:rFonts w:ascii="標楷體" w:eastAsia="標楷體" w:hAnsi="標楷體" w:hint="eastAsia"/>
          <w:b/>
          <w:bCs/>
          <w:snapToGrid w:val="0"/>
          <w:sz w:val="28"/>
          <w:szCs w:val="28"/>
          <w:lang w:val="x-none"/>
        </w:rPr>
        <w:t>，</w:t>
      </w:r>
      <w:r w:rsidR="00567A2E" w:rsidRPr="00567A2E">
        <w:rPr>
          <w:rFonts w:ascii="標楷體" w:eastAsia="標楷體" w:hAnsi="標楷體" w:hint="eastAsia"/>
          <w:b/>
          <w:bCs/>
          <w:snapToGrid w:val="0"/>
          <w:sz w:val="28"/>
          <w:szCs w:val="28"/>
          <w:lang w:val="x-none"/>
        </w:rPr>
        <w:t>未及</w:t>
      </w:r>
      <w:proofErr w:type="gramStart"/>
      <w:r w:rsidR="00567A2E" w:rsidRPr="00567A2E">
        <w:rPr>
          <w:rFonts w:ascii="標楷體" w:eastAsia="標楷體" w:hAnsi="標楷體" w:hint="eastAsia"/>
          <w:b/>
          <w:bCs/>
          <w:snapToGrid w:val="0"/>
          <w:sz w:val="28"/>
          <w:szCs w:val="28"/>
          <w:lang w:val="x-none"/>
        </w:rPr>
        <w:t>新型冠</w:t>
      </w:r>
      <w:proofErr w:type="gramEnd"/>
      <w:r w:rsidR="00567A2E" w:rsidRPr="00567A2E">
        <w:rPr>
          <w:rFonts w:ascii="標楷體" w:eastAsia="標楷體" w:hAnsi="標楷體" w:hint="eastAsia"/>
          <w:b/>
          <w:bCs/>
          <w:snapToGrid w:val="0"/>
          <w:sz w:val="28"/>
          <w:szCs w:val="28"/>
          <w:lang w:val="x-none"/>
        </w:rPr>
        <w:t>狀病毒肺炎（COVID-19）</w:t>
      </w:r>
      <w:proofErr w:type="gramStart"/>
      <w:r w:rsidR="00567A2E" w:rsidRPr="00567A2E">
        <w:rPr>
          <w:rFonts w:ascii="標楷體" w:eastAsia="標楷體" w:hAnsi="標楷體" w:hint="eastAsia"/>
          <w:b/>
          <w:bCs/>
          <w:snapToGrid w:val="0"/>
          <w:sz w:val="28"/>
          <w:szCs w:val="28"/>
          <w:lang w:val="x-none"/>
        </w:rPr>
        <w:t>疫</w:t>
      </w:r>
      <w:proofErr w:type="gramEnd"/>
      <w:r w:rsidR="00567A2E" w:rsidRPr="00567A2E">
        <w:rPr>
          <w:rFonts w:ascii="標楷體" w:eastAsia="標楷體" w:hAnsi="標楷體" w:hint="eastAsia"/>
          <w:b/>
          <w:bCs/>
          <w:snapToGrid w:val="0"/>
          <w:sz w:val="28"/>
          <w:szCs w:val="28"/>
          <w:lang w:val="x-none"/>
        </w:rPr>
        <w:t>情發生前（</w:t>
      </w:r>
      <w:proofErr w:type="gramStart"/>
      <w:r w:rsidR="00567A2E" w:rsidRPr="00567A2E">
        <w:rPr>
          <w:rFonts w:ascii="標楷體" w:eastAsia="標楷體" w:hAnsi="標楷體" w:hint="eastAsia"/>
          <w:b/>
          <w:bCs/>
          <w:snapToGrid w:val="0"/>
          <w:sz w:val="28"/>
          <w:szCs w:val="28"/>
          <w:lang w:val="x-none"/>
        </w:rPr>
        <w:t>108</w:t>
      </w:r>
      <w:proofErr w:type="gramEnd"/>
      <w:r w:rsidR="00567A2E" w:rsidRPr="00567A2E">
        <w:rPr>
          <w:rFonts w:ascii="標楷體" w:eastAsia="標楷體" w:hAnsi="標楷體" w:hint="eastAsia"/>
          <w:b/>
          <w:bCs/>
          <w:snapToGrid w:val="0"/>
          <w:sz w:val="28"/>
          <w:szCs w:val="28"/>
          <w:lang w:val="x-none"/>
        </w:rPr>
        <w:t>年度）之</w:t>
      </w:r>
      <w:proofErr w:type="gramStart"/>
      <w:r w:rsidR="00567A2E" w:rsidRPr="00567A2E">
        <w:rPr>
          <w:rFonts w:ascii="標楷體" w:eastAsia="標楷體" w:hAnsi="標楷體" w:hint="eastAsia"/>
          <w:b/>
          <w:bCs/>
          <w:snapToGrid w:val="0"/>
          <w:sz w:val="28"/>
          <w:szCs w:val="28"/>
          <w:lang w:val="x-none"/>
        </w:rPr>
        <w:t>6成</w:t>
      </w:r>
      <w:proofErr w:type="gramEnd"/>
      <w:r w:rsidR="00567A2E" w:rsidRPr="00567A2E">
        <w:rPr>
          <w:rFonts w:ascii="標楷體" w:eastAsia="標楷體" w:hAnsi="標楷體" w:hint="eastAsia"/>
          <w:b/>
          <w:bCs/>
          <w:snapToGrid w:val="0"/>
          <w:sz w:val="28"/>
          <w:szCs w:val="28"/>
          <w:lang w:val="x-none"/>
        </w:rPr>
        <w:t>；委託廠商發行愛臺灣博物館卡，於契約屆期約7個月前，以預算遭凍結為由終止契約，致建立之平</w:t>
      </w:r>
      <w:proofErr w:type="gramStart"/>
      <w:r w:rsidR="00567A2E" w:rsidRPr="00567A2E">
        <w:rPr>
          <w:rFonts w:ascii="標楷體" w:eastAsia="標楷體" w:hAnsi="標楷體" w:hint="eastAsia"/>
          <w:b/>
          <w:bCs/>
          <w:snapToGrid w:val="0"/>
          <w:sz w:val="28"/>
          <w:szCs w:val="28"/>
          <w:lang w:val="x-none"/>
        </w:rPr>
        <w:t>臺</w:t>
      </w:r>
      <w:proofErr w:type="gramEnd"/>
      <w:r w:rsidR="00567A2E" w:rsidRPr="00567A2E">
        <w:rPr>
          <w:rFonts w:ascii="標楷體" w:eastAsia="標楷體" w:hAnsi="標楷體" w:hint="eastAsia"/>
          <w:b/>
          <w:bCs/>
          <w:snapToGrid w:val="0"/>
          <w:sz w:val="28"/>
          <w:szCs w:val="28"/>
          <w:lang w:val="x-none"/>
        </w:rPr>
        <w:t>及整合行銷成果閒置等情事，允宜</w:t>
      </w:r>
      <w:proofErr w:type="gramStart"/>
      <w:r w:rsidR="00567A2E" w:rsidRPr="00567A2E">
        <w:rPr>
          <w:rFonts w:ascii="標楷體" w:eastAsia="標楷體" w:hAnsi="標楷體" w:hint="eastAsia"/>
          <w:b/>
          <w:bCs/>
          <w:snapToGrid w:val="0"/>
          <w:sz w:val="28"/>
          <w:szCs w:val="28"/>
          <w:lang w:val="x-none"/>
        </w:rPr>
        <w:t>研</w:t>
      </w:r>
      <w:proofErr w:type="gramEnd"/>
      <w:r w:rsidR="00567A2E" w:rsidRPr="00567A2E">
        <w:rPr>
          <w:rFonts w:ascii="標楷體" w:eastAsia="標楷體" w:hAnsi="標楷體" w:hint="eastAsia"/>
          <w:b/>
          <w:bCs/>
          <w:snapToGrid w:val="0"/>
          <w:sz w:val="28"/>
          <w:szCs w:val="28"/>
          <w:lang w:val="x-none"/>
        </w:rPr>
        <w:t>謀改善。</w:t>
      </w:r>
    </w:p>
    <w:p w14:paraId="3D57C036" w14:textId="3081F111" w:rsidR="00011B62" w:rsidRPr="000A0384" w:rsidRDefault="00567A2E" w:rsidP="00011B62">
      <w:pPr>
        <w:overflowPunct w:val="0"/>
        <w:spacing w:line="430" w:lineRule="exact"/>
        <w:ind w:firstLineChars="200" w:firstLine="480"/>
        <w:jc w:val="both"/>
        <w:rPr>
          <w:rFonts w:ascii="標楷體" w:eastAsia="標楷體" w:hAnsi="標楷體"/>
          <w:bCs/>
          <w:color w:val="000000" w:themeColor="text1"/>
          <w:szCs w:val="24"/>
        </w:rPr>
      </w:pPr>
      <w:r w:rsidRPr="000B3FA8">
        <w:rPr>
          <w:rFonts w:ascii="標楷體" w:eastAsia="標楷體" w:hAnsi="標楷體" w:hint="eastAsia"/>
          <w:color w:val="000000" w:themeColor="text1"/>
          <w:kern w:val="0"/>
          <w:szCs w:val="24"/>
        </w:rPr>
        <w:t>國立故宮博物院（下稱故宮）為推動故宮公共化、營造世界級觀光亮點，促進臺灣博物館觀光資源整合，全面強化</w:t>
      </w:r>
      <w:r>
        <w:rPr>
          <w:rFonts w:ascii="標楷體" w:eastAsia="標楷體" w:hAnsi="標楷體" w:hint="eastAsia"/>
          <w:color w:val="000000" w:themeColor="text1"/>
          <w:kern w:val="0"/>
          <w:szCs w:val="24"/>
        </w:rPr>
        <w:t>北部院區</w:t>
      </w:r>
      <w:r w:rsidRPr="000B3FA8">
        <w:rPr>
          <w:rFonts w:ascii="標楷體" w:eastAsia="標楷體" w:hAnsi="標楷體" w:hint="eastAsia"/>
          <w:color w:val="000000" w:themeColor="text1"/>
          <w:kern w:val="0"/>
          <w:szCs w:val="24"/>
        </w:rPr>
        <w:t>（</w:t>
      </w:r>
      <w:r>
        <w:rPr>
          <w:rFonts w:ascii="標楷體" w:eastAsia="標楷體" w:hAnsi="標楷體" w:hint="eastAsia"/>
          <w:color w:val="000000" w:themeColor="text1"/>
          <w:kern w:val="0"/>
          <w:szCs w:val="24"/>
        </w:rPr>
        <w:t>下稱北院</w:t>
      </w:r>
      <w:r>
        <w:rPr>
          <w:rFonts w:ascii="標楷體" w:eastAsia="標楷體" w:hAnsi="標楷體"/>
          <w:color w:val="000000" w:themeColor="text1"/>
          <w:kern w:val="0"/>
          <w:szCs w:val="24"/>
        </w:rPr>
        <w:t>）</w:t>
      </w:r>
      <w:r w:rsidRPr="000B3FA8">
        <w:rPr>
          <w:rFonts w:ascii="標楷體" w:eastAsia="標楷體" w:hAnsi="標楷體" w:hint="eastAsia"/>
          <w:color w:val="000000" w:themeColor="text1"/>
          <w:kern w:val="0"/>
          <w:szCs w:val="24"/>
        </w:rPr>
        <w:t>及</w:t>
      </w:r>
      <w:r>
        <w:rPr>
          <w:rFonts w:ascii="標楷體" w:eastAsia="標楷體" w:hAnsi="標楷體" w:hint="eastAsia"/>
          <w:color w:val="000000" w:themeColor="text1"/>
          <w:kern w:val="0"/>
          <w:szCs w:val="24"/>
        </w:rPr>
        <w:t>南部院區</w:t>
      </w:r>
      <w:r w:rsidRPr="000B3FA8">
        <w:rPr>
          <w:rFonts w:ascii="標楷體" w:eastAsia="標楷體" w:hAnsi="標楷體" w:hint="eastAsia"/>
          <w:color w:val="000000" w:themeColor="text1"/>
          <w:kern w:val="0"/>
          <w:szCs w:val="24"/>
        </w:rPr>
        <w:t>（</w:t>
      </w:r>
      <w:r>
        <w:rPr>
          <w:rFonts w:ascii="標楷體" w:eastAsia="標楷體" w:hAnsi="標楷體" w:hint="eastAsia"/>
          <w:color w:val="000000" w:themeColor="text1"/>
          <w:kern w:val="0"/>
          <w:szCs w:val="24"/>
        </w:rPr>
        <w:t>下稱</w:t>
      </w:r>
      <w:r w:rsidRPr="000B3FA8">
        <w:rPr>
          <w:rFonts w:ascii="標楷體" w:eastAsia="標楷體" w:hAnsi="標楷體" w:hint="eastAsia"/>
          <w:color w:val="000000" w:themeColor="text1"/>
          <w:kern w:val="0"/>
          <w:szCs w:val="24"/>
        </w:rPr>
        <w:t>南院</w:t>
      </w:r>
      <w:r>
        <w:rPr>
          <w:rFonts w:ascii="標楷體" w:eastAsia="標楷體" w:hAnsi="標楷體"/>
          <w:color w:val="000000" w:themeColor="text1"/>
          <w:kern w:val="0"/>
          <w:szCs w:val="24"/>
        </w:rPr>
        <w:t>）</w:t>
      </w:r>
      <w:r w:rsidRPr="000B3FA8">
        <w:rPr>
          <w:rFonts w:ascii="標楷體" w:eastAsia="標楷體" w:hAnsi="標楷體" w:hint="eastAsia"/>
          <w:color w:val="000000" w:themeColor="text1"/>
          <w:kern w:val="0"/>
          <w:szCs w:val="24"/>
        </w:rPr>
        <w:t>軟硬體設施及服務品質，串聯臺灣博物館群共同帶動觀光產業升級與創新，報經行政院於106年12月6日核定辦理「新故宮－故宮公共化帶動觀光產業發展中程計畫（107至112年）」（下稱新故宮計畫），總經費101億元，</w:t>
      </w:r>
      <w:r>
        <w:rPr>
          <w:rFonts w:ascii="標楷體" w:eastAsia="標楷體" w:hAnsi="標楷體" w:hint="eastAsia"/>
          <w:color w:val="000000" w:themeColor="text1"/>
          <w:kern w:val="0"/>
          <w:szCs w:val="24"/>
        </w:rPr>
        <w:t>執行</w:t>
      </w:r>
      <w:r w:rsidRPr="000B3FA8">
        <w:rPr>
          <w:rFonts w:ascii="標楷體" w:eastAsia="標楷體" w:hAnsi="標楷體" w:hint="eastAsia"/>
          <w:color w:val="000000" w:themeColor="text1"/>
          <w:kern w:val="0"/>
          <w:szCs w:val="24"/>
        </w:rPr>
        <w:t>「故宮北部院區整</w:t>
      </w:r>
      <w:r>
        <w:rPr>
          <w:rFonts w:ascii="標楷體" w:eastAsia="標楷體" w:hAnsi="標楷體" w:hint="eastAsia"/>
          <w:color w:val="000000" w:themeColor="text1"/>
          <w:kern w:val="0"/>
          <w:szCs w:val="24"/>
        </w:rPr>
        <w:t>（</w:t>
      </w:r>
      <w:r w:rsidRPr="000B3FA8">
        <w:rPr>
          <w:rFonts w:ascii="標楷體" w:eastAsia="標楷體" w:hAnsi="標楷體" w:hint="eastAsia"/>
          <w:color w:val="000000" w:themeColor="text1"/>
          <w:kern w:val="0"/>
          <w:szCs w:val="24"/>
        </w:rPr>
        <w:t>擴</w:t>
      </w:r>
      <w:r>
        <w:rPr>
          <w:rFonts w:ascii="標楷體" w:eastAsia="標楷體" w:hAnsi="標楷體" w:hint="eastAsia"/>
          <w:color w:val="000000" w:themeColor="text1"/>
          <w:kern w:val="0"/>
          <w:szCs w:val="24"/>
        </w:rPr>
        <w:t>）</w:t>
      </w:r>
      <w:r w:rsidRPr="000B3FA8">
        <w:rPr>
          <w:rFonts w:ascii="標楷體" w:eastAsia="標楷體" w:hAnsi="標楷體" w:hint="eastAsia"/>
          <w:color w:val="000000" w:themeColor="text1"/>
          <w:kern w:val="0"/>
          <w:szCs w:val="24"/>
        </w:rPr>
        <w:t>建計畫」、「故宮國寶文物修復展示館建設計畫」及「博物館群國際觀光網絡系統建置計畫」等3項分項計畫。</w:t>
      </w:r>
      <w:proofErr w:type="gramStart"/>
      <w:r w:rsidRPr="000B3FA8">
        <w:rPr>
          <w:rFonts w:ascii="標楷體" w:eastAsia="標楷體" w:hAnsi="標楷體" w:hint="eastAsia"/>
          <w:color w:val="000000" w:themeColor="text1"/>
          <w:kern w:val="0"/>
          <w:szCs w:val="24"/>
        </w:rPr>
        <w:t>嗣</w:t>
      </w:r>
      <w:proofErr w:type="gramEnd"/>
      <w:r w:rsidRPr="000B3FA8">
        <w:rPr>
          <w:rFonts w:ascii="標楷體" w:eastAsia="標楷體" w:hAnsi="標楷體" w:hint="eastAsia"/>
          <w:color w:val="000000" w:themeColor="text1"/>
          <w:kern w:val="0"/>
          <w:szCs w:val="24"/>
        </w:rPr>
        <w:t>因文化資產審議暨介面龐雜及物價上漲等因素，3度修正計畫報經行政院同意，總經費增</w:t>
      </w:r>
      <w:r>
        <w:rPr>
          <w:rFonts w:ascii="標楷體" w:eastAsia="標楷體" w:hAnsi="標楷體" w:hint="eastAsia"/>
          <w:color w:val="000000" w:themeColor="text1"/>
          <w:kern w:val="0"/>
          <w:szCs w:val="24"/>
        </w:rPr>
        <w:t>為</w:t>
      </w:r>
      <w:r w:rsidRPr="000B3FA8">
        <w:rPr>
          <w:rFonts w:ascii="標楷體" w:eastAsia="標楷體" w:hAnsi="標楷體" w:hint="eastAsia"/>
          <w:color w:val="000000" w:themeColor="text1"/>
          <w:kern w:val="0"/>
          <w:szCs w:val="24"/>
        </w:rPr>
        <w:t>107億4</w:t>
      </w:r>
      <w:r>
        <w:rPr>
          <w:rFonts w:ascii="標楷體" w:eastAsia="標楷體" w:hAnsi="標楷體"/>
          <w:color w:val="000000" w:themeColor="text1"/>
          <w:kern w:val="0"/>
          <w:szCs w:val="24"/>
        </w:rPr>
        <w:t>,</w:t>
      </w:r>
      <w:r w:rsidRPr="000B3FA8">
        <w:rPr>
          <w:rFonts w:ascii="標楷體" w:eastAsia="標楷體" w:hAnsi="標楷體" w:hint="eastAsia"/>
          <w:color w:val="000000" w:themeColor="text1"/>
          <w:kern w:val="0"/>
          <w:szCs w:val="24"/>
        </w:rPr>
        <w:t>7</w:t>
      </w:r>
      <w:r>
        <w:rPr>
          <w:rFonts w:ascii="標楷體" w:eastAsia="標楷體" w:hAnsi="標楷體" w:hint="eastAsia"/>
          <w:color w:val="000000" w:themeColor="text1"/>
          <w:kern w:val="0"/>
          <w:szCs w:val="24"/>
        </w:rPr>
        <w:t>0</w:t>
      </w:r>
      <w:r>
        <w:rPr>
          <w:rFonts w:ascii="標楷體" w:eastAsia="標楷體" w:hAnsi="標楷體"/>
          <w:color w:val="000000" w:themeColor="text1"/>
          <w:kern w:val="0"/>
          <w:szCs w:val="24"/>
        </w:rPr>
        <w:t>0</w:t>
      </w:r>
      <w:r>
        <w:rPr>
          <w:rFonts w:ascii="標楷體" w:eastAsia="標楷體" w:hAnsi="標楷體" w:hint="eastAsia"/>
          <w:color w:val="000000" w:themeColor="text1"/>
          <w:kern w:val="0"/>
          <w:szCs w:val="24"/>
        </w:rPr>
        <w:t>萬</w:t>
      </w:r>
      <w:r w:rsidRPr="000B3FA8">
        <w:rPr>
          <w:rFonts w:ascii="標楷體" w:eastAsia="標楷體" w:hAnsi="標楷體" w:hint="eastAsia"/>
          <w:color w:val="000000" w:themeColor="text1"/>
          <w:kern w:val="0"/>
          <w:szCs w:val="24"/>
        </w:rPr>
        <w:t>元，</w:t>
      </w:r>
      <w:r>
        <w:rPr>
          <w:rFonts w:ascii="標楷體" w:eastAsia="標楷體" w:hAnsi="標楷體" w:hint="eastAsia"/>
          <w:color w:val="000000" w:themeColor="text1"/>
          <w:kern w:val="0"/>
          <w:szCs w:val="24"/>
        </w:rPr>
        <w:t>執行</w:t>
      </w:r>
      <w:proofErr w:type="gramStart"/>
      <w:r w:rsidRPr="000B3FA8">
        <w:rPr>
          <w:rFonts w:ascii="標楷體" w:eastAsia="標楷體" w:hAnsi="標楷體" w:hint="eastAsia"/>
          <w:color w:val="000000" w:themeColor="text1"/>
          <w:kern w:val="0"/>
          <w:szCs w:val="24"/>
        </w:rPr>
        <w:t>期程展延</w:t>
      </w:r>
      <w:proofErr w:type="gramEnd"/>
      <w:r w:rsidRPr="000B3FA8">
        <w:rPr>
          <w:rFonts w:ascii="標楷體" w:eastAsia="標楷體" w:hAnsi="標楷體" w:hint="eastAsia"/>
          <w:color w:val="000000" w:themeColor="text1"/>
          <w:kern w:val="0"/>
          <w:szCs w:val="24"/>
        </w:rPr>
        <w:t>至</w:t>
      </w:r>
      <w:proofErr w:type="gramStart"/>
      <w:r w:rsidRPr="000B3FA8">
        <w:rPr>
          <w:rFonts w:ascii="標楷體" w:eastAsia="標楷體" w:hAnsi="標楷體" w:hint="eastAsia"/>
          <w:color w:val="000000" w:themeColor="text1"/>
          <w:kern w:val="0"/>
          <w:szCs w:val="24"/>
        </w:rPr>
        <w:t>116</w:t>
      </w:r>
      <w:proofErr w:type="gramEnd"/>
      <w:r w:rsidRPr="000B3FA8">
        <w:rPr>
          <w:rFonts w:ascii="標楷體" w:eastAsia="標楷體" w:hAnsi="標楷體" w:hint="eastAsia"/>
          <w:color w:val="000000" w:themeColor="text1"/>
          <w:kern w:val="0"/>
          <w:szCs w:val="24"/>
        </w:rPr>
        <w:t>年度。該計畫107至113年度累計編列預算數</w:t>
      </w:r>
      <w:r w:rsidRPr="00634CEB">
        <w:rPr>
          <w:rFonts w:ascii="標楷體" w:eastAsia="標楷體" w:hAnsi="標楷體" w:hint="eastAsia"/>
          <w:color w:val="000000" w:themeColor="text1"/>
          <w:kern w:val="0"/>
          <w:szCs w:val="24"/>
        </w:rPr>
        <w:t>47億2,023萬餘元，累計執行數38億8</w:t>
      </w:r>
      <w:r w:rsidRPr="00634CEB">
        <w:rPr>
          <w:rFonts w:ascii="標楷體" w:eastAsia="標楷體" w:hAnsi="標楷體"/>
          <w:color w:val="000000" w:themeColor="text1"/>
          <w:kern w:val="0"/>
          <w:szCs w:val="24"/>
        </w:rPr>
        <w:t>,320</w:t>
      </w:r>
      <w:r w:rsidRPr="00634CEB">
        <w:rPr>
          <w:rFonts w:ascii="標楷體" w:eastAsia="標楷體" w:hAnsi="標楷體" w:hint="eastAsia"/>
          <w:color w:val="000000" w:themeColor="text1"/>
          <w:kern w:val="0"/>
          <w:szCs w:val="24"/>
        </w:rPr>
        <w:t>萬餘元，執行率</w:t>
      </w:r>
      <w:r w:rsidRPr="00634CEB">
        <w:rPr>
          <w:rFonts w:ascii="標楷體" w:eastAsia="標楷體" w:hAnsi="標楷體"/>
          <w:color w:val="000000" w:themeColor="text1"/>
          <w:kern w:val="0"/>
          <w:szCs w:val="24"/>
        </w:rPr>
        <w:t>82.27</w:t>
      </w:r>
      <w:r w:rsidRPr="00634CEB">
        <w:rPr>
          <w:rFonts w:ascii="標楷體" w:eastAsia="標楷體" w:hAnsi="標楷體" w:hint="eastAsia"/>
          <w:color w:val="000000" w:themeColor="text1"/>
          <w:kern w:val="0"/>
          <w:szCs w:val="24"/>
        </w:rPr>
        <w:t>％。經查執行情形，核有</w:t>
      </w:r>
      <w:r>
        <w:rPr>
          <w:rFonts w:ascii="標楷體" w:eastAsia="標楷體" w:hAnsi="標楷體" w:hint="eastAsia"/>
          <w:color w:val="000000" w:themeColor="text1"/>
          <w:kern w:val="0"/>
          <w:szCs w:val="24"/>
        </w:rPr>
        <w:t>：</w:t>
      </w:r>
      <w:r w:rsidRPr="008623A7">
        <w:rPr>
          <w:rFonts w:ascii="標楷體" w:eastAsia="標楷體" w:hAnsi="標楷體" w:hint="eastAsia"/>
          <w:bCs/>
          <w:color w:val="000000" w:themeColor="text1"/>
          <w:kern w:val="0"/>
          <w:szCs w:val="24"/>
        </w:rPr>
        <w:t>1.</w:t>
      </w:r>
      <w:r w:rsidRPr="008623A7">
        <w:rPr>
          <w:rFonts w:ascii="標楷體" w:eastAsia="標楷體" w:hAnsi="標楷體" w:hint="eastAsia"/>
          <w:bCs/>
          <w:color w:val="000000" w:themeColor="text1"/>
          <w:szCs w:val="24"/>
        </w:rPr>
        <w:t>辦理博物館群</w:t>
      </w:r>
      <w:r w:rsidRPr="005E74CF">
        <w:rPr>
          <w:rFonts w:ascii="標楷體" w:eastAsia="標楷體" w:hAnsi="標楷體" w:hint="eastAsia"/>
          <w:bCs/>
          <w:color w:val="000000" w:themeColor="text1"/>
          <w:szCs w:val="24"/>
        </w:rPr>
        <w:t>國際觀光網絡系統建置計畫，主要工作項目包含國際策展合作、服務設施友善、典藏數位化加值運用及發行愛臺灣博物館卡等，</w:t>
      </w:r>
      <w:r>
        <w:rPr>
          <w:rFonts w:ascii="標楷體" w:eastAsia="標楷體" w:hAnsi="標楷體" w:hint="eastAsia"/>
          <w:bCs/>
          <w:color w:val="000000" w:themeColor="text1"/>
          <w:szCs w:val="24"/>
        </w:rPr>
        <w:t>期</w:t>
      </w:r>
      <w:r w:rsidRPr="005E74CF">
        <w:rPr>
          <w:rFonts w:ascii="標楷體" w:eastAsia="標楷體" w:hAnsi="標楷體" w:hint="eastAsia"/>
          <w:bCs/>
          <w:color w:val="000000" w:themeColor="text1"/>
          <w:szCs w:val="24"/>
        </w:rPr>
        <w:t>透過集體行銷帶動以博物館為核心之文化觀光產業轉型升級，</w:t>
      </w:r>
      <w:r>
        <w:rPr>
          <w:rFonts w:ascii="標楷體" w:eastAsia="標楷體" w:hAnsi="標楷體" w:hint="eastAsia"/>
          <w:bCs/>
          <w:color w:val="000000" w:themeColor="text1"/>
          <w:szCs w:val="24"/>
        </w:rPr>
        <w:t>協助</w:t>
      </w:r>
      <w:r w:rsidRPr="005E74CF">
        <w:rPr>
          <w:rFonts w:ascii="標楷體" w:eastAsia="標楷體" w:hAnsi="標楷體" w:hint="eastAsia"/>
          <w:bCs/>
          <w:color w:val="000000" w:themeColor="text1"/>
          <w:szCs w:val="24"/>
        </w:rPr>
        <w:t>提振國內經濟發展。執行結果，112及</w:t>
      </w:r>
      <w:proofErr w:type="gramStart"/>
      <w:r w:rsidRPr="005E74CF">
        <w:rPr>
          <w:rFonts w:ascii="標楷體" w:eastAsia="標楷體" w:hAnsi="標楷體" w:hint="eastAsia"/>
          <w:bCs/>
          <w:color w:val="000000" w:themeColor="text1"/>
          <w:szCs w:val="24"/>
        </w:rPr>
        <w:t>113</w:t>
      </w:r>
      <w:proofErr w:type="gramEnd"/>
      <w:r>
        <w:rPr>
          <w:rFonts w:ascii="標楷體" w:eastAsia="標楷體" w:hAnsi="標楷體" w:hint="eastAsia"/>
          <w:bCs/>
          <w:color w:val="000000" w:themeColor="text1"/>
          <w:szCs w:val="24"/>
        </w:rPr>
        <w:t>年度</w:t>
      </w:r>
      <w:r w:rsidRPr="005E74CF">
        <w:rPr>
          <w:rFonts w:ascii="標楷體" w:eastAsia="標楷體" w:hAnsi="標楷體" w:hint="eastAsia"/>
          <w:bCs/>
          <w:color w:val="000000" w:themeColor="text1"/>
          <w:szCs w:val="24"/>
        </w:rPr>
        <w:t>之參觀人次分別為250萬餘人次及</w:t>
      </w:r>
      <w:r>
        <w:rPr>
          <w:rFonts w:ascii="標楷體" w:eastAsia="標楷體" w:hAnsi="標楷體" w:hint="eastAsia"/>
          <w:bCs/>
          <w:color w:val="000000" w:themeColor="text1"/>
          <w:szCs w:val="24"/>
        </w:rPr>
        <w:t>287</w:t>
      </w:r>
      <w:r w:rsidRPr="005E74CF">
        <w:rPr>
          <w:rFonts w:ascii="標楷體" w:eastAsia="標楷體" w:hAnsi="標楷體" w:hint="eastAsia"/>
          <w:bCs/>
          <w:color w:val="000000" w:themeColor="text1"/>
          <w:szCs w:val="24"/>
        </w:rPr>
        <w:t>萬餘</w:t>
      </w:r>
      <w:proofErr w:type="gramStart"/>
      <w:r w:rsidRPr="005E74CF">
        <w:rPr>
          <w:rFonts w:ascii="標楷體" w:eastAsia="標楷體" w:hAnsi="標楷體" w:hint="eastAsia"/>
          <w:bCs/>
          <w:color w:val="000000" w:themeColor="text1"/>
          <w:szCs w:val="24"/>
        </w:rPr>
        <w:t>人次，</w:t>
      </w:r>
      <w:proofErr w:type="gramEnd"/>
      <w:r w:rsidRPr="005E74CF">
        <w:rPr>
          <w:rFonts w:ascii="標楷體" w:eastAsia="標楷體" w:hAnsi="標楷體" w:hint="eastAsia"/>
          <w:bCs/>
          <w:color w:val="000000" w:themeColor="text1"/>
          <w:szCs w:val="24"/>
        </w:rPr>
        <w:t>僅為</w:t>
      </w:r>
      <w:proofErr w:type="gramStart"/>
      <w:r w:rsidRPr="005E74CF">
        <w:rPr>
          <w:rFonts w:ascii="標楷體" w:eastAsia="標楷體" w:hAnsi="標楷體" w:hint="eastAsia"/>
          <w:bCs/>
          <w:color w:val="000000" w:themeColor="text1"/>
          <w:szCs w:val="24"/>
        </w:rPr>
        <w:t>新型冠</w:t>
      </w:r>
      <w:proofErr w:type="gramEnd"/>
      <w:r w:rsidRPr="005E74CF">
        <w:rPr>
          <w:rFonts w:ascii="標楷體" w:eastAsia="標楷體" w:hAnsi="標楷體" w:hint="eastAsia"/>
          <w:bCs/>
          <w:color w:val="000000" w:themeColor="text1"/>
          <w:szCs w:val="24"/>
        </w:rPr>
        <w:t>狀病毒肺炎（COVID</w:t>
      </w:r>
      <w:r w:rsidR="007C6150">
        <w:rPr>
          <w:rFonts w:ascii="標楷體" w:eastAsia="標楷體" w:hAnsi="標楷體" w:hint="eastAsia"/>
          <w:bCs/>
          <w:color w:val="000000" w:themeColor="text1"/>
          <w:szCs w:val="24"/>
        </w:rPr>
        <w:t>-</w:t>
      </w:r>
      <w:r w:rsidRPr="005E74CF">
        <w:rPr>
          <w:rFonts w:ascii="標楷體" w:eastAsia="標楷體" w:hAnsi="標楷體" w:hint="eastAsia"/>
          <w:bCs/>
          <w:color w:val="000000" w:themeColor="text1"/>
          <w:szCs w:val="24"/>
        </w:rPr>
        <w:t>19）</w:t>
      </w:r>
      <w:proofErr w:type="gramStart"/>
      <w:r w:rsidRPr="005E74CF">
        <w:rPr>
          <w:rFonts w:ascii="標楷體" w:eastAsia="標楷體" w:hAnsi="標楷體" w:hint="eastAsia"/>
          <w:bCs/>
          <w:color w:val="000000" w:themeColor="text1"/>
          <w:szCs w:val="24"/>
        </w:rPr>
        <w:t>疫</w:t>
      </w:r>
      <w:proofErr w:type="gramEnd"/>
      <w:r w:rsidRPr="005E74CF">
        <w:rPr>
          <w:rFonts w:ascii="標楷體" w:eastAsia="標楷體" w:hAnsi="標楷體" w:hint="eastAsia"/>
          <w:bCs/>
          <w:color w:val="000000" w:themeColor="text1"/>
          <w:szCs w:val="24"/>
        </w:rPr>
        <w:t>情發生前</w:t>
      </w:r>
      <w:r>
        <w:rPr>
          <w:rFonts w:ascii="標楷體" w:eastAsia="標楷體" w:hAnsi="標楷體" w:hint="eastAsia"/>
          <w:bCs/>
          <w:color w:val="000000" w:themeColor="text1"/>
          <w:szCs w:val="24"/>
        </w:rPr>
        <w:t>（</w:t>
      </w:r>
      <w:proofErr w:type="gramStart"/>
      <w:r w:rsidRPr="005E74CF">
        <w:rPr>
          <w:rFonts w:ascii="標楷體" w:eastAsia="標楷體" w:hAnsi="標楷體" w:hint="eastAsia"/>
          <w:bCs/>
          <w:color w:val="000000" w:themeColor="text1"/>
          <w:szCs w:val="24"/>
        </w:rPr>
        <w:t>108</w:t>
      </w:r>
      <w:proofErr w:type="gramEnd"/>
      <w:r w:rsidRPr="005E74CF">
        <w:rPr>
          <w:rFonts w:ascii="標楷體" w:eastAsia="標楷體" w:hAnsi="標楷體" w:hint="eastAsia"/>
          <w:bCs/>
          <w:color w:val="000000" w:themeColor="text1"/>
          <w:szCs w:val="24"/>
        </w:rPr>
        <w:t>年度之488萬餘人次</w:t>
      </w:r>
      <w:r>
        <w:rPr>
          <w:rFonts w:ascii="標楷體" w:eastAsia="標楷體" w:hAnsi="標楷體" w:hint="eastAsia"/>
          <w:bCs/>
          <w:color w:val="000000" w:themeColor="text1"/>
          <w:szCs w:val="24"/>
        </w:rPr>
        <w:t>）</w:t>
      </w:r>
      <w:r w:rsidRPr="00537281">
        <w:rPr>
          <w:rFonts w:ascii="標楷體" w:eastAsia="標楷體" w:hAnsi="標楷體" w:hint="eastAsia"/>
          <w:bCs/>
          <w:color w:val="000000" w:themeColor="text1"/>
          <w:szCs w:val="24"/>
        </w:rPr>
        <w:t>之5</w:t>
      </w:r>
      <w:r w:rsidRPr="00537281">
        <w:rPr>
          <w:rFonts w:ascii="標楷體" w:eastAsia="標楷體" w:hAnsi="標楷體"/>
          <w:bCs/>
          <w:color w:val="000000" w:themeColor="text1"/>
          <w:szCs w:val="24"/>
        </w:rPr>
        <w:t>1.35</w:t>
      </w:r>
      <w:r w:rsidRPr="00537281">
        <w:rPr>
          <w:rFonts w:ascii="標楷體" w:eastAsia="標楷體" w:hAnsi="標楷體" w:hint="eastAsia"/>
          <w:bCs/>
          <w:color w:val="000000" w:themeColor="text1"/>
          <w:szCs w:val="24"/>
        </w:rPr>
        <w:t>％及5</w:t>
      </w:r>
      <w:r w:rsidRPr="00537281">
        <w:rPr>
          <w:rFonts w:ascii="標楷體" w:eastAsia="標楷體" w:hAnsi="標楷體"/>
          <w:bCs/>
          <w:color w:val="000000" w:themeColor="text1"/>
          <w:szCs w:val="24"/>
        </w:rPr>
        <w:t>8.83</w:t>
      </w:r>
      <w:r w:rsidRPr="00537281">
        <w:rPr>
          <w:rFonts w:ascii="標楷體" w:eastAsia="標楷體" w:hAnsi="標楷體" w:hint="eastAsia"/>
          <w:bCs/>
          <w:color w:val="000000" w:themeColor="text1"/>
          <w:szCs w:val="24"/>
        </w:rPr>
        <w:t>％，其中南院112及</w:t>
      </w:r>
      <w:proofErr w:type="gramStart"/>
      <w:r w:rsidRPr="00537281">
        <w:rPr>
          <w:rFonts w:ascii="標楷體" w:eastAsia="標楷體" w:hAnsi="標楷體" w:hint="eastAsia"/>
          <w:bCs/>
          <w:color w:val="000000" w:themeColor="text1"/>
          <w:szCs w:val="24"/>
        </w:rPr>
        <w:t>113</w:t>
      </w:r>
      <w:proofErr w:type="gramEnd"/>
      <w:r w:rsidRPr="00537281">
        <w:rPr>
          <w:rFonts w:ascii="標楷體" w:eastAsia="標楷體" w:hAnsi="標楷體" w:hint="eastAsia"/>
          <w:bCs/>
          <w:color w:val="000000" w:themeColor="text1"/>
          <w:szCs w:val="24"/>
        </w:rPr>
        <w:t>年度之參觀</w:t>
      </w:r>
      <w:proofErr w:type="gramStart"/>
      <w:r w:rsidRPr="00537281">
        <w:rPr>
          <w:rFonts w:ascii="標楷體" w:eastAsia="標楷體" w:hAnsi="標楷體" w:hint="eastAsia"/>
          <w:bCs/>
          <w:color w:val="000000" w:themeColor="text1"/>
          <w:szCs w:val="24"/>
        </w:rPr>
        <w:t>人次（</w:t>
      </w:r>
      <w:proofErr w:type="gramEnd"/>
      <w:r w:rsidRPr="00537281">
        <w:rPr>
          <w:rFonts w:ascii="標楷體" w:eastAsia="標楷體" w:hAnsi="標楷體" w:hint="eastAsia"/>
          <w:bCs/>
          <w:color w:val="000000" w:themeColor="text1"/>
          <w:szCs w:val="24"/>
        </w:rPr>
        <w:t>分別為95萬餘人次及9</w:t>
      </w:r>
      <w:r w:rsidRPr="00F427D8">
        <w:rPr>
          <w:rFonts w:ascii="標楷體" w:eastAsia="標楷體" w:hAnsi="標楷體" w:hint="eastAsia"/>
          <w:bCs/>
          <w:szCs w:val="24"/>
        </w:rPr>
        <w:t>9萬餘人次，表</w:t>
      </w:r>
      <w:r w:rsidR="00F427D8" w:rsidRPr="00F427D8">
        <w:rPr>
          <w:rFonts w:ascii="標楷體" w:eastAsia="標楷體" w:hAnsi="標楷體" w:hint="eastAsia"/>
          <w:bCs/>
          <w:szCs w:val="24"/>
        </w:rPr>
        <w:t>4</w:t>
      </w:r>
      <w:r w:rsidR="00F546C0">
        <w:rPr>
          <w:rFonts w:ascii="標楷體" w:eastAsia="標楷體" w:hAnsi="標楷體" w:hint="eastAsia"/>
          <w:bCs/>
          <w:szCs w:val="24"/>
        </w:rPr>
        <w:t>9</w:t>
      </w:r>
      <w:r w:rsidR="008C5712">
        <w:rPr>
          <w:rFonts w:ascii="標楷體" w:eastAsia="標楷體" w:hAnsi="標楷體" w:hint="eastAsia"/>
          <w:bCs/>
          <w:szCs w:val="24"/>
        </w:rPr>
        <w:t>）</w:t>
      </w:r>
      <w:r w:rsidRPr="00F427D8">
        <w:rPr>
          <w:rFonts w:ascii="標楷體" w:eastAsia="標楷體" w:hAnsi="標楷體" w:hint="eastAsia"/>
          <w:bCs/>
          <w:szCs w:val="24"/>
        </w:rPr>
        <w:t>，</w:t>
      </w:r>
      <w:proofErr w:type="gramStart"/>
      <w:r w:rsidRPr="00F427D8">
        <w:rPr>
          <w:rFonts w:ascii="標楷體" w:eastAsia="標楷體" w:hAnsi="標楷體" w:hint="eastAsia"/>
          <w:bCs/>
          <w:szCs w:val="24"/>
        </w:rPr>
        <w:t>均未達</w:t>
      </w:r>
      <w:proofErr w:type="gramEnd"/>
      <w:r w:rsidRPr="00F427D8">
        <w:rPr>
          <w:rFonts w:ascii="標楷體" w:eastAsia="標楷體" w:hAnsi="標楷體" w:hint="eastAsia"/>
          <w:bCs/>
          <w:szCs w:val="24"/>
        </w:rPr>
        <w:t>各該年度之預計目標</w:t>
      </w:r>
      <w:r w:rsidR="008C5712" w:rsidRPr="005E74CF">
        <w:rPr>
          <w:rFonts w:ascii="標楷體" w:eastAsia="標楷體" w:hAnsi="標楷體" w:hint="eastAsia"/>
          <w:bCs/>
          <w:color w:val="000000" w:themeColor="text1"/>
          <w:szCs w:val="24"/>
        </w:rPr>
        <w:t>（</w:t>
      </w:r>
      <w:r w:rsidRPr="00F427D8">
        <w:rPr>
          <w:rFonts w:ascii="標楷體" w:eastAsia="標楷體" w:hAnsi="標楷體" w:hint="eastAsia"/>
          <w:bCs/>
          <w:szCs w:val="24"/>
        </w:rPr>
        <w:t>105萬人次</w:t>
      </w:r>
      <w:r w:rsidR="008C5712" w:rsidRPr="005E74CF">
        <w:rPr>
          <w:rFonts w:ascii="標楷體" w:eastAsia="標楷體" w:hAnsi="標楷體" w:hint="eastAsia"/>
          <w:bCs/>
          <w:color w:val="000000" w:themeColor="text1"/>
          <w:szCs w:val="24"/>
        </w:rPr>
        <w:t>）</w:t>
      </w:r>
      <w:r w:rsidRPr="00F427D8">
        <w:rPr>
          <w:rFonts w:ascii="標楷體" w:eastAsia="標楷體" w:hAnsi="標楷體" w:hint="eastAsia"/>
          <w:bCs/>
          <w:szCs w:val="24"/>
        </w:rPr>
        <w:t>。另112及</w:t>
      </w:r>
      <w:proofErr w:type="gramStart"/>
      <w:r w:rsidRPr="00F427D8">
        <w:rPr>
          <w:rFonts w:ascii="標楷體" w:eastAsia="標楷體" w:hAnsi="標楷體" w:hint="eastAsia"/>
          <w:bCs/>
          <w:szCs w:val="24"/>
        </w:rPr>
        <w:t>113</w:t>
      </w:r>
      <w:proofErr w:type="gramEnd"/>
      <w:r w:rsidRPr="00F427D8">
        <w:rPr>
          <w:rFonts w:ascii="標楷體" w:eastAsia="標楷體" w:hAnsi="標楷體" w:hint="eastAsia"/>
          <w:bCs/>
          <w:szCs w:val="24"/>
        </w:rPr>
        <w:t>年度之門票收入</w:t>
      </w:r>
      <w:r w:rsidR="008C5712">
        <w:rPr>
          <w:rFonts w:ascii="標楷體" w:eastAsia="標楷體" w:hAnsi="標楷體" w:hint="eastAsia"/>
          <w:bCs/>
          <w:szCs w:val="24"/>
        </w:rPr>
        <w:t>（</w:t>
      </w:r>
      <w:r w:rsidRPr="00F427D8">
        <w:rPr>
          <w:rFonts w:ascii="標楷體" w:eastAsia="標楷體" w:hAnsi="標楷體" w:hint="eastAsia"/>
          <w:bCs/>
          <w:szCs w:val="24"/>
        </w:rPr>
        <w:t>分別為3億677萬餘元及3億7</w:t>
      </w:r>
      <w:r w:rsidRPr="00F427D8">
        <w:rPr>
          <w:rFonts w:ascii="標楷體" w:eastAsia="標楷體" w:hAnsi="標楷體"/>
          <w:bCs/>
          <w:szCs w:val="24"/>
        </w:rPr>
        <w:t>,</w:t>
      </w:r>
      <w:r w:rsidRPr="00F427D8">
        <w:rPr>
          <w:rFonts w:ascii="標楷體" w:eastAsia="標楷體" w:hAnsi="標楷體" w:hint="eastAsia"/>
          <w:bCs/>
          <w:szCs w:val="24"/>
        </w:rPr>
        <w:t>595萬餘元</w:t>
      </w:r>
      <w:r w:rsidR="008C5712">
        <w:rPr>
          <w:rFonts w:ascii="標楷體" w:eastAsia="標楷體" w:hAnsi="標楷體" w:hint="eastAsia"/>
          <w:bCs/>
          <w:szCs w:val="24"/>
        </w:rPr>
        <w:t>）</w:t>
      </w:r>
      <w:r w:rsidRPr="00F427D8">
        <w:rPr>
          <w:rFonts w:ascii="標楷體" w:eastAsia="標楷體" w:hAnsi="標楷體" w:hint="eastAsia"/>
          <w:bCs/>
          <w:szCs w:val="24"/>
        </w:rPr>
        <w:t>，亦僅為</w:t>
      </w:r>
      <w:proofErr w:type="gramStart"/>
      <w:r w:rsidRPr="00F427D8">
        <w:rPr>
          <w:rFonts w:ascii="標楷體" w:eastAsia="標楷體" w:hAnsi="標楷體" w:hint="eastAsia"/>
          <w:bCs/>
          <w:szCs w:val="24"/>
        </w:rPr>
        <w:t>新型冠</w:t>
      </w:r>
      <w:proofErr w:type="gramEnd"/>
      <w:r w:rsidRPr="00F427D8">
        <w:rPr>
          <w:rFonts w:ascii="標楷體" w:eastAsia="標楷體" w:hAnsi="標楷體" w:hint="eastAsia"/>
          <w:bCs/>
          <w:szCs w:val="24"/>
        </w:rPr>
        <w:t>狀病毒肺炎</w:t>
      </w:r>
      <w:r w:rsidR="008C5712">
        <w:rPr>
          <w:rFonts w:ascii="標楷體" w:eastAsia="標楷體" w:hAnsi="標楷體" w:hint="eastAsia"/>
          <w:bCs/>
          <w:szCs w:val="24"/>
        </w:rPr>
        <w:t>（</w:t>
      </w:r>
      <w:r w:rsidRPr="00F427D8">
        <w:rPr>
          <w:rFonts w:ascii="標楷體" w:eastAsia="標楷體" w:hAnsi="標楷體" w:hint="eastAsia"/>
          <w:bCs/>
          <w:szCs w:val="24"/>
        </w:rPr>
        <w:t>COVID</w:t>
      </w:r>
      <w:r w:rsidR="007C6150">
        <w:rPr>
          <w:rFonts w:ascii="標楷體" w:eastAsia="標楷體" w:hAnsi="標楷體" w:hint="eastAsia"/>
          <w:bCs/>
          <w:szCs w:val="24"/>
        </w:rPr>
        <w:t>-</w:t>
      </w:r>
      <w:r w:rsidRPr="00F427D8">
        <w:rPr>
          <w:rFonts w:ascii="標楷體" w:eastAsia="標楷體" w:hAnsi="標楷體" w:hint="eastAsia"/>
          <w:bCs/>
          <w:szCs w:val="24"/>
        </w:rPr>
        <w:t>19</w:t>
      </w:r>
      <w:r w:rsidR="008C5712">
        <w:rPr>
          <w:rFonts w:ascii="標楷體" w:eastAsia="標楷體" w:hAnsi="標楷體" w:hint="eastAsia"/>
          <w:bCs/>
          <w:szCs w:val="24"/>
        </w:rPr>
        <w:t>）</w:t>
      </w:r>
      <w:proofErr w:type="gramStart"/>
      <w:r w:rsidRPr="00F427D8">
        <w:rPr>
          <w:rFonts w:ascii="標楷體" w:eastAsia="標楷體" w:hAnsi="標楷體" w:hint="eastAsia"/>
          <w:bCs/>
          <w:szCs w:val="24"/>
        </w:rPr>
        <w:t>疫情前</w:t>
      </w:r>
      <w:proofErr w:type="gramEnd"/>
      <w:r w:rsidR="008C5712">
        <w:rPr>
          <w:rFonts w:ascii="標楷體" w:eastAsia="標楷體" w:hAnsi="標楷體" w:hint="eastAsia"/>
          <w:bCs/>
          <w:szCs w:val="24"/>
        </w:rPr>
        <w:t>（</w:t>
      </w:r>
      <w:proofErr w:type="gramStart"/>
      <w:r w:rsidRPr="00F427D8">
        <w:rPr>
          <w:rFonts w:ascii="標楷體" w:eastAsia="標楷體" w:hAnsi="標楷體" w:hint="eastAsia"/>
          <w:bCs/>
          <w:szCs w:val="24"/>
        </w:rPr>
        <w:t>108</w:t>
      </w:r>
      <w:proofErr w:type="gramEnd"/>
      <w:r w:rsidRPr="00F427D8">
        <w:rPr>
          <w:rFonts w:ascii="標楷體" w:eastAsia="標楷體" w:hAnsi="標楷體" w:hint="eastAsia"/>
          <w:bCs/>
          <w:szCs w:val="24"/>
        </w:rPr>
        <w:t>年度之8億5</w:t>
      </w:r>
      <w:r w:rsidRPr="00F427D8">
        <w:rPr>
          <w:rFonts w:ascii="標楷體" w:eastAsia="標楷體" w:hAnsi="標楷體"/>
          <w:bCs/>
          <w:szCs w:val="24"/>
        </w:rPr>
        <w:t>,294</w:t>
      </w:r>
      <w:r w:rsidRPr="00F427D8">
        <w:rPr>
          <w:rFonts w:ascii="標楷體" w:eastAsia="標楷體" w:hAnsi="標楷體" w:hint="eastAsia"/>
          <w:bCs/>
          <w:szCs w:val="24"/>
        </w:rPr>
        <w:t>萬餘元</w:t>
      </w:r>
      <w:r w:rsidR="008C5712">
        <w:rPr>
          <w:rFonts w:ascii="標楷體" w:eastAsia="標楷體" w:hAnsi="標楷體" w:hint="eastAsia"/>
          <w:bCs/>
          <w:szCs w:val="24"/>
        </w:rPr>
        <w:t>）</w:t>
      </w:r>
      <w:r w:rsidRPr="00F427D8">
        <w:rPr>
          <w:rFonts w:ascii="標楷體" w:eastAsia="標楷體" w:hAnsi="標楷體" w:hint="eastAsia"/>
          <w:bCs/>
          <w:szCs w:val="24"/>
        </w:rPr>
        <w:t>之</w:t>
      </w:r>
      <w:r w:rsidRPr="00F427D8">
        <w:rPr>
          <w:rFonts w:ascii="標楷體" w:eastAsia="標楷體" w:hAnsi="標楷體"/>
          <w:bCs/>
          <w:szCs w:val="24"/>
        </w:rPr>
        <w:t>35.97</w:t>
      </w:r>
      <w:r w:rsidRPr="00F427D8">
        <w:rPr>
          <w:rFonts w:ascii="標楷體" w:eastAsia="標楷體" w:hAnsi="標楷體" w:hint="eastAsia"/>
          <w:bCs/>
          <w:szCs w:val="24"/>
        </w:rPr>
        <w:t>％及4</w:t>
      </w:r>
      <w:r w:rsidRPr="00F427D8">
        <w:rPr>
          <w:rFonts w:ascii="標楷體" w:eastAsia="標楷體" w:hAnsi="標楷體"/>
          <w:bCs/>
          <w:szCs w:val="24"/>
        </w:rPr>
        <w:t>4.08</w:t>
      </w:r>
      <w:r w:rsidR="00011B62" w:rsidRPr="00F427D8">
        <w:rPr>
          <w:rFonts w:ascii="標楷體" w:eastAsia="標楷體" w:hAnsi="標楷體" w:hint="eastAsia"/>
          <w:noProof/>
          <w:snapToGrid w:val="0"/>
          <w:kern w:val="0"/>
          <w:sz w:val="32"/>
          <w:szCs w:val="32"/>
        </w:rPr>
        <w:lastRenderedPageBreak/>
        <mc:AlternateContent>
          <mc:Choice Requires="wps">
            <w:drawing>
              <wp:anchor distT="0" distB="0" distL="114300" distR="114300" simplePos="0" relativeHeight="251696128" behindDoc="1" locked="0" layoutInCell="1" allowOverlap="1" wp14:anchorId="5E99CFB3" wp14:editId="4CC427E0">
                <wp:simplePos x="0" y="0"/>
                <wp:positionH relativeFrom="column">
                  <wp:posOffset>635</wp:posOffset>
                </wp:positionH>
                <wp:positionV relativeFrom="paragraph">
                  <wp:posOffset>181610</wp:posOffset>
                </wp:positionV>
                <wp:extent cx="6247130" cy="1562100"/>
                <wp:effectExtent l="0" t="0" r="1270" b="0"/>
                <wp:wrapTight wrapText="bothSides">
                  <wp:wrapPolygon edited="0">
                    <wp:start x="0" y="0"/>
                    <wp:lineTo x="0" y="21337"/>
                    <wp:lineTo x="21539" y="21337"/>
                    <wp:lineTo x="21539" y="0"/>
                    <wp:lineTo x="0" y="0"/>
                  </wp:wrapPolygon>
                </wp:wrapTight>
                <wp:docPr id="17" name="文字方塊 17"/>
                <wp:cNvGraphicFramePr/>
                <a:graphic xmlns:a="http://schemas.openxmlformats.org/drawingml/2006/main">
                  <a:graphicData uri="http://schemas.microsoft.com/office/word/2010/wordprocessingShape">
                    <wps:wsp>
                      <wps:cNvSpPr txBox="1"/>
                      <wps:spPr>
                        <a:xfrm>
                          <a:off x="0" y="0"/>
                          <a:ext cx="6247130" cy="1562100"/>
                        </a:xfrm>
                        <a:prstGeom prst="rect">
                          <a:avLst/>
                        </a:prstGeom>
                        <a:solidFill>
                          <a:sysClr val="window" lastClr="FFFFFF"/>
                        </a:solidFill>
                        <a:ln w="6350">
                          <a:noFill/>
                        </a:ln>
                      </wps:spPr>
                      <wps:txbx>
                        <w:txbxContent>
                          <w:tbl>
                            <w:tblPr>
                              <w:tblStyle w:val="afff"/>
                              <w:tblW w:w="9498" w:type="dxa"/>
                              <w:tblLayout w:type="fixed"/>
                              <w:tblLook w:val="04A0" w:firstRow="1" w:lastRow="0" w:firstColumn="1" w:lastColumn="0" w:noHBand="0" w:noVBand="1"/>
                            </w:tblPr>
                            <w:tblGrid>
                              <w:gridCol w:w="812"/>
                              <w:gridCol w:w="889"/>
                              <w:gridCol w:w="1299"/>
                              <w:gridCol w:w="1300"/>
                              <w:gridCol w:w="1299"/>
                              <w:gridCol w:w="1300"/>
                              <w:gridCol w:w="1299"/>
                              <w:gridCol w:w="1300"/>
                            </w:tblGrid>
                            <w:tr w:rsidR="00011B62" w:rsidRPr="00E07067" w14:paraId="0D3A4AB1" w14:textId="77777777" w:rsidTr="00D91CA2">
                              <w:tc>
                                <w:tcPr>
                                  <w:tcW w:w="9498" w:type="dxa"/>
                                  <w:gridSpan w:val="8"/>
                                  <w:tcBorders>
                                    <w:top w:val="nil"/>
                                    <w:left w:val="nil"/>
                                    <w:bottom w:val="nil"/>
                                    <w:right w:val="nil"/>
                                  </w:tcBorders>
                                  <w:vAlign w:val="center"/>
                                </w:tcPr>
                                <w:p w14:paraId="3EC7ACBB" w14:textId="77777777" w:rsidR="00011B62" w:rsidRPr="00B30AE0" w:rsidRDefault="00011B62" w:rsidP="006026BD">
                                  <w:pPr>
                                    <w:pStyle w:val="afffa"/>
                                    <w:spacing w:line="240" w:lineRule="exact"/>
                                    <w:ind w:leftChars="0" w:left="0"/>
                                    <w:jc w:val="center"/>
                                    <w:rPr>
                                      <w:rFonts w:ascii="標楷體" w:eastAsia="標楷體" w:hAnsi="標楷體"/>
                                      <w:b/>
                                    </w:rPr>
                                  </w:pPr>
                                  <w:r w:rsidRPr="00B30AE0">
                                    <w:rPr>
                                      <w:rFonts w:ascii="標楷體" w:eastAsia="標楷體" w:hAnsi="標楷體"/>
                                      <w:b/>
                                    </w:rPr>
                                    <w:t>表</w:t>
                                  </w:r>
                                  <w:r>
                                    <w:rPr>
                                      <w:rFonts w:ascii="標楷體" w:eastAsia="標楷體" w:hAnsi="標楷體"/>
                                      <w:b/>
                                    </w:rPr>
                                    <w:t>49</w:t>
                                  </w:r>
                                  <w:r w:rsidRPr="00B30AE0">
                                    <w:rPr>
                                      <w:rFonts w:ascii="標楷體" w:eastAsia="標楷體" w:hAnsi="標楷體" w:hint="eastAsia"/>
                                      <w:b/>
                                    </w:rPr>
                                    <w:t xml:space="preserve">　</w:t>
                                  </w:r>
                                  <w:r w:rsidRPr="00B30AE0">
                                    <w:rPr>
                                      <w:rFonts w:ascii="標楷體" w:eastAsia="標楷體" w:hAnsi="標楷體"/>
                                      <w:b/>
                                    </w:rPr>
                                    <w:t>國立故宮博物院參觀人</w:t>
                                  </w:r>
                                  <w:r>
                                    <w:rPr>
                                      <w:rFonts w:ascii="標楷體" w:eastAsia="標楷體" w:hAnsi="標楷體" w:hint="eastAsia"/>
                                      <w:b/>
                                    </w:rPr>
                                    <w:t>次</w:t>
                                  </w:r>
                                  <w:r w:rsidRPr="00B30AE0">
                                    <w:rPr>
                                      <w:rFonts w:ascii="標楷體" w:eastAsia="標楷體" w:hAnsi="標楷體"/>
                                      <w:b/>
                                    </w:rPr>
                                    <w:t>及門票收入</w:t>
                                  </w:r>
                                </w:p>
                              </w:tc>
                            </w:tr>
                            <w:tr w:rsidR="00011B62" w:rsidRPr="00E07067" w14:paraId="6E6B7A43" w14:textId="77777777" w:rsidTr="00D91CA2">
                              <w:tc>
                                <w:tcPr>
                                  <w:tcW w:w="9498" w:type="dxa"/>
                                  <w:gridSpan w:val="8"/>
                                  <w:tcBorders>
                                    <w:top w:val="nil"/>
                                    <w:left w:val="nil"/>
                                    <w:right w:val="nil"/>
                                  </w:tcBorders>
                                  <w:vAlign w:val="center"/>
                                </w:tcPr>
                                <w:p w14:paraId="10502A17" w14:textId="77777777" w:rsidR="00011B62" w:rsidRPr="00DE580C" w:rsidRDefault="00011B62" w:rsidP="001454D8">
                                  <w:pPr>
                                    <w:pStyle w:val="afffa"/>
                                    <w:spacing w:line="200" w:lineRule="exact"/>
                                    <w:ind w:leftChars="0" w:left="0" w:rightChars="-45" w:right="-108"/>
                                    <w:jc w:val="right"/>
                                    <w:rPr>
                                      <w:rFonts w:ascii="標楷體" w:eastAsia="標楷體" w:hAnsi="標楷體"/>
                                      <w:sz w:val="20"/>
                                      <w:szCs w:val="32"/>
                                    </w:rPr>
                                  </w:pPr>
                                  <w:r w:rsidRPr="00DE580C">
                                    <w:rPr>
                                      <w:rFonts w:ascii="標楷體" w:eastAsia="標楷體" w:hAnsi="標楷體" w:hint="eastAsia"/>
                                      <w:sz w:val="20"/>
                                      <w:szCs w:val="32"/>
                                    </w:rPr>
                                    <w:t>單位：</w:t>
                                  </w:r>
                                  <w:proofErr w:type="gramStart"/>
                                  <w:r w:rsidRPr="00DE580C">
                                    <w:rPr>
                                      <w:rFonts w:ascii="標楷體" w:eastAsia="標楷體" w:hAnsi="標楷體" w:hint="eastAsia"/>
                                      <w:sz w:val="20"/>
                                      <w:szCs w:val="32"/>
                                    </w:rPr>
                                    <w:t>人次、</w:t>
                                  </w:r>
                                  <w:proofErr w:type="gramEnd"/>
                                  <w:r>
                                    <w:rPr>
                                      <w:rFonts w:ascii="標楷體" w:eastAsia="標楷體" w:hAnsi="標楷體" w:hint="eastAsia"/>
                                      <w:sz w:val="20"/>
                                      <w:szCs w:val="32"/>
                                    </w:rPr>
                                    <w:t>新臺幣</w:t>
                                  </w:r>
                                  <w:r w:rsidRPr="00DE580C">
                                    <w:rPr>
                                      <w:rFonts w:ascii="標楷體" w:eastAsia="標楷體" w:hAnsi="標楷體" w:hint="eastAsia"/>
                                      <w:sz w:val="20"/>
                                      <w:szCs w:val="32"/>
                                    </w:rPr>
                                    <w:t>千元</w:t>
                                  </w:r>
                                </w:p>
                              </w:tc>
                            </w:tr>
                            <w:tr w:rsidR="00011B62" w:rsidRPr="00E07067" w14:paraId="27208272" w14:textId="77777777" w:rsidTr="00901DCF">
                              <w:trPr>
                                <w:trHeight w:val="410"/>
                              </w:trPr>
                              <w:tc>
                                <w:tcPr>
                                  <w:tcW w:w="1701" w:type="dxa"/>
                                  <w:gridSpan w:val="2"/>
                                  <w:tcBorders>
                                    <w:tl2br w:val="single" w:sz="4" w:space="0" w:color="auto"/>
                                  </w:tcBorders>
                                  <w:vAlign w:val="center"/>
                                </w:tcPr>
                                <w:p w14:paraId="2C3E483D" w14:textId="77777777" w:rsidR="00011B62" w:rsidRPr="00B30AE0" w:rsidRDefault="00011B62" w:rsidP="00901DCF">
                                  <w:pPr>
                                    <w:pStyle w:val="afffa"/>
                                    <w:spacing w:line="200" w:lineRule="exact"/>
                                    <w:ind w:leftChars="0" w:left="0" w:rightChars="55" w:right="132"/>
                                    <w:jc w:val="right"/>
                                    <w:rPr>
                                      <w:rFonts w:ascii="標楷體" w:eastAsia="標楷體" w:hAnsi="標楷體"/>
                                      <w:sz w:val="20"/>
                                    </w:rPr>
                                  </w:pPr>
                                  <w:r w:rsidRPr="00B30AE0">
                                    <w:rPr>
                                      <w:rFonts w:ascii="標楷體" w:eastAsia="標楷體" w:hAnsi="標楷體"/>
                                      <w:sz w:val="20"/>
                                    </w:rPr>
                                    <w:t>年度</w:t>
                                  </w:r>
                                </w:p>
                                <w:p w14:paraId="6C661536" w14:textId="77777777" w:rsidR="00011B62" w:rsidRPr="00B30AE0" w:rsidRDefault="00011B62" w:rsidP="00901DCF">
                                  <w:pPr>
                                    <w:pStyle w:val="afffa"/>
                                    <w:spacing w:line="200" w:lineRule="exact"/>
                                    <w:ind w:leftChars="0" w:left="0" w:firstLineChars="51" w:firstLine="102"/>
                                    <w:jc w:val="both"/>
                                    <w:rPr>
                                      <w:rFonts w:ascii="標楷體" w:eastAsia="標楷體" w:hAnsi="標楷體"/>
                                      <w:sz w:val="20"/>
                                    </w:rPr>
                                  </w:pPr>
                                  <w:r>
                                    <w:rPr>
                                      <w:rFonts w:ascii="標楷體" w:eastAsia="標楷體" w:hAnsi="標楷體" w:hint="eastAsia"/>
                                      <w:sz w:val="20"/>
                                    </w:rPr>
                                    <w:t>項目</w:t>
                                  </w:r>
                                </w:p>
                              </w:tc>
                              <w:tc>
                                <w:tcPr>
                                  <w:tcW w:w="1299" w:type="dxa"/>
                                  <w:vAlign w:val="center"/>
                                </w:tcPr>
                                <w:p w14:paraId="2348BCA5"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108</w:t>
                                  </w:r>
                                </w:p>
                              </w:tc>
                              <w:tc>
                                <w:tcPr>
                                  <w:tcW w:w="1300" w:type="dxa"/>
                                  <w:vAlign w:val="center"/>
                                </w:tcPr>
                                <w:p w14:paraId="3879BB84"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109</w:t>
                                  </w:r>
                                </w:p>
                              </w:tc>
                              <w:tc>
                                <w:tcPr>
                                  <w:tcW w:w="1299" w:type="dxa"/>
                                  <w:vAlign w:val="center"/>
                                </w:tcPr>
                                <w:p w14:paraId="311B8BEC"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110</w:t>
                                  </w:r>
                                </w:p>
                              </w:tc>
                              <w:tc>
                                <w:tcPr>
                                  <w:tcW w:w="1300" w:type="dxa"/>
                                  <w:vAlign w:val="center"/>
                                </w:tcPr>
                                <w:p w14:paraId="08D3B5D4"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111</w:t>
                                  </w:r>
                                </w:p>
                              </w:tc>
                              <w:tc>
                                <w:tcPr>
                                  <w:tcW w:w="1299" w:type="dxa"/>
                                  <w:vAlign w:val="center"/>
                                </w:tcPr>
                                <w:p w14:paraId="3CF3385E"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112</w:t>
                                  </w:r>
                                </w:p>
                              </w:tc>
                              <w:tc>
                                <w:tcPr>
                                  <w:tcW w:w="1300" w:type="dxa"/>
                                  <w:vAlign w:val="center"/>
                                </w:tcPr>
                                <w:p w14:paraId="59C64A62"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113</w:t>
                                  </w:r>
                                </w:p>
                              </w:tc>
                            </w:tr>
                            <w:tr w:rsidR="00011B62" w:rsidRPr="00E07067" w14:paraId="20B3F216" w14:textId="77777777" w:rsidTr="00901DCF">
                              <w:trPr>
                                <w:trHeight w:val="236"/>
                              </w:trPr>
                              <w:tc>
                                <w:tcPr>
                                  <w:tcW w:w="812" w:type="dxa"/>
                                  <w:vMerge w:val="restart"/>
                                  <w:tcBorders>
                                    <w:right w:val="single" w:sz="4" w:space="0" w:color="auto"/>
                                  </w:tcBorders>
                                  <w:vAlign w:val="center"/>
                                </w:tcPr>
                                <w:p w14:paraId="25391806" w14:textId="77777777" w:rsidR="00011B62" w:rsidRDefault="00011B62" w:rsidP="006A4AEC">
                                  <w:pPr>
                                    <w:pStyle w:val="afffa"/>
                                    <w:spacing w:line="200" w:lineRule="exact"/>
                                    <w:ind w:leftChars="0" w:left="0"/>
                                    <w:jc w:val="center"/>
                                    <w:rPr>
                                      <w:rFonts w:ascii="標楷體" w:eastAsia="標楷體" w:hAnsi="標楷體"/>
                                      <w:sz w:val="20"/>
                                    </w:rPr>
                                  </w:pPr>
                                  <w:r w:rsidRPr="00B30AE0">
                                    <w:rPr>
                                      <w:rFonts w:ascii="標楷體" w:eastAsia="標楷體" w:hAnsi="標楷體" w:hint="eastAsia"/>
                                      <w:sz w:val="20"/>
                                    </w:rPr>
                                    <w:t>參觀</w:t>
                                  </w:r>
                                </w:p>
                                <w:p w14:paraId="1A5B5208" w14:textId="77777777" w:rsidR="00011B62" w:rsidRDefault="00011B62" w:rsidP="006A4AEC">
                                  <w:pPr>
                                    <w:pStyle w:val="afffa"/>
                                    <w:spacing w:line="200" w:lineRule="exact"/>
                                    <w:ind w:leftChars="0" w:left="0"/>
                                    <w:jc w:val="center"/>
                                    <w:rPr>
                                      <w:rFonts w:ascii="標楷體" w:eastAsia="標楷體" w:hAnsi="標楷體"/>
                                      <w:sz w:val="20"/>
                                    </w:rPr>
                                  </w:pPr>
                                  <w:r w:rsidRPr="00B30AE0">
                                    <w:rPr>
                                      <w:rFonts w:ascii="標楷體" w:eastAsia="標楷體" w:hAnsi="標楷體" w:hint="eastAsia"/>
                                      <w:sz w:val="20"/>
                                    </w:rPr>
                                    <w:t>人次</w:t>
                                  </w:r>
                                </w:p>
                                <w:p w14:paraId="3C66CB0F" w14:textId="77777777" w:rsidR="00011B62" w:rsidRPr="00D91CA2" w:rsidRDefault="00011B62" w:rsidP="006A4AEC">
                                  <w:pPr>
                                    <w:pStyle w:val="afffa"/>
                                    <w:spacing w:line="200" w:lineRule="exact"/>
                                    <w:ind w:leftChars="0" w:left="0"/>
                                    <w:jc w:val="both"/>
                                    <w:rPr>
                                      <w:rFonts w:ascii="標楷體" w:eastAsia="標楷體" w:hAnsi="標楷體"/>
                                      <w:spacing w:val="-24"/>
                                      <w:sz w:val="20"/>
                                    </w:rPr>
                                  </w:pPr>
                                  <w:r w:rsidRPr="00D91CA2">
                                    <w:rPr>
                                      <w:rFonts w:ascii="標楷體" w:eastAsia="標楷體" w:hAnsi="標楷體" w:hint="eastAsia"/>
                                      <w:spacing w:val="-24"/>
                                      <w:sz w:val="20"/>
                                    </w:rPr>
                                    <w:t>（</w:t>
                                  </w:r>
                                  <w:proofErr w:type="gramStart"/>
                                  <w:r w:rsidRPr="00D91CA2">
                                    <w:rPr>
                                      <w:rFonts w:ascii="標楷體" w:eastAsia="標楷體" w:hAnsi="標楷體" w:hint="eastAsia"/>
                                      <w:spacing w:val="-24"/>
                                      <w:sz w:val="20"/>
                                    </w:rPr>
                                    <w:t>註</w:t>
                                  </w:r>
                                  <w:proofErr w:type="gramEnd"/>
                                  <w:r w:rsidRPr="00D91CA2">
                                    <w:rPr>
                                      <w:rFonts w:ascii="標楷體" w:eastAsia="標楷體" w:hAnsi="標楷體" w:hint="eastAsia"/>
                                      <w:spacing w:val="-24"/>
                                      <w:sz w:val="20"/>
                                    </w:rPr>
                                    <w:t>1）</w:t>
                                  </w:r>
                                </w:p>
                              </w:tc>
                              <w:tc>
                                <w:tcPr>
                                  <w:tcW w:w="889" w:type="dxa"/>
                                  <w:tcBorders>
                                    <w:left w:val="single" w:sz="4" w:space="0" w:color="auto"/>
                                  </w:tcBorders>
                                  <w:vAlign w:val="center"/>
                                </w:tcPr>
                                <w:p w14:paraId="4E88C33C" w14:textId="77777777" w:rsidR="00011B62" w:rsidRPr="00B30AE0" w:rsidRDefault="00011B62" w:rsidP="006A4AEC">
                                  <w:pPr>
                                    <w:pStyle w:val="afffa"/>
                                    <w:spacing w:line="200" w:lineRule="exact"/>
                                    <w:ind w:leftChars="0" w:left="0"/>
                                    <w:jc w:val="center"/>
                                    <w:rPr>
                                      <w:rFonts w:ascii="標楷體" w:eastAsia="標楷體" w:hAnsi="標楷體"/>
                                      <w:b/>
                                      <w:sz w:val="20"/>
                                    </w:rPr>
                                  </w:pPr>
                                  <w:r w:rsidRPr="00B30AE0">
                                    <w:rPr>
                                      <w:rFonts w:ascii="標楷體" w:eastAsia="標楷體" w:hAnsi="標楷體"/>
                                      <w:b/>
                                      <w:sz w:val="20"/>
                                    </w:rPr>
                                    <w:t>合計</w:t>
                                  </w:r>
                                </w:p>
                              </w:tc>
                              <w:tc>
                                <w:tcPr>
                                  <w:tcW w:w="1299" w:type="dxa"/>
                                  <w:vAlign w:val="center"/>
                                </w:tcPr>
                                <w:p w14:paraId="6FB6A4E5"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4,881,635</w:t>
                                  </w:r>
                                </w:p>
                              </w:tc>
                              <w:tc>
                                <w:tcPr>
                                  <w:tcW w:w="1300" w:type="dxa"/>
                                  <w:vAlign w:val="center"/>
                                </w:tcPr>
                                <w:p w14:paraId="4CE0C5B3"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1,697,544</w:t>
                                  </w:r>
                                </w:p>
                              </w:tc>
                              <w:tc>
                                <w:tcPr>
                                  <w:tcW w:w="1299" w:type="dxa"/>
                                  <w:vAlign w:val="center"/>
                                </w:tcPr>
                                <w:p w14:paraId="660D3C11"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1,153,323</w:t>
                                  </w:r>
                                </w:p>
                              </w:tc>
                              <w:tc>
                                <w:tcPr>
                                  <w:tcW w:w="1300" w:type="dxa"/>
                                  <w:vAlign w:val="center"/>
                                </w:tcPr>
                                <w:p w14:paraId="24C6426D"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1,592,534</w:t>
                                  </w:r>
                                </w:p>
                              </w:tc>
                              <w:tc>
                                <w:tcPr>
                                  <w:tcW w:w="1299" w:type="dxa"/>
                                  <w:vAlign w:val="center"/>
                                </w:tcPr>
                                <w:p w14:paraId="64EF18CD"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2,506,486</w:t>
                                  </w:r>
                                </w:p>
                              </w:tc>
                              <w:tc>
                                <w:tcPr>
                                  <w:tcW w:w="1300" w:type="dxa"/>
                                  <w:vAlign w:val="center"/>
                                </w:tcPr>
                                <w:p w14:paraId="43975C12"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hint="eastAsia"/>
                                      <w:b/>
                                      <w:spacing w:val="-10"/>
                                      <w:sz w:val="20"/>
                                    </w:rPr>
                                    <w:t>2</w:t>
                                  </w:r>
                                  <w:r w:rsidRPr="00B30AE0">
                                    <w:rPr>
                                      <w:rFonts w:ascii="標楷體" w:eastAsia="標楷體" w:hAnsi="標楷體"/>
                                      <w:b/>
                                      <w:spacing w:val="-10"/>
                                      <w:sz w:val="20"/>
                                    </w:rPr>
                                    <w:t>,</w:t>
                                  </w:r>
                                  <w:r>
                                    <w:rPr>
                                      <w:rFonts w:ascii="標楷體" w:eastAsia="標楷體" w:hAnsi="標楷體"/>
                                      <w:b/>
                                      <w:spacing w:val="-10"/>
                                      <w:sz w:val="20"/>
                                    </w:rPr>
                                    <w:t>871,707</w:t>
                                  </w:r>
                                </w:p>
                              </w:tc>
                            </w:tr>
                            <w:tr w:rsidR="00011B62" w:rsidRPr="00E07067" w14:paraId="398A85FF" w14:textId="77777777" w:rsidTr="00901DCF">
                              <w:trPr>
                                <w:trHeight w:val="236"/>
                              </w:trPr>
                              <w:tc>
                                <w:tcPr>
                                  <w:tcW w:w="812" w:type="dxa"/>
                                  <w:vMerge/>
                                  <w:tcBorders>
                                    <w:right w:val="single" w:sz="4" w:space="0" w:color="auto"/>
                                  </w:tcBorders>
                                  <w:vAlign w:val="center"/>
                                </w:tcPr>
                                <w:p w14:paraId="325AFDC6" w14:textId="77777777" w:rsidR="00011B62" w:rsidRPr="00B30AE0" w:rsidRDefault="00011B62" w:rsidP="006A4AEC">
                                  <w:pPr>
                                    <w:pStyle w:val="afffa"/>
                                    <w:spacing w:line="200" w:lineRule="exact"/>
                                    <w:ind w:leftChars="0" w:left="0"/>
                                    <w:jc w:val="center"/>
                                    <w:rPr>
                                      <w:rFonts w:ascii="標楷體" w:eastAsia="標楷體" w:hAnsi="標楷體"/>
                                      <w:sz w:val="20"/>
                                    </w:rPr>
                                  </w:pPr>
                                </w:p>
                              </w:tc>
                              <w:tc>
                                <w:tcPr>
                                  <w:tcW w:w="889" w:type="dxa"/>
                                  <w:tcBorders>
                                    <w:left w:val="single" w:sz="4" w:space="0" w:color="auto"/>
                                  </w:tcBorders>
                                  <w:vAlign w:val="center"/>
                                </w:tcPr>
                                <w:p w14:paraId="67C66F37" w14:textId="77777777" w:rsidR="00011B62" w:rsidRPr="00B30AE0" w:rsidRDefault="00011B62" w:rsidP="006A4AEC">
                                  <w:pPr>
                                    <w:pStyle w:val="afffa"/>
                                    <w:spacing w:line="200" w:lineRule="exact"/>
                                    <w:ind w:leftChars="0" w:left="0"/>
                                    <w:jc w:val="center"/>
                                    <w:rPr>
                                      <w:rFonts w:ascii="標楷體" w:eastAsia="標楷體" w:hAnsi="標楷體"/>
                                      <w:sz w:val="20"/>
                                    </w:rPr>
                                  </w:pPr>
                                  <w:proofErr w:type="gramStart"/>
                                  <w:r w:rsidRPr="00B30AE0">
                                    <w:rPr>
                                      <w:rFonts w:ascii="標楷體" w:eastAsia="標楷體" w:hAnsi="標楷體"/>
                                      <w:sz w:val="20"/>
                                    </w:rPr>
                                    <w:t>北院</w:t>
                                  </w:r>
                                  <w:proofErr w:type="gramEnd"/>
                                </w:p>
                              </w:tc>
                              <w:tc>
                                <w:tcPr>
                                  <w:tcW w:w="1299" w:type="dxa"/>
                                  <w:vAlign w:val="center"/>
                                </w:tcPr>
                                <w:p w14:paraId="42A58C76"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3,832,373</w:t>
                                  </w:r>
                                </w:p>
                              </w:tc>
                              <w:tc>
                                <w:tcPr>
                                  <w:tcW w:w="1300" w:type="dxa"/>
                                  <w:vAlign w:val="center"/>
                                </w:tcPr>
                                <w:p w14:paraId="640A71E4"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642,163</w:t>
                                  </w:r>
                                </w:p>
                              </w:tc>
                              <w:tc>
                                <w:tcPr>
                                  <w:tcW w:w="1299" w:type="dxa"/>
                                  <w:vAlign w:val="center"/>
                                </w:tcPr>
                                <w:p w14:paraId="7FC02EA9"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416,836</w:t>
                                  </w:r>
                                </w:p>
                              </w:tc>
                              <w:tc>
                                <w:tcPr>
                                  <w:tcW w:w="1300" w:type="dxa"/>
                                  <w:vAlign w:val="center"/>
                                </w:tcPr>
                                <w:p w14:paraId="0ACB0CBF"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552,639</w:t>
                                  </w:r>
                                </w:p>
                              </w:tc>
                              <w:tc>
                                <w:tcPr>
                                  <w:tcW w:w="1299" w:type="dxa"/>
                                  <w:tcBorders>
                                    <w:bottom w:val="single" w:sz="4" w:space="0" w:color="000000"/>
                                  </w:tcBorders>
                                  <w:vAlign w:val="center"/>
                                </w:tcPr>
                                <w:p w14:paraId="2AB4BEE6"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1,552,190</w:t>
                                  </w:r>
                                </w:p>
                              </w:tc>
                              <w:tc>
                                <w:tcPr>
                                  <w:tcW w:w="1300" w:type="dxa"/>
                                  <w:vAlign w:val="center"/>
                                </w:tcPr>
                                <w:p w14:paraId="730C4A47"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Pr>
                                      <w:rFonts w:ascii="標楷體" w:eastAsia="標楷體" w:hAnsi="標楷體"/>
                                      <w:spacing w:val="-10"/>
                                      <w:sz w:val="20"/>
                                    </w:rPr>
                                    <w:t>1</w:t>
                                  </w:r>
                                  <w:r>
                                    <w:rPr>
                                      <w:rFonts w:ascii="標楷體" w:eastAsia="標楷體" w:hAnsi="標楷體" w:hint="eastAsia"/>
                                      <w:spacing w:val="-10"/>
                                      <w:sz w:val="20"/>
                                    </w:rPr>
                                    <w:t>,</w:t>
                                  </w:r>
                                  <w:r>
                                    <w:rPr>
                                      <w:rFonts w:ascii="標楷體" w:eastAsia="標楷體" w:hAnsi="標楷體"/>
                                      <w:spacing w:val="-10"/>
                                      <w:sz w:val="20"/>
                                    </w:rPr>
                                    <w:t>874,994</w:t>
                                  </w:r>
                                </w:p>
                              </w:tc>
                            </w:tr>
                            <w:tr w:rsidR="00011B62" w:rsidRPr="00E07067" w14:paraId="3672DBF8" w14:textId="77777777" w:rsidTr="00901DCF">
                              <w:trPr>
                                <w:trHeight w:val="236"/>
                              </w:trPr>
                              <w:tc>
                                <w:tcPr>
                                  <w:tcW w:w="812" w:type="dxa"/>
                                  <w:vMerge/>
                                  <w:tcBorders>
                                    <w:right w:val="single" w:sz="4" w:space="0" w:color="auto"/>
                                  </w:tcBorders>
                                  <w:vAlign w:val="center"/>
                                </w:tcPr>
                                <w:p w14:paraId="12435963" w14:textId="77777777" w:rsidR="00011B62" w:rsidRPr="00B30AE0" w:rsidRDefault="00011B62" w:rsidP="006A4AEC">
                                  <w:pPr>
                                    <w:pStyle w:val="afffa"/>
                                    <w:spacing w:line="200" w:lineRule="exact"/>
                                    <w:ind w:leftChars="0" w:left="0"/>
                                    <w:jc w:val="center"/>
                                    <w:rPr>
                                      <w:rFonts w:ascii="標楷體" w:eastAsia="標楷體" w:hAnsi="標楷體"/>
                                      <w:sz w:val="20"/>
                                    </w:rPr>
                                  </w:pPr>
                                </w:p>
                              </w:tc>
                              <w:tc>
                                <w:tcPr>
                                  <w:tcW w:w="889" w:type="dxa"/>
                                  <w:tcBorders>
                                    <w:left w:val="single" w:sz="4" w:space="0" w:color="auto"/>
                                  </w:tcBorders>
                                  <w:vAlign w:val="center"/>
                                </w:tcPr>
                                <w:p w14:paraId="3CC8E4F6" w14:textId="77777777" w:rsidR="00011B62" w:rsidRPr="00B30AE0" w:rsidRDefault="00011B62" w:rsidP="006A4AEC">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南院</w:t>
                                  </w:r>
                                </w:p>
                              </w:tc>
                              <w:tc>
                                <w:tcPr>
                                  <w:tcW w:w="1299" w:type="dxa"/>
                                  <w:vAlign w:val="center"/>
                                </w:tcPr>
                                <w:p w14:paraId="02047B7A"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1,049,262</w:t>
                                  </w:r>
                                </w:p>
                              </w:tc>
                              <w:tc>
                                <w:tcPr>
                                  <w:tcW w:w="1300" w:type="dxa"/>
                                  <w:vAlign w:val="center"/>
                                </w:tcPr>
                                <w:p w14:paraId="01019D17"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1,055,381</w:t>
                                  </w:r>
                                </w:p>
                              </w:tc>
                              <w:tc>
                                <w:tcPr>
                                  <w:tcW w:w="1299" w:type="dxa"/>
                                  <w:vAlign w:val="center"/>
                                </w:tcPr>
                                <w:p w14:paraId="35F41D73"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736,487</w:t>
                                  </w:r>
                                </w:p>
                              </w:tc>
                              <w:tc>
                                <w:tcPr>
                                  <w:tcW w:w="1300" w:type="dxa"/>
                                  <w:vAlign w:val="center"/>
                                </w:tcPr>
                                <w:p w14:paraId="711AA80C"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1,039,895</w:t>
                                  </w:r>
                                </w:p>
                              </w:tc>
                              <w:tc>
                                <w:tcPr>
                                  <w:tcW w:w="1299" w:type="dxa"/>
                                  <w:shd w:val="clear" w:color="auto" w:fill="auto"/>
                                  <w:vAlign w:val="center"/>
                                </w:tcPr>
                                <w:p w14:paraId="26ADDB4F" w14:textId="77777777" w:rsidR="00011B62" w:rsidRPr="00026EAE" w:rsidRDefault="00011B62" w:rsidP="006A4AEC">
                                  <w:pPr>
                                    <w:pStyle w:val="afffa"/>
                                    <w:spacing w:line="200" w:lineRule="exact"/>
                                    <w:ind w:leftChars="0" w:left="0"/>
                                    <w:jc w:val="right"/>
                                    <w:rPr>
                                      <w:rFonts w:ascii="標楷體" w:eastAsia="標楷體" w:hAnsi="標楷體"/>
                                      <w:spacing w:val="-10"/>
                                      <w:sz w:val="20"/>
                                    </w:rPr>
                                  </w:pPr>
                                  <w:r w:rsidRPr="00026EAE">
                                    <w:rPr>
                                      <w:rFonts w:ascii="標楷體" w:eastAsia="標楷體" w:hAnsi="標楷體"/>
                                      <w:spacing w:val="-10"/>
                                      <w:sz w:val="20"/>
                                    </w:rPr>
                                    <w:t>954,296</w:t>
                                  </w:r>
                                </w:p>
                              </w:tc>
                              <w:tc>
                                <w:tcPr>
                                  <w:tcW w:w="1300" w:type="dxa"/>
                                  <w:shd w:val="clear" w:color="auto" w:fill="auto"/>
                                  <w:vAlign w:val="center"/>
                                </w:tcPr>
                                <w:p w14:paraId="76C31E6B" w14:textId="77777777" w:rsidR="00011B62" w:rsidRPr="00026EAE" w:rsidRDefault="00011B62" w:rsidP="006A4AEC">
                                  <w:pPr>
                                    <w:pStyle w:val="afffa"/>
                                    <w:spacing w:line="200" w:lineRule="exact"/>
                                    <w:ind w:leftChars="0" w:left="0"/>
                                    <w:jc w:val="right"/>
                                    <w:rPr>
                                      <w:rFonts w:ascii="標楷體" w:eastAsia="標楷體" w:hAnsi="標楷體"/>
                                      <w:spacing w:val="-10"/>
                                      <w:sz w:val="20"/>
                                    </w:rPr>
                                  </w:pPr>
                                  <w:r>
                                    <w:rPr>
                                      <w:rFonts w:ascii="標楷體" w:eastAsia="標楷體" w:hAnsi="標楷體"/>
                                      <w:spacing w:val="-10"/>
                                      <w:sz w:val="20"/>
                                    </w:rPr>
                                    <w:t>996,713</w:t>
                                  </w:r>
                                </w:p>
                              </w:tc>
                            </w:tr>
                            <w:tr w:rsidR="00011B62" w:rsidRPr="00E07067" w14:paraId="4B3030A1" w14:textId="77777777" w:rsidTr="00901DCF">
                              <w:trPr>
                                <w:trHeight w:val="236"/>
                              </w:trPr>
                              <w:tc>
                                <w:tcPr>
                                  <w:tcW w:w="1701" w:type="dxa"/>
                                  <w:gridSpan w:val="2"/>
                                  <w:vAlign w:val="center"/>
                                </w:tcPr>
                                <w:p w14:paraId="6F6D7E8D"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hint="eastAsia"/>
                                      <w:sz w:val="20"/>
                                    </w:rPr>
                                    <w:t>門票收入</w:t>
                                  </w:r>
                                </w:p>
                              </w:tc>
                              <w:tc>
                                <w:tcPr>
                                  <w:tcW w:w="1299" w:type="dxa"/>
                                  <w:vAlign w:val="center"/>
                                </w:tcPr>
                                <w:p w14:paraId="569CCFAC"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852,941</w:t>
                                  </w:r>
                                </w:p>
                              </w:tc>
                              <w:tc>
                                <w:tcPr>
                                  <w:tcW w:w="1300" w:type="dxa"/>
                                  <w:vAlign w:val="center"/>
                                </w:tcPr>
                                <w:p w14:paraId="58D7DB6A"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101,607</w:t>
                                  </w:r>
                                </w:p>
                              </w:tc>
                              <w:tc>
                                <w:tcPr>
                                  <w:tcW w:w="1299" w:type="dxa"/>
                                  <w:vAlign w:val="center"/>
                                </w:tcPr>
                                <w:p w14:paraId="6C095ADB"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36,671</w:t>
                                  </w:r>
                                </w:p>
                              </w:tc>
                              <w:tc>
                                <w:tcPr>
                                  <w:tcW w:w="1300" w:type="dxa"/>
                                  <w:vAlign w:val="center"/>
                                </w:tcPr>
                                <w:p w14:paraId="3DEF6C3C"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69,803</w:t>
                                  </w:r>
                                </w:p>
                              </w:tc>
                              <w:tc>
                                <w:tcPr>
                                  <w:tcW w:w="1299" w:type="dxa"/>
                                  <w:shd w:val="clear" w:color="auto" w:fill="auto"/>
                                  <w:vAlign w:val="center"/>
                                </w:tcPr>
                                <w:p w14:paraId="25180A32" w14:textId="77777777" w:rsidR="00011B62" w:rsidRPr="00026EAE" w:rsidRDefault="00011B62" w:rsidP="001454D8">
                                  <w:pPr>
                                    <w:pStyle w:val="afffa"/>
                                    <w:spacing w:line="200" w:lineRule="exact"/>
                                    <w:ind w:leftChars="0" w:left="0"/>
                                    <w:jc w:val="right"/>
                                    <w:rPr>
                                      <w:rFonts w:ascii="標楷體" w:eastAsia="標楷體" w:hAnsi="標楷體"/>
                                      <w:spacing w:val="-10"/>
                                      <w:sz w:val="20"/>
                                    </w:rPr>
                                  </w:pPr>
                                  <w:r w:rsidRPr="00026EAE">
                                    <w:rPr>
                                      <w:rFonts w:ascii="標楷體" w:eastAsia="標楷體" w:hAnsi="標楷體"/>
                                      <w:spacing w:val="-10"/>
                                      <w:sz w:val="20"/>
                                    </w:rPr>
                                    <w:t>306,775</w:t>
                                  </w:r>
                                </w:p>
                              </w:tc>
                              <w:tc>
                                <w:tcPr>
                                  <w:tcW w:w="1300" w:type="dxa"/>
                                  <w:shd w:val="clear" w:color="auto" w:fill="auto"/>
                                  <w:vAlign w:val="center"/>
                                </w:tcPr>
                                <w:p w14:paraId="264BF62F" w14:textId="77777777" w:rsidR="00011B62" w:rsidRPr="00026EAE" w:rsidRDefault="00011B62" w:rsidP="001454D8">
                                  <w:pPr>
                                    <w:pStyle w:val="afffa"/>
                                    <w:spacing w:line="200" w:lineRule="exact"/>
                                    <w:ind w:leftChars="0" w:left="0"/>
                                    <w:jc w:val="right"/>
                                    <w:rPr>
                                      <w:rFonts w:ascii="標楷體" w:eastAsia="標楷體" w:hAnsi="標楷體"/>
                                      <w:spacing w:val="-10"/>
                                      <w:sz w:val="20"/>
                                    </w:rPr>
                                  </w:pPr>
                                  <w:r>
                                    <w:rPr>
                                      <w:rFonts w:ascii="標楷體" w:eastAsia="標楷體" w:hAnsi="標楷體"/>
                                      <w:spacing w:val="-10"/>
                                      <w:sz w:val="20"/>
                                    </w:rPr>
                                    <w:t>375,958</w:t>
                                  </w:r>
                                </w:p>
                              </w:tc>
                            </w:tr>
                          </w:tbl>
                          <w:p w14:paraId="12C67C3D" w14:textId="77777777" w:rsidR="00011B62" w:rsidRPr="001454D8" w:rsidRDefault="00011B62" w:rsidP="00011B62">
                            <w:pPr>
                              <w:pStyle w:val="afffa"/>
                              <w:spacing w:line="200" w:lineRule="exact"/>
                              <w:ind w:leftChars="0" w:left="0"/>
                              <w:jc w:val="both"/>
                              <w:rPr>
                                <w:rFonts w:ascii="標楷體" w:eastAsia="標楷體" w:hAnsi="標楷體"/>
                                <w:sz w:val="16"/>
                                <w:szCs w:val="16"/>
                              </w:rPr>
                            </w:pPr>
                            <w:proofErr w:type="gramStart"/>
                            <w:r w:rsidRPr="001454D8">
                              <w:rPr>
                                <w:rFonts w:ascii="標楷體" w:eastAsia="標楷體" w:hAnsi="標楷體" w:hint="eastAsia"/>
                                <w:sz w:val="18"/>
                                <w:szCs w:val="18"/>
                              </w:rPr>
                              <w:t>註</w:t>
                            </w:r>
                            <w:proofErr w:type="gramEnd"/>
                            <w:r w:rsidRPr="001454D8">
                              <w:rPr>
                                <w:rFonts w:ascii="標楷體" w:eastAsia="標楷體" w:hAnsi="標楷體" w:hint="eastAsia"/>
                                <w:sz w:val="18"/>
                                <w:szCs w:val="18"/>
                              </w:rPr>
                              <w:t>：1</w:t>
                            </w:r>
                            <w:r w:rsidRPr="001454D8">
                              <w:rPr>
                                <w:rFonts w:ascii="標楷體" w:eastAsia="標楷體" w:hAnsi="標楷體"/>
                                <w:sz w:val="18"/>
                                <w:szCs w:val="18"/>
                              </w:rPr>
                              <w:t>.</w:t>
                            </w:r>
                            <w:r w:rsidRPr="001454D8">
                              <w:rPr>
                                <w:rFonts w:ascii="標楷體" w:eastAsia="標楷體" w:hAnsi="標楷體" w:hint="eastAsia"/>
                                <w:sz w:val="18"/>
                                <w:szCs w:val="18"/>
                              </w:rPr>
                              <w:t>參觀人次含購票及非購票人次。</w:t>
                            </w:r>
                          </w:p>
                          <w:p w14:paraId="6398EB47" w14:textId="463E0D9E" w:rsidR="00011B62" w:rsidRPr="001454D8" w:rsidRDefault="00011B62" w:rsidP="00011B62">
                            <w:pPr>
                              <w:pStyle w:val="afffa"/>
                              <w:spacing w:line="200" w:lineRule="exact"/>
                              <w:ind w:leftChars="0" w:left="0" w:firstLineChars="202" w:firstLine="364"/>
                              <w:jc w:val="both"/>
                              <w:rPr>
                                <w:sz w:val="18"/>
                                <w:szCs w:val="16"/>
                              </w:rPr>
                            </w:pPr>
                            <w:r w:rsidRPr="001454D8">
                              <w:rPr>
                                <w:rFonts w:ascii="標楷體" w:eastAsia="標楷體" w:hAnsi="標楷體"/>
                                <w:sz w:val="18"/>
                                <w:szCs w:val="16"/>
                              </w:rPr>
                              <w:t>2.</w:t>
                            </w:r>
                            <w:r w:rsidRPr="001454D8">
                              <w:rPr>
                                <w:rFonts w:ascii="標楷體" w:eastAsia="標楷體" w:hAnsi="標楷體" w:hint="eastAsia"/>
                                <w:sz w:val="18"/>
                                <w:szCs w:val="16"/>
                              </w:rPr>
                              <w:t>資</w:t>
                            </w:r>
                            <w:r w:rsidRPr="001454D8">
                              <w:rPr>
                                <w:rFonts w:ascii="標楷體" w:eastAsia="標楷體" w:hAnsi="標楷體"/>
                                <w:sz w:val="18"/>
                                <w:szCs w:val="16"/>
                              </w:rPr>
                              <w:t>料來源</w:t>
                            </w:r>
                            <w:r w:rsidRPr="001454D8">
                              <w:rPr>
                                <w:rFonts w:ascii="標楷體" w:eastAsia="標楷體" w:hAnsi="標楷體" w:hint="eastAsia"/>
                                <w:sz w:val="18"/>
                                <w:szCs w:val="16"/>
                              </w:rPr>
                              <w:t>：整</w:t>
                            </w:r>
                            <w:r w:rsidRPr="001454D8">
                              <w:rPr>
                                <w:rFonts w:ascii="標楷體" w:eastAsia="標楷體" w:hAnsi="標楷體"/>
                                <w:sz w:val="18"/>
                                <w:szCs w:val="16"/>
                              </w:rPr>
                              <w:t>理自</w:t>
                            </w:r>
                            <w:r w:rsidR="004F6ACD">
                              <w:rPr>
                                <w:rFonts w:ascii="標楷體" w:eastAsia="標楷體" w:hAnsi="標楷體" w:hint="eastAsia"/>
                                <w:sz w:val="18"/>
                                <w:szCs w:val="16"/>
                              </w:rPr>
                              <w:t>國立</w:t>
                            </w:r>
                            <w:r w:rsidRPr="001454D8">
                              <w:rPr>
                                <w:rFonts w:ascii="標楷體" w:eastAsia="標楷體" w:hAnsi="標楷體"/>
                                <w:sz w:val="18"/>
                                <w:szCs w:val="16"/>
                              </w:rPr>
                              <w:t>故宮</w:t>
                            </w:r>
                            <w:r w:rsidR="004F6ACD">
                              <w:rPr>
                                <w:rFonts w:ascii="標楷體" w:eastAsia="標楷體" w:hAnsi="標楷體" w:hint="eastAsia"/>
                                <w:sz w:val="18"/>
                                <w:szCs w:val="16"/>
                              </w:rPr>
                              <w:t>博物院</w:t>
                            </w:r>
                            <w:r w:rsidRPr="001454D8">
                              <w:rPr>
                                <w:rFonts w:ascii="標楷體" w:eastAsia="標楷體" w:hAnsi="標楷體"/>
                                <w:sz w:val="18"/>
                                <w:szCs w:val="16"/>
                              </w:rPr>
                              <w:t>提供資料</w:t>
                            </w:r>
                            <w:r w:rsidRPr="001454D8">
                              <w:rPr>
                                <w:rFonts w:ascii="微軟正黑體" w:eastAsia="微軟正黑體" w:hAnsi="微軟正黑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9CFB3" id="文字方塊 17" o:spid="_x0000_s1158" type="#_x0000_t202" style="position:absolute;left:0;text-align:left;margin-left:.05pt;margin-top:14.3pt;width:491.9pt;height:12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" fillcolor="window" stroked="f" strokeweight=".5pt">
                <v:textbox>
                  <w:txbxContent>
                    <w:tbl>
                      <w:tblPr>
                        <w:tblStyle w:val="afff"/>
                        <w:tblW w:w="9498" w:type="dxa"/>
                        <w:tblLayout w:type="fixed"/>
                        <w:tblLook w:val="04A0" w:firstRow="1" w:lastRow="0" w:firstColumn="1" w:lastColumn="0" w:noHBand="0" w:noVBand="1"/>
                      </w:tblPr>
                      <w:tblGrid>
                        <w:gridCol w:w="812"/>
                        <w:gridCol w:w="889"/>
                        <w:gridCol w:w="1299"/>
                        <w:gridCol w:w="1300"/>
                        <w:gridCol w:w="1299"/>
                        <w:gridCol w:w="1300"/>
                        <w:gridCol w:w="1299"/>
                        <w:gridCol w:w="1300"/>
                      </w:tblGrid>
                      <w:tr w:rsidR="00011B62" w:rsidRPr="00E07067" w14:paraId="0D3A4AB1" w14:textId="77777777" w:rsidTr="00D91CA2">
                        <w:tc>
                          <w:tcPr>
                            <w:tcW w:w="9498" w:type="dxa"/>
                            <w:gridSpan w:val="8"/>
                            <w:tcBorders>
                              <w:top w:val="nil"/>
                              <w:left w:val="nil"/>
                              <w:bottom w:val="nil"/>
                              <w:right w:val="nil"/>
                            </w:tcBorders>
                            <w:vAlign w:val="center"/>
                          </w:tcPr>
                          <w:p w14:paraId="3EC7ACBB" w14:textId="77777777" w:rsidR="00011B62" w:rsidRPr="00B30AE0" w:rsidRDefault="00011B62" w:rsidP="006026BD">
                            <w:pPr>
                              <w:pStyle w:val="afffa"/>
                              <w:spacing w:line="240" w:lineRule="exact"/>
                              <w:ind w:leftChars="0" w:left="0"/>
                              <w:jc w:val="center"/>
                              <w:rPr>
                                <w:rFonts w:ascii="標楷體" w:eastAsia="標楷體" w:hAnsi="標楷體"/>
                                <w:b/>
                              </w:rPr>
                            </w:pPr>
                            <w:r w:rsidRPr="00B30AE0">
                              <w:rPr>
                                <w:rFonts w:ascii="標楷體" w:eastAsia="標楷體" w:hAnsi="標楷體"/>
                                <w:b/>
                              </w:rPr>
                              <w:t>表</w:t>
                            </w:r>
                            <w:r>
                              <w:rPr>
                                <w:rFonts w:ascii="標楷體" w:eastAsia="標楷體" w:hAnsi="標楷體"/>
                                <w:b/>
                              </w:rPr>
                              <w:t>49</w:t>
                            </w:r>
                            <w:r w:rsidRPr="00B30AE0">
                              <w:rPr>
                                <w:rFonts w:ascii="標楷體" w:eastAsia="標楷體" w:hAnsi="標楷體" w:hint="eastAsia"/>
                                <w:b/>
                              </w:rPr>
                              <w:t xml:space="preserve">　</w:t>
                            </w:r>
                            <w:r w:rsidRPr="00B30AE0">
                              <w:rPr>
                                <w:rFonts w:ascii="標楷體" w:eastAsia="標楷體" w:hAnsi="標楷體"/>
                                <w:b/>
                              </w:rPr>
                              <w:t>國立故宮博物院參觀人</w:t>
                            </w:r>
                            <w:r>
                              <w:rPr>
                                <w:rFonts w:ascii="標楷體" w:eastAsia="標楷體" w:hAnsi="標楷體" w:hint="eastAsia"/>
                                <w:b/>
                              </w:rPr>
                              <w:t>次</w:t>
                            </w:r>
                            <w:r w:rsidRPr="00B30AE0">
                              <w:rPr>
                                <w:rFonts w:ascii="標楷體" w:eastAsia="標楷體" w:hAnsi="標楷體"/>
                                <w:b/>
                              </w:rPr>
                              <w:t>及門票收入</w:t>
                            </w:r>
                          </w:p>
                        </w:tc>
                      </w:tr>
                      <w:tr w:rsidR="00011B62" w:rsidRPr="00E07067" w14:paraId="6E6B7A43" w14:textId="77777777" w:rsidTr="00D91CA2">
                        <w:tc>
                          <w:tcPr>
                            <w:tcW w:w="9498" w:type="dxa"/>
                            <w:gridSpan w:val="8"/>
                            <w:tcBorders>
                              <w:top w:val="nil"/>
                              <w:left w:val="nil"/>
                              <w:right w:val="nil"/>
                            </w:tcBorders>
                            <w:vAlign w:val="center"/>
                          </w:tcPr>
                          <w:p w14:paraId="10502A17" w14:textId="77777777" w:rsidR="00011B62" w:rsidRPr="00DE580C" w:rsidRDefault="00011B62" w:rsidP="001454D8">
                            <w:pPr>
                              <w:pStyle w:val="afffa"/>
                              <w:spacing w:line="200" w:lineRule="exact"/>
                              <w:ind w:leftChars="0" w:left="0" w:rightChars="-45" w:right="-108"/>
                              <w:jc w:val="right"/>
                              <w:rPr>
                                <w:rFonts w:ascii="標楷體" w:eastAsia="標楷體" w:hAnsi="標楷體"/>
                                <w:sz w:val="20"/>
                                <w:szCs w:val="32"/>
                              </w:rPr>
                            </w:pPr>
                            <w:r w:rsidRPr="00DE580C">
                              <w:rPr>
                                <w:rFonts w:ascii="標楷體" w:eastAsia="標楷體" w:hAnsi="標楷體" w:hint="eastAsia"/>
                                <w:sz w:val="20"/>
                                <w:szCs w:val="32"/>
                              </w:rPr>
                              <w:t>單位：</w:t>
                            </w:r>
                            <w:proofErr w:type="gramStart"/>
                            <w:r w:rsidRPr="00DE580C">
                              <w:rPr>
                                <w:rFonts w:ascii="標楷體" w:eastAsia="標楷體" w:hAnsi="標楷體" w:hint="eastAsia"/>
                                <w:sz w:val="20"/>
                                <w:szCs w:val="32"/>
                              </w:rPr>
                              <w:t>人次、</w:t>
                            </w:r>
                            <w:proofErr w:type="gramEnd"/>
                            <w:r>
                              <w:rPr>
                                <w:rFonts w:ascii="標楷體" w:eastAsia="標楷體" w:hAnsi="標楷體" w:hint="eastAsia"/>
                                <w:sz w:val="20"/>
                                <w:szCs w:val="32"/>
                              </w:rPr>
                              <w:t>新臺幣</w:t>
                            </w:r>
                            <w:r w:rsidRPr="00DE580C">
                              <w:rPr>
                                <w:rFonts w:ascii="標楷體" w:eastAsia="標楷體" w:hAnsi="標楷體" w:hint="eastAsia"/>
                                <w:sz w:val="20"/>
                                <w:szCs w:val="32"/>
                              </w:rPr>
                              <w:t>千元</w:t>
                            </w:r>
                          </w:p>
                        </w:tc>
                      </w:tr>
                      <w:tr w:rsidR="00011B62" w:rsidRPr="00E07067" w14:paraId="27208272" w14:textId="77777777" w:rsidTr="00901DCF">
                        <w:trPr>
                          <w:trHeight w:val="410"/>
                        </w:trPr>
                        <w:tc>
                          <w:tcPr>
                            <w:tcW w:w="1701" w:type="dxa"/>
                            <w:gridSpan w:val="2"/>
                            <w:tcBorders>
                              <w:tl2br w:val="single" w:sz="4" w:space="0" w:color="auto"/>
                            </w:tcBorders>
                            <w:vAlign w:val="center"/>
                          </w:tcPr>
                          <w:p w14:paraId="2C3E483D" w14:textId="77777777" w:rsidR="00011B62" w:rsidRPr="00B30AE0" w:rsidRDefault="00011B62" w:rsidP="00901DCF">
                            <w:pPr>
                              <w:pStyle w:val="afffa"/>
                              <w:spacing w:line="200" w:lineRule="exact"/>
                              <w:ind w:leftChars="0" w:left="0" w:rightChars="55" w:right="132"/>
                              <w:jc w:val="right"/>
                              <w:rPr>
                                <w:rFonts w:ascii="標楷體" w:eastAsia="標楷體" w:hAnsi="標楷體"/>
                                <w:sz w:val="20"/>
                              </w:rPr>
                            </w:pPr>
                            <w:r w:rsidRPr="00B30AE0">
                              <w:rPr>
                                <w:rFonts w:ascii="標楷體" w:eastAsia="標楷體" w:hAnsi="標楷體"/>
                                <w:sz w:val="20"/>
                              </w:rPr>
                              <w:t>年度</w:t>
                            </w:r>
                          </w:p>
                          <w:p w14:paraId="6C661536" w14:textId="77777777" w:rsidR="00011B62" w:rsidRPr="00B30AE0" w:rsidRDefault="00011B62" w:rsidP="00901DCF">
                            <w:pPr>
                              <w:pStyle w:val="afffa"/>
                              <w:spacing w:line="200" w:lineRule="exact"/>
                              <w:ind w:leftChars="0" w:left="0" w:firstLineChars="51" w:firstLine="102"/>
                              <w:jc w:val="both"/>
                              <w:rPr>
                                <w:rFonts w:ascii="標楷體" w:eastAsia="標楷體" w:hAnsi="標楷體"/>
                                <w:sz w:val="20"/>
                              </w:rPr>
                            </w:pPr>
                            <w:r>
                              <w:rPr>
                                <w:rFonts w:ascii="標楷體" w:eastAsia="標楷體" w:hAnsi="標楷體" w:hint="eastAsia"/>
                                <w:sz w:val="20"/>
                              </w:rPr>
                              <w:t>項目</w:t>
                            </w:r>
                          </w:p>
                        </w:tc>
                        <w:tc>
                          <w:tcPr>
                            <w:tcW w:w="1299" w:type="dxa"/>
                            <w:vAlign w:val="center"/>
                          </w:tcPr>
                          <w:p w14:paraId="2348BCA5"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108</w:t>
                            </w:r>
                          </w:p>
                        </w:tc>
                        <w:tc>
                          <w:tcPr>
                            <w:tcW w:w="1300" w:type="dxa"/>
                            <w:vAlign w:val="center"/>
                          </w:tcPr>
                          <w:p w14:paraId="3879BB84"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109</w:t>
                            </w:r>
                          </w:p>
                        </w:tc>
                        <w:tc>
                          <w:tcPr>
                            <w:tcW w:w="1299" w:type="dxa"/>
                            <w:vAlign w:val="center"/>
                          </w:tcPr>
                          <w:p w14:paraId="311B8BEC"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110</w:t>
                            </w:r>
                          </w:p>
                        </w:tc>
                        <w:tc>
                          <w:tcPr>
                            <w:tcW w:w="1300" w:type="dxa"/>
                            <w:vAlign w:val="center"/>
                          </w:tcPr>
                          <w:p w14:paraId="08D3B5D4"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111</w:t>
                            </w:r>
                          </w:p>
                        </w:tc>
                        <w:tc>
                          <w:tcPr>
                            <w:tcW w:w="1299" w:type="dxa"/>
                            <w:vAlign w:val="center"/>
                          </w:tcPr>
                          <w:p w14:paraId="3CF3385E"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112</w:t>
                            </w:r>
                          </w:p>
                        </w:tc>
                        <w:tc>
                          <w:tcPr>
                            <w:tcW w:w="1300" w:type="dxa"/>
                            <w:vAlign w:val="center"/>
                          </w:tcPr>
                          <w:p w14:paraId="59C64A62"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113</w:t>
                            </w:r>
                          </w:p>
                        </w:tc>
                      </w:tr>
                      <w:tr w:rsidR="00011B62" w:rsidRPr="00E07067" w14:paraId="20B3F216" w14:textId="77777777" w:rsidTr="00901DCF">
                        <w:trPr>
                          <w:trHeight w:val="236"/>
                        </w:trPr>
                        <w:tc>
                          <w:tcPr>
                            <w:tcW w:w="812" w:type="dxa"/>
                            <w:vMerge w:val="restart"/>
                            <w:tcBorders>
                              <w:right w:val="single" w:sz="4" w:space="0" w:color="auto"/>
                            </w:tcBorders>
                            <w:vAlign w:val="center"/>
                          </w:tcPr>
                          <w:p w14:paraId="25391806" w14:textId="77777777" w:rsidR="00011B62" w:rsidRDefault="00011B62" w:rsidP="006A4AEC">
                            <w:pPr>
                              <w:pStyle w:val="afffa"/>
                              <w:spacing w:line="200" w:lineRule="exact"/>
                              <w:ind w:leftChars="0" w:left="0"/>
                              <w:jc w:val="center"/>
                              <w:rPr>
                                <w:rFonts w:ascii="標楷體" w:eastAsia="標楷體" w:hAnsi="標楷體"/>
                                <w:sz w:val="20"/>
                              </w:rPr>
                            </w:pPr>
                            <w:r w:rsidRPr="00B30AE0">
                              <w:rPr>
                                <w:rFonts w:ascii="標楷體" w:eastAsia="標楷體" w:hAnsi="標楷體" w:hint="eastAsia"/>
                                <w:sz w:val="20"/>
                              </w:rPr>
                              <w:t>參觀</w:t>
                            </w:r>
                          </w:p>
                          <w:p w14:paraId="1A5B5208" w14:textId="77777777" w:rsidR="00011B62" w:rsidRDefault="00011B62" w:rsidP="006A4AEC">
                            <w:pPr>
                              <w:pStyle w:val="afffa"/>
                              <w:spacing w:line="200" w:lineRule="exact"/>
                              <w:ind w:leftChars="0" w:left="0"/>
                              <w:jc w:val="center"/>
                              <w:rPr>
                                <w:rFonts w:ascii="標楷體" w:eastAsia="標楷體" w:hAnsi="標楷體"/>
                                <w:sz w:val="20"/>
                              </w:rPr>
                            </w:pPr>
                            <w:r w:rsidRPr="00B30AE0">
                              <w:rPr>
                                <w:rFonts w:ascii="標楷體" w:eastAsia="標楷體" w:hAnsi="標楷體" w:hint="eastAsia"/>
                                <w:sz w:val="20"/>
                              </w:rPr>
                              <w:t>人次</w:t>
                            </w:r>
                          </w:p>
                          <w:p w14:paraId="3C66CB0F" w14:textId="77777777" w:rsidR="00011B62" w:rsidRPr="00D91CA2" w:rsidRDefault="00011B62" w:rsidP="006A4AEC">
                            <w:pPr>
                              <w:pStyle w:val="afffa"/>
                              <w:spacing w:line="200" w:lineRule="exact"/>
                              <w:ind w:leftChars="0" w:left="0"/>
                              <w:jc w:val="both"/>
                              <w:rPr>
                                <w:rFonts w:ascii="標楷體" w:eastAsia="標楷體" w:hAnsi="標楷體"/>
                                <w:spacing w:val="-24"/>
                                <w:sz w:val="20"/>
                              </w:rPr>
                            </w:pPr>
                            <w:r w:rsidRPr="00D91CA2">
                              <w:rPr>
                                <w:rFonts w:ascii="標楷體" w:eastAsia="標楷體" w:hAnsi="標楷體" w:hint="eastAsia"/>
                                <w:spacing w:val="-24"/>
                                <w:sz w:val="20"/>
                              </w:rPr>
                              <w:t>（</w:t>
                            </w:r>
                            <w:proofErr w:type="gramStart"/>
                            <w:r w:rsidRPr="00D91CA2">
                              <w:rPr>
                                <w:rFonts w:ascii="標楷體" w:eastAsia="標楷體" w:hAnsi="標楷體" w:hint="eastAsia"/>
                                <w:spacing w:val="-24"/>
                                <w:sz w:val="20"/>
                              </w:rPr>
                              <w:t>註</w:t>
                            </w:r>
                            <w:proofErr w:type="gramEnd"/>
                            <w:r w:rsidRPr="00D91CA2">
                              <w:rPr>
                                <w:rFonts w:ascii="標楷體" w:eastAsia="標楷體" w:hAnsi="標楷體" w:hint="eastAsia"/>
                                <w:spacing w:val="-24"/>
                                <w:sz w:val="20"/>
                              </w:rPr>
                              <w:t>1）</w:t>
                            </w:r>
                          </w:p>
                        </w:tc>
                        <w:tc>
                          <w:tcPr>
                            <w:tcW w:w="889" w:type="dxa"/>
                            <w:tcBorders>
                              <w:left w:val="single" w:sz="4" w:space="0" w:color="auto"/>
                            </w:tcBorders>
                            <w:vAlign w:val="center"/>
                          </w:tcPr>
                          <w:p w14:paraId="4E88C33C" w14:textId="77777777" w:rsidR="00011B62" w:rsidRPr="00B30AE0" w:rsidRDefault="00011B62" w:rsidP="006A4AEC">
                            <w:pPr>
                              <w:pStyle w:val="afffa"/>
                              <w:spacing w:line="200" w:lineRule="exact"/>
                              <w:ind w:leftChars="0" w:left="0"/>
                              <w:jc w:val="center"/>
                              <w:rPr>
                                <w:rFonts w:ascii="標楷體" w:eastAsia="標楷體" w:hAnsi="標楷體"/>
                                <w:b/>
                                <w:sz w:val="20"/>
                              </w:rPr>
                            </w:pPr>
                            <w:r w:rsidRPr="00B30AE0">
                              <w:rPr>
                                <w:rFonts w:ascii="標楷體" w:eastAsia="標楷體" w:hAnsi="標楷體"/>
                                <w:b/>
                                <w:sz w:val="20"/>
                              </w:rPr>
                              <w:t>合計</w:t>
                            </w:r>
                          </w:p>
                        </w:tc>
                        <w:tc>
                          <w:tcPr>
                            <w:tcW w:w="1299" w:type="dxa"/>
                            <w:vAlign w:val="center"/>
                          </w:tcPr>
                          <w:p w14:paraId="6FB6A4E5"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4,881,635</w:t>
                            </w:r>
                          </w:p>
                        </w:tc>
                        <w:tc>
                          <w:tcPr>
                            <w:tcW w:w="1300" w:type="dxa"/>
                            <w:vAlign w:val="center"/>
                          </w:tcPr>
                          <w:p w14:paraId="4CE0C5B3"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1,697,544</w:t>
                            </w:r>
                          </w:p>
                        </w:tc>
                        <w:tc>
                          <w:tcPr>
                            <w:tcW w:w="1299" w:type="dxa"/>
                            <w:vAlign w:val="center"/>
                          </w:tcPr>
                          <w:p w14:paraId="660D3C11"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1,153,323</w:t>
                            </w:r>
                          </w:p>
                        </w:tc>
                        <w:tc>
                          <w:tcPr>
                            <w:tcW w:w="1300" w:type="dxa"/>
                            <w:vAlign w:val="center"/>
                          </w:tcPr>
                          <w:p w14:paraId="24C6426D"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1,592,534</w:t>
                            </w:r>
                          </w:p>
                        </w:tc>
                        <w:tc>
                          <w:tcPr>
                            <w:tcW w:w="1299" w:type="dxa"/>
                            <w:vAlign w:val="center"/>
                          </w:tcPr>
                          <w:p w14:paraId="64EF18CD"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b/>
                                <w:spacing w:val="-10"/>
                                <w:sz w:val="20"/>
                              </w:rPr>
                              <w:t>2,506,486</w:t>
                            </w:r>
                          </w:p>
                        </w:tc>
                        <w:tc>
                          <w:tcPr>
                            <w:tcW w:w="1300" w:type="dxa"/>
                            <w:vAlign w:val="center"/>
                          </w:tcPr>
                          <w:p w14:paraId="43975C12" w14:textId="77777777" w:rsidR="00011B62" w:rsidRPr="00B30AE0" w:rsidRDefault="00011B62" w:rsidP="006A4AEC">
                            <w:pPr>
                              <w:pStyle w:val="afffa"/>
                              <w:spacing w:line="200" w:lineRule="exact"/>
                              <w:ind w:leftChars="0" w:left="0"/>
                              <w:jc w:val="right"/>
                              <w:rPr>
                                <w:rFonts w:ascii="標楷體" w:eastAsia="標楷體" w:hAnsi="標楷體"/>
                                <w:b/>
                                <w:spacing w:val="-10"/>
                                <w:sz w:val="20"/>
                              </w:rPr>
                            </w:pPr>
                            <w:r w:rsidRPr="00B30AE0">
                              <w:rPr>
                                <w:rFonts w:ascii="標楷體" w:eastAsia="標楷體" w:hAnsi="標楷體" w:hint="eastAsia"/>
                                <w:b/>
                                <w:spacing w:val="-10"/>
                                <w:sz w:val="20"/>
                              </w:rPr>
                              <w:t>2</w:t>
                            </w:r>
                            <w:r w:rsidRPr="00B30AE0">
                              <w:rPr>
                                <w:rFonts w:ascii="標楷體" w:eastAsia="標楷體" w:hAnsi="標楷體"/>
                                <w:b/>
                                <w:spacing w:val="-10"/>
                                <w:sz w:val="20"/>
                              </w:rPr>
                              <w:t>,</w:t>
                            </w:r>
                            <w:r>
                              <w:rPr>
                                <w:rFonts w:ascii="標楷體" w:eastAsia="標楷體" w:hAnsi="標楷體"/>
                                <w:b/>
                                <w:spacing w:val="-10"/>
                                <w:sz w:val="20"/>
                              </w:rPr>
                              <w:t>871,707</w:t>
                            </w:r>
                          </w:p>
                        </w:tc>
                      </w:tr>
                      <w:tr w:rsidR="00011B62" w:rsidRPr="00E07067" w14:paraId="398A85FF" w14:textId="77777777" w:rsidTr="00901DCF">
                        <w:trPr>
                          <w:trHeight w:val="236"/>
                        </w:trPr>
                        <w:tc>
                          <w:tcPr>
                            <w:tcW w:w="812" w:type="dxa"/>
                            <w:vMerge/>
                            <w:tcBorders>
                              <w:right w:val="single" w:sz="4" w:space="0" w:color="auto"/>
                            </w:tcBorders>
                            <w:vAlign w:val="center"/>
                          </w:tcPr>
                          <w:p w14:paraId="325AFDC6" w14:textId="77777777" w:rsidR="00011B62" w:rsidRPr="00B30AE0" w:rsidRDefault="00011B62" w:rsidP="006A4AEC">
                            <w:pPr>
                              <w:pStyle w:val="afffa"/>
                              <w:spacing w:line="200" w:lineRule="exact"/>
                              <w:ind w:leftChars="0" w:left="0"/>
                              <w:jc w:val="center"/>
                              <w:rPr>
                                <w:rFonts w:ascii="標楷體" w:eastAsia="標楷體" w:hAnsi="標楷體"/>
                                <w:sz w:val="20"/>
                              </w:rPr>
                            </w:pPr>
                          </w:p>
                        </w:tc>
                        <w:tc>
                          <w:tcPr>
                            <w:tcW w:w="889" w:type="dxa"/>
                            <w:tcBorders>
                              <w:left w:val="single" w:sz="4" w:space="0" w:color="auto"/>
                            </w:tcBorders>
                            <w:vAlign w:val="center"/>
                          </w:tcPr>
                          <w:p w14:paraId="67C66F37" w14:textId="77777777" w:rsidR="00011B62" w:rsidRPr="00B30AE0" w:rsidRDefault="00011B62" w:rsidP="006A4AEC">
                            <w:pPr>
                              <w:pStyle w:val="afffa"/>
                              <w:spacing w:line="200" w:lineRule="exact"/>
                              <w:ind w:leftChars="0" w:left="0"/>
                              <w:jc w:val="center"/>
                              <w:rPr>
                                <w:rFonts w:ascii="標楷體" w:eastAsia="標楷體" w:hAnsi="標楷體"/>
                                <w:sz w:val="20"/>
                              </w:rPr>
                            </w:pPr>
                            <w:proofErr w:type="gramStart"/>
                            <w:r w:rsidRPr="00B30AE0">
                              <w:rPr>
                                <w:rFonts w:ascii="標楷體" w:eastAsia="標楷體" w:hAnsi="標楷體"/>
                                <w:sz w:val="20"/>
                              </w:rPr>
                              <w:t>北院</w:t>
                            </w:r>
                            <w:proofErr w:type="gramEnd"/>
                          </w:p>
                        </w:tc>
                        <w:tc>
                          <w:tcPr>
                            <w:tcW w:w="1299" w:type="dxa"/>
                            <w:vAlign w:val="center"/>
                          </w:tcPr>
                          <w:p w14:paraId="42A58C76"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3,832,373</w:t>
                            </w:r>
                          </w:p>
                        </w:tc>
                        <w:tc>
                          <w:tcPr>
                            <w:tcW w:w="1300" w:type="dxa"/>
                            <w:vAlign w:val="center"/>
                          </w:tcPr>
                          <w:p w14:paraId="640A71E4"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642,163</w:t>
                            </w:r>
                          </w:p>
                        </w:tc>
                        <w:tc>
                          <w:tcPr>
                            <w:tcW w:w="1299" w:type="dxa"/>
                            <w:vAlign w:val="center"/>
                          </w:tcPr>
                          <w:p w14:paraId="7FC02EA9"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416,836</w:t>
                            </w:r>
                          </w:p>
                        </w:tc>
                        <w:tc>
                          <w:tcPr>
                            <w:tcW w:w="1300" w:type="dxa"/>
                            <w:vAlign w:val="center"/>
                          </w:tcPr>
                          <w:p w14:paraId="0ACB0CBF"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552,639</w:t>
                            </w:r>
                          </w:p>
                        </w:tc>
                        <w:tc>
                          <w:tcPr>
                            <w:tcW w:w="1299" w:type="dxa"/>
                            <w:tcBorders>
                              <w:bottom w:val="single" w:sz="4" w:space="0" w:color="000000"/>
                            </w:tcBorders>
                            <w:vAlign w:val="center"/>
                          </w:tcPr>
                          <w:p w14:paraId="2AB4BEE6"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1,552,190</w:t>
                            </w:r>
                          </w:p>
                        </w:tc>
                        <w:tc>
                          <w:tcPr>
                            <w:tcW w:w="1300" w:type="dxa"/>
                            <w:vAlign w:val="center"/>
                          </w:tcPr>
                          <w:p w14:paraId="730C4A47"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Pr>
                                <w:rFonts w:ascii="標楷體" w:eastAsia="標楷體" w:hAnsi="標楷體"/>
                                <w:spacing w:val="-10"/>
                                <w:sz w:val="20"/>
                              </w:rPr>
                              <w:t>1</w:t>
                            </w:r>
                            <w:r>
                              <w:rPr>
                                <w:rFonts w:ascii="標楷體" w:eastAsia="標楷體" w:hAnsi="標楷體" w:hint="eastAsia"/>
                                <w:spacing w:val="-10"/>
                                <w:sz w:val="20"/>
                              </w:rPr>
                              <w:t>,</w:t>
                            </w:r>
                            <w:r>
                              <w:rPr>
                                <w:rFonts w:ascii="標楷體" w:eastAsia="標楷體" w:hAnsi="標楷體"/>
                                <w:spacing w:val="-10"/>
                                <w:sz w:val="20"/>
                              </w:rPr>
                              <w:t>874,994</w:t>
                            </w:r>
                          </w:p>
                        </w:tc>
                      </w:tr>
                      <w:tr w:rsidR="00011B62" w:rsidRPr="00E07067" w14:paraId="3672DBF8" w14:textId="77777777" w:rsidTr="00901DCF">
                        <w:trPr>
                          <w:trHeight w:val="236"/>
                        </w:trPr>
                        <w:tc>
                          <w:tcPr>
                            <w:tcW w:w="812" w:type="dxa"/>
                            <w:vMerge/>
                            <w:tcBorders>
                              <w:right w:val="single" w:sz="4" w:space="0" w:color="auto"/>
                            </w:tcBorders>
                            <w:vAlign w:val="center"/>
                          </w:tcPr>
                          <w:p w14:paraId="12435963" w14:textId="77777777" w:rsidR="00011B62" w:rsidRPr="00B30AE0" w:rsidRDefault="00011B62" w:rsidP="006A4AEC">
                            <w:pPr>
                              <w:pStyle w:val="afffa"/>
                              <w:spacing w:line="200" w:lineRule="exact"/>
                              <w:ind w:leftChars="0" w:left="0"/>
                              <w:jc w:val="center"/>
                              <w:rPr>
                                <w:rFonts w:ascii="標楷體" w:eastAsia="標楷體" w:hAnsi="標楷體"/>
                                <w:sz w:val="20"/>
                              </w:rPr>
                            </w:pPr>
                          </w:p>
                        </w:tc>
                        <w:tc>
                          <w:tcPr>
                            <w:tcW w:w="889" w:type="dxa"/>
                            <w:tcBorders>
                              <w:left w:val="single" w:sz="4" w:space="0" w:color="auto"/>
                            </w:tcBorders>
                            <w:vAlign w:val="center"/>
                          </w:tcPr>
                          <w:p w14:paraId="3CC8E4F6" w14:textId="77777777" w:rsidR="00011B62" w:rsidRPr="00B30AE0" w:rsidRDefault="00011B62" w:rsidP="006A4AEC">
                            <w:pPr>
                              <w:pStyle w:val="afffa"/>
                              <w:spacing w:line="200" w:lineRule="exact"/>
                              <w:ind w:leftChars="0" w:left="0"/>
                              <w:jc w:val="center"/>
                              <w:rPr>
                                <w:rFonts w:ascii="標楷體" w:eastAsia="標楷體" w:hAnsi="標楷體"/>
                                <w:sz w:val="20"/>
                              </w:rPr>
                            </w:pPr>
                            <w:r w:rsidRPr="00B30AE0">
                              <w:rPr>
                                <w:rFonts w:ascii="標楷體" w:eastAsia="標楷體" w:hAnsi="標楷體"/>
                                <w:sz w:val="20"/>
                              </w:rPr>
                              <w:t>南院</w:t>
                            </w:r>
                          </w:p>
                        </w:tc>
                        <w:tc>
                          <w:tcPr>
                            <w:tcW w:w="1299" w:type="dxa"/>
                            <w:vAlign w:val="center"/>
                          </w:tcPr>
                          <w:p w14:paraId="02047B7A"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1,049,262</w:t>
                            </w:r>
                          </w:p>
                        </w:tc>
                        <w:tc>
                          <w:tcPr>
                            <w:tcW w:w="1300" w:type="dxa"/>
                            <w:vAlign w:val="center"/>
                          </w:tcPr>
                          <w:p w14:paraId="01019D17"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1,055,381</w:t>
                            </w:r>
                          </w:p>
                        </w:tc>
                        <w:tc>
                          <w:tcPr>
                            <w:tcW w:w="1299" w:type="dxa"/>
                            <w:vAlign w:val="center"/>
                          </w:tcPr>
                          <w:p w14:paraId="35F41D73"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736,487</w:t>
                            </w:r>
                          </w:p>
                        </w:tc>
                        <w:tc>
                          <w:tcPr>
                            <w:tcW w:w="1300" w:type="dxa"/>
                            <w:vAlign w:val="center"/>
                          </w:tcPr>
                          <w:p w14:paraId="711AA80C" w14:textId="77777777" w:rsidR="00011B62" w:rsidRPr="00B30AE0" w:rsidRDefault="00011B62" w:rsidP="006A4AEC">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1,039,895</w:t>
                            </w:r>
                          </w:p>
                        </w:tc>
                        <w:tc>
                          <w:tcPr>
                            <w:tcW w:w="1299" w:type="dxa"/>
                            <w:shd w:val="clear" w:color="auto" w:fill="auto"/>
                            <w:vAlign w:val="center"/>
                          </w:tcPr>
                          <w:p w14:paraId="26ADDB4F" w14:textId="77777777" w:rsidR="00011B62" w:rsidRPr="00026EAE" w:rsidRDefault="00011B62" w:rsidP="006A4AEC">
                            <w:pPr>
                              <w:pStyle w:val="afffa"/>
                              <w:spacing w:line="200" w:lineRule="exact"/>
                              <w:ind w:leftChars="0" w:left="0"/>
                              <w:jc w:val="right"/>
                              <w:rPr>
                                <w:rFonts w:ascii="標楷體" w:eastAsia="標楷體" w:hAnsi="標楷體"/>
                                <w:spacing w:val="-10"/>
                                <w:sz w:val="20"/>
                              </w:rPr>
                            </w:pPr>
                            <w:r w:rsidRPr="00026EAE">
                              <w:rPr>
                                <w:rFonts w:ascii="標楷體" w:eastAsia="標楷體" w:hAnsi="標楷體"/>
                                <w:spacing w:val="-10"/>
                                <w:sz w:val="20"/>
                              </w:rPr>
                              <w:t>954,296</w:t>
                            </w:r>
                          </w:p>
                        </w:tc>
                        <w:tc>
                          <w:tcPr>
                            <w:tcW w:w="1300" w:type="dxa"/>
                            <w:shd w:val="clear" w:color="auto" w:fill="auto"/>
                            <w:vAlign w:val="center"/>
                          </w:tcPr>
                          <w:p w14:paraId="76C31E6B" w14:textId="77777777" w:rsidR="00011B62" w:rsidRPr="00026EAE" w:rsidRDefault="00011B62" w:rsidP="006A4AEC">
                            <w:pPr>
                              <w:pStyle w:val="afffa"/>
                              <w:spacing w:line="200" w:lineRule="exact"/>
                              <w:ind w:leftChars="0" w:left="0"/>
                              <w:jc w:val="right"/>
                              <w:rPr>
                                <w:rFonts w:ascii="標楷體" w:eastAsia="標楷體" w:hAnsi="標楷體"/>
                                <w:spacing w:val="-10"/>
                                <w:sz w:val="20"/>
                              </w:rPr>
                            </w:pPr>
                            <w:r>
                              <w:rPr>
                                <w:rFonts w:ascii="標楷體" w:eastAsia="標楷體" w:hAnsi="標楷體"/>
                                <w:spacing w:val="-10"/>
                                <w:sz w:val="20"/>
                              </w:rPr>
                              <w:t>996,713</w:t>
                            </w:r>
                          </w:p>
                        </w:tc>
                      </w:tr>
                      <w:tr w:rsidR="00011B62" w:rsidRPr="00E07067" w14:paraId="4B3030A1" w14:textId="77777777" w:rsidTr="00901DCF">
                        <w:trPr>
                          <w:trHeight w:val="236"/>
                        </w:trPr>
                        <w:tc>
                          <w:tcPr>
                            <w:tcW w:w="1701" w:type="dxa"/>
                            <w:gridSpan w:val="2"/>
                            <w:vAlign w:val="center"/>
                          </w:tcPr>
                          <w:p w14:paraId="6F6D7E8D" w14:textId="77777777" w:rsidR="00011B62" w:rsidRPr="00B30AE0" w:rsidRDefault="00011B62" w:rsidP="001454D8">
                            <w:pPr>
                              <w:pStyle w:val="afffa"/>
                              <w:spacing w:line="200" w:lineRule="exact"/>
                              <w:ind w:leftChars="0" w:left="0"/>
                              <w:jc w:val="center"/>
                              <w:rPr>
                                <w:rFonts w:ascii="標楷體" w:eastAsia="標楷體" w:hAnsi="標楷體"/>
                                <w:sz w:val="20"/>
                              </w:rPr>
                            </w:pPr>
                            <w:r w:rsidRPr="00B30AE0">
                              <w:rPr>
                                <w:rFonts w:ascii="標楷體" w:eastAsia="標楷體" w:hAnsi="標楷體" w:hint="eastAsia"/>
                                <w:sz w:val="20"/>
                              </w:rPr>
                              <w:t>門票收入</w:t>
                            </w:r>
                          </w:p>
                        </w:tc>
                        <w:tc>
                          <w:tcPr>
                            <w:tcW w:w="1299" w:type="dxa"/>
                            <w:vAlign w:val="center"/>
                          </w:tcPr>
                          <w:p w14:paraId="569CCFAC"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852,941</w:t>
                            </w:r>
                          </w:p>
                        </w:tc>
                        <w:tc>
                          <w:tcPr>
                            <w:tcW w:w="1300" w:type="dxa"/>
                            <w:vAlign w:val="center"/>
                          </w:tcPr>
                          <w:p w14:paraId="58D7DB6A"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101,607</w:t>
                            </w:r>
                          </w:p>
                        </w:tc>
                        <w:tc>
                          <w:tcPr>
                            <w:tcW w:w="1299" w:type="dxa"/>
                            <w:vAlign w:val="center"/>
                          </w:tcPr>
                          <w:p w14:paraId="6C095ADB"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36,671</w:t>
                            </w:r>
                          </w:p>
                        </w:tc>
                        <w:tc>
                          <w:tcPr>
                            <w:tcW w:w="1300" w:type="dxa"/>
                            <w:vAlign w:val="center"/>
                          </w:tcPr>
                          <w:p w14:paraId="3DEF6C3C" w14:textId="77777777" w:rsidR="00011B62" w:rsidRPr="00B30AE0" w:rsidRDefault="00011B62" w:rsidP="001454D8">
                            <w:pPr>
                              <w:pStyle w:val="afffa"/>
                              <w:spacing w:line="200" w:lineRule="exact"/>
                              <w:ind w:leftChars="0" w:left="0"/>
                              <w:jc w:val="right"/>
                              <w:rPr>
                                <w:rFonts w:ascii="標楷體" w:eastAsia="標楷體" w:hAnsi="標楷體"/>
                                <w:spacing w:val="-10"/>
                                <w:sz w:val="20"/>
                              </w:rPr>
                            </w:pPr>
                            <w:r w:rsidRPr="00B30AE0">
                              <w:rPr>
                                <w:rFonts w:ascii="標楷體" w:eastAsia="標楷體" w:hAnsi="標楷體"/>
                                <w:spacing w:val="-10"/>
                                <w:sz w:val="20"/>
                              </w:rPr>
                              <w:t>69,803</w:t>
                            </w:r>
                          </w:p>
                        </w:tc>
                        <w:tc>
                          <w:tcPr>
                            <w:tcW w:w="1299" w:type="dxa"/>
                            <w:shd w:val="clear" w:color="auto" w:fill="auto"/>
                            <w:vAlign w:val="center"/>
                          </w:tcPr>
                          <w:p w14:paraId="25180A32" w14:textId="77777777" w:rsidR="00011B62" w:rsidRPr="00026EAE" w:rsidRDefault="00011B62" w:rsidP="001454D8">
                            <w:pPr>
                              <w:pStyle w:val="afffa"/>
                              <w:spacing w:line="200" w:lineRule="exact"/>
                              <w:ind w:leftChars="0" w:left="0"/>
                              <w:jc w:val="right"/>
                              <w:rPr>
                                <w:rFonts w:ascii="標楷體" w:eastAsia="標楷體" w:hAnsi="標楷體"/>
                                <w:spacing w:val="-10"/>
                                <w:sz w:val="20"/>
                              </w:rPr>
                            </w:pPr>
                            <w:r w:rsidRPr="00026EAE">
                              <w:rPr>
                                <w:rFonts w:ascii="標楷體" w:eastAsia="標楷體" w:hAnsi="標楷體"/>
                                <w:spacing w:val="-10"/>
                                <w:sz w:val="20"/>
                              </w:rPr>
                              <w:t>306,775</w:t>
                            </w:r>
                          </w:p>
                        </w:tc>
                        <w:tc>
                          <w:tcPr>
                            <w:tcW w:w="1300" w:type="dxa"/>
                            <w:shd w:val="clear" w:color="auto" w:fill="auto"/>
                            <w:vAlign w:val="center"/>
                          </w:tcPr>
                          <w:p w14:paraId="264BF62F" w14:textId="77777777" w:rsidR="00011B62" w:rsidRPr="00026EAE" w:rsidRDefault="00011B62" w:rsidP="001454D8">
                            <w:pPr>
                              <w:pStyle w:val="afffa"/>
                              <w:spacing w:line="200" w:lineRule="exact"/>
                              <w:ind w:leftChars="0" w:left="0"/>
                              <w:jc w:val="right"/>
                              <w:rPr>
                                <w:rFonts w:ascii="標楷體" w:eastAsia="標楷體" w:hAnsi="標楷體"/>
                                <w:spacing w:val="-10"/>
                                <w:sz w:val="20"/>
                              </w:rPr>
                            </w:pPr>
                            <w:r>
                              <w:rPr>
                                <w:rFonts w:ascii="標楷體" w:eastAsia="標楷體" w:hAnsi="標楷體"/>
                                <w:spacing w:val="-10"/>
                                <w:sz w:val="20"/>
                              </w:rPr>
                              <w:t>375,958</w:t>
                            </w:r>
                          </w:p>
                        </w:tc>
                      </w:tr>
                    </w:tbl>
                    <w:p w14:paraId="12C67C3D" w14:textId="77777777" w:rsidR="00011B62" w:rsidRPr="001454D8" w:rsidRDefault="00011B62" w:rsidP="00011B62">
                      <w:pPr>
                        <w:pStyle w:val="afffa"/>
                        <w:spacing w:line="200" w:lineRule="exact"/>
                        <w:ind w:leftChars="0" w:left="0"/>
                        <w:jc w:val="both"/>
                        <w:rPr>
                          <w:rFonts w:ascii="標楷體" w:eastAsia="標楷體" w:hAnsi="標楷體"/>
                          <w:sz w:val="16"/>
                          <w:szCs w:val="16"/>
                        </w:rPr>
                      </w:pPr>
                      <w:proofErr w:type="gramStart"/>
                      <w:r w:rsidRPr="001454D8">
                        <w:rPr>
                          <w:rFonts w:ascii="標楷體" w:eastAsia="標楷體" w:hAnsi="標楷體" w:hint="eastAsia"/>
                          <w:sz w:val="18"/>
                          <w:szCs w:val="18"/>
                        </w:rPr>
                        <w:t>註</w:t>
                      </w:r>
                      <w:proofErr w:type="gramEnd"/>
                      <w:r w:rsidRPr="001454D8">
                        <w:rPr>
                          <w:rFonts w:ascii="標楷體" w:eastAsia="標楷體" w:hAnsi="標楷體" w:hint="eastAsia"/>
                          <w:sz w:val="18"/>
                          <w:szCs w:val="18"/>
                        </w:rPr>
                        <w:t>：1</w:t>
                      </w:r>
                      <w:r w:rsidRPr="001454D8">
                        <w:rPr>
                          <w:rFonts w:ascii="標楷體" w:eastAsia="標楷體" w:hAnsi="標楷體"/>
                          <w:sz w:val="18"/>
                          <w:szCs w:val="18"/>
                        </w:rPr>
                        <w:t>.</w:t>
                      </w:r>
                      <w:r w:rsidRPr="001454D8">
                        <w:rPr>
                          <w:rFonts w:ascii="標楷體" w:eastAsia="標楷體" w:hAnsi="標楷體" w:hint="eastAsia"/>
                          <w:sz w:val="18"/>
                          <w:szCs w:val="18"/>
                        </w:rPr>
                        <w:t>參觀人次含購票及非購票人次。</w:t>
                      </w:r>
                    </w:p>
                    <w:p w14:paraId="6398EB47" w14:textId="463E0D9E" w:rsidR="00011B62" w:rsidRPr="001454D8" w:rsidRDefault="00011B62" w:rsidP="00011B62">
                      <w:pPr>
                        <w:pStyle w:val="afffa"/>
                        <w:spacing w:line="200" w:lineRule="exact"/>
                        <w:ind w:leftChars="0" w:left="0" w:firstLineChars="202" w:firstLine="364"/>
                        <w:jc w:val="both"/>
                        <w:rPr>
                          <w:sz w:val="18"/>
                          <w:szCs w:val="16"/>
                        </w:rPr>
                      </w:pPr>
                      <w:r w:rsidRPr="001454D8">
                        <w:rPr>
                          <w:rFonts w:ascii="標楷體" w:eastAsia="標楷體" w:hAnsi="標楷體"/>
                          <w:sz w:val="18"/>
                          <w:szCs w:val="16"/>
                        </w:rPr>
                        <w:t>2.</w:t>
                      </w:r>
                      <w:r w:rsidRPr="001454D8">
                        <w:rPr>
                          <w:rFonts w:ascii="標楷體" w:eastAsia="標楷體" w:hAnsi="標楷體" w:hint="eastAsia"/>
                          <w:sz w:val="18"/>
                          <w:szCs w:val="16"/>
                        </w:rPr>
                        <w:t>資</w:t>
                      </w:r>
                      <w:r w:rsidRPr="001454D8">
                        <w:rPr>
                          <w:rFonts w:ascii="標楷體" w:eastAsia="標楷體" w:hAnsi="標楷體"/>
                          <w:sz w:val="18"/>
                          <w:szCs w:val="16"/>
                        </w:rPr>
                        <w:t>料來源</w:t>
                      </w:r>
                      <w:r w:rsidRPr="001454D8">
                        <w:rPr>
                          <w:rFonts w:ascii="標楷體" w:eastAsia="標楷體" w:hAnsi="標楷體" w:hint="eastAsia"/>
                          <w:sz w:val="18"/>
                          <w:szCs w:val="16"/>
                        </w:rPr>
                        <w:t>：整</w:t>
                      </w:r>
                      <w:r w:rsidRPr="001454D8">
                        <w:rPr>
                          <w:rFonts w:ascii="標楷體" w:eastAsia="標楷體" w:hAnsi="標楷體"/>
                          <w:sz w:val="18"/>
                          <w:szCs w:val="16"/>
                        </w:rPr>
                        <w:t>理自</w:t>
                      </w:r>
                      <w:r w:rsidR="004F6ACD">
                        <w:rPr>
                          <w:rFonts w:ascii="標楷體" w:eastAsia="標楷體" w:hAnsi="標楷體" w:hint="eastAsia"/>
                          <w:sz w:val="18"/>
                          <w:szCs w:val="16"/>
                        </w:rPr>
                        <w:t>國立</w:t>
                      </w:r>
                      <w:r w:rsidRPr="001454D8">
                        <w:rPr>
                          <w:rFonts w:ascii="標楷體" w:eastAsia="標楷體" w:hAnsi="標楷體"/>
                          <w:sz w:val="18"/>
                          <w:szCs w:val="16"/>
                        </w:rPr>
                        <w:t>故宮</w:t>
                      </w:r>
                      <w:r w:rsidR="004F6ACD">
                        <w:rPr>
                          <w:rFonts w:ascii="標楷體" w:eastAsia="標楷體" w:hAnsi="標楷體" w:hint="eastAsia"/>
                          <w:sz w:val="18"/>
                          <w:szCs w:val="16"/>
                        </w:rPr>
                        <w:t>博物院</w:t>
                      </w:r>
                      <w:r w:rsidRPr="001454D8">
                        <w:rPr>
                          <w:rFonts w:ascii="標楷體" w:eastAsia="標楷體" w:hAnsi="標楷體"/>
                          <w:sz w:val="18"/>
                          <w:szCs w:val="16"/>
                        </w:rPr>
                        <w:t>提供資料</w:t>
                      </w:r>
                      <w:r w:rsidRPr="001454D8">
                        <w:rPr>
                          <w:rFonts w:ascii="微軟正黑體" w:eastAsia="微軟正黑體" w:hAnsi="微軟正黑體" w:hint="eastAsia"/>
                          <w:sz w:val="18"/>
                          <w:szCs w:val="16"/>
                        </w:rPr>
                        <w:t>。</w:t>
                      </w:r>
                    </w:p>
                  </w:txbxContent>
                </v:textbox>
                <w10:wrap type="tight"/>
              </v:shape>
            </w:pict>
          </mc:Fallback>
        </mc:AlternateContent>
      </w:r>
      <w:r w:rsidRPr="00F427D8">
        <w:rPr>
          <w:rFonts w:ascii="標楷體" w:eastAsia="標楷體" w:hAnsi="標楷體" w:hint="eastAsia"/>
          <w:bCs/>
          <w:szCs w:val="24"/>
        </w:rPr>
        <w:t>％（同表</w:t>
      </w:r>
      <w:r w:rsidR="00F427D8" w:rsidRPr="00F427D8">
        <w:rPr>
          <w:rFonts w:ascii="標楷體" w:eastAsia="標楷體" w:hAnsi="標楷體"/>
          <w:bCs/>
          <w:szCs w:val="24"/>
        </w:rPr>
        <w:t>4</w:t>
      </w:r>
      <w:r w:rsidR="00F546C0">
        <w:rPr>
          <w:rFonts w:ascii="標楷體" w:eastAsia="標楷體" w:hAnsi="標楷體" w:hint="eastAsia"/>
          <w:bCs/>
          <w:szCs w:val="24"/>
        </w:rPr>
        <w:t>9</w:t>
      </w:r>
      <w:r w:rsidRPr="00F427D8">
        <w:rPr>
          <w:rFonts w:ascii="標楷體" w:eastAsia="標楷體" w:hAnsi="標楷體" w:hint="eastAsia"/>
          <w:bCs/>
          <w:szCs w:val="24"/>
        </w:rPr>
        <w:t>）</w:t>
      </w:r>
      <w:r>
        <w:rPr>
          <w:rFonts w:ascii="標楷體" w:eastAsia="標楷體" w:hAnsi="標楷體" w:hint="eastAsia"/>
          <w:bCs/>
          <w:color w:val="000000" w:themeColor="text1"/>
          <w:szCs w:val="24"/>
        </w:rPr>
        <w:t>；</w:t>
      </w:r>
      <w:r w:rsidRPr="008623A7">
        <w:rPr>
          <w:rFonts w:ascii="標楷體" w:eastAsia="標楷體" w:hAnsi="標楷體" w:hint="eastAsia"/>
          <w:bCs/>
          <w:color w:val="000000" w:themeColor="text1"/>
          <w:kern w:val="0"/>
          <w:szCs w:val="24"/>
        </w:rPr>
        <w:t>2.</w:t>
      </w:r>
      <w:r w:rsidRPr="00F21179">
        <w:rPr>
          <w:rFonts w:ascii="標楷體" w:eastAsia="標楷體" w:hAnsi="標楷體" w:hint="eastAsia"/>
          <w:bCs/>
          <w:color w:val="000000" w:themeColor="text1"/>
          <w:szCs w:val="24"/>
        </w:rPr>
        <w:t>為將國際觀光能量帶進其他博物館，於博物館群國際觀光網絡系統建置計畫項下，辦理</w:t>
      </w:r>
      <w:r>
        <w:rPr>
          <w:rFonts w:ascii="標楷體" w:eastAsia="標楷體" w:hAnsi="標楷體" w:hint="eastAsia"/>
          <w:bCs/>
          <w:color w:val="000000" w:themeColor="text1"/>
          <w:szCs w:val="24"/>
        </w:rPr>
        <w:t>「</w:t>
      </w:r>
      <w:r w:rsidRPr="00F21179">
        <w:rPr>
          <w:rFonts w:ascii="標楷體" w:eastAsia="標楷體" w:hAnsi="標楷體" w:hint="eastAsia"/>
          <w:bCs/>
          <w:color w:val="000000" w:themeColor="text1"/>
          <w:szCs w:val="24"/>
        </w:rPr>
        <w:t>故宮卡</w:t>
      </w:r>
      <w:r>
        <w:rPr>
          <w:rFonts w:ascii="標楷體" w:eastAsia="標楷體" w:hAnsi="標楷體" w:hint="eastAsia"/>
          <w:bCs/>
          <w:color w:val="000000" w:themeColor="text1"/>
          <w:szCs w:val="24"/>
        </w:rPr>
        <w:t>（</w:t>
      </w:r>
      <w:proofErr w:type="spellStart"/>
      <w:r w:rsidRPr="00F21179">
        <w:rPr>
          <w:rFonts w:ascii="標楷體" w:eastAsia="標楷體" w:hAnsi="標楷體" w:hint="eastAsia"/>
          <w:bCs/>
          <w:color w:val="000000" w:themeColor="text1"/>
          <w:szCs w:val="24"/>
        </w:rPr>
        <w:t>iTaiwan</w:t>
      </w:r>
      <w:proofErr w:type="spellEnd"/>
      <w:r w:rsidRPr="00F21179">
        <w:rPr>
          <w:rFonts w:ascii="標楷體" w:eastAsia="標楷體" w:hAnsi="標楷體" w:hint="eastAsia"/>
          <w:bCs/>
          <w:color w:val="000000" w:themeColor="text1"/>
          <w:szCs w:val="24"/>
        </w:rPr>
        <w:t xml:space="preserve"> Museum Pass</w:t>
      </w:r>
      <w:r>
        <w:rPr>
          <w:rFonts w:ascii="標楷體" w:eastAsia="標楷體" w:hAnsi="標楷體" w:hint="eastAsia"/>
          <w:bCs/>
          <w:color w:val="000000" w:themeColor="text1"/>
          <w:szCs w:val="24"/>
        </w:rPr>
        <w:t>）</w:t>
      </w:r>
      <w:r w:rsidRPr="00F21179">
        <w:rPr>
          <w:rFonts w:ascii="標楷體" w:eastAsia="標楷體" w:hAnsi="標楷體" w:hint="eastAsia"/>
          <w:bCs/>
          <w:color w:val="000000" w:themeColor="text1"/>
          <w:szCs w:val="24"/>
        </w:rPr>
        <w:t>暨周邊交通遊程服務整合及行銷推廣</w:t>
      </w:r>
      <w:r>
        <w:rPr>
          <w:rFonts w:ascii="標楷體" w:eastAsia="標楷體" w:hAnsi="標楷體" w:hint="eastAsia"/>
          <w:bCs/>
          <w:color w:val="000000" w:themeColor="text1"/>
          <w:szCs w:val="24"/>
        </w:rPr>
        <w:t>」</w:t>
      </w:r>
      <w:r w:rsidRPr="00F21179">
        <w:rPr>
          <w:rFonts w:ascii="標楷體" w:eastAsia="標楷體" w:hAnsi="標楷體" w:hint="eastAsia"/>
          <w:bCs/>
          <w:color w:val="000000" w:themeColor="text1"/>
          <w:szCs w:val="24"/>
        </w:rPr>
        <w:t>勞務委託採購案，</w:t>
      </w:r>
      <w:r>
        <w:rPr>
          <w:rFonts w:ascii="標楷體" w:eastAsia="標楷體" w:hAnsi="標楷體" w:hint="eastAsia"/>
          <w:bCs/>
          <w:color w:val="000000" w:themeColor="text1"/>
          <w:szCs w:val="24"/>
        </w:rPr>
        <w:t>委託廠商</w:t>
      </w:r>
      <w:r w:rsidRPr="00650A2A">
        <w:rPr>
          <w:rFonts w:ascii="標楷體" w:eastAsia="標楷體" w:hAnsi="標楷體" w:hint="eastAsia"/>
          <w:bCs/>
          <w:color w:val="000000" w:themeColor="text1"/>
          <w:szCs w:val="24"/>
        </w:rPr>
        <w:t>發行愛臺灣博物館卡，串連博物館網絡，並結合博物館等觀光景點與周邊交通配套，</w:t>
      </w:r>
      <w:r>
        <w:rPr>
          <w:rFonts w:ascii="標楷體" w:eastAsia="標楷體" w:hAnsi="標楷體" w:hint="eastAsia"/>
          <w:bCs/>
          <w:color w:val="000000" w:themeColor="text1"/>
          <w:szCs w:val="24"/>
        </w:rPr>
        <w:t>提供</w:t>
      </w:r>
      <w:r w:rsidRPr="00650A2A">
        <w:rPr>
          <w:rFonts w:ascii="標楷體" w:eastAsia="標楷體" w:hAnsi="標楷體" w:hint="eastAsia"/>
          <w:bCs/>
          <w:color w:val="000000" w:themeColor="text1"/>
          <w:szCs w:val="24"/>
        </w:rPr>
        <w:t>遊客豐富、完整</w:t>
      </w:r>
      <w:r>
        <w:rPr>
          <w:rFonts w:ascii="標楷體" w:eastAsia="標楷體" w:hAnsi="標楷體" w:hint="eastAsia"/>
          <w:bCs/>
          <w:color w:val="000000" w:themeColor="text1"/>
          <w:szCs w:val="24"/>
        </w:rPr>
        <w:t>及</w:t>
      </w:r>
      <w:r w:rsidRPr="00650A2A">
        <w:rPr>
          <w:rFonts w:ascii="標楷體" w:eastAsia="標楷體" w:hAnsi="標楷體" w:hint="eastAsia"/>
          <w:bCs/>
          <w:color w:val="000000" w:themeColor="text1"/>
          <w:szCs w:val="24"/>
        </w:rPr>
        <w:t>友善</w:t>
      </w:r>
      <w:r>
        <w:rPr>
          <w:rFonts w:ascii="標楷體" w:eastAsia="標楷體" w:hAnsi="標楷體" w:hint="eastAsia"/>
          <w:bCs/>
          <w:color w:val="000000" w:themeColor="text1"/>
          <w:szCs w:val="24"/>
        </w:rPr>
        <w:t>之</w:t>
      </w:r>
      <w:r w:rsidRPr="00650A2A">
        <w:rPr>
          <w:rFonts w:ascii="標楷體" w:eastAsia="標楷體" w:hAnsi="標楷體" w:hint="eastAsia"/>
          <w:bCs/>
          <w:color w:val="000000" w:themeColor="text1"/>
          <w:szCs w:val="24"/>
        </w:rPr>
        <w:t>文化遊憩經驗</w:t>
      </w:r>
      <w:r>
        <w:rPr>
          <w:rFonts w:ascii="新細明體" w:hAnsi="新細明體" w:hint="eastAsia"/>
          <w:bCs/>
          <w:color w:val="000000" w:themeColor="text1"/>
          <w:szCs w:val="24"/>
        </w:rPr>
        <w:t>，</w:t>
      </w:r>
      <w:r>
        <w:rPr>
          <w:rFonts w:ascii="標楷體" w:eastAsia="標楷體" w:hAnsi="標楷體" w:hint="eastAsia"/>
          <w:bCs/>
          <w:color w:val="000000" w:themeColor="text1"/>
          <w:szCs w:val="24"/>
        </w:rPr>
        <w:t>契約金額</w:t>
      </w:r>
      <w:r w:rsidRPr="00F21179">
        <w:rPr>
          <w:rFonts w:ascii="標楷體" w:eastAsia="標楷體" w:hAnsi="標楷體" w:hint="eastAsia"/>
          <w:bCs/>
          <w:color w:val="000000" w:themeColor="text1"/>
          <w:szCs w:val="24"/>
        </w:rPr>
        <w:t>5,040萬元，履約期限</w:t>
      </w:r>
      <w:r>
        <w:rPr>
          <w:rFonts w:ascii="標楷體" w:eastAsia="標楷體" w:hAnsi="標楷體" w:hint="eastAsia"/>
          <w:bCs/>
          <w:color w:val="000000" w:themeColor="text1"/>
          <w:szCs w:val="24"/>
        </w:rPr>
        <w:t>為1</w:t>
      </w:r>
      <w:r>
        <w:rPr>
          <w:rFonts w:ascii="標楷體" w:eastAsia="標楷體" w:hAnsi="標楷體"/>
          <w:bCs/>
          <w:color w:val="000000" w:themeColor="text1"/>
          <w:szCs w:val="24"/>
        </w:rPr>
        <w:t>08</w:t>
      </w:r>
      <w:r>
        <w:rPr>
          <w:rFonts w:ascii="標楷體" w:eastAsia="標楷體" w:hAnsi="標楷體" w:hint="eastAsia"/>
          <w:bCs/>
          <w:color w:val="000000" w:themeColor="text1"/>
          <w:szCs w:val="24"/>
        </w:rPr>
        <w:t>年8月1</w:t>
      </w:r>
      <w:r>
        <w:rPr>
          <w:rFonts w:ascii="標楷體" w:eastAsia="標楷體" w:hAnsi="標楷體"/>
          <w:bCs/>
          <w:color w:val="000000" w:themeColor="text1"/>
          <w:szCs w:val="24"/>
        </w:rPr>
        <w:t>2</w:t>
      </w:r>
      <w:r>
        <w:rPr>
          <w:rFonts w:ascii="標楷體" w:eastAsia="標楷體" w:hAnsi="標楷體" w:hint="eastAsia"/>
          <w:bCs/>
          <w:color w:val="000000" w:themeColor="text1"/>
          <w:szCs w:val="24"/>
        </w:rPr>
        <w:t>日</w:t>
      </w:r>
      <w:r w:rsidRPr="00F21179">
        <w:rPr>
          <w:rFonts w:ascii="標楷體" w:eastAsia="標楷體" w:hAnsi="標楷體" w:hint="eastAsia"/>
          <w:bCs/>
          <w:color w:val="000000" w:themeColor="text1"/>
          <w:szCs w:val="24"/>
        </w:rPr>
        <w:t>至111年6月30日。</w:t>
      </w:r>
      <w:proofErr w:type="gramStart"/>
      <w:r>
        <w:rPr>
          <w:rFonts w:ascii="標楷體" w:eastAsia="標楷體" w:hAnsi="標楷體" w:hint="eastAsia"/>
          <w:bCs/>
          <w:color w:val="000000" w:themeColor="text1"/>
          <w:szCs w:val="24"/>
        </w:rPr>
        <w:t>嗣</w:t>
      </w:r>
      <w:proofErr w:type="gramEnd"/>
      <w:r w:rsidRPr="00650A2A">
        <w:rPr>
          <w:rFonts w:ascii="標楷體" w:eastAsia="標楷體" w:hAnsi="標楷體" w:hint="eastAsia"/>
          <w:bCs/>
          <w:color w:val="000000" w:themeColor="text1"/>
          <w:szCs w:val="24"/>
        </w:rPr>
        <w:t>110年11月25日</w:t>
      </w:r>
      <w:r w:rsidR="00655B42">
        <w:rPr>
          <w:rFonts w:ascii="標楷體" w:eastAsia="標楷體" w:hAnsi="標楷體" w:hint="eastAsia"/>
          <w:bCs/>
          <w:color w:val="000000" w:themeColor="text1"/>
          <w:szCs w:val="24"/>
        </w:rPr>
        <w:t>（</w:t>
      </w:r>
      <w:r w:rsidRPr="00650A2A">
        <w:rPr>
          <w:rFonts w:ascii="標楷體" w:eastAsia="標楷體" w:hAnsi="標楷體" w:hint="eastAsia"/>
          <w:bCs/>
          <w:color w:val="000000" w:themeColor="text1"/>
          <w:szCs w:val="24"/>
        </w:rPr>
        <w:t>契約屆期</w:t>
      </w:r>
      <w:r>
        <w:rPr>
          <w:rFonts w:ascii="標楷體" w:eastAsia="標楷體" w:hAnsi="標楷體" w:hint="eastAsia"/>
          <w:bCs/>
          <w:color w:val="000000" w:themeColor="text1"/>
          <w:szCs w:val="24"/>
        </w:rPr>
        <w:t>約</w:t>
      </w:r>
      <w:r w:rsidRPr="00650A2A">
        <w:rPr>
          <w:rFonts w:ascii="標楷體" w:eastAsia="標楷體" w:hAnsi="標楷體" w:hint="eastAsia"/>
          <w:bCs/>
          <w:color w:val="000000" w:themeColor="text1"/>
          <w:szCs w:val="24"/>
        </w:rPr>
        <w:t>7個月</w:t>
      </w:r>
      <w:r>
        <w:rPr>
          <w:rFonts w:ascii="標楷體" w:eastAsia="標楷體" w:hAnsi="標楷體" w:hint="eastAsia"/>
          <w:bCs/>
          <w:color w:val="000000" w:themeColor="text1"/>
          <w:szCs w:val="24"/>
        </w:rPr>
        <w:t>前</w:t>
      </w:r>
      <w:r w:rsidR="00655B42">
        <w:rPr>
          <w:rFonts w:ascii="標楷體" w:eastAsia="標楷體" w:hAnsi="標楷體" w:hint="eastAsia"/>
          <w:bCs/>
          <w:color w:val="000000" w:themeColor="text1"/>
          <w:szCs w:val="24"/>
        </w:rPr>
        <w:t>）</w:t>
      </w:r>
      <w:r w:rsidRPr="00F21179">
        <w:rPr>
          <w:rFonts w:ascii="標楷體" w:eastAsia="標楷體" w:hAnsi="標楷體" w:hint="eastAsia"/>
          <w:bCs/>
          <w:color w:val="000000" w:themeColor="text1"/>
          <w:szCs w:val="24"/>
        </w:rPr>
        <w:t>以</w:t>
      </w:r>
      <w:proofErr w:type="gramStart"/>
      <w:r w:rsidRPr="00F21179">
        <w:rPr>
          <w:rFonts w:ascii="標楷體" w:eastAsia="標楷體" w:hAnsi="標楷體" w:hint="eastAsia"/>
          <w:bCs/>
          <w:color w:val="000000" w:themeColor="text1"/>
          <w:szCs w:val="24"/>
        </w:rPr>
        <w:t>111</w:t>
      </w:r>
      <w:proofErr w:type="gramEnd"/>
      <w:r w:rsidRPr="00F21179">
        <w:rPr>
          <w:rFonts w:ascii="標楷體" w:eastAsia="標楷體" w:hAnsi="標楷體" w:hint="eastAsia"/>
          <w:bCs/>
          <w:color w:val="000000" w:themeColor="text1"/>
          <w:szCs w:val="24"/>
        </w:rPr>
        <w:t>年度編列預算遭凍結未獲立法院審議通過為由，通知廠商於110年11月30日提前終止契約</w:t>
      </w:r>
      <w:r>
        <w:rPr>
          <w:rFonts w:ascii="標楷體" w:eastAsia="標楷體" w:hAnsi="標楷體" w:hint="eastAsia"/>
          <w:bCs/>
          <w:color w:val="000000" w:themeColor="text1"/>
          <w:szCs w:val="24"/>
        </w:rPr>
        <w:t>，</w:t>
      </w:r>
      <w:r w:rsidRPr="00650A2A">
        <w:rPr>
          <w:rFonts w:ascii="標楷體" w:eastAsia="標楷體" w:hAnsi="標楷體" w:hint="eastAsia"/>
          <w:bCs/>
          <w:color w:val="000000" w:themeColor="text1"/>
          <w:szCs w:val="24"/>
        </w:rPr>
        <w:t>致投入4,106萬餘元</w:t>
      </w:r>
      <w:r>
        <w:rPr>
          <w:rFonts w:ascii="標楷體" w:eastAsia="標楷體" w:hAnsi="標楷體" w:hint="eastAsia"/>
          <w:bCs/>
          <w:color w:val="000000" w:themeColor="text1"/>
          <w:szCs w:val="24"/>
        </w:rPr>
        <w:t>（契約結算金額）</w:t>
      </w:r>
      <w:r w:rsidRPr="00650A2A">
        <w:rPr>
          <w:rFonts w:ascii="標楷體" w:eastAsia="標楷體" w:hAnsi="標楷體" w:hint="eastAsia"/>
          <w:bCs/>
          <w:color w:val="000000" w:themeColor="text1"/>
          <w:szCs w:val="24"/>
        </w:rPr>
        <w:t>建立之平</w:t>
      </w:r>
      <w:proofErr w:type="gramStart"/>
      <w:r w:rsidRPr="00650A2A">
        <w:rPr>
          <w:rFonts w:ascii="標楷體" w:eastAsia="標楷體" w:hAnsi="標楷體" w:hint="eastAsia"/>
          <w:bCs/>
          <w:color w:val="000000" w:themeColor="text1"/>
          <w:szCs w:val="24"/>
        </w:rPr>
        <w:t>臺</w:t>
      </w:r>
      <w:proofErr w:type="gramEnd"/>
      <w:r w:rsidRPr="00650A2A">
        <w:rPr>
          <w:rFonts w:ascii="標楷體" w:eastAsia="標楷體" w:hAnsi="標楷體" w:hint="eastAsia"/>
          <w:bCs/>
          <w:color w:val="000000" w:themeColor="text1"/>
          <w:szCs w:val="24"/>
        </w:rPr>
        <w:t>及整合行銷成果</w:t>
      </w:r>
      <w:r>
        <w:rPr>
          <w:rFonts w:ascii="標楷體" w:eastAsia="標楷體" w:hAnsi="標楷體" w:hint="eastAsia"/>
          <w:bCs/>
          <w:color w:val="000000" w:themeColor="text1"/>
          <w:szCs w:val="24"/>
        </w:rPr>
        <w:t>（</w:t>
      </w:r>
      <w:r w:rsidRPr="00F21179">
        <w:rPr>
          <w:rFonts w:ascii="標楷體" w:eastAsia="標楷體" w:hAnsi="標楷體" w:hint="eastAsia"/>
          <w:bCs/>
          <w:color w:val="000000" w:themeColor="text1"/>
          <w:szCs w:val="24"/>
        </w:rPr>
        <w:t>銷售實體卡45,451張、電子旅遊套票117,217套、愛臺灣博物館卡網站流量104萬人次、</w:t>
      </w:r>
      <w:r>
        <w:rPr>
          <w:rFonts w:ascii="標楷體" w:eastAsia="標楷體" w:hAnsi="標楷體" w:hint="eastAsia"/>
          <w:bCs/>
          <w:color w:val="000000" w:themeColor="text1"/>
          <w:szCs w:val="24"/>
        </w:rPr>
        <w:t>國內版已</w:t>
      </w:r>
      <w:r w:rsidRPr="00F21179">
        <w:rPr>
          <w:rFonts w:ascii="標楷體" w:eastAsia="標楷體" w:hAnsi="標楷體" w:hint="eastAsia"/>
          <w:bCs/>
          <w:color w:val="000000" w:themeColor="text1"/>
          <w:szCs w:val="24"/>
        </w:rPr>
        <w:t>整合9大核心館18個園區，29個聯盟館所</w:t>
      </w:r>
      <w:r>
        <w:rPr>
          <w:rFonts w:ascii="標楷體" w:eastAsia="標楷體" w:hAnsi="標楷體" w:hint="eastAsia"/>
          <w:bCs/>
          <w:color w:val="000000" w:themeColor="text1"/>
          <w:szCs w:val="24"/>
        </w:rPr>
        <w:t>，國際版整合62個館所、景點及交通業者，旅遊行程提供</w:t>
      </w:r>
      <w:r w:rsidRPr="00F21179">
        <w:rPr>
          <w:rFonts w:ascii="標楷體" w:eastAsia="標楷體" w:hAnsi="標楷體" w:hint="eastAsia"/>
          <w:bCs/>
          <w:color w:val="000000" w:themeColor="text1"/>
          <w:szCs w:val="24"/>
        </w:rPr>
        <w:t>北中南9項交通方式</w:t>
      </w:r>
      <w:r>
        <w:rPr>
          <w:rFonts w:ascii="標楷體" w:eastAsia="標楷體" w:hAnsi="標楷體" w:hint="eastAsia"/>
          <w:bCs/>
          <w:color w:val="000000" w:themeColor="text1"/>
          <w:szCs w:val="24"/>
        </w:rPr>
        <w:t>、</w:t>
      </w:r>
      <w:r w:rsidRPr="00F21179">
        <w:rPr>
          <w:rFonts w:ascii="標楷體" w:eastAsia="標楷體" w:hAnsi="標楷體" w:hint="eastAsia"/>
          <w:bCs/>
          <w:color w:val="000000" w:themeColor="text1"/>
          <w:szCs w:val="24"/>
        </w:rPr>
        <w:t>110個景點</w:t>
      </w:r>
      <w:r>
        <w:rPr>
          <w:rFonts w:ascii="標楷體" w:eastAsia="標楷體" w:hAnsi="標楷體" w:hint="eastAsia"/>
          <w:bCs/>
          <w:color w:val="000000" w:themeColor="text1"/>
          <w:szCs w:val="24"/>
        </w:rPr>
        <w:t>）</w:t>
      </w:r>
      <w:r w:rsidRPr="00650A2A">
        <w:rPr>
          <w:rFonts w:ascii="標楷體" w:eastAsia="標楷體" w:hAnsi="標楷體" w:hint="eastAsia"/>
          <w:bCs/>
          <w:color w:val="000000" w:themeColor="text1"/>
          <w:szCs w:val="24"/>
        </w:rPr>
        <w:t>閒置</w:t>
      </w:r>
      <w:r>
        <w:rPr>
          <w:rFonts w:ascii="新細明體" w:hAnsi="新細明體" w:hint="eastAsia"/>
          <w:bCs/>
          <w:color w:val="000000" w:themeColor="text1"/>
          <w:szCs w:val="24"/>
        </w:rPr>
        <w:t>，</w:t>
      </w:r>
      <w:r w:rsidRPr="005E023B">
        <w:rPr>
          <w:rFonts w:ascii="標楷體" w:eastAsia="標楷體" w:hAnsi="標楷體" w:hint="eastAsia"/>
          <w:bCs/>
          <w:color w:val="000000" w:themeColor="text1"/>
          <w:szCs w:val="24"/>
        </w:rPr>
        <w:t>且無具體作為</w:t>
      </w:r>
      <w:r>
        <w:rPr>
          <w:rFonts w:ascii="標楷體" w:eastAsia="標楷體" w:hAnsi="標楷體" w:hint="eastAsia"/>
          <w:bCs/>
          <w:color w:val="000000" w:themeColor="text1"/>
          <w:szCs w:val="24"/>
        </w:rPr>
        <w:t>以</w:t>
      </w:r>
      <w:r w:rsidRPr="005E023B">
        <w:rPr>
          <w:rFonts w:ascii="標楷體" w:eastAsia="標楷體" w:hAnsi="標楷體" w:hint="eastAsia"/>
          <w:bCs/>
          <w:color w:val="000000" w:themeColor="text1"/>
          <w:szCs w:val="24"/>
        </w:rPr>
        <w:t>延續執行成果</w:t>
      </w:r>
      <w:r>
        <w:rPr>
          <w:rFonts w:ascii="標楷體" w:eastAsia="標楷體" w:hAnsi="標楷體" w:hint="eastAsia"/>
          <w:bCs/>
          <w:color w:val="000000" w:themeColor="text1"/>
          <w:szCs w:val="24"/>
        </w:rPr>
        <w:t>之</w:t>
      </w:r>
      <w:r w:rsidRPr="005E023B">
        <w:rPr>
          <w:rFonts w:ascii="標楷體" w:eastAsia="標楷體" w:hAnsi="標楷體" w:hint="eastAsia"/>
          <w:bCs/>
          <w:color w:val="000000" w:themeColor="text1"/>
          <w:szCs w:val="24"/>
        </w:rPr>
        <w:t>效益</w:t>
      </w:r>
      <w:r>
        <w:rPr>
          <w:rFonts w:ascii="新細明體" w:hAnsi="新細明體" w:hint="eastAsia"/>
          <w:bCs/>
          <w:color w:val="000000" w:themeColor="text1"/>
          <w:szCs w:val="24"/>
        </w:rPr>
        <w:t>；</w:t>
      </w:r>
      <w:r>
        <w:rPr>
          <w:rFonts w:ascii="標楷體" w:eastAsia="標楷體" w:hAnsi="標楷體" w:hint="eastAsia"/>
          <w:bCs/>
          <w:color w:val="000000" w:themeColor="text1"/>
          <w:szCs w:val="24"/>
        </w:rPr>
        <w:t>3</w:t>
      </w:r>
      <w:r>
        <w:rPr>
          <w:rFonts w:ascii="標楷體" w:eastAsia="標楷體" w:hAnsi="標楷體"/>
          <w:bCs/>
          <w:color w:val="000000" w:themeColor="text1"/>
          <w:szCs w:val="24"/>
        </w:rPr>
        <w:t>.</w:t>
      </w:r>
      <w:r w:rsidRPr="00DB08AA">
        <w:rPr>
          <w:rFonts w:ascii="標楷體" w:eastAsia="標楷體" w:hAnsi="標楷體" w:hint="eastAsia"/>
          <w:bCs/>
          <w:color w:val="000000" w:themeColor="text1"/>
          <w:szCs w:val="24"/>
        </w:rPr>
        <w:t>為整備觀光環境，辦理「故宮北部院區整（擴）建計畫」及「故宮國寶文物修復展示館建設計畫」，規劃進行</w:t>
      </w:r>
      <w:proofErr w:type="gramStart"/>
      <w:r w:rsidRPr="00DB08AA">
        <w:rPr>
          <w:rFonts w:ascii="標楷體" w:eastAsia="標楷體" w:hAnsi="標楷體" w:hint="eastAsia"/>
          <w:bCs/>
          <w:color w:val="000000" w:themeColor="text1"/>
          <w:szCs w:val="24"/>
        </w:rPr>
        <w:t>正館整建</w:t>
      </w:r>
      <w:proofErr w:type="gramEnd"/>
      <w:r w:rsidRPr="00DB08AA">
        <w:rPr>
          <w:rFonts w:ascii="標楷體" w:eastAsia="標楷體" w:hAnsi="標楷體" w:hint="eastAsia"/>
          <w:bCs/>
          <w:color w:val="000000" w:themeColor="text1"/>
          <w:szCs w:val="24"/>
        </w:rPr>
        <w:t>等工程。截至113年10月底止，研究大樓整建工程因</w:t>
      </w:r>
      <w:proofErr w:type="gramStart"/>
      <w:r w:rsidRPr="00DB08AA">
        <w:rPr>
          <w:rFonts w:ascii="標楷體" w:eastAsia="標楷體" w:hAnsi="標楷體" w:hint="eastAsia"/>
          <w:bCs/>
          <w:color w:val="000000" w:themeColor="text1"/>
          <w:szCs w:val="24"/>
        </w:rPr>
        <w:t>採半半</w:t>
      </w:r>
      <w:proofErr w:type="gramEnd"/>
      <w:r w:rsidRPr="00DB08AA">
        <w:rPr>
          <w:rFonts w:ascii="標楷體" w:eastAsia="標楷體" w:hAnsi="標楷體" w:hint="eastAsia"/>
          <w:bCs/>
          <w:color w:val="000000" w:themeColor="text1"/>
          <w:szCs w:val="24"/>
        </w:rPr>
        <w:t>施工法，工程範圍須配合研究人員研究、文物點檢及修復等作業分階段辦理，致南側2、3樓辦公區域之整建仍未完工；</w:t>
      </w:r>
      <w:proofErr w:type="gramStart"/>
      <w:r w:rsidRPr="00DB08AA">
        <w:rPr>
          <w:rFonts w:ascii="標楷體" w:eastAsia="標楷體" w:hAnsi="標楷體" w:hint="eastAsia"/>
          <w:bCs/>
          <w:color w:val="000000" w:themeColor="text1"/>
          <w:szCs w:val="24"/>
        </w:rPr>
        <w:t>正館整建</w:t>
      </w:r>
      <w:proofErr w:type="gramEnd"/>
      <w:r w:rsidRPr="00DB08AA">
        <w:rPr>
          <w:rFonts w:ascii="標楷體" w:eastAsia="標楷體" w:hAnsi="標楷體" w:hint="eastAsia"/>
          <w:bCs/>
          <w:color w:val="000000" w:themeColor="text1"/>
          <w:szCs w:val="24"/>
        </w:rPr>
        <w:t>工程因正館為歷史建築，故宮提送之修復及再利用計畫，臺北市政府文化局仍在審議中，致尚未完成細部設計，無法辦理發包作業；另故宮國寶文物修復展示館建置工程，因</w:t>
      </w:r>
      <w:proofErr w:type="gramStart"/>
      <w:r w:rsidRPr="00DB08AA">
        <w:rPr>
          <w:rFonts w:ascii="標楷體" w:eastAsia="標楷體" w:hAnsi="標楷體" w:hint="eastAsia"/>
          <w:bCs/>
          <w:color w:val="000000" w:themeColor="text1"/>
          <w:szCs w:val="24"/>
        </w:rPr>
        <w:t>隔震墊上方</w:t>
      </w:r>
      <w:proofErr w:type="gramEnd"/>
      <w:r w:rsidRPr="00DB08AA">
        <w:rPr>
          <w:rFonts w:ascii="標楷體" w:eastAsia="標楷體" w:hAnsi="標楷體" w:hint="eastAsia"/>
          <w:bCs/>
          <w:color w:val="000000" w:themeColor="text1"/>
          <w:szCs w:val="24"/>
        </w:rPr>
        <w:t>柱頭鋼筋綁</w:t>
      </w:r>
      <w:proofErr w:type="gramStart"/>
      <w:r w:rsidRPr="00DB08AA">
        <w:rPr>
          <w:rFonts w:ascii="標楷體" w:eastAsia="標楷體" w:hAnsi="標楷體" w:hint="eastAsia"/>
          <w:bCs/>
          <w:color w:val="000000" w:themeColor="text1"/>
          <w:szCs w:val="24"/>
        </w:rPr>
        <w:t>紮及組模等</w:t>
      </w:r>
      <w:proofErr w:type="gramEnd"/>
      <w:r w:rsidRPr="00DB08AA">
        <w:rPr>
          <w:rFonts w:ascii="標楷體" w:eastAsia="標楷體" w:hAnsi="標楷體" w:hint="eastAsia"/>
          <w:bCs/>
          <w:color w:val="000000" w:themeColor="text1"/>
          <w:szCs w:val="24"/>
        </w:rPr>
        <w:t>作業涉及施工</w:t>
      </w:r>
      <w:proofErr w:type="gramStart"/>
      <w:r w:rsidRPr="00DB08AA">
        <w:rPr>
          <w:rFonts w:ascii="標楷體" w:eastAsia="標楷體" w:hAnsi="標楷體" w:hint="eastAsia"/>
          <w:bCs/>
          <w:color w:val="000000" w:themeColor="text1"/>
          <w:szCs w:val="24"/>
        </w:rPr>
        <w:t>工</w:t>
      </w:r>
      <w:proofErr w:type="gramEnd"/>
      <w:r w:rsidRPr="00DB08AA">
        <w:rPr>
          <w:rFonts w:ascii="標楷體" w:eastAsia="標楷體" w:hAnsi="標楷體" w:hint="eastAsia"/>
          <w:bCs/>
          <w:color w:val="000000" w:themeColor="text1"/>
          <w:szCs w:val="24"/>
        </w:rPr>
        <w:t>序之調整，致113年底主體</w:t>
      </w:r>
      <w:proofErr w:type="gramStart"/>
      <w:r w:rsidRPr="00DB08AA">
        <w:rPr>
          <w:rFonts w:ascii="標楷體" w:eastAsia="標楷體" w:hAnsi="標楷體" w:hint="eastAsia"/>
          <w:bCs/>
          <w:color w:val="000000" w:themeColor="text1"/>
          <w:szCs w:val="24"/>
        </w:rPr>
        <w:t>鋼構吊裝進</w:t>
      </w:r>
      <w:proofErr w:type="gramEnd"/>
      <w:r w:rsidRPr="00DB08AA">
        <w:rPr>
          <w:rFonts w:ascii="標楷體" w:eastAsia="標楷體" w:hAnsi="標楷體" w:hint="eastAsia"/>
          <w:bCs/>
          <w:color w:val="000000" w:themeColor="text1"/>
          <w:szCs w:val="24"/>
        </w:rPr>
        <w:t>度僅達18％</w:t>
      </w:r>
      <w:r>
        <w:rPr>
          <w:rFonts w:ascii="標楷體" w:eastAsia="標楷體" w:hAnsi="標楷體" w:hint="eastAsia"/>
          <w:bCs/>
          <w:color w:val="000000" w:themeColor="text1"/>
          <w:szCs w:val="24"/>
        </w:rPr>
        <w:t>，</w:t>
      </w:r>
      <w:r w:rsidRPr="00DB08AA">
        <w:rPr>
          <w:rFonts w:ascii="標楷體" w:eastAsia="標楷體" w:hAnsi="標楷體" w:hint="eastAsia"/>
          <w:bCs/>
          <w:color w:val="000000" w:themeColor="text1"/>
          <w:szCs w:val="24"/>
        </w:rPr>
        <w:t>較預定進度（50％）落後</w:t>
      </w:r>
      <w:r>
        <w:rPr>
          <w:rFonts w:ascii="標楷體" w:eastAsia="標楷體" w:hAnsi="標楷體" w:hint="eastAsia"/>
          <w:bCs/>
          <w:color w:val="000000" w:themeColor="text1"/>
          <w:szCs w:val="24"/>
        </w:rPr>
        <w:t>等情事</w:t>
      </w:r>
      <w:r w:rsidRPr="00F67752">
        <w:rPr>
          <w:rFonts w:ascii="標楷體" w:eastAsia="標楷體" w:hAnsi="標楷體" w:hint="eastAsia"/>
          <w:bCs/>
          <w:color w:val="000000" w:themeColor="text1"/>
          <w:szCs w:val="24"/>
        </w:rPr>
        <w:t>，</w:t>
      </w:r>
      <w:r>
        <w:rPr>
          <w:rFonts w:ascii="標楷體" w:eastAsia="標楷體" w:hAnsi="標楷體" w:hint="eastAsia"/>
          <w:bCs/>
          <w:color w:val="000000" w:themeColor="text1"/>
          <w:szCs w:val="24"/>
        </w:rPr>
        <w:t>經函請故宮</w:t>
      </w:r>
      <w:proofErr w:type="gramStart"/>
      <w:r>
        <w:rPr>
          <w:rFonts w:ascii="標楷體" w:eastAsia="標楷體" w:hAnsi="標楷體" w:hint="eastAsia"/>
          <w:bCs/>
          <w:color w:val="000000" w:themeColor="text1"/>
          <w:szCs w:val="24"/>
        </w:rPr>
        <w:t>研</w:t>
      </w:r>
      <w:proofErr w:type="gramEnd"/>
      <w:r>
        <w:rPr>
          <w:rFonts w:ascii="標楷體" w:eastAsia="標楷體" w:hAnsi="標楷體" w:hint="eastAsia"/>
          <w:bCs/>
          <w:color w:val="000000" w:themeColor="text1"/>
          <w:szCs w:val="24"/>
        </w:rPr>
        <w:t>謀改善。據復：1.</w:t>
      </w:r>
      <w:r w:rsidRPr="005919F0">
        <w:rPr>
          <w:rFonts w:ascii="標楷體" w:eastAsia="標楷體" w:hAnsi="標楷體" w:hint="eastAsia"/>
          <w:bCs/>
          <w:color w:val="000000" w:themeColor="text1"/>
          <w:szCs w:val="24"/>
        </w:rPr>
        <w:t>將持續推出創新展覽內容、強化文化連結及觀眾體驗</w:t>
      </w:r>
      <w:r>
        <w:rPr>
          <w:rFonts w:ascii="標楷體" w:eastAsia="標楷體" w:hAnsi="標楷體" w:hint="eastAsia"/>
          <w:bCs/>
          <w:color w:val="000000" w:themeColor="text1"/>
          <w:szCs w:val="24"/>
        </w:rPr>
        <w:t>等措施</w:t>
      </w:r>
      <w:r w:rsidRPr="00AC5656">
        <w:rPr>
          <w:rFonts w:ascii="標楷體" w:eastAsia="標楷體" w:hAnsi="標楷體" w:hint="eastAsia"/>
          <w:bCs/>
          <w:color w:val="000000" w:themeColor="text1"/>
          <w:szCs w:val="24"/>
        </w:rPr>
        <w:t>，以</w:t>
      </w:r>
      <w:r w:rsidRPr="005919F0">
        <w:rPr>
          <w:rFonts w:ascii="標楷體" w:eastAsia="標楷體" w:hAnsi="標楷體" w:hint="eastAsia"/>
          <w:bCs/>
          <w:color w:val="000000" w:themeColor="text1"/>
          <w:szCs w:val="24"/>
        </w:rPr>
        <w:t>開拓國內外客源，提升參觀人次及門票收入</w:t>
      </w:r>
      <w:r>
        <w:rPr>
          <w:rFonts w:ascii="標楷體" w:eastAsia="標楷體" w:hAnsi="標楷體" w:hint="eastAsia"/>
          <w:bCs/>
          <w:color w:val="000000" w:themeColor="text1"/>
          <w:szCs w:val="24"/>
        </w:rPr>
        <w:t>；2.已</w:t>
      </w:r>
      <w:proofErr w:type="gramStart"/>
      <w:r w:rsidRPr="00E56D1D">
        <w:rPr>
          <w:rFonts w:ascii="標楷體" w:eastAsia="標楷體" w:hAnsi="標楷體" w:hint="eastAsia"/>
          <w:bCs/>
          <w:color w:val="000000" w:themeColor="text1"/>
          <w:szCs w:val="24"/>
        </w:rPr>
        <w:t>研</w:t>
      </w:r>
      <w:proofErr w:type="gramEnd"/>
      <w:r w:rsidRPr="00E56D1D">
        <w:rPr>
          <w:rFonts w:ascii="標楷體" w:eastAsia="標楷體" w:hAnsi="標楷體" w:hint="eastAsia"/>
          <w:bCs/>
          <w:color w:val="000000" w:themeColor="text1"/>
          <w:szCs w:val="24"/>
        </w:rPr>
        <w:t>擬包括與國內主要博物館聯盟辦理門票優惠措施、景點結盟及售票與旅遊平</w:t>
      </w:r>
      <w:proofErr w:type="gramStart"/>
      <w:r>
        <w:rPr>
          <w:rFonts w:ascii="標楷體" w:eastAsia="標楷體" w:hAnsi="標楷體" w:hint="eastAsia"/>
          <w:bCs/>
          <w:color w:val="000000" w:themeColor="text1"/>
          <w:szCs w:val="24"/>
        </w:rPr>
        <w:t>臺</w:t>
      </w:r>
      <w:proofErr w:type="gramEnd"/>
      <w:r w:rsidRPr="00E56D1D">
        <w:rPr>
          <w:rFonts w:ascii="標楷體" w:eastAsia="標楷體" w:hAnsi="標楷體" w:hint="eastAsia"/>
          <w:bCs/>
          <w:color w:val="000000" w:themeColor="text1"/>
          <w:szCs w:val="24"/>
        </w:rPr>
        <w:t>合作等具體作為，以達到導流</w:t>
      </w:r>
      <w:r>
        <w:rPr>
          <w:rFonts w:ascii="標楷體" w:eastAsia="標楷體" w:hAnsi="標楷體" w:hint="eastAsia"/>
          <w:bCs/>
          <w:color w:val="000000" w:themeColor="text1"/>
          <w:szCs w:val="24"/>
        </w:rPr>
        <w:t>故宮</w:t>
      </w:r>
      <w:r w:rsidRPr="00E56D1D">
        <w:rPr>
          <w:rFonts w:ascii="標楷體" w:eastAsia="標楷體" w:hAnsi="標楷體" w:hint="eastAsia"/>
          <w:bCs/>
          <w:color w:val="000000" w:themeColor="text1"/>
          <w:szCs w:val="24"/>
        </w:rPr>
        <w:t>國際旅客</w:t>
      </w:r>
      <w:r>
        <w:rPr>
          <w:rFonts w:ascii="標楷體" w:eastAsia="標楷體" w:hAnsi="標楷體" w:hint="eastAsia"/>
          <w:bCs/>
          <w:color w:val="000000" w:themeColor="text1"/>
          <w:szCs w:val="24"/>
        </w:rPr>
        <w:t>至</w:t>
      </w:r>
      <w:r w:rsidRPr="00E56D1D">
        <w:rPr>
          <w:rFonts w:ascii="標楷體" w:eastAsia="標楷體" w:hAnsi="標楷體" w:hint="eastAsia"/>
          <w:bCs/>
          <w:color w:val="000000" w:themeColor="text1"/>
          <w:szCs w:val="24"/>
        </w:rPr>
        <w:t>各博物館所</w:t>
      </w:r>
      <w:r>
        <w:rPr>
          <w:rFonts w:ascii="標楷體" w:eastAsia="標楷體" w:hAnsi="標楷體" w:hint="eastAsia"/>
          <w:bCs/>
          <w:color w:val="000000" w:themeColor="text1"/>
          <w:szCs w:val="24"/>
        </w:rPr>
        <w:t>之</w:t>
      </w:r>
      <w:r w:rsidRPr="00E56D1D">
        <w:rPr>
          <w:rFonts w:ascii="標楷體" w:eastAsia="標楷體" w:hAnsi="標楷體" w:hint="eastAsia"/>
          <w:bCs/>
          <w:color w:val="000000" w:themeColor="text1"/>
          <w:szCs w:val="24"/>
        </w:rPr>
        <w:t>目標</w:t>
      </w:r>
      <w:r>
        <w:rPr>
          <w:rFonts w:ascii="新細明體" w:hAnsi="新細明體" w:hint="eastAsia"/>
          <w:bCs/>
          <w:color w:val="000000" w:themeColor="text1"/>
          <w:szCs w:val="24"/>
        </w:rPr>
        <w:t>；</w:t>
      </w:r>
      <w:r>
        <w:rPr>
          <w:rFonts w:ascii="標楷體" w:eastAsia="標楷體" w:hAnsi="標楷體" w:hint="eastAsia"/>
          <w:bCs/>
          <w:color w:val="000000" w:themeColor="text1"/>
          <w:szCs w:val="24"/>
        </w:rPr>
        <w:t>3.</w:t>
      </w:r>
      <w:r w:rsidRPr="00B157C8">
        <w:rPr>
          <w:rFonts w:ascii="標楷體" w:eastAsia="標楷體" w:hAnsi="標楷體" w:hint="eastAsia"/>
          <w:bCs/>
          <w:color w:val="000000" w:themeColor="text1"/>
          <w:szCs w:val="24"/>
        </w:rPr>
        <w:t>將落實推動各項計畫期程及查核點管制，</w:t>
      </w:r>
      <w:r>
        <w:rPr>
          <w:rFonts w:ascii="標楷體" w:eastAsia="標楷體" w:hAnsi="標楷體" w:hint="eastAsia"/>
          <w:bCs/>
          <w:color w:val="000000" w:themeColor="text1"/>
          <w:szCs w:val="24"/>
        </w:rPr>
        <w:t>並</w:t>
      </w:r>
      <w:r w:rsidRPr="00B157C8">
        <w:rPr>
          <w:rFonts w:ascii="標楷體" w:eastAsia="標楷體" w:hAnsi="標楷體" w:hint="eastAsia"/>
          <w:bCs/>
          <w:color w:val="000000" w:themeColor="text1"/>
          <w:szCs w:val="24"/>
        </w:rPr>
        <w:t>按月召開公共建設計畫管考會議，就進度落後案件預為協調改善方案，</w:t>
      </w:r>
      <w:proofErr w:type="gramStart"/>
      <w:r>
        <w:rPr>
          <w:rFonts w:ascii="標楷體" w:eastAsia="標楷體" w:hAnsi="標楷體" w:hint="eastAsia"/>
          <w:bCs/>
          <w:color w:val="000000" w:themeColor="text1"/>
          <w:szCs w:val="24"/>
        </w:rPr>
        <w:t>俾</w:t>
      </w:r>
      <w:proofErr w:type="gramEnd"/>
      <w:r w:rsidRPr="00B157C8">
        <w:rPr>
          <w:rFonts w:ascii="標楷體" w:eastAsia="標楷體" w:hAnsi="標楷體" w:hint="eastAsia"/>
          <w:bCs/>
          <w:color w:val="000000" w:themeColor="text1"/>
          <w:szCs w:val="24"/>
        </w:rPr>
        <w:t>使</w:t>
      </w:r>
      <w:r>
        <w:rPr>
          <w:rFonts w:ascii="標楷體" w:eastAsia="標楷體" w:hAnsi="標楷體" w:hint="eastAsia"/>
          <w:bCs/>
          <w:color w:val="000000" w:themeColor="text1"/>
          <w:szCs w:val="24"/>
        </w:rPr>
        <w:t>工程進度</w:t>
      </w:r>
      <w:r w:rsidRPr="00B157C8">
        <w:rPr>
          <w:rFonts w:ascii="標楷體" w:eastAsia="標楷體" w:hAnsi="標楷體" w:hint="eastAsia"/>
          <w:bCs/>
          <w:color w:val="000000" w:themeColor="text1"/>
          <w:szCs w:val="24"/>
        </w:rPr>
        <w:t>如期如質執行</w:t>
      </w:r>
      <w:r w:rsidRPr="00E56D1D">
        <w:rPr>
          <w:rFonts w:ascii="標楷體" w:eastAsia="標楷體" w:hAnsi="標楷體" w:hint="eastAsia"/>
          <w:bCs/>
          <w:color w:val="000000" w:themeColor="text1"/>
          <w:szCs w:val="24"/>
        </w:rPr>
        <w:t>。</w:t>
      </w:r>
    </w:p>
    <w:p w14:paraId="2FC3F971" w14:textId="7EDC4441" w:rsidR="001D6743" w:rsidRPr="00427783" w:rsidRDefault="004D59BB" w:rsidP="00673806">
      <w:pPr>
        <w:pStyle w:val="affffff1"/>
        <w:spacing w:beforeLines="20" w:before="72" w:line="460" w:lineRule="exact"/>
        <w:ind w:firstLineChars="200" w:firstLine="561"/>
        <w:outlineLvl w:val="1"/>
      </w:pPr>
      <w:r w:rsidRPr="00882D62">
        <w:rPr>
          <w:rFonts w:hint="eastAsia"/>
        </w:rPr>
        <w:t>（</w:t>
      </w:r>
      <w:r w:rsidR="001D6743">
        <w:rPr>
          <w:rFonts w:hint="eastAsia"/>
        </w:rPr>
        <w:t>三十</w:t>
      </w:r>
      <w:r w:rsidR="00673806">
        <w:rPr>
          <w:rFonts w:hint="eastAsia"/>
        </w:rPr>
        <w:t>六</w:t>
      </w:r>
      <w:r w:rsidR="001D6743" w:rsidRPr="00427783">
        <w:rPr>
          <w:rFonts w:hint="eastAsia"/>
        </w:rPr>
        <w:t>）</w:t>
      </w:r>
      <w:r w:rsidR="001D6743">
        <w:rPr>
          <w:rFonts w:hint="eastAsia"/>
        </w:rPr>
        <w:t xml:space="preserve">　</w:t>
      </w:r>
      <w:r w:rsidR="001D6743" w:rsidRPr="00CA5E1D">
        <w:rPr>
          <w:rFonts w:hint="eastAsia"/>
        </w:rPr>
        <w:t>原住民族委員會辦理教會族語獎勵計畫，提供族人更多族語使用與學習場域，惟申請書格式及審查</w:t>
      </w:r>
      <w:proofErr w:type="gramStart"/>
      <w:r w:rsidR="001D6743" w:rsidRPr="00CA5E1D">
        <w:rPr>
          <w:rFonts w:hint="eastAsia"/>
        </w:rPr>
        <w:t>項目欠乏使用</w:t>
      </w:r>
      <w:proofErr w:type="gramEnd"/>
      <w:r w:rsidR="001D6743" w:rsidRPr="00CA5E1D">
        <w:rPr>
          <w:rFonts w:hint="eastAsia"/>
        </w:rPr>
        <w:t>族語比率、預期達成效益等與族語推廣及發展至為</w:t>
      </w:r>
      <w:proofErr w:type="gramStart"/>
      <w:r w:rsidR="001D6743" w:rsidRPr="00CA5E1D">
        <w:rPr>
          <w:rFonts w:hint="eastAsia"/>
        </w:rPr>
        <w:t>攸</w:t>
      </w:r>
      <w:proofErr w:type="gramEnd"/>
      <w:r w:rsidR="001D6743" w:rsidRPr="00CA5E1D">
        <w:rPr>
          <w:rFonts w:hint="eastAsia"/>
        </w:rPr>
        <w:t>關項目，恐難考核計畫推動成效；另</w:t>
      </w:r>
      <w:r w:rsidR="00DF79C0">
        <w:rPr>
          <w:rFonts w:hint="eastAsia"/>
        </w:rPr>
        <w:t>相關</w:t>
      </w:r>
      <w:r w:rsidR="001D6743" w:rsidRPr="00CA5E1D">
        <w:rPr>
          <w:rFonts w:hint="eastAsia"/>
        </w:rPr>
        <w:t>獎勵</w:t>
      </w:r>
      <w:r w:rsidR="00DF79C0">
        <w:rPr>
          <w:rFonts w:hint="eastAsia"/>
        </w:rPr>
        <w:t>標準未盡完備</w:t>
      </w:r>
      <w:r w:rsidR="001D6743" w:rsidRPr="00CA5E1D">
        <w:rPr>
          <w:rFonts w:hint="eastAsia"/>
        </w:rPr>
        <w:t>，</w:t>
      </w:r>
      <w:r w:rsidR="00DF79C0">
        <w:rPr>
          <w:rFonts w:hint="eastAsia"/>
        </w:rPr>
        <w:t>允宜</w:t>
      </w:r>
      <w:proofErr w:type="gramStart"/>
      <w:r w:rsidR="001D6743" w:rsidRPr="00CA5E1D">
        <w:rPr>
          <w:rFonts w:hint="eastAsia"/>
        </w:rPr>
        <w:t>研</w:t>
      </w:r>
      <w:proofErr w:type="gramEnd"/>
      <w:r w:rsidR="001D6743" w:rsidRPr="00CA5E1D">
        <w:rPr>
          <w:rFonts w:hint="eastAsia"/>
        </w:rPr>
        <w:t>謀改善</w:t>
      </w:r>
      <w:r w:rsidR="00DF79C0">
        <w:rPr>
          <w:rFonts w:hint="eastAsia"/>
        </w:rPr>
        <w:t>，以促進族語保存與傳承。</w:t>
      </w:r>
    </w:p>
    <w:p w14:paraId="0C452B03" w14:textId="5C02D085" w:rsidR="001D6743" w:rsidRPr="00CA5E1D" w:rsidRDefault="001D6743" w:rsidP="00EE185D">
      <w:pPr>
        <w:widowControl/>
        <w:overflowPunct w:val="0"/>
        <w:spacing w:line="400" w:lineRule="exact"/>
        <w:ind w:firstLineChars="200" w:firstLine="480"/>
        <w:jc w:val="both"/>
        <w:rPr>
          <w:rFonts w:ascii="標楷體" w:eastAsia="標楷體" w:hAnsi="標楷體"/>
          <w:color w:val="000000" w:themeColor="text1"/>
          <w:szCs w:val="24"/>
          <w:highlight w:val="yellow"/>
        </w:rPr>
      </w:pPr>
      <w:r w:rsidRPr="003144C6">
        <w:rPr>
          <w:rFonts w:hAnsi="標楷體"/>
          <w:noProof/>
          <w:color w:val="000000" w:themeColor="text1"/>
          <w:spacing w:val="2"/>
          <w:szCs w:val="32"/>
        </w:rPr>
        <w:lastRenderedPageBreak/>
        <mc:AlternateContent>
          <mc:Choice Requires="wps">
            <w:drawing>
              <wp:anchor distT="45720" distB="45720" distL="114300" distR="114300" simplePos="0" relativeHeight="251663360" behindDoc="0" locked="0" layoutInCell="1" allowOverlap="1" wp14:anchorId="2AAF3C72" wp14:editId="1C3A9FCF">
                <wp:simplePos x="0" y="0"/>
                <wp:positionH relativeFrom="margin">
                  <wp:posOffset>2784475</wp:posOffset>
                </wp:positionH>
                <wp:positionV relativeFrom="paragraph">
                  <wp:posOffset>4052570</wp:posOffset>
                </wp:positionV>
                <wp:extent cx="3454400" cy="1836420"/>
                <wp:effectExtent l="0" t="0" r="0" b="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400" cy="1836420"/>
                        </a:xfrm>
                        <a:prstGeom prst="rect">
                          <a:avLst/>
                        </a:prstGeom>
                        <a:solidFill>
                          <a:srgbClr val="FFFFFF"/>
                        </a:solidFill>
                        <a:ln w="9525">
                          <a:noFill/>
                          <a:miter lim="800000"/>
                          <a:headEnd/>
                          <a:tailEnd/>
                        </a:ln>
                      </wps:spPr>
                      <wps:txbx>
                        <w:txbxContent>
                          <w:tbl>
                            <w:tblPr>
                              <w:tblOverlap w:val="neve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6"/>
                              <w:gridCol w:w="284"/>
                              <w:gridCol w:w="2409"/>
                              <w:gridCol w:w="142"/>
                            </w:tblGrid>
                            <w:tr w:rsidR="001D6743" w:rsidRPr="0032413A" w14:paraId="70CC2E8F" w14:textId="77777777" w:rsidTr="009D2DDC">
                              <w:trPr>
                                <w:gridAfter w:val="1"/>
                                <w:wAfter w:w="142" w:type="dxa"/>
                                <w:trHeight w:val="283"/>
                                <w:jc w:val="center"/>
                              </w:trPr>
                              <w:tc>
                                <w:tcPr>
                                  <w:tcW w:w="4819" w:type="dxa"/>
                                  <w:gridSpan w:val="3"/>
                                  <w:tcBorders>
                                    <w:top w:val="nil"/>
                                    <w:left w:val="nil"/>
                                    <w:bottom w:val="nil"/>
                                    <w:right w:val="nil"/>
                                  </w:tcBorders>
                                </w:tcPr>
                                <w:p w14:paraId="0DAAE97E" w14:textId="0943E18B" w:rsidR="001D6743" w:rsidRPr="00694644" w:rsidRDefault="001D6743" w:rsidP="007344E2">
                                  <w:pPr>
                                    <w:spacing w:line="240" w:lineRule="exact"/>
                                    <w:ind w:left="781" w:rightChars="-91" w:right="-218" w:hangingChars="325" w:hanging="781"/>
                                    <w:rPr>
                                      <w:rFonts w:ascii="標楷體" w:eastAsia="標楷體" w:hAnsi="標楷體"/>
                                      <w:b/>
                                    </w:rPr>
                                  </w:pPr>
                                  <w:r w:rsidRPr="009B5D01">
                                    <w:rPr>
                                      <w:rFonts w:ascii="標楷體" w:eastAsia="標楷體" w:hAnsi="標楷體" w:hint="eastAsia"/>
                                      <w:b/>
                                    </w:rPr>
                                    <w:t>表</w:t>
                                  </w:r>
                                  <w:r>
                                    <w:rPr>
                                      <w:rFonts w:ascii="標楷體" w:eastAsia="標楷體" w:hAnsi="標楷體"/>
                                      <w:b/>
                                    </w:rPr>
                                    <w:t>5</w:t>
                                  </w:r>
                                  <w:r w:rsidR="008D419D">
                                    <w:rPr>
                                      <w:rFonts w:ascii="標楷體" w:eastAsia="標楷體" w:hAnsi="標楷體"/>
                                      <w:b/>
                                    </w:rPr>
                                    <w:t>0</w:t>
                                  </w:r>
                                  <w:r w:rsidRPr="009B5D01">
                                    <w:rPr>
                                      <w:rFonts w:ascii="標楷體" w:eastAsia="標楷體" w:hAnsi="標楷體"/>
                                      <w:b/>
                                    </w:rPr>
                                    <w:t xml:space="preserve">  </w:t>
                                  </w:r>
                                  <w:r w:rsidRPr="006B37C2">
                                    <w:rPr>
                                      <w:rFonts w:ascii="標楷體" w:eastAsia="標楷體" w:hAnsi="標楷體" w:hint="eastAsia"/>
                                      <w:b/>
                                    </w:rPr>
                                    <w:t>教會族語獎勵計畫</w:t>
                                  </w:r>
                                  <w:r>
                                    <w:rPr>
                                      <w:rFonts w:ascii="標楷體" w:eastAsia="標楷體" w:hAnsi="標楷體" w:hint="eastAsia"/>
                                      <w:b/>
                                    </w:rPr>
                                    <w:t>獎勵</w:t>
                                  </w:r>
                                  <w:r>
                                    <w:rPr>
                                      <w:rFonts w:ascii="標楷體" w:eastAsia="標楷體" w:hAnsi="標楷體"/>
                                      <w:b/>
                                    </w:rPr>
                                    <w:t>雜支、情境布置、</w:t>
                                  </w:r>
                                  <w:r>
                                    <w:rPr>
                                      <w:rFonts w:ascii="標楷體" w:eastAsia="標楷體" w:hAnsi="標楷體" w:hint="eastAsia"/>
                                      <w:b/>
                                    </w:rPr>
                                    <w:t>成果展示等項之獎勵級距</w:t>
                                  </w:r>
                                </w:p>
                              </w:tc>
                            </w:tr>
                            <w:tr w:rsidR="001D6743" w:rsidRPr="0032413A" w14:paraId="17F13EF6" w14:textId="77777777" w:rsidTr="009D2DDC">
                              <w:trPr>
                                <w:trHeight w:val="283"/>
                                <w:jc w:val="center"/>
                              </w:trPr>
                              <w:tc>
                                <w:tcPr>
                                  <w:tcW w:w="2126" w:type="dxa"/>
                                  <w:tcBorders>
                                    <w:top w:val="nil"/>
                                    <w:left w:val="nil"/>
                                    <w:bottom w:val="single" w:sz="4" w:space="0" w:color="auto"/>
                                    <w:right w:val="nil"/>
                                  </w:tcBorders>
                                </w:tcPr>
                                <w:p w14:paraId="64230F18" w14:textId="77777777" w:rsidR="001D6743" w:rsidRPr="008D077C" w:rsidRDefault="001D6743" w:rsidP="009D2DDC">
                                  <w:pPr>
                                    <w:widowControl/>
                                    <w:spacing w:line="220" w:lineRule="exact"/>
                                    <w:suppressOverlap/>
                                    <w:jc w:val="right"/>
                                    <w:rPr>
                                      <w:rFonts w:ascii="標楷體" w:eastAsia="標楷體" w:hAnsi="標楷體"/>
                                      <w:sz w:val="20"/>
                                    </w:rPr>
                                  </w:pPr>
                                </w:p>
                              </w:tc>
                              <w:tc>
                                <w:tcPr>
                                  <w:tcW w:w="2835" w:type="dxa"/>
                                  <w:gridSpan w:val="3"/>
                                  <w:tcBorders>
                                    <w:top w:val="nil"/>
                                    <w:left w:val="nil"/>
                                    <w:bottom w:val="single" w:sz="4" w:space="0" w:color="auto"/>
                                    <w:right w:val="nil"/>
                                  </w:tcBorders>
                                  <w:shd w:val="clear" w:color="auto" w:fill="auto"/>
                                  <w:noWrap/>
                                  <w:vAlign w:val="center"/>
                                </w:tcPr>
                                <w:p w14:paraId="30070255" w14:textId="4F4AD2C6" w:rsidR="001D6743" w:rsidRDefault="001D6743" w:rsidP="009D2DDC">
                                  <w:pPr>
                                    <w:widowControl/>
                                    <w:spacing w:line="220" w:lineRule="exact"/>
                                    <w:suppressOverlap/>
                                    <w:jc w:val="right"/>
                                    <w:rPr>
                                      <w:rFonts w:ascii="標楷體" w:eastAsia="標楷體" w:hAnsi="標楷體" w:cs="新細明體"/>
                                      <w:color w:val="000000"/>
                                      <w:sz w:val="20"/>
                                    </w:rPr>
                                  </w:pPr>
                                  <w:r>
                                    <w:rPr>
                                      <w:rFonts w:ascii="標楷體" w:eastAsia="標楷體" w:hAnsi="標楷體" w:cs="新細明體" w:hint="eastAsia"/>
                                      <w:color w:val="000000"/>
                                      <w:sz w:val="20"/>
                                    </w:rPr>
                                    <w:t>單位：</w:t>
                                  </w:r>
                                  <w:r w:rsidR="00723BCF">
                                    <w:rPr>
                                      <w:rFonts w:ascii="標楷體" w:eastAsia="標楷體" w:hAnsi="標楷體" w:cs="新細明體" w:hint="eastAsia"/>
                                      <w:color w:val="000000"/>
                                      <w:sz w:val="20"/>
                                    </w:rPr>
                                    <w:t>新臺幣</w:t>
                                  </w:r>
                                  <w:r>
                                    <w:rPr>
                                      <w:rFonts w:ascii="標楷體" w:eastAsia="標楷體" w:hAnsi="標楷體" w:cs="新細明體" w:hint="eastAsia"/>
                                      <w:color w:val="000000"/>
                                      <w:sz w:val="20"/>
                                    </w:rPr>
                                    <w:t>元</w:t>
                                  </w:r>
                                </w:p>
                              </w:tc>
                            </w:tr>
                            <w:tr w:rsidR="001D6743" w:rsidRPr="0032413A" w14:paraId="6EF54F23" w14:textId="77777777" w:rsidTr="009D2DDC">
                              <w:trPr>
                                <w:trHeight w:val="300"/>
                                <w:jc w:val="center"/>
                              </w:trPr>
                              <w:tc>
                                <w:tcPr>
                                  <w:tcW w:w="2410" w:type="dxa"/>
                                  <w:gridSpan w:val="2"/>
                                  <w:tcBorders>
                                    <w:top w:val="single" w:sz="4" w:space="0" w:color="auto"/>
                                  </w:tcBorders>
                                  <w:shd w:val="clear" w:color="auto" w:fill="auto"/>
                                  <w:noWrap/>
                                  <w:vAlign w:val="center"/>
                                  <w:hideMark/>
                                </w:tcPr>
                                <w:p w14:paraId="1D09332B" w14:textId="77777777" w:rsidR="001D6743" w:rsidRPr="00706A1C" w:rsidRDefault="001D6743" w:rsidP="009D2DDC">
                                  <w:pPr>
                                    <w:widowControl/>
                                    <w:spacing w:line="220" w:lineRule="exact"/>
                                    <w:suppressOverlap/>
                                    <w:jc w:val="center"/>
                                    <w:rPr>
                                      <w:rFonts w:ascii="標楷體" w:eastAsia="標楷體" w:hAnsi="標楷體" w:cs="新細明體"/>
                                      <w:color w:val="000000" w:themeColor="text1"/>
                                      <w:sz w:val="20"/>
                                    </w:rPr>
                                  </w:pPr>
                                  <w:r w:rsidRPr="00706A1C">
                                    <w:rPr>
                                      <w:rFonts w:ascii="標楷體" w:eastAsia="標楷體" w:hAnsi="標楷體" w:cs="新細明體" w:hint="eastAsia"/>
                                      <w:color w:val="000000" w:themeColor="text1"/>
                                      <w:sz w:val="20"/>
                                    </w:rPr>
                                    <w:t>原住民教友人數</w:t>
                                  </w:r>
                                </w:p>
                              </w:tc>
                              <w:tc>
                                <w:tcPr>
                                  <w:tcW w:w="2551" w:type="dxa"/>
                                  <w:gridSpan w:val="2"/>
                                  <w:tcBorders>
                                    <w:top w:val="single" w:sz="4" w:space="0" w:color="auto"/>
                                  </w:tcBorders>
                                  <w:shd w:val="clear" w:color="auto" w:fill="auto"/>
                                  <w:vAlign w:val="center"/>
                                  <w:hideMark/>
                                </w:tcPr>
                                <w:p w14:paraId="04FCBD42" w14:textId="77777777" w:rsidR="001D6743" w:rsidRPr="00706A1C" w:rsidRDefault="001D6743" w:rsidP="009D2DDC">
                                  <w:pPr>
                                    <w:widowControl/>
                                    <w:spacing w:line="220" w:lineRule="exact"/>
                                    <w:suppressOverlap/>
                                    <w:jc w:val="center"/>
                                    <w:rPr>
                                      <w:rFonts w:ascii="標楷體" w:eastAsia="標楷體" w:hAnsi="標楷體" w:cs="新細明體"/>
                                      <w:color w:val="000000" w:themeColor="text1"/>
                                      <w:sz w:val="18"/>
                                    </w:rPr>
                                  </w:pPr>
                                  <w:r w:rsidRPr="00706A1C">
                                    <w:rPr>
                                      <w:rFonts w:ascii="標楷體" w:eastAsia="標楷體" w:hAnsi="標楷體" w:cs="新細明體" w:hint="eastAsia"/>
                                      <w:color w:val="000000" w:themeColor="text1"/>
                                      <w:sz w:val="20"/>
                                    </w:rPr>
                                    <w:t>一年獎勵標準</w:t>
                                  </w:r>
                                </w:p>
                              </w:tc>
                            </w:tr>
                            <w:tr w:rsidR="001D6743" w:rsidRPr="0032413A" w14:paraId="3161455A" w14:textId="77777777" w:rsidTr="009D2DDC">
                              <w:trPr>
                                <w:trHeight w:val="300"/>
                                <w:jc w:val="center"/>
                              </w:trPr>
                              <w:tc>
                                <w:tcPr>
                                  <w:tcW w:w="2410" w:type="dxa"/>
                                  <w:gridSpan w:val="2"/>
                                  <w:shd w:val="clear" w:color="auto" w:fill="auto"/>
                                  <w:noWrap/>
                                  <w:vAlign w:val="center"/>
                                </w:tcPr>
                                <w:p w14:paraId="53E9DA77" w14:textId="77777777" w:rsidR="001D6743" w:rsidRPr="007B2107"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50人以上</w:t>
                                  </w:r>
                                </w:p>
                              </w:tc>
                              <w:tc>
                                <w:tcPr>
                                  <w:tcW w:w="2551" w:type="dxa"/>
                                  <w:gridSpan w:val="2"/>
                                  <w:shd w:val="clear" w:color="auto" w:fill="auto"/>
                                  <w:noWrap/>
                                  <w:vAlign w:val="center"/>
                                </w:tcPr>
                                <w:p w14:paraId="4D6EDEAC" w14:textId="77777777" w:rsidR="001D6743" w:rsidRPr="007B2107"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color w:val="000000"/>
                                      <w:sz w:val="20"/>
                                    </w:rPr>
                                    <w:t>50,000</w:t>
                                  </w:r>
                                </w:p>
                              </w:tc>
                            </w:tr>
                            <w:tr w:rsidR="001D6743" w:rsidRPr="0032413A" w14:paraId="7B8D6095" w14:textId="77777777" w:rsidTr="009D2DDC">
                              <w:trPr>
                                <w:trHeight w:val="300"/>
                                <w:jc w:val="center"/>
                              </w:trPr>
                              <w:tc>
                                <w:tcPr>
                                  <w:tcW w:w="2410" w:type="dxa"/>
                                  <w:gridSpan w:val="2"/>
                                  <w:shd w:val="clear" w:color="auto" w:fill="auto"/>
                                  <w:noWrap/>
                                  <w:vAlign w:val="center"/>
                                  <w:hideMark/>
                                </w:tcPr>
                                <w:p w14:paraId="7BAE5181" w14:textId="77777777" w:rsidR="001D6743" w:rsidRPr="00993340"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00人至149人</w:t>
                                  </w:r>
                                </w:p>
                              </w:tc>
                              <w:tc>
                                <w:tcPr>
                                  <w:tcW w:w="2551" w:type="dxa"/>
                                  <w:gridSpan w:val="2"/>
                                  <w:shd w:val="clear" w:color="auto" w:fill="auto"/>
                                  <w:noWrap/>
                                  <w:vAlign w:val="center"/>
                                  <w:hideMark/>
                                </w:tcPr>
                                <w:p w14:paraId="6979AA76" w14:textId="77777777" w:rsidR="001D6743" w:rsidRPr="00993340"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color w:val="000000"/>
                                      <w:sz w:val="20"/>
                                    </w:rPr>
                                    <w:t>40,000-50,000</w:t>
                                  </w:r>
                                </w:p>
                              </w:tc>
                            </w:tr>
                            <w:tr w:rsidR="001D6743" w:rsidRPr="0032413A" w14:paraId="748D5428" w14:textId="77777777" w:rsidTr="009D2DDC">
                              <w:trPr>
                                <w:trHeight w:val="300"/>
                                <w:jc w:val="center"/>
                              </w:trPr>
                              <w:tc>
                                <w:tcPr>
                                  <w:tcW w:w="2410" w:type="dxa"/>
                                  <w:gridSpan w:val="2"/>
                                  <w:shd w:val="clear" w:color="auto" w:fill="auto"/>
                                  <w:noWrap/>
                                  <w:vAlign w:val="center"/>
                                </w:tcPr>
                                <w:p w14:paraId="79BF2DA9" w14:textId="77777777" w:rsidR="001D6743"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0人至99人</w:t>
                                  </w:r>
                                </w:p>
                              </w:tc>
                              <w:tc>
                                <w:tcPr>
                                  <w:tcW w:w="2551" w:type="dxa"/>
                                  <w:gridSpan w:val="2"/>
                                  <w:shd w:val="clear" w:color="auto" w:fill="auto"/>
                                  <w:noWrap/>
                                  <w:vAlign w:val="center"/>
                                </w:tcPr>
                                <w:p w14:paraId="36479E36" w14:textId="77777777" w:rsidR="001D6743"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hint="eastAsia"/>
                                      <w:color w:val="000000"/>
                                      <w:sz w:val="20"/>
                                    </w:rPr>
                                    <w:t>30,000-40,000</w:t>
                                  </w:r>
                                </w:p>
                              </w:tc>
                            </w:tr>
                            <w:tr w:rsidR="001D6743" w:rsidRPr="0032413A" w14:paraId="099A4FC9" w14:textId="77777777" w:rsidTr="009D2DDC">
                              <w:trPr>
                                <w:trHeight w:val="300"/>
                                <w:jc w:val="center"/>
                              </w:trPr>
                              <w:tc>
                                <w:tcPr>
                                  <w:tcW w:w="2410" w:type="dxa"/>
                                  <w:gridSpan w:val="2"/>
                                  <w:shd w:val="clear" w:color="auto" w:fill="auto"/>
                                  <w:noWrap/>
                                  <w:vAlign w:val="center"/>
                                </w:tcPr>
                                <w:p w14:paraId="6CE27ADD" w14:textId="77777777" w:rsidR="001D6743"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9人</w:t>
                                  </w:r>
                                  <w:r>
                                    <w:rPr>
                                      <w:rFonts w:ascii="標楷體" w:eastAsia="標楷體" w:hAnsi="標楷體" w:cs="新細明體" w:hint="eastAsia"/>
                                      <w:color w:val="000000"/>
                                      <w:sz w:val="20"/>
                                    </w:rPr>
                                    <w:t>以下</w:t>
                                  </w:r>
                                </w:p>
                              </w:tc>
                              <w:tc>
                                <w:tcPr>
                                  <w:tcW w:w="2551" w:type="dxa"/>
                                  <w:gridSpan w:val="2"/>
                                  <w:shd w:val="clear" w:color="auto" w:fill="auto"/>
                                  <w:noWrap/>
                                  <w:vAlign w:val="center"/>
                                </w:tcPr>
                                <w:p w14:paraId="479065B3" w14:textId="77777777" w:rsidR="001D6743"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hint="eastAsia"/>
                                      <w:color w:val="000000"/>
                                      <w:sz w:val="20"/>
                                    </w:rPr>
                                    <w:t>10,000-30,000</w:t>
                                  </w:r>
                                </w:p>
                              </w:tc>
                            </w:tr>
                            <w:tr w:rsidR="00AB5FC6" w:rsidRPr="00CA5E1D" w14:paraId="3A4162BC" w14:textId="77777777" w:rsidTr="00AB5FC6">
                              <w:trPr>
                                <w:gridAfter w:val="1"/>
                                <w:wAfter w:w="142" w:type="dxa"/>
                                <w:trHeight w:val="20"/>
                                <w:jc w:val="center"/>
                              </w:trPr>
                              <w:tc>
                                <w:tcPr>
                                  <w:tcW w:w="4819" w:type="dxa"/>
                                  <w:gridSpan w:val="3"/>
                                  <w:tcBorders>
                                    <w:top w:val="nil"/>
                                    <w:left w:val="nil"/>
                                    <w:bottom w:val="nil"/>
                                    <w:right w:val="nil"/>
                                  </w:tcBorders>
                                </w:tcPr>
                                <w:p w14:paraId="7FF377A1" w14:textId="639384AE" w:rsidR="00AB5FC6" w:rsidRPr="00CA5E1D" w:rsidRDefault="00AB5FC6" w:rsidP="009928DB">
                                  <w:pPr>
                                    <w:spacing w:line="200" w:lineRule="exact"/>
                                    <w:ind w:leftChars="1" w:left="819" w:hangingChars="475" w:hanging="817"/>
                                    <w:rPr>
                                      <w:rFonts w:ascii="標楷體" w:eastAsia="標楷體" w:hAnsi="標楷體"/>
                                      <w:spacing w:val="-4"/>
                                      <w:sz w:val="18"/>
                                      <w:szCs w:val="18"/>
                                    </w:rPr>
                                  </w:pPr>
                                  <w:r w:rsidRPr="00CA5E1D">
                                    <w:rPr>
                                      <w:rFonts w:ascii="標楷體" w:eastAsia="標楷體" w:hAnsi="標楷體" w:hint="eastAsia"/>
                                      <w:spacing w:val="-4"/>
                                      <w:sz w:val="18"/>
                                      <w:szCs w:val="18"/>
                                    </w:rPr>
                                    <w:t>資料來源：</w:t>
                                  </w:r>
                                  <w:r w:rsidRPr="00CA5E1D">
                                    <w:rPr>
                                      <w:rFonts w:ascii="標楷體" w:eastAsia="標楷體" w:hAnsi="標楷體"/>
                                      <w:spacing w:val="-4"/>
                                      <w:sz w:val="18"/>
                                      <w:szCs w:val="18"/>
                                    </w:rPr>
                                    <w:t>整理自</w:t>
                                  </w:r>
                                  <w:r w:rsidRPr="00CA5E1D">
                                    <w:rPr>
                                      <w:rFonts w:ascii="標楷體" w:eastAsia="標楷體" w:hAnsi="標楷體" w:hint="eastAsia"/>
                                      <w:spacing w:val="-4"/>
                                      <w:sz w:val="18"/>
                                      <w:szCs w:val="18"/>
                                    </w:rPr>
                                    <w:t>原住民族委員會</w:t>
                                  </w:r>
                                  <w:proofErr w:type="gramStart"/>
                                  <w:r w:rsidRPr="00CA5E1D">
                                    <w:rPr>
                                      <w:rFonts w:ascii="標楷體" w:eastAsia="標楷體" w:hAnsi="標楷體" w:hint="eastAsia"/>
                                      <w:spacing w:val="-4"/>
                                      <w:sz w:val="18"/>
                                      <w:szCs w:val="18"/>
                                    </w:rPr>
                                    <w:t>113</w:t>
                                  </w:r>
                                  <w:proofErr w:type="gramEnd"/>
                                  <w:r w:rsidRPr="00CA5E1D">
                                    <w:rPr>
                                      <w:rFonts w:ascii="標楷體" w:eastAsia="標楷體" w:hAnsi="標楷體" w:hint="eastAsia"/>
                                      <w:spacing w:val="-4"/>
                                      <w:sz w:val="18"/>
                                      <w:szCs w:val="18"/>
                                    </w:rPr>
                                    <w:t>年度</w:t>
                                  </w:r>
                                  <w:r w:rsidR="009928DB">
                                    <w:rPr>
                                      <w:rFonts w:ascii="標楷體" w:eastAsia="標楷體" w:hAnsi="標楷體" w:hint="eastAsia"/>
                                      <w:spacing w:val="-4"/>
                                      <w:sz w:val="18"/>
                                      <w:szCs w:val="18"/>
                                    </w:rPr>
                                    <w:t>原住民族</w:t>
                                  </w:r>
                                  <w:r w:rsidRPr="00CA5E1D">
                                    <w:rPr>
                                      <w:rFonts w:ascii="標楷體" w:eastAsia="標楷體" w:hAnsi="標楷體" w:hint="eastAsia"/>
                                      <w:spacing w:val="-4"/>
                                      <w:sz w:val="18"/>
                                      <w:szCs w:val="18"/>
                                    </w:rPr>
                                    <w:t>教會</w:t>
                                  </w:r>
                                  <w:r w:rsidR="009928DB">
                                    <w:rPr>
                                      <w:rFonts w:ascii="標楷體" w:eastAsia="標楷體" w:hAnsi="標楷體" w:hint="eastAsia"/>
                                      <w:spacing w:val="-4"/>
                                      <w:sz w:val="18"/>
                                      <w:szCs w:val="18"/>
                                    </w:rPr>
                                    <w:t>推動</w:t>
                                  </w:r>
                                  <w:r w:rsidRPr="00CA5E1D">
                                    <w:rPr>
                                      <w:rFonts w:ascii="標楷體" w:eastAsia="標楷體" w:hAnsi="標楷體" w:hint="eastAsia"/>
                                      <w:spacing w:val="-4"/>
                                      <w:sz w:val="18"/>
                                      <w:szCs w:val="18"/>
                                    </w:rPr>
                                    <w:t>族語</w:t>
                                  </w:r>
                                  <w:r w:rsidR="009928DB">
                                    <w:rPr>
                                      <w:rFonts w:ascii="標楷體" w:eastAsia="標楷體" w:hAnsi="標楷體" w:hint="eastAsia"/>
                                      <w:spacing w:val="-4"/>
                                      <w:sz w:val="18"/>
                                      <w:szCs w:val="18"/>
                                    </w:rPr>
                                    <w:t>發展</w:t>
                                  </w:r>
                                  <w:r w:rsidRPr="00CA5E1D">
                                    <w:rPr>
                                      <w:rFonts w:ascii="標楷體" w:eastAsia="標楷體" w:hAnsi="標楷體" w:hint="eastAsia"/>
                                      <w:spacing w:val="-4"/>
                                      <w:sz w:val="18"/>
                                      <w:szCs w:val="18"/>
                                    </w:rPr>
                                    <w:t>獎勵計畫。</w:t>
                                  </w:r>
                                </w:p>
                              </w:tc>
                            </w:tr>
                          </w:tbl>
                          <w:p w14:paraId="79759AE3" w14:textId="77777777" w:rsidR="001D6743" w:rsidRPr="00CA5E1D" w:rsidRDefault="001D6743" w:rsidP="001D6743">
                            <w:pPr>
                              <w:spacing w:line="200" w:lineRule="exact"/>
                              <w:ind w:rightChars="-56" w:right="-134"/>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AF3C72" id="_x0000_s1159" type="#_x0000_t202" style="position:absolute;left:0;text-align:left;margin-left:219.25pt;margin-top:319.1pt;width:272pt;height:144.6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" stroked="f">
                <v:textbox>
                  <w:txbxContent>
                    <w:tbl>
                      <w:tblPr>
                        <w:tblOverlap w:val="neve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6"/>
                        <w:gridCol w:w="284"/>
                        <w:gridCol w:w="2409"/>
                        <w:gridCol w:w="142"/>
                      </w:tblGrid>
                      <w:tr w:rsidR="001D6743" w:rsidRPr="0032413A" w14:paraId="70CC2E8F" w14:textId="77777777" w:rsidTr="009D2DDC">
                        <w:trPr>
                          <w:gridAfter w:val="1"/>
                          <w:wAfter w:w="142" w:type="dxa"/>
                          <w:trHeight w:val="283"/>
                          <w:jc w:val="center"/>
                        </w:trPr>
                        <w:tc>
                          <w:tcPr>
                            <w:tcW w:w="4819" w:type="dxa"/>
                            <w:gridSpan w:val="3"/>
                            <w:tcBorders>
                              <w:top w:val="nil"/>
                              <w:left w:val="nil"/>
                              <w:bottom w:val="nil"/>
                              <w:right w:val="nil"/>
                            </w:tcBorders>
                          </w:tcPr>
                          <w:p w14:paraId="0DAAE97E" w14:textId="0943E18B" w:rsidR="001D6743" w:rsidRPr="00694644" w:rsidRDefault="001D6743" w:rsidP="007344E2">
                            <w:pPr>
                              <w:spacing w:line="240" w:lineRule="exact"/>
                              <w:ind w:left="781" w:rightChars="-91" w:right="-218" w:hangingChars="325" w:hanging="781"/>
                              <w:rPr>
                                <w:rFonts w:ascii="標楷體" w:eastAsia="標楷體" w:hAnsi="標楷體"/>
                                <w:b/>
                              </w:rPr>
                            </w:pPr>
                            <w:r w:rsidRPr="009B5D01">
                              <w:rPr>
                                <w:rFonts w:ascii="標楷體" w:eastAsia="標楷體" w:hAnsi="標楷體" w:hint="eastAsia"/>
                                <w:b/>
                              </w:rPr>
                              <w:t>表</w:t>
                            </w:r>
                            <w:r>
                              <w:rPr>
                                <w:rFonts w:ascii="標楷體" w:eastAsia="標楷體" w:hAnsi="標楷體"/>
                                <w:b/>
                              </w:rPr>
                              <w:t>5</w:t>
                            </w:r>
                            <w:r w:rsidR="008D419D">
                              <w:rPr>
                                <w:rFonts w:ascii="標楷體" w:eastAsia="標楷體" w:hAnsi="標楷體"/>
                                <w:b/>
                              </w:rPr>
                              <w:t>0</w:t>
                            </w:r>
                            <w:r w:rsidRPr="009B5D01">
                              <w:rPr>
                                <w:rFonts w:ascii="標楷體" w:eastAsia="標楷體" w:hAnsi="標楷體"/>
                                <w:b/>
                              </w:rPr>
                              <w:t xml:space="preserve">  </w:t>
                            </w:r>
                            <w:r w:rsidRPr="006B37C2">
                              <w:rPr>
                                <w:rFonts w:ascii="標楷體" w:eastAsia="標楷體" w:hAnsi="標楷體" w:hint="eastAsia"/>
                                <w:b/>
                              </w:rPr>
                              <w:t>教會族語獎勵計畫</w:t>
                            </w:r>
                            <w:r>
                              <w:rPr>
                                <w:rFonts w:ascii="標楷體" w:eastAsia="標楷體" w:hAnsi="標楷體" w:hint="eastAsia"/>
                                <w:b/>
                              </w:rPr>
                              <w:t>獎勵</w:t>
                            </w:r>
                            <w:r>
                              <w:rPr>
                                <w:rFonts w:ascii="標楷體" w:eastAsia="標楷體" w:hAnsi="標楷體"/>
                                <w:b/>
                              </w:rPr>
                              <w:t>雜支、情境布置、</w:t>
                            </w:r>
                            <w:r>
                              <w:rPr>
                                <w:rFonts w:ascii="標楷體" w:eastAsia="標楷體" w:hAnsi="標楷體" w:hint="eastAsia"/>
                                <w:b/>
                              </w:rPr>
                              <w:t>成果展示等項之獎勵級距</w:t>
                            </w:r>
                          </w:p>
                        </w:tc>
                      </w:tr>
                      <w:tr w:rsidR="001D6743" w:rsidRPr="0032413A" w14:paraId="17F13EF6" w14:textId="77777777" w:rsidTr="009D2DDC">
                        <w:trPr>
                          <w:trHeight w:val="283"/>
                          <w:jc w:val="center"/>
                        </w:trPr>
                        <w:tc>
                          <w:tcPr>
                            <w:tcW w:w="2126" w:type="dxa"/>
                            <w:tcBorders>
                              <w:top w:val="nil"/>
                              <w:left w:val="nil"/>
                              <w:bottom w:val="single" w:sz="4" w:space="0" w:color="auto"/>
                              <w:right w:val="nil"/>
                            </w:tcBorders>
                          </w:tcPr>
                          <w:p w14:paraId="64230F18" w14:textId="77777777" w:rsidR="001D6743" w:rsidRPr="008D077C" w:rsidRDefault="001D6743" w:rsidP="009D2DDC">
                            <w:pPr>
                              <w:widowControl/>
                              <w:spacing w:line="220" w:lineRule="exact"/>
                              <w:suppressOverlap/>
                              <w:jc w:val="right"/>
                              <w:rPr>
                                <w:rFonts w:ascii="標楷體" w:eastAsia="標楷體" w:hAnsi="標楷體"/>
                                <w:sz w:val="20"/>
                              </w:rPr>
                            </w:pPr>
                          </w:p>
                        </w:tc>
                        <w:tc>
                          <w:tcPr>
                            <w:tcW w:w="2835" w:type="dxa"/>
                            <w:gridSpan w:val="3"/>
                            <w:tcBorders>
                              <w:top w:val="nil"/>
                              <w:left w:val="nil"/>
                              <w:bottom w:val="single" w:sz="4" w:space="0" w:color="auto"/>
                              <w:right w:val="nil"/>
                            </w:tcBorders>
                            <w:shd w:val="clear" w:color="auto" w:fill="auto"/>
                            <w:noWrap/>
                            <w:vAlign w:val="center"/>
                          </w:tcPr>
                          <w:p w14:paraId="30070255" w14:textId="4F4AD2C6" w:rsidR="001D6743" w:rsidRDefault="001D6743" w:rsidP="009D2DDC">
                            <w:pPr>
                              <w:widowControl/>
                              <w:spacing w:line="220" w:lineRule="exact"/>
                              <w:suppressOverlap/>
                              <w:jc w:val="right"/>
                              <w:rPr>
                                <w:rFonts w:ascii="標楷體" w:eastAsia="標楷體" w:hAnsi="標楷體" w:cs="新細明體"/>
                                <w:color w:val="000000"/>
                                <w:sz w:val="20"/>
                              </w:rPr>
                            </w:pPr>
                            <w:r>
                              <w:rPr>
                                <w:rFonts w:ascii="標楷體" w:eastAsia="標楷體" w:hAnsi="標楷體" w:cs="新細明體" w:hint="eastAsia"/>
                                <w:color w:val="000000"/>
                                <w:sz w:val="20"/>
                              </w:rPr>
                              <w:t>單位：</w:t>
                            </w:r>
                            <w:r w:rsidR="00723BCF">
                              <w:rPr>
                                <w:rFonts w:ascii="標楷體" w:eastAsia="標楷體" w:hAnsi="標楷體" w:cs="新細明體" w:hint="eastAsia"/>
                                <w:color w:val="000000"/>
                                <w:sz w:val="20"/>
                              </w:rPr>
                              <w:t>新臺幣</w:t>
                            </w:r>
                            <w:r>
                              <w:rPr>
                                <w:rFonts w:ascii="標楷體" w:eastAsia="標楷體" w:hAnsi="標楷體" w:cs="新細明體" w:hint="eastAsia"/>
                                <w:color w:val="000000"/>
                                <w:sz w:val="20"/>
                              </w:rPr>
                              <w:t>元</w:t>
                            </w:r>
                          </w:p>
                        </w:tc>
                      </w:tr>
                      <w:tr w:rsidR="001D6743" w:rsidRPr="0032413A" w14:paraId="6EF54F23" w14:textId="77777777" w:rsidTr="009D2DDC">
                        <w:trPr>
                          <w:trHeight w:val="300"/>
                          <w:jc w:val="center"/>
                        </w:trPr>
                        <w:tc>
                          <w:tcPr>
                            <w:tcW w:w="2410" w:type="dxa"/>
                            <w:gridSpan w:val="2"/>
                            <w:tcBorders>
                              <w:top w:val="single" w:sz="4" w:space="0" w:color="auto"/>
                            </w:tcBorders>
                            <w:shd w:val="clear" w:color="auto" w:fill="auto"/>
                            <w:noWrap/>
                            <w:vAlign w:val="center"/>
                            <w:hideMark/>
                          </w:tcPr>
                          <w:p w14:paraId="1D09332B" w14:textId="77777777" w:rsidR="001D6743" w:rsidRPr="00706A1C" w:rsidRDefault="001D6743" w:rsidP="009D2DDC">
                            <w:pPr>
                              <w:widowControl/>
                              <w:spacing w:line="220" w:lineRule="exact"/>
                              <w:suppressOverlap/>
                              <w:jc w:val="center"/>
                              <w:rPr>
                                <w:rFonts w:ascii="標楷體" w:eastAsia="標楷體" w:hAnsi="標楷體" w:cs="新細明體"/>
                                <w:color w:val="000000" w:themeColor="text1"/>
                                <w:sz w:val="20"/>
                              </w:rPr>
                            </w:pPr>
                            <w:r w:rsidRPr="00706A1C">
                              <w:rPr>
                                <w:rFonts w:ascii="標楷體" w:eastAsia="標楷體" w:hAnsi="標楷體" w:cs="新細明體" w:hint="eastAsia"/>
                                <w:color w:val="000000" w:themeColor="text1"/>
                                <w:sz w:val="20"/>
                              </w:rPr>
                              <w:t>原住民教友人數</w:t>
                            </w:r>
                          </w:p>
                        </w:tc>
                        <w:tc>
                          <w:tcPr>
                            <w:tcW w:w="2551" w:type="dxa"/>
                            <w:gridSpan w:val="2"/>
                            <w:tcBorders>
                              <w:top w:val="single" w:sz="4" w:space="0" w:color="auto"/>
                            </w:tcBorders>
                            <w:shd w:val="clear" w:color="auto" w:fill="auto"/>
                            <w:vAlign w:val="center"/>
                            <w:hideMark/>
                          </w:tcPr>
                          <w:p w14:paraId="04FCBD42" w14:textId="77777777" w:rsidR="001D6743" w:rsidRPr="00706A1C" w:rsidRDefault="001D6743" w:rsidP="009D2DDC">
                            <w:pPr>
                              <w:widowControl/>
                              <w:spacing w:line="220" w:lineRule="exact"/>
                              <w:suppressOverlap/>
                              <w:jc w:val="center"/>
                              <w:rPr>
                                <w:rFonts w:ascii="標楷體" w:eastAsia="標楷體" w:hAnsi="標楷體" w:cs="新細明體"/>
                                <w:color w:val="000000" w:themeColor="text1"/>
                                <w:sz w:val="18"/>
                              </w:rPr>
                            </w:pPr>
                            <w:r w:rsidRPr="00706A1C">
                              <w:rPr>
                                <w:rFonts w:ascii="標楷體" w:eastAsia="標楷體" w:hAnsi="標楷體" w:cs="新細明體" w:hint="eastAsia"/>
                                <w:color w:val="000000" w:themeColor="text1"/>
                                <w:sz w:val="20"/>
                              </w:rPr>
                              <w:t>一年獎勵標準</w:t>
                            </w:r>
                          </w:p>
                        </w:tc>
                      </w:tr>
                      <w:tr w:rsidR="001D6743" w:rsidRPr="0032413A" w14:paraId="3161455A" w14:textId="77777777" w:rsidTr="009D2DDC">
                        <w:trPr>
                          <w:trHeight w:val="300"/>
                          <w:jc w:val="center"/>
                        </w:trPr>
                        <w:tc>
                          <w:tcPr>
                            <w:tcW w:w="2410" w:type="dxa"/>
                            <w:gridSpan w:val="2"/>
                            <w:shd w:val="clear" w:color="auto" w:fill="auto"/>
                            <w:noWrap/>
                            <w:vAlign w:val="center"/>
                          </w:tcPr>
                          <w:p w14:paraId="53E9DA77" w14:textId="77777777" w:rsidR="001D6743" w:rsidRPr="007B2107"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50人以上</w:t>
                            </w:r>
                          </w:p>
                        </w:tc>
                        <w:tc>
                          <w:tcPr>
                            <w:tcW w:w="2551" w:type="dxa"/>
                            <w:gridSpan w:val="2"/>
                            <w:shd w:val="clear" w:color="auto" w:fill="auto"/>
                            <w:noWrap/>
                            <w:vAlign w:val="center"/>
                          </w:tcPr>
                          <w:p w14:paraId="4D6EDEAC" w14:textId="77777777" w:rsidR="001D6743" w:rsidRPr="007B2107"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color w:val="000000"/>
                                <w:sz w:val="20"/>
                              </w:rPr>
                              <w:t>50,000</w:t>
                            </w:r>
                          </w:p>
                        </w:tc>
                      </w:tr>
                      <w:tr w:rsidR="001D6743" w:rsidRPr="0032413A" w14:paraId="7B8D6095" w14:textId="77777777" w:rsidTr="009D2DDC">
                        <w:trPr>
                          <w:trHeight w:val="300"/>
                          <w:jc w:val="center"/>
                        </w:trPr>
                        <w:tc>
                          <w:tcPr>
                            <w:tcW w:w="2410" w:type="dxa"/>
                            <w:gridSpan w:val="2"/>
                            <w:shd w:val="clear" w:color="auto" w:fill="auto"/>
                            <w:noWrap/>
                            <w:vAlign w:val="center"/>
                            <w:hideMark/>
                          </w:tcPr>
                          <w:p w14:paraId="7BAE5181" w14:textId="77777777" w:rsidR="001D6743" w:rsidRPr="00993340"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00人至149人</w:t>
                            </w:r>
                          </w:p>
                        </w:tc>
                        <w:tc>
                          <w:tcPr>
                            <w:tcW w:w="2551" w:type="dxa"/>
                            <w:gridSpan w:val="2"/>
                            <w:shd w:val="clear" w:color="auto" w:fill="auto"/>
                            <w:noWrap/>
                            <w:vAlign w:val="center"/>
                            <w:hideMark/>
                          </w:tcPr>
                          <w:p w14:paraId="6979AA76" w14:textId="77777777" w:rsidR="001D6743" w:rsidRPr="00993340"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color w:val="000000"/>
                                <w:sz w:val="20"/>
                              </w:rPr>
                              <w:t>40,000-50,000</w:t>
                            </w:r>
                          </w:p>
                        </w:tc>
                      </w:tr>
                      <w:tr w:rsidR="001D6743" w:rsidRPr="0032413A" w14:paraId="748D5428" w14:textId="77777777" w:rsidTr="009D2DDC">
                        <w:trPr>
                          <w:trHeight w:val="300"/>
                          <w:jc w:val="center"/>
                        </w:trPr>
                        <w:tc>
                          <w:tcPr>
                            <w:tcW w:w="2410" w:type="dxa"/>
                            <w:gridSpan w:val="2"/>
                            <w:shd w:val="clear" w:color="auto" w:fill="auto"/>
                            <w:noWrap/>
                            <w:vAlign w:val="center"/>
                          </w:tcPr>
                          <w:p w14:paraId="79BF2DA9" w14:textId="77777777" w:rsidR="001D6743"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0人至99人</w:t>
                            </w:r>
                          </w:p>
                        </w:tc>
                        <w:tc>
                          <w:tcPr>
                            <w:tcW w:w="2551" w:type="dxa"/>
                            <w:gridSpan w:val="2"/>
                            <w:shd w:val="clear" w:color="auto" w:fill="auto"/>
                            <w:noWrap/>
                            <w:vAlign w:val="center"/>
                          </w:tcPr>
                          <w:p w14:paraId="36479E36" w14:textId="77777777" w:rsidR="001D6743"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hint="eastAsia"/>
                                <w:color w:val="000000"/>
                                <w:sz w:val="20"/>
                              </w:rPr>
                              <w:t>30,000-40,000</w:t>
                            </w:r>
                          </w:p>
                        </w:tc>
                      </w:tr>
                      <w:tr w:rsidR="001D6743" w:rsidRPr="0032413A" w14:paraId="099A4FC9" w14:textId="77777777" w:rsidTr="009D2DDC">
                        <w:trPr>
                          <w:trHeight w:val="300"/>
                          <w:jc w:val="center"/>
                        </w:trPr>
                        <w:tc>
                          <w:tcPr>
                            <w:tcW w:w="2410" w:type="dxa"/>
                            <w:gridSpan w:val="2"/>
                            <w:shd w:val="clear" w:color="auto" w:fill="auto"/>
                            <w:noWrap/>
                            <w:vAlign w:val="center"/>
                          </w:tcPr>
                          <w:p w14:paraId="6CE27ADD" w14:textId="77777777" w:rsidR="001D6743" w:rsidRDefault="001D6743" w:rsidP="009D2DDC">
                            <w:pPr>
                              <w:widowControl/>
                              <w:snapToGrid w:val="0"/>
                              <w:spacing w:line="240" w:lineRule="atLeast"/>
                              <w:suppressOverlap/>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9人</w:t>
                            </w:r>
                            <w:r>
                              <w:rPr>
                                <w:rFonts w:ascii="標楷體" w:eastAsia="標楷體" w:hAnsi="標楷體" w:cs="新細明體" w:hint="eastAsia"/>
                                <w:color w:val="000000"/>
                                <w:sz w:val="20"/>
                              </w:rPr>
                              <w:t>以下</w:t>
                            </w:r>
                          </w:p>
                        </w:tc>
                        <w:tc>
                          <w:tcPr>
                            <w:tcW w:w="2551" w:type="dxa"/>
                            <w:gridSpan w:val="2"/>
                            <w:shd w:val="clear" w:color="auto" w:fill="auto"/>
                            <w:noWrap/>
                            <w:vAlign w:val="center"/>
                          </w:tcPr>
                          <w:p w14:paraId="479065B3" w14:textId="77777777" w:rsidR="001D6743" w:rsidRDefault="001D6743" w:rsidP="009D2DDC">
                            <w:pPr>
                              <w:widowControl/>
                              <w:snapToGrid w:val="0"/>
                              <w:spacing w:line="240" w:lineRule="atLeast"/>
                              <w:suppressOverlap/>
                              <w:jc w:val="center"/>
                              <w:rPr>
                                <w:rFonts w:ascii="標楷體" w:eastAsia="標楷體" w:hAnsi="標楷體" w:cs="新細明體"/>
                                <w:color w:val="000000"/>
                                <w:sz w:val="20"/>
                              </w:rPr>
                            </w:pPr>
                            <w:r>
                              <w:rPr>
                                <w:rFonts w:ascii="標楷體" w:eastAsia="標楷體" w:hAnsi="標楷體" w:cs="新細明體" w:hint="eastAsia"/>
                                <w:color w:val="000000"/>
                                <w:sz w:val="20"/>
                              </w:rPr>
                              <w:t>10,000-30,000</w:t>
                            </w:r>
                          </w:p>
                        </w:tc>
                      </w:tr>
                      <w:tr w:rsidR="00AB5FC6" w:rsidRPr="00CA5E1D" w14:paraId="3A4162BC" w14:textId="77777777" w:rsidTr="00AB5FC6">
                        <w:trPr>
                          <w:gridAfter w:val="1"/>
                          <w:wAfter w:w="142" w:type="dxa"/>
                          <w:trHeight w:val="20"/>
                          <w:jc w:val="center"/>
                        </w:trPr>
                        <w:tc>
                          <w:tcPr>
                            <w:tcW w:w="4819" w:type="dxa"/>
                            <w:gridSpan w:val="3"/>
                            <w:tcBorders>
                              <w:top w:val="nil"/>
                              <w:left w:val="nil"/>
                              <w:bottom w:val="nil"/>
                              <w:right w:val="nil"/>
                            </w:tcBorders>
                          </w:tcPr>
                          <w:p w14:paraId="7FF377A1" w14:textId="639384AE" w:rsidR="00AB5FC6" w:rsidRPr="00CA5E1D" w:rsidRDefault="00AB5FC6" w:rsidP="009928DB">
                            <w:pPr>
                              <w:spacing w:line="200" w:lineRule="exact"/>
                              <w:ind w:leftChars="1" w:left="819" w:hangingChars="475" w:hanging="817"/>
                              <w:rPr>
                                <w:rFonts w:ascii="標楷體" w:eastAsia="標楷體" w:hAnsi="標楷體"/>
                                <w:spacing w:val="-4"/>
                                <w:sz w:val="18"/>
                                <w:szCs w:val="18"/>
                              </w:rPr>
                            </w:pPr>
                            <w:r w:rsidRPr="00CA5E1D">
                              <w:rPr>
                                <w:rFonts w:ascii="標楷體" w:eastAsia="標楷體" w:hAnsi="標楷體" w:hint="eastAsia"/>
                                <w:spacing w:val="-4"/>
                                <w:sz w:val="18"/>
                                <w:szCs w:val="18"/>
                              </w:rPr>
                              <w:t>資料來源：</w:t>
                            </w:r>
                            <w:r w:rsidRPr="00CA5E1D">
                              <w:rPr>
                                <w:rFonts w:ascii="標楷體" w:eastAsia="標楷體" w:hAnsi="標楷體"/>
                                <w:spacing w:val="-4"/>
                                <w:sz w:val="18"/>
                                <w:szCs w:val="18"/>
                              </w:rPr>
                              <w:t>整理自</w:t>
                            </w:r>
                            <w:r w:rsidRPr="00CA5E1D">
                              <w:rPr>
                                <w:rFonts w:ascii="標楷體" w:eastAsia="標楷體" w:hAnsi="標楷體" w:hint="eastAsia"/>
                                <w:spacing w:val="-4"/>
                                <w:sz w:val="18"/>
                                <w:szCs w:val="18"/>
                              </w:rPr>
                              <w:t>原住民族委員會</w:t>
                            </w:r>
                            <w:proofErr w:type="gramStart"/>
                            <w:r w:rsidRPr="00CA5E1D">
                              <w:rPr>
                                <w:rFonts w:ascii="標楷體" w:eastAsia="標楷體" w:hAnsi="標楷體" w:hint="eastAsia"/>
                                <w:spacing w:val="-4"/>
                                <w:sz w:val="18"/>
                                <w:szCs w:val="18"/>
                              </w:rPr>
                              <w:t>113</w:t>
                            </w:r>
                            <w:proofErr w:type="gramEnd"/>
                            <w:r w:rsidRPr="00CA5E1D">
                              <w:rPr>
                                <w:rFonts w:ascii="標楷體" w:eastAsia="標楷體" w:hAnsi="標楷體" w:hint="eastAsia"/>
                                <w:spacing w:val="-4"/>
                                <w:sz w:val="18"/>
                                <w:szCs w:val="18"/>
                              </w:rPr>
                              <w:t>年度</w:t>
                            </w:r>
                            <w:r w:rsidR="009928DB">
                              <w:rPr>
                                <w:rFonts w:ascii="標楷體" w:eastAsia="標楷體" w:hAnsi="標楷體" w:hint="eastAsia"/>
                                <w:spacing w:val="-4"/>
                                <w:sz w:val="18"/>
                                <w:szCs w:val="18"/>
                              </w:rPr>
                              <w:t>原住民族</w:t>
                            </w:r>
                            <w:r w:rsidRPr="00CA5E1D">
                              <w:rPr>
                                <w:rFonts w:ascii="標楷體" w:eastAsia="標楷體" w:hAnsi="標楷體" w:hint="eastAsia"/>
                                <w:spacing w:val="-4"/>
                                <w:sz w:val="18"/>
                                <w:szCs w:val="18"/>
                              </w:rPr>
                              <w:t>教會</w:t>
                            </w:r>
                            <w:r w:rsidR="009928DB">
                              <w:rPr>
                                <w:rFonts w:ascii="標楷體" w:eastAsia="標楷體" w:hAnsi="標楷體" w:hint="eastAsia"/>
                                <w:spacing w:val="-4"/>
                                <w:sz w:val="18"/>
                                <w:szCs w:val="18"/>
                              </w:rPr>
                              <w:t>推動</w:t>
                            </w:r>
                            <w:r w:rsidRPr="00CA5E1D">
                              <w:rPr>
                                <w:rFonts w:ascii="標楷體" w:eastAsia="標楷體" w:hAnsi="標楷體" w:hint="eastAsia"/>
                                <w:spacing w:val="-4"/>
                                <w:sz w:val="18"/>
                                <w:szCs w:val="18"/>
                              </w:rPr>
                              <w:t>族語</w:t>
                            </w:r>
                            <w:r w:rsidR="009928DB">
                              <w:rPr>
                                <w:rFonts w:ascii="標楷體" w:eastAsia="標楷體" w:hAnsi="標楷體" w:hint="eastAsia"/>
                                <w:spacing w:val="-4"/>
                                <w:sz w:val="18"/>
                                <w:szCs w:val="18"/>
                              </w:rPr>
                              <w:t>發展</w:t>
                            </w:r>
                            <w:r w:rsidRPr="00CA5E1D">
                              <w:rPr>
                                <w:rFonts w:ascii="標楷體" w:eastAsia="標楷體" w:hAnsi="標楷體" w:hint="eastAsia"/>
                                <w:spacing w:val="-4"/>
                                <w:sz w:val="18"/>
                                <w:szCs w:val="18"/>
                              </w:rPr>
                              <w:t>獎勵計畫。</w:t>
                            </w:r>
                          </w:p>
                        </w:tc>
                      </w:tr>
                    </w:tbl>
                    <w:p w14:paraId="79759AE3" w14:textId="77777777" w:rsidR="001D6743" w:rsidRPr="00CA5E1D" w:rsidRDefault="001D6743" w:rsidP="001D6743">
                      <w:pPr>
                        <w:spacing w:line="200" w:lineRule="exact"/>
                        <w:ind w:rightChars="-56" w:right="-134"/>
                        <w:jc w:val="both"/>
                        <w:rPr>
                          <w:rFonts w:ascii="標楷體" w:eastAsia="標楷體" w:hAnsi="標楷體"/>
                          <w:sz w:val="18"/>
                          <w:szCs w:val="18"/>
                        </w:rPr>
                      </w:pPr>
                    </w:p>
                  </w:txbxContent>
                </v:textbox>
                <w10:wrap type="square" anchorx="margin"/>
              </v:shape>
            </w:pict>
          </mc:Fallback>
        </mc:AlternateContent>
      </w:r>
      <w:r w:rsidRPr="003144C6">
        <w:rPr>
          <w:rFonts w:ascii="標楷體" w:eastAsia="標楷體" w:hAnsi="標楷體" w:hint="eastAsia"/>
          <w:noProof/>
          <w:spacing w:val="2"/>
          <w:szCs w:val="24"/>
        </w:rPr>
        <w:t>原住民族委員會為擴大原住民族語言推廣及發展據點，提供族人更多族語使用與學習場域，依據原住民族語言發展法第8條及國家語言整體發展方案，訂頒113年度原住民族教會推動族語發展獎勵計畫（下稱教會族語獎勵計畫），獎勵具原住民身分教友之教會</w:t>
      </w:r>
      <w:r w:rsidR="00BF4EA4">
        <w:rPr>
          <w:rFonts w:ascii="標楷體" w:eastAsia="標楷體" w:hAnsi="標楷體" w:hint="eastAsia"/>
          <w:noProof/>
          <w:spacing w:val="2"/>
          <w:szCs w:val="24"/>
        </w:rPr>
        <w:t>（</w:t>
      </w:r>
      <w:r w:rsidRPr="003144C6">
        <w:rPr>
          <w:rFonts w:ascii="標楷體" w:eastAsia="標楷體" w:hAnsi="標楷體" w:hint="eastAsia"/>
          <w:noProof/>
          <w:spacing w:val="2"/>
          <w:szCs w:val="24"/>
        </w:rPr>
        <w:t>堂</w:t>
      </w:r>
      <w:r w:rsidR="00BF4EA4">
        <w:rPr>
          <w:rFonts w:ascii="標楷體" w:eastAsia="標楷體" w:hAnsi="標楷體" w:hint="eastAsia"/>
          <w:noProof/>
          <w:spacing w:val="2"/>
          <w:szCs w:val="24"/>
        </w:rPr>
        <w:t>）</w:t>
      </w:r>
      <w:r w:rsidRPr="003144C6">
        <w:rPr>
          <w:rFonts w:ascii="標楷體" w:eastAsia="標楷體" w:hAnsi="標楷體" w:hint="eastAsia"/>
          <w:noProof/>
          <w:spacing w:val="2"/>
          <w:szCs w:val="24"/>
        </w:rPr>
        <w:t>及其總會、區會、堂口使用原住民族語言宣教及辦理各類教會事工等，113年度共核定獎勵524家教會（堂），補助金額1億4,108萬餘元。經查執行情形，核有：1.原住民族委員會為促進原住民族語言之保存及發展，於112年6月12日訂定發布原住民族語言發展補助辦法，將原住民族教會納入補助對象之一，並於第7條明定該會係依「使用原住民族語言之比率」、「目標及效益」、「受益人數」、「效益影響」等基準，綜合審查申請計畫。該會嗣於112年12月26日訂頒113年度教會族語獎勵計畫，惟申請書格式及審查項目均欠乏教會（堂）宣教及辦理各項教會事工使用族語之比率、預期達成之目標、效益及影響等，與族語推廣及發展至為攸關之事項，除與前揭位階較高之補助辦法相關規定欠合外，並無從呈現及考核計畫推動成效。又原住民族委員會於113年度教會族語獎勵計畫辦竣後，未再銜續提出114年度計畫，而係於114年4月17日修正原住民族語言發展補助辦法，將原113年度教會族語獎勵計畫辦理事項納入該補助辦法一併推動，惟所增列之計畫申請書格式多沿用113年度教會族語獎勵計畫內容，仍未依該補助辦法第7條規定之審查基準對應訂定申請書必要陳述事項，恐影響後續審查作業遂行；2.依據113年度教會族語獎勵計畫規定，族語主日學老師使用族語教學者每班獎勵最多2名老師；「購置族語聖經、族語詩歌本、教材、影印及雜支」、「情境布置」及「成果展示」等3項，依教會（堂）原住民教友人數規模級距核給獎勵金（表5</w:t>
      </w:r>
      <w:r w:rsidR="008D419D" w:rsidRPr="003144C6">
        <w:rPr>
          <w:rFonts w:ascii="標楷體" w:eastAsia="標楷體" w:hAnsi="標楷體" w:hint="eastAsia"/>
          <w:noProof/>
          <w:spacing w:val="2"/>
          <w:szCs w:val="24"/>
        </w:rPr>
        <w:t>0</w:t>
      </w:r>
      <w:r w:rsidRPr="003144C6">
        <w:rPr>
          <w:rFonts w:ascii="標楷體" w:eastAsia="標楷體" w:hAnsi="標楷體" w:hint="eastAsia"/>
          <w:noProof/>
          <w:spacing w:val="2"/>
          <w:szCs w:val="24"/>
        </w:rPr>
        <w:t>）。經查</w:t>
      </w:r>
      <w:r w:rsidR="00C11684">
        <w:rPr>
          <w:rFonts w:ascii="標楷體" w:eastAsia="標楷體" w:hAnsi="標楷體" w:hint="eastAsia"/>
          <w:noProof/>
          <w:spacing w:val="2"/>
          <w:szCs w:val="24"/>
        </w:rPr>
        <w:t>，</w:t>
      </w:r>
      <w:r w:rsidRPr="003144C6">
        <w:rPr>
          <w:rFonts w:ascii="標楷體" w:eastAsia="標楷體" w:hAnsi="標楷體" w:hint="eastAsia"/>
          <w:noProof/>
          <w:spacing w:val="2"/>
          <w:szCs w:val="24"/>
        </w:rPr>
        <w:t>原住民族委員會辦理113年度教會族語獎勵計畫，共10間教會（堂）領受獎勵金額度，超逾其原住民教友人數級距應獎勵額度；又查補助1間教會（堂）族語主日學老師達3名，超逾前揭最多2名之獎勵標準；據原住民族委員會說明，係因教會（堂）活動人數有浮動情形，且該會考量偏鄉、人力缺乏或使用多語言別等特殊情況，適度調整獎勵金額等，惟鑑於獎勵計畫並未明訂相關彈性放寬原則，採個案審認恐影響各申請教會（堂）之公平性</w:t>
      </w:r>
      <w:r w:rsidR="00C11684">
        <w:rPr>
          <w:rFonts w:ascii="標楷體" w:eastAsia="標楷體" w:hAnsi="標楷體" w:hint="eastAsia"/>
          <w:noProof/>
          <w:spacing w:val="2"/>
          <w:szCs w:val="24"/>
        </w:rPr>
        <w:t>等情事</w:t>
      </w:r>
      <w:r w:rsidRPr="003144C6">
        <w:rPr>
          <w:rFonts w:ascii="標楷體" w:eastAsia="標楷體" w:hAnsi="標楷體" w:hint="eastAsia"/>
          <w:noProof/>
          <w:spacing w:val="2"/>
          <w:szCs w:val="24"/>
        </w:rPr>
        <w:t>。經函請原住民族委員會審酌計畫實際執行情形及計畫目的，研議訂定具體可量化之績效指標，追蹤考核補助教會（堂）發展族語之實際成效，並明確訂定相關規定，確保補助作業具備一致性及公平性。據復：將修正教會族語獎勵項目之申請書格式，並將要求教會（堂）於申請時一併提出族語使用情形、量化指標及推動效益等具體項目，作為計畫受理及審查之依據，以提升計畫可行性與成效評估之完整性；另補助金額超出原計畫獎勵標準，將納入原住民族語言發展補助辦法進行明確規範，並研訂「教會族語發展補助審查標準」，以資審查作業遵循，確保補助作業依法行政並符合經費使用之合理性與公平性。</w:t>
      </w:r>
    </w:p>
    <w:p w14:paraId="115C8A7B" w14:textId="480B5328" w:rsidR="0056137B" w:rsidRPr="00882D62" w:rsidRDefault="0056137B" w:rsidP="002839D5">
      <w:pPr>
        <w:pStyle w:val="affffff1"/>
        <w:spacing w:beforeLines="20" w:before="72" w:line="420" w:lineRule="exact"/>
        <w:ind w:firstLineChars="200" w:firstLine="561"/>
        <w:outlineLvl w:val="1"/>
      </w:pPr>
      <w:r>
        <w:rPr>
          <w:rFonts w:hint="eastAsia"/>
        </w:rPr>
        <w:lastRenderedPageBreak/>
        <w:t>（</w:t>
      </w:r>
      <w:r w:rsidR="001752E4">
        <w:rPr>
          <w:rFonts w:hint="eastAsia"/>
        </w:rPr>
        <w:t>三</w:t>
      </w:r>
      <w:r w:rsidR="004D59BB">
        <w:rPr>
          <w:rFonts w:hint="eastAsia"/>
        </w:rPr>
        <w:t>十</w:t>
      </w:r>
      <w:r w:rsidR="00781889">
        <w:rPr>
          <w:rFonts w:hint="eastAsia"/>
        </w:rPr>
        <w:t>七</w:t>
      </w:r>
      <w:r>
        <w:rPr>
          <w:rFonts w:hint="eastAsia"/>
        </w:rPr>
        <w:t xml:space="preserve">）　</w:t>
      </w:r>
      <w:r w:rsidR="00917CEB" w:rsidRPr="00917CEB">
        <w:rPr>
          <w:rFonts w:hint="eastAsia"/>
        </w:rPr>
        <w:t>原住民族委員會辦理原</w:t>
      </w:r>
      <w:r w:rsidR="00527303">
        <w:rPr>
          <w:rFonts w:hint="eastAsia"/>
        </w:rPr>
        <w:t>住民族</w:t>
      </w:r>
      <w:r w:rsidR="00917CEB" w:rsidRPr="00917CEB">
        <w:rPr>
          <w:rFonts w:hint="eastAsia"/>
        </w:rPr>
        <w:t>文</w:t>
      </w:r>
      <w:r w:rsidR="00527303">
        <w:rPr>
          <w:rFonts w:hint="eastAsia"/>
        </w:rPr>
        <w:t>化</w:t>
      </w:r>
      <w:r w:rsidR="00917CEB" w:rsidRPr="00917CEB">
        <w:rPr>
          <w:rFonts w:hint="eastAsia"/>
        </w:rPr>
        <w:t>館改善計畫及部落永續發展造景計畫，有助提升服務能量及部落生活環境品質，惟存有部分計畫型補助案審查及評比標準未盡明確與客觀、未訂定計畫管考規定及</w:t>
      </w:r>
      <w:r w:rsidR="00527303">
        <w:rPr>
          <w:rFonts w:hint="eastAsia"/>
        </w:rPr>
        <w:t>未</w:t>
      </w:r>
      <w:r w:rsidR="00917CEB" w:rsidRPr="00917CEB">
        <w:rPr>
          <w:rFonts w:hint="eastAsia"/>
        </w:rPr>
        <w:t>將計畫執行完竣後使用之效益納入查核等情，允宜</w:t>
      </w:r>
      <w:proofErr w:type="gramStart"/>
      <w:r w:rsidR="00FC0971">
        <w:rPr>
          <w:rFonts w:hint="eastAsia"/>
        </w:rPr>
        <w:t>研</w:t>
      </w:r>
      <w:proofErr w:type="gramEnd"/>
      <w:r w:rsidR="00FC0971">
        <w:rPr>
          <w:rFonts w:hint="eastAsia"/>
        </w:rPr>
        <w:t>謀</w:t>
      </w:r>
      <w:r w:rsidR="00917CEB" w:rsidRPr="00917CEB">
        <w:rPr>
          <w:rFonts w:hint="eastAsia"/>
        </w:rPr>
        <w:t>改善。</w:t>
      </w:r>
    </w:p>
    <w:p w14:paraId="48E16437" w14:textId="535D8D6A" w:rsidR="007142B1" w:rsidRPr="006D7E95" w:rsidRDefault="00E45F37" w:rsidP="002839D5">
      <w:pPr>
        <w:pStyle w:val="-"/>
        <w:spacing w:line="420" w:lineRule="exact"/>
        <w:ind w:firstLine="480"/>
        <w:jc w:val="both"/>
        <w:rPr>
          <w:color w:val="000000" w:themeColor="text1"/>
        </w:rPr>
      </w:pPr>
      <w:r w:rsidRPr="00215DE3">
        <w:rPr>
          <w:noProof/>
          <w:color w:val="000000" w:themeColor="text1"/>
        </w:rPr>
        <mc:AlternateContent>
          <mc:Choice Requires="wps">
            <w:drawing>
              <wp:anchor distT="0" distB="0" distL="114300" distR="114300" simplePos="0" relativeHeight="251619328" behindDoc="0" locked="0" layoutInCell="1" allowOverlap="1" wp14:anchorId="46B4FEC2" wp14:editId="10117D1A">
                <wp:simplePos x="0" y="0"/>
                <wp:positionH relativeFrom="column">
                  <wp:posOffset>1997075</wp:posOffset>
                </wp:positionH>
                <wp:positionV relativeFrom="paragraph">
                  <wp:posOffset>1342390</wp:posOffset>
                </wp:positionV>
                <wp:extent cx="4298315" cy="2377440"/>
                <wp:effectExtent l="0" t="0" r="6985" b="3810"/>
                <wp:wrapSquare wrapText="bothSides"/>
                <wp:docPr id="18" name="_x0000_s1029"/>
                <wp:cNvGraphicFramePr/>
                <a:graphic xmlns:a="http://schemas.openxmlformats.org/drawingml/2006/main">
                  <a:graphicData uri="http://schemas.microsoft.com/office/word/2010/wordprocessingShape">
                    <wps:wsp>
                      <wps:cNvSpPr txBox="1"/>
                      <wps:spPr bwMode="auto">
                        <a:xfrm>
                          <a:off x="0" y="0"/>
                          <a:ext cx="4298315" cy="2377440"/>
                        </a:xfrm>
                        <a:prstGeom prst="rect">
                          <a:avLst/>
                        </a:prstGeom>
                        <a:solidFill>
                          <a:srgbClr val="FFFFFF"/>
                        </a:solidFill>
                        <a:ln w="6350">
                          <a:noFill/>
                        </a:ln>
                      </wps:spPr>
                      <wps:txbx>
                        <w:txbxContent>
                          <w:p w14:paraId="7AC89A22" w14:textId="044D2969" w:rsidR="00E45F37" w:rsidRPr="00CD63C4" w:rsidRDefault="00E45F37" w:rsidP="00E45F37">
                            <w:pPr>
                              <w:adjustRightInd w:val="0"/>
                              <w:snapToGrid w:val="0"/>
                              <w:jc w:val="center"/>
                              <w:rPr>
                                <w:rFonts w:ascii="標楷體" w:eastAsia="標楷體" w:hAnsi="標楷體"/>
                                <w:b/>
                                <w:sz w:val="20"/>
                              </w:rPr>
                            </w:pPr>
                            <w:r w:rsidRPr="00CD63C4">
                              <w:rPr>
                                <w:rFonts w:ascii="標楷體" w:eastAsia="標楷體" w:hAnsi="標楷體" w:hint="eastAsia"/>
                                <w:b/>
                              </w:rPr>
                              <w:t>表</w:t>
                            </w:r>
                            <w:r w:rsidR="00306325">
                              <w:rPr>
                                <w:rFonts w:ascii="標楷體" w:eastAsia="標楷體" w:hAnsi="標楷體"/>
                                <w:b/>
                              </w:rPr>
                              <w:t>5</w:t>
                            </w:r>
                            <w:r w:rsidR="004C0427">
                              <w:rPr>
                                <w:rFonts w:ascii="標楷體" w:eastAsia="標楷體" w:hAnsi="標楷體"/>
                                <w:b/>
                              </w:rPr>
                              <w:t>1</w:t>
                            </w:r>
                            <w:r w:rsidRPr="00CD63C4">
                              <w:rPr>
                                <w:rFonts w:ascii="標楷體" w:eastAsia="標楷體" w:hAnsi="標楷體" w:hint="eastAsia"/>
                                <w:b/>
                              </w:rPr>
                              <w:t xml:space="preserve">　</w:t>
                            </w:r>
                            <w:r w:rsidRPr="00CD63C4">
                              <w:rPr>
                                <w:rFonts w:ascii="標楷體" w:eastAsia="標楷體" w:hAnsi="標楷體" w:hint="eastAsia"/>
                                <w:b/>
                                <w:snapToGrid w:val="0"/>
                                <w:kern w:val="32"/>
                              </w:rPr>
                              <w:t>原住民族委員會</w:t>
                            </w:r>
                            <w:r w:rsidRPr="00CD63C4">
                              <w:rPr>
                                <w:rFonts w:ascii="標楷體" w:eastAsia="標楷體" w:hAnsi="標楷體" w:hint="eastAsia"/>
                                <w:b/>
                              </w:rPr>
                              <w:t>補助地方公所辦理工程採購案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5"/>
                              <w:gridCol w:w="1135"/>
                              <w:gridCol w:w="2835"/>
                              <w:gridCol w:w="1133"/>
                              <w:gridCol w:w="885"/>
                              <w:gridCol w:w="25"/>
                            </w:tblGrid>
                            <w:tr w:rsidR="00E45F37" w:rsidRPr="00CD63C4" w14:paraId="0497DC72" w14:textId="77777777" w:rsidTr="00612461">
                              <w:trPr>
                                <w:gridAfter w:val="1"/>
                                <w:wAfter w:w="25" w:type="dxa"/>
                              </w:trPr>
                              <w:tc>
                                <w:tcPr>
                                  <w:tcW w:w="6413" w:type="dxa"/>
                                  <w:gridSpan w:val="5"/>
                                  <w:tcBorders>
                                    <w:top w:val="nil"/>
                                    <w:left w:val="nil"/>
                                    <w:right w:val="nil"/>
                                  </w:tcBorders>
                                </w:tcPr>
                                <w:p w14:paraId="7CCDF75E" w14:textId="77777777" w:rsidR="00E45F37" w:rsidRPr="00AD3FAA" w:rsidRDefault="00E45F37" w:rsidP="00BD2CD2">
                                  <w:pPr>
                                    <w:adjustRightInd w:val="0"/>
                                    <w:snapToGrid w:val="0"/>
                                    <w:ind w:rightChars="-5" w:right="-12"/>
                                    <w:jc w:val="right"/>
                                    <w:rPr>
                                      <w:rFonts w:ascii="標楷體" w:eastAsia="標楷體" w:hAnsi="標楷體" w:cs="新細明體"/>
                                      <w:bCs/>
                                      <w:sz w:val="20"/>
                                    </w:rPr>
                                  </w:pPr>
                                  <w:r w:rsidRPr="00DF16D7">
                                    <w:rPr>
                                      <w:rFonts w:ascii="標楷體" w:eastAsia="標楷體" w:hAnsi="標楷體" w:hint="eastAsia"/>
                                      <w:sz w:val="20"/>
                                    </w:rPr>
                                    <w:t>單位：新臺幣千</w:t>
                                  </w:r>
                                  <w:r w:rsidRPr="00AD3FAA">
                                    <w:rPr>
                                      <w:rFonts w:ascii="標楷體" w:eastAsia="標楷體" w:hAnsi="標楷體" w:hint="eastAsia"/>
                                      <w:sz w:val="20"/>
                                    </w:rPr>
                                    <w:t>元</w:t>
                                  </w:r>
                                </w:p>
                              </w:tc>
                            </w:tr>
                            <w:tr w:rsidR="00E45F37" w:rsidRPr="00CD63C4" w14:paraId="64E6F3CC" w14:textId="77777777" w:rsidTr="00A83374">
                              <w:tc>
                                <w:tcPr>
                                  <w:tcW w:w="425" w:type="dxa"/>
                                  <w:tcBorders>
                                    <w:top w:val="single" w:sz="4" w:space="0" w:color="auto"/>
                                  </w:tcBorders>
                                  <w:shd w:val="clear" w:color="auto" w:fill="auto"/>
                                  <w:vAlign w:val="center"/>
                                </w:tcPr>
                                <w:p w14:paraId="50F0A84D"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項次</w:t>
                                  </w:r>
                                </w:p>
                              </w:tc>
                              <w:tc>
                                <w:tcPr>
                                  <w:tcW w:w="1135" w:type="dxa"/>
                                  <w:tcBorders>
                                    <w:top w:val="single" w:sz="4" w:space="0" w:color="auto"/>
                                  </w:tcBorders>
                                  <w:vAlign w:val="center"/>
                                </w:tcPr>
                                <w:p w14:paraId="3B75763A" w14:textId="77777777" w:rsidR="00E45F37" w:rsidRPr="00CD63C4" w:rsidRDefault="00E45F37" w:rsidP="00DF16D7">
                                  <w:pPr>
                                    <w:adjustRightInd w:val="0"/>
                                    <w:snapToGrid w:val="0"/>
                                    <w:jc w:val="center"/>
                                    <w:rPr>
                                      <w:rFonts w:ascii="標楷體" w:eastAsia="標楷體" w:hAnsi="標楷體" w:cs="新細明體"/>
                                      <w:b/>
                                      <w:bCs/>
                                      <w:sz w:val="20"/>
                                    </w:rPr>
                                  </w:pPr>
                                  <w:r w:rsidRPr="00CD63C4">
                                    <w:rPr>
                                      <w:rFonts w:ascii="標楷體" w:eastAsia="標楷體" w:hAnsi="標楷體" w:cs="新細明體" w:hint="eastAsia"/>
                                      <w:bCs/>
                                      <w:sz w:val="20"/>
                                    </w:rPr>
                                    <w:t>主辦機關</w:t>
                                  </w:r>
                                </w:p>
                              </w:tc>
                              <w:tc>
                                <w:tcPr>
                                  <w:tcW w:w="2835" w:type="dxa"/>
                                  <w:tcBorders>
                                    <w:top w:val="single" w:sz="4" w:space="0" w:color="auto"/>
                                  </w:tcBorders>
                                  <w:shd w:val="clear" w:color="auto" w:fill="auto"/>
                                  <w:vAlign w:val="center"/>
                                </w:tcPr>
                                <w:p w14:paraId="24456A43"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標案名稱</w:t>
                                  </w:r>
                                </w:p>
                              </w:tc>
                              <w:tc>
                                <w:tcPr>
                                  <w:tcW w:w="1133" w:type="dxa"/>
                                  <w:tcBorders>
                                    <w:top w:val="single" w:sz="4" w:space="0" w:color="auto"/>
                                  </w:tcBorders>
                                  <w:shd w:val="clear" w:color="auto" w:fill="auto"/>
                                  <w:vAlign w:val="center"/>
                                </w:tcPr>
                                <w:p w14:paraId="160A41FE"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決標日期</w:t>
                                  </w:r>
                                </w:p>
                              </w:tc>
                              <w:tc>
                                <w:tcPr>
                                  <w:tcW w:w="910" w:type="dxa"/>
                                  <w:gridSpan w:val="2"/>
                                  <w:tcBorders>
                                    <w:top w:val="single" w:sz="4" w:space="0" w:color="auto"/>
                                  </w:tcBorders>
                                  <w:shd w:val="clear" w:color="auto" w:fill="auto"/>
                                  <w:vAlign w:val="center"/>
                                </w:tcPr>
                                <w:p w14:paraId="229262D9"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 xml:space="preserve">決標金額 </w:t>
                                  </w:r>
                                </w:p>
                              </w:tc>
                            </w:tr>
                            <w:tr w:rsidR="00E45F37" w:rsidRPr="00CD63C4" w14:paraId="2C37799C" w14:textId="77777777" w:rsidTr="00612461">
                              <w:tc>
                                <w:tcPr>
                                  <w:tcW w:w="425" w:type="dxa"/>
                                  <w:shd w:val="clear" w:color="auto" w:fill="auto"/>
                                  <w:vAlign w:val="center"/>
                                </w:tcPr>
                                <w:p w14:paraId="0B23D891"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sz w:val="20"/>
                                    </w:rPr>
                                    <w:t>1</w:t>
                                  </w:r>
                                </w:p>
                              </w:tc>
                              <w:tc>
                                <w:tcPr>
                                  <w:tcW w:w="1135" w:type="dxa"/>
                                  <w:vMerge w:val="restart"/>
                                  <w:vAlign w:val="center"/>
                                </w:tcPr>
                                <w:p w14:paraId="7937E506" w14:textId="77777777" w:rsidR="00E45F37"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宜蘭縣</w:t>
                                  </w:r>
                                </w:p>
                                <w:p w14:paraId="705A19C7"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大同鄉公所</w:t>
                                  </w:r>
                                </w:p>
                              </w:tc>
                              <w:tc>
                                <w:tcPr>
                                  <w:tcW w:w="2835" w:type="dxa"/>
                                  <w:shd w:val="clear" w:color="auto" w:fill="auto"/>
                                  <w:vAlign w:val="center"/>
                                </w:tcPr>
                                <w:p w14:paraId="4B9BD836" w14:textId="77777777" w:rsidR="00E45F37" w:rsidRPr="00CD63C4" w:rsidRDefault="00E45F37" w:rsidP="00DF16D7">
                                  <w:pPr>
                                    <w:adjustRightInd w:val="0"/>
                                    <w:snapToGrid w:val="0"/>
                                    <w:jc w:val="both"/>
                                    <w:rPr>
                                      <w:rFonts w:ascii="標楷體" w:eastAsia="標楷體" w:hAnsi="標楷體" w:cs="新細明體"/>
                                      <w:sz w:val="20"/>
                                    </w:rPr>
                                  </w:pPr>
                                  <w:r w:rsidRPr="00CD63C4">
                                    <w:rPr>
                                      <w:rFonts w:ascii="標楷體" w:eastAsia="標楷體" w:hAnsi="標楷體" w:cs="新細明體" w:hint="eastAsia"/>
                                      <w:sz w:val="20"/>
                                    </w:rPr>
                                    <w:t>103年泰雅生活館內部整修工程</w:t>
                                  </w:r>
                                </w:p>
                              </w:tc>
                              <w:tc>
                                <w:tcPr>
                                  <w:tcW w:w="1133" w:type="dxa"/>
                                  <w:shd w:val="clear" w:color="auto" w:fill="auto"/>
                                  <w:vAlign w:val="center"/>
                                </w:tcPr>
                                <w:p w14:paraId="34C25F44"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103.09.24</w:t>
                                  </w:r>
                                </w:p>
                              </w:tc>
                              <w:tc>
                                <w:tcPr>
                                  <w:tcW w:w="910" w:type="dxa"/>
                                  <w:gridSpan w:val="2"/>
                                  <w:shd w:val="clear" w:color="auto" w:fill="auto"/>
                                  <w:vAlign w:val="center"/>
                                </w:tcPr>
                                <w:p w14:paraId="1FCD90C4"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1,790 </w:t>
                                  </w:r>
                                </w:p>
                              </w:tc>
                            </w:tr>
                            <w:tr w:rsidR="00E45F37" w:rsidRPr="00CD63C4" w14:paraId="089CBA81" w14:textId="77777777" w:rsidTr="00612461">
                              <w:tc>
                                <w:tcPr>
                                  <w:tcW w:w="425" w:type="dxa"/>
                                  <w:shd w:val="clear" w:color="auto" w:fill="auto"/>
                                  <w:vAlign w:val="center"/>
                                </w:tcPr>
                                <w:p w14:paraId="6741174F"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2</w:t>
                                  </w:r>
                                </w:p>
                              </w:tc>
                              <w:tc>
                                <w:tcPr>
                                  <w:tcW w:w="1135" w:type="dxa"/>
                                  <w:vMerge/>
                                  <w:vAlign w:val="center"/>
                                </w:tcPr>
                                <w:p w14:paraId="47281009" w14:textId="77777777" w:rsidR="00E45F37" w:rsidRPr="00CD63C4" w:rsidRDefault="00E45F37" w:rsidP="00DF16D7">
                                  <w:pPr>
                                    <w:adjustRightInd w:val="0"/>
                                    <w:snapToGrid w:val="0"/>
                                    <w:jc w:val="center"/>
                                    <w:rPr>
                                      <w:rFonts w:ascii="標楷體" w:eastAsia="標楷體" w:hAnsi="標楷體" w:cs="新細明體"/>
                                      <w:sz w:val="20"/>
                                    </w:rPr>
                                  </w:pPr>
                                </w:p>
                              </w:tc>
                              <w:tc>
                                <w:tcPr>
                                  <w:tcW w:w="2835" w:type="dxa"/>
                                  <w:shd w:val="clear" w:color="auto" w:fill="auto"/>
                                  <w:vAlign w:val="center"/>
                                </w:tcPr>
                                <w:p w14:paraId="66FBF70B" w14:textId="77777777" w:rsidR="00E45F37" w:rsidRPr="00CD63C4" w:rsidRDefault="00E45F37" w:rsidP="00DF16D7">
                                  <w:pPr>
                                    <w:adjustRightInd w:val="0"/>
                                    <w:snapToGrid w:val="0"/>
                                    <w:jc w:val="both"/>
                                    <w:rPr>
                                      <w:rFonts w:ascii="標楷體" w:eastAsia="標楷體" w:hAnsi="標楷體" w:cs="新細明體"/>
                                      <w:sz w:val="20"/>
                                    </w:rPr>
                                  </w:pPr>
                                  <w:r w:rsidRPr="00CD63C4">
                                    <w:rPr>
                                      <w:rFonts w:ascii="標楷體" w:eastAsia="標楷體" w:hAnsi="標楷體" w:cs="新細明體" w:hint="eastAsia"/>
                                      <w:sz w:val="20"/>
                                    </w:rPr>
                                    <w:t>本鄉泰雅生活館展示空間更新</w:t>
                                  </w:r>
                                  <w:proofErr w:type="gramStart"/>
                                  <w:r w:rsidRPr="00CD63C4">
                                    <w:rPr>
                                      <w:rFonts w:ascii="標楷體" w:eastAsia="標楷體" w:hAnsi="標楷體" w:cs="新細明體" w:hint="eastAsia"/>
                                      <w:sz w:val="20"/>
                                    </w:rPr>
                                    <w:t>布卸展</w:t>
                                  </w:r>
                                  <w:proofErr w:type="gramEnd"/>
                                  <w:r w:rsidRPr="00CD63C4">
                                    <w:rPr>
                                      <w:rFonts w:ascii="標楷體" w:eastAsia="標楷體" w:hAnsi="標楷體" w:cs="新細明體" w:hint="eastAsia"/>
                                      <w:sz w:val="20"/>
                                    </w:rPr>
                                    <w:t>工程及大同鄉泰雅生活館典藏庫房基礎環境升級工程等兩項工程</w:t>
                                  </w:r>
                                </w:p>
                              </w:tc>
                              <w:tc>
                                <w:tcPr>
                                  <w:tcW w:w="1133" w:type="dxa"/>
                                  <w:shd w:val="clear" w:color="auto" w:fill="auto"/>
                                  <w:vAlign w:val="center"/>
                                </w:tcPr>
                                <w:p w14:paraId="6B414FAA"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110.11.30</w:t>
                                  </w:r>
                                </w:p>
                              </w:tc>
                              <w:tc>
                                <w:tcPr>
                                  <w:tcW w:w="910" w:type="dxa"/>
                                  <w:gridSpan w:val="2"/>
                                  <w:shd w:val="clear" w:color="auto" w:fill="auto"/>
                                  <w:vAlign w:val="center"/>
                                </w:tcPr>
                                <w:p w14:paraId="439A1176"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4,049 </w:t>
                                  </w:r>
                                </w:p>
                              </w:tc>
                            </w:tr>
                            <w:tr w:rsidR="00E45F37" w:rsidRPr="00CD63C4" w14:paraId="13A8CB34" w14:textId="77777777" w:rsidTr="00612461">
                              <w:tc>
                                <w:tcPr>
                                  <w:tcW w:w="425" w:type="dxa"/>
                                  <w:shd w:val="clear" w:color="auto" w:fill="auto"/>
                                  <w:vAlign w:val="center"/>
                                </w:tcPr>
                                <w:p w14:paraId="7FABAA25"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sz w:val="20"/>
                                    </w:rPr>
                                    <w:t>3</w:t>
                                  </w:r>
                                </w:p>
                              </w:tc>
                              <w:tc>
                                <w:tcPr>
                                  <w:tcW w:w="1135" w:type="dxa"/>
                                  <w:vMerge w:val="restart"/>
                                  <w:vAlign w:val="center"/>
                                </w:tcPr>
                                <w:p w14:paraId="77AB51FD" w14:textId="77777777" w:rsidR="00E45F37"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宜蘭縣</w:t>
                                  </w:r>
                                </w:p>
                                <w:p w14:paraId="02753D31"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南澳鄉公所</w:t>
                                  </w:r>
                                </w:p>
                              </w:tc>
                              <w:tc>
                                <w:tcPr>
                                  <w:tcW w:w="2835" w:type="dxa"/>
                                  <w:shd w:val="clear" w:color="auto" w:fill="auto"/>
                                  <w:vAlign w:val="center"/>
                                </w:tcPr>
                                <w:p w14:paraId="66B93207" w14:textId="77777777" w:rsidR="00E45F37" w:rsidRPr="00CD63C4" w:rsidRDefault="00E45F37" w:rsidP="00DF16D7">
                                  <w:pPr>
                                    <w:adjustRightInd w:val="0"/>
                                    <w:snapToGrid w:val="0"/>
                                    <w:jc w:val="both"/>
                                    <w:rPr>
                                      <w:rFonts w:ascii="標楷體" w:eastAsia="標楷體" w:hAnsi="標楷體" w:cs="新細明體"/>
                                      <w:sz w:val="20"/>
                                    </w:rPr>
                                  </w:pPr>
                                  <w:proofErr w:type="gramStart"/>
                                  <w:r w:rsidRPr="00CD63C4">
                                    <w:rPr>
                                      <w:rFonts w:ascii="標楷體" w:eastAsia="標楷體" w:hAnsi="標楷體" w:cs="新細明體" w:hint="eastAsia"/>
                                      <w:sz w:val="20"/>
                                    </w:rPr>
                                    <w:t>104</w:t>
                                  </w:r>
                                  <w:proofErr w:type="gramEnd"/>
                                  <w:r w:rsidRPr="00CD63C4">
                                    <w:rPr>
                                      <w:rFonts w:ascii="標楷體" w:eastAsia="標楷體" w:hAnsi="標楷體" w:cs="新細明體" w:hint="eastAsia"/>
                                      <w:sz w:val="20"/>
                                    </w:rPr>
                                    <w:t>年度南澳鄉澳花村部落環境改善工程</w:t>
                                  </w:r>
                                </w:p>
                              </w:tc>
                              <w:tc>
                                <w:tcPr>
                                  <w:tcW w:w="1133" w:type="dxa"/>
                                  <w:shd w:val="clear" w:color="auto" w:fill="auto"/>
                                  <w:vAlign w:val="center"/>
                                </w:tcPr>
                                <w:p w14:paraId="69C11D58"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104.09.01</w:t>
                                  </w:r>
                                </w:p>
                              </w:tc>
                              <w:tc>
                                <w:tcPr>
                                  <w:tcW w:w="910" w:type="dxa"/>
                                  <w:gridSpan w:val="2"/>
                                  <w:shd w:val="clear" w:color="auto" w:fill="auto"/>
                                  <w:vAlign w:val="center"/>
                                </w:tcPr>
                                <w:p w14:paraId="308FB1E7"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2,000 </w:t>
                                  </w:r>
                                </w:p>
                              </w:tc>
                            </w:tr>
                            <w:tr w:rsidR="00E45F37" w:rsidRPr="00CD63C4" w14:paraId="62ABF880" w14:textId="77777777" w:rsidTr="00612461">
                              <w:tc>
                                <w:tcPr>
                                  <w:tcW w:w="425" w:type="dxa"/>
                                  <w:shd w:val="clear" w:color="auto" w:fill="auto"/>
                                  <w:vAlign w:val="center"/>
                                </w:tcPr>
                                <w:p w14:paraId="4D884D07"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4</w:t>
                                  </w:r>
                                </w:p>
                              </w:tc>
                              <w:tc>
                                <w:tcPr>
                                  <w:tcW w:w="1135" w:type="dxa"/>
                                  <w:vMerge/>
                                  <w:vAlign w:val="center"/>
                                </w:tcPr>
                                <w:p w14:paraId="00FFD5CC" w14:textId="77777777" w:rsidR="00E45F37" w:rsidRPr="00CD63C4" w:rsidRDefault="00E45F37" w:rsidP="00DF16D7">
                                  <w:pPr>
                                    <w:adjustRightInd w:val="0"/>
                                    <w:snapToGrid w:val="0"/>
                                    <w:spacing w:line="280" w:lineRule="exact"/>
                                    <w:jc w:val="center"/>
                                    <w:rPr>
                                      <w:rFonts w:ascii="標楷體" w:eastAsia="標楷體" w:hAnsi="標楷體" w:cs="新細明體"/>
                                      <w:sz w:val="20"/>
                                    </w:rPr>
                                  </w:pPr>
                                </w:p>
                              </w:tc>
                              <w:tc>
                                <w:tcPr>
                                  <w:tcW w:w="2835" w:type="dxa"/>
                                  <w:shd w:val="clear" w:color="auto" w:fill="auto"/>
                                  <w:vAlign w:val="center"/>
                                </w:tcPr>
                                <w:p w14:paraId="71B994D3" w14:textId="77777777" w:rsidR="00E45F37" w:rsidRPr="00CD63C4" w:rsidRDefault="00E45F37" w:rsidP="00DF16D7">
                                  <w:pPr>
                                    <w:adjustRightInd w:val="0"/>
                                    <w:snapToGrid w:val="0"/>
                                    <w:spacing w:line="280" w:lineRule="exact"/>
                                    <w:jc w:val="both"/>
                                    <w:rPr>
                                      <w:rFonts w:ascii="標楷體" w:eastAsia="標楷體" w:hAnsi="標楷體" w:cs="新細明體"/>
                                      <w:sz w:val="20"/>
                                    </w:rPr>
                                  </w:pPr>
                                  <w:r w:rsidRPr="00CD63C4">
                                    <w:rPr>
                                      <w:rFonts w:ascii="標楷體" w:eastAsia="標楷體" w:hAnsi="標楷體" w:cs="新細明體" w:hint="eastAsia"/>
                                      <w:sz w:val="20"/>
                                    </w:rPr>
                                    <w:t>南澳鄉澳花村上部落基礎環境改善工程</w:t>
                                  </w:r>
                                </w:p>
                              </w:tc>
                              <w:tc>
                                <w:tcPr>
                                  <w:tcW w:w="1133" w:type="dxa"/>
                                  <w:shd w:val="clear" w:color="auto" w:fill="auto"/>
                                  <w:vAlign w:val="center"/>
                                </w:tcPr>
                                <w:p w14:paraId="778F58D0"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105.11.29</w:t>
                                  </w:r>
                                </w:p>
                              </w:tc>
                              <w:tc>
                                <w:tcPr>
                                  <w:tcW w:w="910" w:type="dxa"/>
                                  <w:gridSpan w:val="2"/>
                                  <w:shd w:val="clear" w:color="auto" w:fill="auto"/>
                                  <w:vAlign w:val="center"/>
                                </w:tcPr>
                                <w:p w14:paraId="514F1A2C"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3,080 </w:t>
                                  </w:r>
                                </w:p>
                              </w:tc>
                            </w:tr>
                          </w:tbl>
                          <w:p w14:paraId="7A6943A1" w14:textId="77777777" w:rsidR="00E45F37" w:rsidRPr="00DF16D7" w:rsidRDefault="00E45F37" w:rsidP="00E45F37">
                            <w:pPr>
                              <w:pStyle w:val="-123"/>
                              <w:adjustRightInd w:val="0"/>
                              <w:snapToGrid w:val="0"/>
                              <w:spacing w:line="240" w:lineRule="exact"/>
                              <w:rPr>
                                <w:bCs w:val="0"/>
                                <w:snapToGrid w:val="0"/>
                                <w:sz w:val="18"/>
                                <w:szCs w:val="18"/>
                              </w:rPr>
                            </w:pPr>
                            <w:r w:rsidRPr="00DF16D7">
                              <w:rPr>
                                <w:rFonts w:hint="eastAsia"/>
                                <w:bCs w:val="0"/>
                                <w:snapToGrid w:val="0"/>
                                <w:sz w:val="18"/>
                                <w:szCs w:val="18"/>
                              </w:rPr>
                              <w:t>資料來源：整理自行政院公共工程委員會政府電子採購網資料。</w:t>
                            </w:r>
                          </w:p>
                        </w:txbxContent>
                      </wps:txbx>
                      <wps:bodyPr wrap="square" upright="1">
                        <a:noAutofit/>
                      </wps:bodyPr>
                    </wps:wsp>
                  </a:graphicData>
                </a:graphic>
                <wp14:sizeRelH relativeFrom="margin">
                  <wp14:pctWidth>0</wp14:pctWidth>
                </wp14:sizeRelH>
                <wp14:sizeRelV relativeFrom="margin">
                  <wp14:pctHeight>0</wp14:pctHeight>
                </wp14:sizeRelV>
              </wp:anchor>
            </w:drawing>
          </mc:Choice>
          <mc:Fallback>
            <w:pict>
              <v:shape w14:anchorId="46B4FEC2" id="_x0000_s1160" type="#_x0000_t202" style="position:absolute;left:0;text-align:left;margin-left:157.25pt;margin-top:105.7pt;width:338.45pt;height:187.2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" stroked="f" strokeweight=".5pt">
                <v:textbox>
                  <w:txbxContent>
                    <w:p w14:paraId="7AC89A22" w14:textId="044D2969" w:rsidR="00E45F37" w:rsidRPr="00CD63C4" w:rsidRDefault="00E45F37" w:rsidP="00E45F37">
                      <w:pPr>
                        <w:adjustRightInd w:val="0"/>
                        <w:snapToGrid w:val="0"/>
                        <w:jc w:val="center"/>
                        <w:rPr>
                          <w:rFonts w:ascii="標楷體" w:eastAsia="標楷體" w:hAnsi="標楷體"/>
                          <w:b/>
                          <w:sz w:val="20"/>
                        </w:rPr>
                      </w:pPr>
                      <w:r w:rsidRPr="00CD63C4">
                        <w:rPr>
                          <w:rFonts w:ascii="標楷體" w:eastAsia="標楷體" w:hAnsi="標楷體" w:hint="eastAsia"/>
                          <w:b/>
                        </w:rPr>
                        <w:t>表</w:t>
                      </w:r>
                      <w:r w:rsidR="00306325">
                        <w:rPr>
                          <w:rFonts w:ascii="標楷體" w:eastAsia="標楷體" w:hAnsi="標楷體"/>
                          <w:b/>
                        </w:rPr>
                        <w:t>5</w:t>
                      </w:r>
                      <w:r w:rsidR="004C0427">
                        <w:rPr>
                          <w:rFonts w:ascii="標楷體" w:eastAsia="標楷體" w:hAnsi="標楷體"/>
                          <w:b/>
                        </w:rPr>
                        <w:t>1</w:t>
                      </w:r>
                      <w:r w:rsidRPr="00CD63C4">
                        <w:rPr>
                          <w:rFonts w:ascii="標楷體" w:eastAsia="標楷體" w:hAnsi="標楷體" w:hint="eastAsia"/>
                          <w:b/>
                        </w:rPr>
                        <w:t xml:space="preserve">　</w:t>
                      </w:r>
                      <w:r w:rsidRPr="00CD63C4">
                        <w:rPr>
                          <w:rFonts w:ascii="標楷體" w:eastAsia="標楷體" w:hAnsi="標楷體" w:hint="eastAsia"/>
                          <w:b/>
                          <w:snapToGrid w:val="0"/>
                          <w:kern w:val="32"/>
                        </w:rPr>
                        <w:t>原住民族委員會</w:t>
                      </w:r>
                      <w:r w:rsidRPr="00CD63C4">
                        <w:rPr>
                          <w:rFonts w:ascii="標楷體" w:eastAsia="標楷體" w:hAnsi="標楷體" w:hint="eastAsia"/>
                          <w:b/>
                        </w:rPr>
                        <w:t>補助地方公所辦理工程採購案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5"/>
                        <w:gridCol w:w="1135"/>
                        <w:gridCol w:w="2835"/>
                        <w:gridCol w:w="1133"/>
                        <w:gridCol w:w="885"/>
                        <w:gridCol w:w="25"/>
                      </w:tblGrid>
                      <w:tr w:rsidR="00E45F37" w:rsidRPr="00CD63C4" w14:paraId="0497DC72" w14:textId="77777777" w:rsidTr="00612461">
                        <w:trPr>
                          <w:gridAfter w:val="1"/>
                          <w:wAfter w:w="25" w:type="dxa"/>
                        </w:trPr>
                        <w:tc>
                          <w:tcPr>
                            <w:tcW w:w="6413" w:type="dxa"/>
                            <w:gridSpan w:val="5"/>
                            <w:tcBorders>
                              <w:top w:val="nil"/>
                              <w:left w:val="nil"/>
                              <w:right w:val="nil"/>
                            </w:tcBorders>
                          </w:tcPr>
                          <w:p w14:paraId="7CCDF75E" w14:textId="77777777" w:rsidR="00E45F37" w:rsidRPr="00AD3FAA" w:rsidRDefault="00E45F37" w:rsidP="00BD2CD2">
                            <w:pPr>
                              <w:adjustRightInd w:val="0"/>
                              <w:snapToGrid w:val="0"/>
                              <w:ind w:rightChars="-5" w:right="-12"/>
                              <w:jc w:val="right"/>
                              <w:rPr>
                                <w:rFonts w:ascii="標楷體" w:eastAsia="標楷體" w:hAnsi="標楷體" w:cs="新細明體"/>
                                <w:bCs/>
                                <w:sz w:val="20"/>
                              </w:rPr>
                            </w:pPr>
                            <w:r w:rsidRPr="00DF16D7">
                              <w:rPr>
                                <w:rFonts w:ascii="標楷體" w:eastAsia="標楷體" w:hAnsi="標楷體" w:hint="eastAsia"/>
                                <w:sz w:val="20"/>
                              </w:rPr>
                              <w:t>單位：新臺幣千</w:t>
                            </w:r>
                            <w:r w:rsidRPr="00AD3FAA">
                              <w:rPr>
                                <w:rFonts w:ascii="標楷體" w:eastAsia="標楷體" w:hAnsi="標楷體" w:hint="eastAsia"/>
                                <w:sz w:val="20"/>
                              </w:rPr>
                              <w:t>元</w:t>
                            </w:r>
                          </w:p>
                        </w:tc>
                      </w:tr>
                      <w:tr w:rsidR="00E45F37" w:rsidRPr="00CD63C4" w14:paraId="64E6F3CC" w14:textId="77777777" w:rsidTr="00A83374">
                        <w:tc>
                          <w:tcPr>
                            <w:tcW w:w="425" w:type="dxa"/>
                            <w:tcBorders>
                              <w:top w:val="single" w:sz="4" w:space="0" w:color="auto"/>
                            </w:tcBorders>
                            <w:shd w:val="clear" w:color="auto" w:fill="auto"/>
                            <w:vAlign w:val="center"/>
                          </w:tcPr>
                          <w:p w14:paraId="50F0A84D"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項次</w:t>
                            </w:r>
                          </w:p>
                        </w:tc>
                        <w:tc>
                          <w:tcPr>
                            <w:tcW w:w="1135" w:type="dxa"/>
                            <w:tcBorders>
                              <w:top w:val="single" w:sz="4" w:space="0" w:color="auto"/>
                            </w:tcBorders>
                            <w:vAlign w:val="center"/>
                          </w:tcPr>
                          <w:p w14:paraId="3B75763A" w14:textId="77777777" w:rsidR="00E45F37" w:rsidRPr="00CD63C4" w:rsidRDefault="00E45F37" w:rsidP="00DF16D7">
                            <w:pPr>
                              <w:adjustRightInd w:val="0"/>
                              <w:snapToGrid w:val="0"/>
                              <w:jc w:val="center"/>
                              <w:rPr>
                                <w:rFonts w:ascii="標楷體" w:eastAsia="標楷體" w:hAnsi="標楷體" w:cs="新細明體"/>
                                <w:b/>
                                <w:bCs/>
                                <w:sz w:val="20"/>
                              </w:rPr>
                            </w:pPr>
                            <w:r w:rsidRPr="00CD63C4">
                              <w:rPr>
                                <w:rFonts w:ascii="標楷體" w:eastAsia="標楷體" w:hAnsi="標楷體" w:cs="新細明體" w:hint="eastAsia"/>
                                <w:bCs/>
                                <w:sz w:val="20"/>
                              </w:rPr>
                              <w:t>主辦機關</w:t>
                            </w:r>
                          </w:p>
                        </w:tc>
                        <w:tc>
                          <w:tcPr>
                            <w:tcW w:w="2835" w:type="dxa"/>
                            <w:tcBorders>
                              <w:top w:val="single" w:sz="4" w:space="0" w:color="auto"/>
                            </w:tcBorders>
                            <w:shd w:val="clear" w:color="auto" w:fill="auto"/>
                            <w:vAlign w:val="center"/>
                          </w:tcPr>
                          <w:p w14:paraId="24456A43"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標案名稱</w:t>
                            </w:r>
                          </w:p>
                        </w:tc>
                        <w:tc>
                          <w:tcPr>
                            <w:tcW w:w="1133" w:type="dxa"/>
                            <w:tcBorders>
                              <w:top w:val="single" w:sz="4" w:space="0" w:color="auto"/>
                            </w:tcBorders>
                            <w:shd w:val="clear" w:color="auto" w:fill="auto"/>
                            <w:vAlign w:val="center"/>
                          </w:tcPr>
                          <w:p w14:paraId="160A41FE"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決標日期</w:t>
                            </w:r>
                          </w:p>
                        </w:tc>
                        <w:tc>
                          <w:tcPr>
                            <w:tcW w:w="910" w:type="dxa"/>
                            <w:gridSpan w:val="2"/>
                            <w:tcBorders>
                              <w:top w:val="single" w:sz="4" w:space="0" w:color="auto"/>
                            </w:tcBorders>
                            <w:shd w:val="clear" w:color="auto" w:fill="auto"/>
                            <w:vAlign w:val="center"/>
                          </w:tcPr>
                          <w:p w14:paraId="229262D9" w14:textId="77777777" w:rsidR="00E45F37" w:rsidRPr="00CD63C4" w:rsidRDefault="00E45F37" w:rsidP="00DF16D7">
                            <w:pPr>
                              <w:adjustRightInd w:val="0"/>
                              <w:snapToGrid w:val="0"/>
                              <w:jc w:val="center"/>
                              <w:rPr>
                                <w:rFonts w:ascii="標楷體" w:eastAsia="標楷體" w:hAnsi="標楷體" w:cs="新細明體"/>
                                <w:bCs/>
                                <w:sz w:val="20"/>
                              </w:rPr>
                            </w:pPr>
                            <w:r w:rsidRPr="00CD63C4">
                              <w:rPr>
                                <w:rFonts w:ascii="標楷體" w:eastAsia="標楷體" w:hAnsi="標楷體" w:cs="新細明體" w:hint="eastAsia"/>
                                <w:bCs/>
                                <w:sz w:val="20"/>
                              </w:rPr>
                              <w:t xml:space="preserve">決標金額 </w:t>
                            </w:r>
                          </w:p>
                        </w:tc>
                      </w:tr>
                      <w:tr w:rsidR="00E45F37" w:rsidRPr="00CD63C4" w14:paraId="2C37799C" w14:textId="77777777" w:rsidTr="00612461">
                        <w:tc>
                          <w:tcPr>
                            <w:tcW w:w="425" w:type="dxa"/>
                            <w:shd w:val="clear" w:color="auto" w:fill="auto"/>
                            <w:vAlign w:val="center"/>
                          </w:tcPr>
                          <w:p w14:paraId="0B23D891"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sz w:val="20"/>
                              </w:rPr>
                              <w:t>1</w:t>
                            </w:r>
                          </w:p>
                        </w:tc>
                        <w:tc>
                          <w:tcPr>
                            <w:tcW w:w="1135" w:type="dxa"/>
                            <w:vMerge w:val="restart"/>
                            <w:vAlign w:val="center"/>
                          </w:tcPr>
                          <w:p w14:paraId="7937E506" w14:textId="77777777" w:rsidR="00E45F37"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宜蘭縣</w:t>
                            </w:r>
                          </w:p>
                          <w:p w14:paraId="705A19C7"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大同鄉公所</w:t>
                            </w:r>
                          </w:p>
                        </w:tc>
                        <w:tc>
                          <w:tcPr>
                            <w:tcW w:w="2835" w:type="dxa"/>
                            <w:shd w:val="clear" w:color="auto" w:fill="auto"/>
                            <w:vAlign w:val="center"/>
                          </w:tcPr>
                          <w:p w14:paraId="4B9BD836" w14:textId="77777777" w:rsidR="00E45F37" w:rsidRPr="00CD63C4" w:rsidRDefault="00E45F37" w:rsidP="00DF16D7">
                            <w:pPr>
                              <w:adjustRightInd w:val="0"/>
                              <w:snapToGrid w:val="0"/>
                              <w:jc w:val="both"/>
                              <w:rPr>
                                <w:rFonts w:ascii="標楷體" w:eastAsia="標楷體" w:hAnsi="標楷體" w:cs="新細明體"/>
                                <w:sz w:val="20"/>
                              </w:rPr>
                            </w:pPr>
                            <w:r w:rsidRPr="00CD63C4">
                              <w:rPr>
                                <w:rFonts w:ascii="標楷體" w:eastAsia="標楷體" w:hAnsi="標楷體" w:cs="新細明體" w:hint="eastAsia"/>
                                <w:sz w:val="20"/>
                              </w:rPr>
                              <w:t>103年泰雅生活館內部整修工程</w:t>
                            </w:r>
                          </w:p>
                        </w:tc>
                        <w:tc>
                          <w:tcPr>
                            <w:tcW w:w="1133" w:type="dxa"/>
                            <w:shd w:val="clear" w:color="auto" w:fill="auto"/>
                            <w:vAlign w:val="center"/>
                          </w:tcPr>
                          <w:p w14:paraId="34C25F44"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103.09.24</w:t>
                            </w:r>
                          </w:p>
                        </w:tc>
                        <w:tc>
                          <w:tcPr>
                            <w:tcW w:w="910" w:type="dxa"/>
                            <w:gridSpan w:val="2"/>
                            <w:shd w:val="clear" w:color="auto" w:fill="auto"/>
                            <w:vAlign w:val="center"/>
                          </w:tcPr>
                          <w:p w14:paraId="1FCD90C4"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1,790 </w:t>
                            </w:r>
                          </w:p>
                        </w:tc>
                      </w:tr>
                      <w:tr w:rsidR="00E45F37" w:rsidRPr="00CD63C4" w14:paraId="089CBA81" w14:textId="77777777" w:rsidTr="00612461">
                        <w:tc>
                          <w:tcPr>
                            <w:tcW w:w="425" w:type="dxa"/>
                            <w:shd w:val="clear" w:color="auto" w:fill="auto"/>
                            <w:vAlign w:val="center"/>
                          </w:tcPr>
                          <w:p w14:paraId="6741174F"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2</w:t>
                            </w:r>
                          </w:p>
                        </w:tc>
                        <w:tc>
                          <w:tcPr>
                            <w:tcW w:w="1135" w:type="dxa"/>
                            <w:vMerge/>
                            <w:vAlign w:val="center"/>
                          </w:tcPr>
                          <w:p w14:paraId="47281009" w14:textId="77777777" w:rsidR="00E45F37" w:rsidRPr="00CD63C4" w:rsidRDefault="00E45F37" w:rsidP="00DF16D7">
                            <w:pPr>
                              <w:adjustRightInd w:val="0"/>
                              <w:snapToGrid w:val="0"/>
                              <w:jc w:val="center"/>
                              <w:rPr>
                                <w:rFonts w:ascii="標楷體" w:eastAsia="標楷體" w:hAnsi="標楷體" w:cs="新細明體"/>
                                <w:sz w:val="20"/>
                              </w:rPr>
                            </w:pPr>
                          </w:p>
                        </w:tc>
                        <w:tc>
                          <w:tcPr>
                            <w:tcW w:w="2835" w:type="dxa"/>
                            <w:shd w:val="clear" w:color="auto" w:fill="auto"/>
                            <w:vAlign w:val="center"/>
                          </w:tcPr>
                          <w:p w14:paraId="66FBF70B" w14:textId="77777777" w:rsidR="00E45F37" w:rsidRPr="00CD63C4" w:rsidRDefault="00E45F37" w:rsidP="00DF16D7">
                            <w:pPr>
                              <w:adjustRightInd w:val="0"/>
                              <w:snapToGrid w:val="0"/>
                              <w:jc w:val="both"/>
                              <w:rPr>
                                <w:rFonts w:ascii="標楷體" w:eastAsia="標楷體" w:hAnsi="標楷體" w:cs="新細明體"/>
                                <w:sz w:val="20"/>
                              </w:rPr>
                            </w:pPr>
                            <w:r w:rsidRPr="00CD63C4">
                              <w:rPr>
                                <w:rFonts w:ascii="標楷體" w:eastAsia="標楷體" w:hAnsi="標楷體" w:cs="新細明體" w:hint="eastAsia"/>
                                <w:sz w:val="20"/>
                              </w:rPr>
                              <w:t>本鄉泰雅生活館展示空間更新</w:t>
                            </w:r>
                            <w:proofErr w:type="gramStart"/>
                            <w:r w:rsidRPr="00CD63C4">
                              <w:rPr>
                                <w:rFonts w:ascii="標楷體" w:eastAsia="標楷體" w:hAnsi="標楷體" w:cs="新細明體" w:hint="eastAsia"/>
                                <w:sz w:val="20"/>
                              </w:rPr>
                              <w:t>布卸展</w:t>
                            </w:r>
                            <w:proofErr w:type="gramEnd"/>
                            <w:r w:rsidRPr="00CD63C4">
                              <w:rPr>
                                <w:rFonts w:ascii="標楷體" w:eastAsia="標楷體" w:hAnsi="標楷體" w:cs="新細明體" w:hint="eastAsia"/>
                                <w:sz w:val="20"/>
                              </w:rPr>
                              <w:t>工程及大同鄉泰雅生活館典藏庫房基礎環境升級工程等兩項工程</w:t>
                            </w:r>
                          </w:p>
                        </w:tc>
                        <w:tc>
                          <w:tcPr>
                            <w:tcW w:w="1133" w:type="dxa"/>
                            <w:shd w:val="clear" w:color="auto" w:fill="auto"/>
                            <w:vAlign w:val="center"/>
                          </w:tcPr>
                          <w:p w14:paraId="6B414FAA"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110.11.30</w:t>
                            </w:r>
                          </w:p>
                        </w:tc>
                        <w:tc>
                          <w:tcPr>
                            <w:tcW w:w="910" w:type="dxa"/>
                            <w:gridSpan w:val="2"/>
                            <w:shd w:val="clear" w:color="auto" w:fill="auto"/>
                            <w:vAlign w:val="center"/>
                          </w:tcPr>
                          <w:p w14:paraId="439A1176"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4,049 </w:t>
                            </w:r>
                          </w:p>
                        </w:tc>
                      </w:tr>
                      <w:tr w:rsidR="00E45F37" w:rsidRPr="00CD63C4" w14:paraId="13A8CB34" w14:textId="77777777" w:rsidTr="00612461">
                        <w:tc>
                          <w:tcPr>
                            <w:tcW w:w="425" w:type="dxa"/>
                            <w:shd w:val="clear" w:color="auto" w:fill="auto"/>
                            <w:vAlign w:val="center"/>
                          </w:tcPr>
                          <w:p w14:paraId="7FABAA25"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sz w:val="20"/>
                              </w:rPr>
                              <w:t>3</w:t>
                            </w:r>
                          </w:p>
                        </w:tc>
                        <w:tc>
                          <w:tcPr>
                            <w:tcW w:w="1135" w:type="dxa"/>
                            <w:vMerge w:val="restart"/>
                            <w:vAlign w:val="center"/>
                          </w:tcPr>
                          <w:p w14:paraId="77AB51FD" w14:textId="77777777" w:rsidR="00E45F37"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宜蘭縣</w:t>
                            </w:r>
                          </w:p>
                          <w:p w14:paraId="02753D31"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南澳鄉公所</w:t>
                            </w:r>
                          </w:p>
                        </w:tc>
                        <w:tc>
                          <w:tcPr>
                            <w:tcW w:w="2835" w:type="dxa"/>
                            <w:shd w:val="clear" w:color="auto" w:fill="auto"/>
                            <w:vAlign w:val="center"/>
                          </w:tcPr>
                          <w:p w14:paraId="66B93207" w14:textId="77777777" w:rsidR="00E45F37" w:rsidRPr="00CD63C4" w:rsidRDefault="00E45F37" w:rsidP="00DF16D7">
                            <w:pPr>
                              <w:adjustRightInd w:val="0"/>
                              <w:snapToGrid w:val="0"/>
                              <w:jc w:val="both"/>
                              <w:rPr>
                                <w:rFonts w:ascii="標楷體" w:eastAsia="標楷體" w:hAnsi="標楷體" w:cs="新細明體"/>
                                <w:sz w:val="20"/>
                              </w:rPr>
                            </w:pPr>
                            <w:proofErr w:type="gramStart"/>
                            <w:r w:rsidRPr="00CD63C4">
                              <w:rPr>
                                <w:rFonts w:ascii="標楷體" w:eastAsia="標楷體" w:hAnsi="標楷體" w:cs="新細明體" w:hint="eastAsia"/>
                                <w:sz w:val="20"/>
                              </w:rPr>
                              <w:t>104</w:t>
                            </w:r>
                            <w:proofErr w:type="gramEnd"/>
                            <w:r w:rsidRPr="00CD63C4">
                              <w:rPr>
                                <w:rFonts w:ascii="標楷體" w:eastAsia="標楷體" w:hAnsi="標楷體" w:cs="新細明體" w:hint="eastAsia"/>
                                <w:sz w:val="20"/>
                              </w:rPr>
                              <w:t>年度南澳鄉澳花村部落環境改善工程</w:t>
                            </w:r>
                          </w:p>
                        </w:tc>
                        <w:tc>
                          <w:tcPr>
                            <w:tcW w:w="1133" w:type="dxa"/>
                            <w:shd w:val="clear" w:color="auto" w:fill="auto"/>
                            <w:vAlign w:val="center"/>
                          </w:tcPr>
                          <w:p w14:paraId="69C11D58"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104.09.01</w:t>
                            </w:r>
                          </w:p>
                        </w:tc>
                        <w:tc>
                          <w:tcPr>
                            <w:tcW w:w="910" w:type="dxa"/>
                            <w:gridSpan w:val="2"/>
                            <w:shd w:val="clear" w:color="auto" w:fill="auto"/>
                            <w:vAlign w:val="center"/>
                          </w:tcPr>
                          <w:p w14:paraId="308FB1E7"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2,000 </w:t>
                            </w:r>
                          </w:p>
                        </w:tc>
                      </w:tr>
                      <w:tr w:rsidR="00E45F37" w:rsidRPr="00CD63C4" w14:paraId="62ABF880" w14:textId="77777777" w:rsidTr="00612461">
                        <w:tc>
                          <w:tcPr>
                            <w:tcW w:w="425" w:type="dxa"/>
                            <w:shd w:val="clear" w:color="auto" w:fill="auto"/>
                            <w:vAlign w:val="center"/>
                          </w:tcPr>
                          <w:p w14:paraId="4D884D07" w14:textId="77777777" w:rsidR="00E45F37" w:rsidRPr="00CD63C4" w:rsidRDefault="00E45F37" w:rsidP="00DF16D7">
                            <w:pPr>
                              <w:adjustRightInd w:val="0"/>
                              <w:snapToGrid w:val="0"/>
                              <w:jc w:val="center"/>
                              <w:rPr>
                                <w:rFonts w:ascii="標楷體" w:eastAsia="標楷體" w:hAnsi="標楷體" w:cs="新細明體"/>
                                <w:sz w:val="20"/>
                              </w:rPr>
                            </w:pPr>
                            <w:r w:rsidRPr="00CD63C4">
                              <w:rPr>
                                <w:rFonts w:ascii="標楷體" w:eastAsia="標楷體" w:hAnsi="標楷體" w:cs="新細明體" w:hint="eastAsia"/>
                                <w:sz w:val="20"/>
                              </w:rPr>
                              <w:t>4</w:t>
                            </w:r>
                          </w:p>
                        </w:tc>
                        <w:tc>
                          <w:tcPr>
                            <w:tcW w:w="1135" w:type="dxa"/>
                            <w:vMerge/>
                            <w:vAlign w:val="center"/>
                          </w:tcPr>
                          <w:p w14:paraId="00FFD5CC" w14:textId="77777777" w:rsidR="00E45F37" w:rsidRPr="00CD63C4" w:rsidRDefault="00E45F37" w:rsidP="00DF16D7">
                            <w:pPr>
                              <w:adjustRightInd w:val="0"/>
                              <w:snapToGrid w:val="0"/>
                              <w:spacing w:line="280" w:lineRule="exact"/>
                              <w:jc w:val="center"/>
                              <w:rPr>
                                <w:rFonts w:ascii="標楷體" w:eastAsia="標楷體" w:hAnsi="標楷體" w:cs="新細明體"/>
                                <w:sz w:val="20"/>
                              </w:rPr>
                            </w:pPr>
                          </w:p>
                        </w:tc>
                        <w:tc>
                          <w:tcPr>
                            <w:tcW w:w="2835" w:type="dxa"/>
                            <w:shd w:val="clear" w:color="auto" w:fill="auto"/>
                            <w:vAlign w:val="center"/>
                          </w:tcPr>
                          <w:p w14:paraId="71B994D3" w14:textId="77777777" w:rsidR="00E45F37" w:rsidRPr="00CD63C4" w:rsidRDefault="00E45F37" w:rsidP="00DF16D7">
                            <w:pPr>
                              <w:adjustRightInd w:val="0"/>
                              <w:snapToGrid w:val="0"/>
                              <w:spacing w:line="280" w:lineRule="exact"/>
                              <w:jc w:val="both"/>
                              <w:rPr>
                                <w:rFonts w:ascii="標楷體" w:eastAsia="標楷體" w:hAnsi="標楷體" w:cs="新細明體"/>
                                <w:sz w:val="20"/>
                              </w:rPr>
                            </w:pPr>
                            <w:r w:rsidRPr="00CD63C4">
                              <w:rPr>
                                <w:rFonts w:ascii="標楷體" w:eastAsia="標楷體" w:hAnsi="標楷體" w:cs="新細明體" w:hint="eastAsia"/>
                                <w:sz w:val="20"/>
                              </w:rPr>
                              <w:t>南澳鄉澳花村上部落基礎環境改善工程</w:t>
                            </w:r>
                          </w:p>
                        </w:tc>
                        <w:tc>
                          <w:tcPr>
                            <w:tcW w:w="1133" w:type="dxa"/>
                            <w:shd w:val="clear" w:color="auto" w:fill="auto"/>
                            <w:vAlign w:val="center"/>
                          </w:tcPr>
                          <w:p w14:paraId="778F58D0" w14:textId="77777777" w:rsidR="00E45F37" w:rsidRPr="001B0062" w:rsidRDefault="00E45F37" w:rsidP="00DF16D7">
                            <w:pPr>
                              <w:adjustRightInd w:val="0"/>
                              <w:snapToGrid w:val="0"/>
                              <w:jc w:val="center"/>
                              <w:rPr>
                                <w:rFonts w:ascii="標楷體" w:eastAsia="標楷體" w:hAnsi="標楷體" w:cs="新細明體"/>
                                <w:sz w:val="20"/>
                              </w:rPr>
                            </w:pPr>
                            <w:r w:rsidRPr="001B0062">
                              <w:rPr>
                                <w:rFonts w:ascii="標楷體" w:eastAsia="標楷體" w:hAnsi="標楷體" w:cs="新細明體" w:hint="eastAsia"/>
                                <w:sz w:val="20"/>
                              </w:rPr>
                              <w:t>105.11.29</w:t>
                            </w:r>
                          </w:p>
                        </w:tc>
                        <w:tc>
                          <w:tcPr>
                            <w:tcW w:w="910" w:type="dxa"/>
                            <w:gridSpan w:val="2"/>
                            <w:shd w:val="clear" w:color="auto" w:fill="auto"/>
                            <w:vAlign w:val="center"/>
                          </w:tcPr>
                          <w:p w14:paraId="514F1A2C" w14:textId="77777777" w:rsidR="00E45F37" w:rsidRPr="00CD63C4" w:rsidRDefault="00E45F37" w:rsidP="00DF16D7">
                            <w:pPr>
                              <w:adjustRightInd w:val="0"/>
                              <w:snapToGrid w:val="0"/>
                              <w:jc w:val="right"/>
                              <w:rPr>
                                <w:rFonts w:ascii="標楷體" w:eastAsia="標楷體" w:hAnsi="標楷體" w:cs="新細明體"/>
                                <w:sz w:val="20"/>
                              </w:rPr>
                            </w:pPr>
                            <w:r w:rsidRPr="00CD63C4">
                              <w:rPr>
                                <w:rFonts w:ascii="標楷體" w:eastAsia="標楷體" w:hAnsi="標楷體" w:cs="新細明體" w:hint="eastAsia"/>
                                <w:sz w:val="20"/>
                              </w:rPr>
                              <w:t xml:space="preserve">  3,080 </w:t>
                            </w:r>
                          </w:p>
                        </w:tc>
                      </w:tr>
                    </w:tbl>
                    <w:p w14:paraId="7A6943A1" w14:textId="77777777" w:rsidR="00E45F37" w:rsidRPr="00DF16D7" w:rsidRDefault="00E45F37" w:rsidP="00E45F37">
                      <w:pPr>
                        <w:pStyle w:val="-123"/>
                        <w:adjustRightInd w:val="0"/>
                        <w:snapToGrid w:val="0"/>
                        <w:spacing w:line="240" w:lineRule="exact"/>
                        <w:rPr>
                          <w:bCs w:val="0"/>
                          <w:snapToGrid w:val="0"/>
                          <w:sz w:val="18"/>
                          <w:szCs w:val="18"/>
                        </w:rPr>
                      </w:pPr>
                      <w:r w:rsidRPr="00DF16D7">
                        <w:rPr>
                          <w:rFonts w:hint="eastAsia"/>
                          <w:bCs w:val="0"/>
                          <w:snapToGrid w:val="0"/>
                          <w:sz w:val="18"/>
                          <w:szCs w:val="18"/>
                        </w:rPr>
                        <w:t>資料來源：整理自行政院公共工程委員會政府電子採購網資料。</w:t>
                      </w:r>
                    </w:p>
                  </w:txbxContent>
                </v:textbox>
                <w10:wrap type="square"/>
              </v:shape>
            </w:pict>
          </mc:Fallback>
        </mc:AlternateContent>
      </w:r>
      <w:r w:rsidR="00F92B43" w:rsidRPr="00F92B43">
        <w:rPr>
          <w:rFonts w:hint="eastAsia"/>
        </w:rPr>
        <w:t>原住民族委員會為補助地方政府提升原住民文化館之營運功能與服務能量，及提升部落生活環境機能與品質，分別訂有原住民族文化館改善計畫（下稱原文館改善計畫）及原住民族部落永續發展造景計畫（下稱部落永續發展造景計畫）申請作業須知，並明定相關申請及審議等規定。宜蘭縣大同鄉公所等機關</w:t>
      </w:r>
      <w:proofErr w:type="gramStart"/>
      <w:r w:rsidR="00F92B43" w:rsidRPr="00F92B43">
        <w:rPr>
          <w:rFonts w:hint="eastAsia"/>
        </w:rPr>
        <w:t>爰</w:t>
      </w:r>
      <w:proofErr w:type="gramEnd"/>
      <w:r w:rsidR="00F92B43" w:rsidRPr="00F92B43">
        <w:rPr>
          <w:rFonts w:hint="eastAsia"/>
        </w:rPr>
        <w:t>分別依上開計畫或作業須知提出申請，經原住民族委員會審議核定補助經費後，辦理泰雅生活館內部整修工程等4件採購案（表</w:t>
      </w:r>
      <w:r w:rsidR="00306325">
        <w:rPr>
          <w:rFonts w:hint="eastAsia"/>
        </w:rPr>
        <w:t>5</w:t>
      </w:r>
      <w:r w:rsidR="004C0427">
        <w:rPr>
          <w:rFonts w:hint="eastAsia"/>
        </w:rPr>
        <w:t>1</w:t>
      </w:r>
      <w:r w:rsidR="00F92B43" w:rsidRPr="00F92B43">
        <w:rPr>
          <w:rFonts w:hint="eastAsia"/>
        </w:rPr>
        <w:t>）。經查其執行情形，核有：1.原住民族委員會補助上開地方公所辦理工程採購案，係分別依行為時所訂定原文館改善計畫規定，據以審查並核定補助，惟該會於審查過程，因未依所訂審核基準，設計明確與客觀之審查及評比標準，並納入審查委員審查表，致委員審查時，僅提出審查意見及建議補助金額，未能評定成績並排列優先順序，依序補助。又部分地方政府曾發生就</w:t>
      </w:r>
      <w:proofErr w:type="gramStart"/>
      <w:r w:rsidR="00F92B43" w:rsidRPr="00F92B43">
        <w:rPr>
          <w:rFonts w:hint="eastAsia"/>
        </w:rPr>
        <w:t>同一工址於</w:t>
      </w:r>
      <w:proofErr w:type="gramEnd"/>
      <w:r w:rsidR="00F92B43" w:rsidRPr="00F92B43">
        <w:rPr>
          <w:rFonts w:hint="eastAsia"/>
        </w:rPr>
        <w:t>短期內以不同提案向中央主管機關申請補助，而造成重複施工情事，惟原文館改善計畫尚未將該等情事納入審核基準，有待檢討精進；2.原文館改善計畫未訂定督導與考核規定，與中央對直轄市及縣（市）政府補助辦法規定有間；至於部落永續發展造景計畫適用之公共建設管考要點未將計畫執行完竣後使用之效益列入查核項目，致未能有效考核補助計畫完成後之實際執行效益，以回饋供補助計畫審查，及作為爾後增加或減少計畫型補助款額度之參考等情事，</w:t>
      </w:r>
      <w:r w:rsidR="00F92B43" w:rsidRPr="006D7E95">
        <w:rPr>
          <w:rFonts w:hint="eastAsia"/>
        </w:rPr>
        <w:t>經函請原住民族委員會</w:t>
      </w:r>
      <w:proofErr w:type="gramStart"/>
      <w:r w:rsidR="00FC0971" w:rsidRPr="006D7E95">
        <w:rPr>
          <w:rFonts w:hint="eastAsia"/>
        </w:rPr>
        <w:t>研</w:t>
      </w:r>
      <w:proofErr w:type="gramEnd"/>
      <w:r w:rsidR="00FC0971" w:rsidRPr="006D7E95">
        <w:rPr>
          <w:rFonts w:hint="eastAsia"/>
        </w:rPr>
        <w:t>謀</w:t>
      </w:r>
      <w:r w:rsidR="00F92B43" w:rsidRPr="006D7E95">
        <w:rPr>
          <w:rFonts w:hint="eastAsia"/>
        </w:rPr>
        <w:t>改善。據復：1.114年原文館改善計畫已增訂計畫與相關資源整合性（同一工址有無重複申請補助）等審核基準項目，及各項審核基準項目之評比配分；2.114年原文館改善計畫已增訂計畫進度督導訪視、進度管理與查核相關規定，查核項目包括計畫執行進度及執行完竣後使用效益，另於</w:t>
      </w:r>
      <w:proofErr w:type="gramStart"/>
      <w:r w:rsidR="00F92B43" w:rsidRPr="006D7E95">
        <w:rPr>
          <w:rFonts w:hint="eastAsia"/>
        </w:rPr>
        <w:t>114</w:t>
      </w:r>
      <w:proofErr w:type="gramEnd"/>
      <w:r w:rsidR="00F92B43" w:rsidRPr="006D7E95">
        <w:rPr>
          <w:rFonts w:hint="eastAsia"/>
        </w:rPr>
        <w:t>年度公共建設相關補助計畫亦已將執行完竣後使用效益納入管考。</w:t>
      </w:r>
    </w:p>
    <w:p w14:paraId="43FCC1F0" w14:textId="33CFAEE5" w:rsidR="001D6743" w:rsidRPr="00882D62" w:rsidRDefault="00416F31" w:rsidP="00CF17CA">
      <w:pPr>
        <w:pStyle w:val="affffff1"/>
        <w:spacing w:beforeLines="20" w:before="72" w:line="410" w:lineRule="exact"/>
        <w:ind w:firstLineChars="200" w:firstLine="561"/>
        <w:outlineLvl w:val="1"/>
      </w:pPr>
      <w:r>
        <w:rPr>
          <w:rFonts w:hint="eastAsia"/>
        </w:rPr>
        <w:t>（</w:t>
      </w:r>
      <w:r w:rsidR="001D6743">
        <w:rPr>
          <w:rFonts w:hint="eastAsia"/>
        </w:rPr>
        <w:t>三十</w:t>
      </w:r>
      <w:r w:rsidR="00A80135">
        <w:rPr>
          <w:rFonts w:hint="eastAsia"/>
        </w:rPr>
        <w:t>八</w:t>
      </w:r>
      <w:r w:rsidR="001D6743" w:rsidRPr="00882D62">
        <w:rPr>
          <w:rFonts w:hint="eastAsia"/>
        </w:rPr>
        <w:t>）</w:t>
      </w:r>
      <w:r w:rsidR="001D6743">
        <w:rPr>
          <w:rFonts w:hint="eastAsia"/>
        </w:rPr>
        <w:t xml:space="preserve">　</w:t>
      </w:r>
      <w:r w:rsidR="001D6743" w:rsidRPr="00495F51">
        <w:rPr>
          <w:rFonts w:hint="eastAsia"/>
        </w:rPr>
        <w:t>原住民族委員會原住民族</w:t>
      </w:r>
      <w:r w:rsidR="00A80135">
        <w:rPr>
          <w:rFonts w:hint="eastAsia"/>
        </w:rPr>
        <w:t>文化</w:t>
      </w:r>
      <w:r w:rsidR="001D6743" w:rsidRPr="00495F51">
        <w:rPr>
          <w:rFonts w:hint="eastAsia"/>
        </w:rPr>
        <w:t>發展中心為建置友善觀光設施及重現原住民族傳統風貌，辦理臺灣原住民族文化</w:t>
      </w:r>
      <w:proofErr w:type="gramStart"/>
      <w:r w:rsidR="001D6743" w:rsidRPr="00495F51">
        <w:rPr>
          <w:rFonts w:hint="eastAsia"/>
        </w:rPr>
        <w:t>園區綠珠雕琢</w:t>
      </w:r>
      <w:proofErr w:type="gramEnd"/>
      <w:r w:rsidR="001D6743" w:rsidRPr="00495F51">
        <w:rPr>
          <w:rFonts w:hint="eastAsia"/>
        </w:rPr>
        <w:t>再造計畫，惟未於擬訂計畫時即妥善</w:t>
      </w:r>
      <w:proofErr w:type="gramStart"/>
      <w:r w:rsidR="001D6743" w:rsidRPr="00495F51">
        <w:rPr>
          <w:rFonts w:hint="eastAsia"/>
        </w:rPr>
        <w:t>研</w:t>
      </w:r>
      <w:proofErr w:type="gramEnd"/>
      <w:r w:rsidR="001D6743" w:rsidRPr="00495F51">
        <w:rPr>
          <w:rFonts w:hint="eastAsia"/>
        </w:rPr>
        <w:t>訂採購分標及招標策略，亦未翔實調查館舍空間配置及設施需求內容，肇致延宕歌舞館工程及整體計畫完成期程，</w:t>
      </w:r>
      <w:r w:rsidR="00FC0971">
        <w:rPr>
          <w:rFonts w:hint="eastAsia"/>
        </w:rPr>
        <w:t>允宜</w:t>
      </w:r>
      <w:proofErr w:type="gramStart"/>
      <w:r w:rsidR="00FC0971">
        <w:rPr>
          <w:rFonts w:hint="eastAsia"/>
        </w:rPr>
        <w:t>研</w:t>
      </w:r>
      <w:proofErr w:type="gramEnd"/>
      <w:r w:rsidR="00FC0971">
        <w:rPr>
          <w:rFonts w:hint="eastAsia"/>
        </w:rPr>
        <w:t>謀</w:t>
      </w:r>
      <w:r w:rsidR="001D6743" w:rsidRPr="00495F51">
        <w:rPr>
          <w:rFonts w:hint="eastAsia"/>
        </w:rPr>
        <w:t>改善。</w:t>
      </w:r>
    </w:p>
    <w:p w14:paraId="61E44EB2" w14:textId="6048E659" w:rsidR="007142B1" w:rsidRPr="002839D5" w:rsidRDefault="001D6743" w:rsidP="009A6EFF">
      <w:pPr>
        <w:pStyle w:val="-"/>
        <w:spacing w:line="420" w:lineRule="exact"/>
        <w:ind w:firstLine="480"/>
        <w:jc w:val="both"/>
      </w:pPr>
      <w:r w:rsidRPr="00215DE3">
        <w:rPr>
          <w:rFonts w:hint="eastAsia"/>
          <w:snapToGrid w:val="0"/>
          <w:color w:val="000000" w:themeColor="text1"/>
          <w:kern w:val="32"/>
        </w:rPr>
        <w:lastRenderedPageBreak/>
        <w:t>原住民族委員會原住民族</w:t>
      </w:r>
      <w:r w:rsidR="00A80135">
        <w:rPr>
          <w:rFonts w:hint="eastAsia"/>
          <w:snapToGrid w:val="0"/>
          <w:color w:val="000000" w:themeColor="text1"/>
          <w:kern w:val="32"/>
        </w:rPr>
        <w:t>文化</w:t>
      </w:r>
      <w:r w:rsidRPr="00215DE3">
        <w:rPr>
          <w:rFonts w:hint="eastAsia"/>
          <w:snapToGrid w:val="0"/>
          <w:color w:val="000000" w:themeColor="text1"/>
          <w:kern w:val="32"/>
        </w:rPr>
        <w:t>發展中心管轄臺灣原住民族文化園區，以保存原住民文化有形及無形資產，惟自76年</w:t>
      </w:r>
      <w:proofErr w:type="gramStart"/>
      <w:r w:rsidRPr="00215DE3">
        <w:rPr>
          <w:rFonts w:hint="eastAsia"/>
          <w:snapToGrid w:val="0"/>
          <w:color w:val="000000" w:themeColor="text1"/>
          <w:kern w:val="32"/>
        </w:rPr>
        <w:t>開園迄</w:t>
      </w:r>
      <w:proofErr w:type="gramEnd"/>
      <w:r w:rsidRPr="00215DE3">
        <w:rPr>
          <w:rFonts w:hint="eastAsia"/>
          <w:snapToGrid w:val="0"/>
          <w:color w:val="000000" w:themeColor="text1"/>
          <w:kern w:val="32"/>
        </w:rPr>
        <w:t>105年間，諸多建築設施已老舊破損，該中心</w:t>
      </w:r>
      <w:proofErr w:type="gramStart"/>
      <w:r w:rsidRPr="00215DE3">
        <w:rPr>
          <w:rFonts w:hint="eastAsia"/>
          <w:snapToGrid w:val="0"/>
          <w:color w:val="000000" w:themeColor="text1"/>
          <w:kern w:val="32"/>
        </w:rPr>
        <w:t>爰</w:t>
      </w:r>
      <w:proofErr w:type="gramEnd"/>
      <w:r w:rsidRPr="00215DE3">
        <w:rPr>
          <w:rFonts w:hint="eastAsia"/>
          <w:snapToGrid w:val="0"/>
          <w:color w:val="000000" w:themeColor="text1"/>
          <w:kern w:val="32"/>
        </w:rPr>
        <w:t>規劃以現代科技修復園區傳統建築、建置友善觀光設施及重現原住民族傳統生活風貌為目標，擬訂「臺灣原住民族文化</w:t>
      </w:r>
      <w:proofErr w:type="gramStart"/>
      <w:r w:rsidRPr="00215DE3">
        <w:rPr>
          <w:rFonts w:hint="eastAsia"/>
          <w:snapToGrid w:val="0"/>
          <w:color w:val="000000" w:themeColor="text1"/>
          <w:kern w:val="32"/>
        </w:rPr>
        <w:t>園區綠珠雕琢</w:t>
      </w:r>
      <w:proofErr w:type="gramEnd"/>
      <w:r w:rsidRPr="00215DE3">
        <w:rPr>
          <w:rFonts w:hint="eastAsia"/>
          <w:snapToGrid w:val="0"/>
          <w:color w:val="000000" w:themeColor="text1"/>
          <w:kern w:val="32"/>
        </w:rPr>
        <w:t>再造6年中長程計畫」（下稱綠珠計畫），報經行政院於105年3月28日核定，總經費15億5,190萬元，包括社會發展經費6億8,760萬元，及公共建設經費8億6,430萬元，期程為106至111年。</w:t>
      </w:r>
      <w:proofErr w:type="gramStart"/>
      <w:r w:rsidRPr="00215DE3">
        <w:rPr>
          <w:rFonts w:hint="eastAsia"/>
          <w:snapToGrid w:val="0"/>
          <w:color w:val="000000" w:themeColor="text1"/>
          <w:kern w:val="32"/>
        </w:rPr>
        <w:t>嗣</w:t>
      </w:r>
      <w:proofErr w:type="gramEnd"/>
      <w:r w:rsidRPr="00215DE3">
        <w:rPr>
          <w:rFonts w:hint="eastAsia"/>
          <w:snapToGrid w:val="0"/>
          <w:color w:val="000000" w:themeColor="text1"/>
          <w:kern w:val="32"/>
        </w:rPr>
        <w:t>因營建工程物價指數調漲、</w:t>
      </w:r>
      <w:proofErr w:type="gramStart"/>
      <w:r w:rsidRPr="00215DE3">
        <w:rPr>
          <w:rFonts w:hint="eastAsia"/>
          <w:snapToGrid w:val="0"/>
          <w:color w:val="000000" w:themeColor="text1"/>
          <w:kern w:val="32"/>
        </w:rPr>
        <w:t>新型冠</w:t>
      </w:r>
      <w:proofErr w:type="gramEnd"/>
      <w:r w:rsidRPr="00215DE3">
        <w:rPr>
          <w:rFonts w:hint="eastAsia"/>
          <w:snapToGrid w:val="0"/>
          <w:color w:val="000000" w:themeColor="text1"/>
          <w:kern w:val="32"/>
        </w:rPr>
        <w:t>狀病毒肺炎（COVID-19）</w:t>
      </w:r>
      <w:proofErr w:type="gramStart"/>
      <w:r w:rsidRPr="00215DE3">
        <w:rPr>
          <w:rFonts w:hint="eastAsia"/>
          <w:snapToGrid w:val="0"/>
          <w:color w:val="000000" w:themeColor="text1"/>
          <w:kern w:val="32"/>
        </w:rPr>
        <w:t>疫</w:t>
      </w:r>
      <w:proofErr w:type="gramEnd"/>
      <w:r w:rsidRPr="00215DE3">
        <w:rPr>
          <w:rFonts w:hint="eastAsia"/>
          <w:snapToGrid w:val="0"/>
          <w:color w:val="000000" w:themeColor="text1"/>
          <w:kern w:val="32"/>
        </w:rPr>
        <w:t>情、政策變更與天候不可抗力因素等情，經層報行政院分別於111年4月19日及112年11月14日核定修正計畫，調增公共建設經費至12億2,140萬元，完工</w:t>
      </w:r>
      <w:proofErr w:type="gramStart"/>
      <w:r w:rsidRPr="00215DE3">
        <w:rPr>
          <w:rFonts w:hint="eastAsia"/>
          <w:snapToGrid w:val="0"/>
          <w:color w:val="000000" w:themeColor="text1"/>
          <w:kern w:val="32"/>
        </w:rPr>
        <w:t>期程展延</w:t>
      </w:r>
      <w:proofErr w:type="gramEnd"/>
      <w:r w:rsidRPr="00215DE3">
        <w:rPr>
          <w:rFonts w:hint="eastAsia"/>
          <w:snapToGrid w:val="0"/>
          <w:color w:val="000000" w:themeColor="text1"/>
          <w:kern w:val="32"/>
        </w:rPr>
        <w:t>至114年底。經查其執行情形，核有：1.原住民族委員會原住民族</w:t>
      </w:r>
      <w:r w:rsidR="00A80135">
        <w:rPr>
          <w:rFonts w:hint="eastAsia"/>
          <w:snapToGrid w:val="0"/>
          <w:color w:val="000000" w:themeColor="text1"/>
          <w:kern w:val="32"/>
        </w:rPr>
        <w:t>文化</w:t>
      </w:r>
      <w:r w:rsidRPr="00215DE3">
        <w:rPr>
          <w:rFonts w:hint="eastAsia"/>
          <w:snapToGrid w:val="0"/>
          <w:color w:val="000000" w:themeColor="text1"/>
          <w:kern w:val="32"/>
        </w:rPr>
        <w:t>發展中心</w:t>
      </w:r>
      <w:proofErr w:type="gramStart"/>
      <w:r w:rsidRPr="00215DE3">
        <w:rPr>
          <w:rFonts w:hint="eastAsia"/>
          <w:snapToGrid w:val="0"/>
          <w:color w:val="000000" w:themeColor="text1"/>
          <w:kern w:val="32"/>
        </w:rPr>
        <w:t>辦理綠珠計畫</w:t>
      </w:r>
      <w:proofErr w:type="gramEnd"/>
      <w:r w:rsidRPr="00215DE3">
        <w:rPr>
          <w:rFonts w:hint="eastAsia"/>
          <w:snapToGrid w:val="0"/>
          <w:color w:val="000000" w:themeColor="text1"/>
          <w:kern w:val="32"/>
        </w:rPr>
        <w:t>公共建設部分，未於擬訂計畫時即妥善</w:t>
      </w:r>
      <w:proofErr w:type="gramStart"/>
      <w:r w:rsidRPr="00215DE3">
        <w:rPr>
          <w:rFonts w:hint="eastAsia"/>
          <w:snapToGrid w:val="0"/>
          <w:color w:val="000000" w:themeColor="text1"/>
          <w:kern w:val="32"/>
        </w:rPr>
        <w:t>研</w:t>
      </w:r>
      <w:proofErr w:type="gramEnd"/>
      <w:r w:rsidRPr="00215DE3">
        <w:rPr>
          <w:rFonts w:hint="eastAsia"/>
          <w:snapToGrid w:val="0"/>
          <w:color w:val="000000" w:themeColor="text1"/>
          <w:kern w:val="32"/>
        </w:rPr>
        <w:t>訂專案管理與環境影響評估等委託技術服務採購分標及招標策略，於計畫核定後1年5個月始啟動採購作業，</w:t>
      </w:r>
      <w:proofErr w:type="gramStart"/>
      <w:r w:rsidRPr="00215DE3">
        <w:rPr>
          <w:rFonts w:hint="eastAsia"/>
          <w:snapToGrid w:val="0"/>
          <w:color w:val="000000" w:themeColor="text1"/>
          <w:kern w:val="32"/>
        </w:rPr>
        <w:t>嗣</w:t>
      </w:r>
      <w:proofErr w:type="gramEnd"/>
      <w:r w:rsidRPr="00215DE3">
        <w:rPr>
          <w:rFonts w:hint="eastAsia"/>
          <w:snapToGrid w:val="0"/>
          <w:color w:val="000000" w:themeColor="text1"/>
          <w:kern w:val="32"/>
        </w:rPr>
        <w:t>招標文件訂定與流標後之檢討因應作業亦未</w:t>
      </w:r>
      <w:proofErr w:type="gramStart"/>
      <w:r w:rsidRPr="00215DE3">
        <w:rPr>
          <w:rFonts w:hint="eastAsia"/>
          <w:snapToGrid w:val="0"/>
          <w:color w:val="000000" w:themeColor="text1"/>
          <w:kern w:val="32"/>
        </w:rPr>
        <w:t>臻</w:t>
      </w:r>
      <w:proofErr w:type="gramEnd"/>
      <w:r w:rsidRPr="00215DE3">
        <w:rPr>
          <w:rFonts w:hint="eastAsia"/>
          <w:snapToGrid w:val="0"/>
          <w:color w:val="000000" w:themeColor="text1"/>
          <w:kern w:val="32"/>
        </w:rPr>
        <w:t>積極妥適，又耗時1年始完成委託專案管理與規劃採購案招標作業；另未儘早辦理環境影響評估及水保計畫委託技術服務採購案，致完成水保作業時已較預定期程落後7個月餘，影響後續辦理各館舍整建工程期程；2.該中心</w:t>
      </w:r>
      <w:proofErr w:type="gramStart"/>
      <w:r w:rsidRPr="00215DE3">
        <w:rPr>
          <w:rFonts w:hint="eastAsia"/>
          <w:snapToGrid w:val="0"/>
          <w:color w:val="000000" w:themeColor="text1"/>
          <w:kern w:val="32"/>
        </w:rPr>
        <w:t>辦理綠珠計畫</w:t>
      </w:r>
      <w:proofErr w:type="gramEnd"/>
      <w:r w:rsidRPr="00215DE3">
        <w:rPr>
          <w:rFonts w:hint="eastAsia"/>
          <w:snapToGrid w:val="0"/>
          <w:color w:val="000000" w:themeColor="text1"/>
          <w:kern w:val="32"/>
        </w:rPr>
        <w:t>項下歌舞館工程，未能於規劃階段即確認設施需求內容，進行翔實之調查與預測，</w:t>
      </w:r>
      <w:proofErr w:type="gramStart"/>
      <w:r w:rsidRPr="00215DE3">
        <w:rPr>
          <w:rFonts w:hint="eastAsia"/>
          <w:snapToGrid w:val="0"/>
          <w:color w:val="000000" w:themeColor="text1"/>
          <w:kern w:val="32"/>
        </w:rPr>
        <w:t>致須辦理</w:t>
      </w:r>
      <w:proofErr w:type="gramEnd"/>
      <w:r w:rsidRPr="00215DE3">
        <w:rPr>
          <w:rFonts w:hint="eastAsia"/>
          <w:snapToGrid w:val="0"/>
          <w:color w:val="000000" w:themeColor="text1"/>
          <w:kern w:val="32"/>
        </w:rPr>
        <w:t>多次細部設計審查與經費協調會議，以整合相關業務單位之需求與意見，且</w:t>
      </w:r>
      <w:proofErr w:type="gramStart"/>
      <w:r w:rsidRPr="00215DE3">
        <w:rPr>
          <w:rFonts w:hint="eastAsia"/>
          <w:snapToGrid w:val="0"/>
          <w:color w:val="000000" w:themeColor="text1"/>
          <w:kern w:val="32"/>
        </w:rPr>
        <w:t>未妥適控管</w:t>
      </w:r>
      <w:proofErr w:type="gramEnd"/>
      <w:r w:rsidRPr="00215DE3">
        <w:rPr>
          <w:rFonts w:hint="eastAsia"/>
          <w:snapToGrid w:val="0"/>
          <w:color w:val="000000" w:themeColor="text1"/>
          <w:kern w:val="32"/>
        </w:rPr>
        <w:t>作業期程，耗時11個月餘始完成細部設計作業，延宕歌舞館及整體計畫完工期程，較行政院核定執行時程，落後逾2年11個月餘，影響提升園區館舍功能及計畫目標之達成等情事，</w:t>
      </w:r>
      <w:r w:rsidRPr="00215DE3">
        <w:rPr>
          <w:rFonts w:cs="細明體" w:hint="eastAsia"/>
          <w:color w:val="000000" w:themeColor="text1"/>
        </w:rPr>
        <w:t>經依審計法第69條第1項前段規定，於1</w:t>
      </w:r>
      <w:r w:rsidRPr="00215DE3">
        <w:rPr>
          <w:rFonts w:cs="細明體"/>
          <w:color w:val="000000" w:themeColor="text1"/>
        </w:rPr>
        <w:t>14</w:t>
      </w:r>
      <w:r w:rsidRPr="00215DE3">
        <w:rPr>
          <w:rFonts w:cs="細明體" w:hint="eastAsia"/>
          <w:color w:val="000000" w:themeColor="text1"/>
        </w:rPr>
        <w:t>年2月5日函請原住民族委員會督促檢討改善，並報告監察院。經原住民族委員會督促原住民族</w:t>
      </w:r>
      <w:r w:rsidR="00A80135">
        <w:rPr>
          <w:rFonts w:cs="細明體" w:hint="eastAsia"/>
          <w:color w:val="000000" w:themeColor="text1"/>
        </w:rPr>
        <w:t>文化</w:t>
      </w:r>
      <w:r w:rsidRPr="00215DE3">
        <w:rPr>
          <w:rFonts w:cs="細明體" w:hint="eastAsia"/>
          <w:color w:val="000000" w:themeColor="text1"/>
        </w:rPr>
        <w:t>發展中心</w:t>
      </w:r>
      <w:proofErr w:type="gramStart"/>
      <w:r w:rsidRPr="00215DE3">
        <w:rPr>
          <w:rFonts w:cs="細明體" w:hint="eastAsia"/>
          <w:color w:val="000000" w:themeColor="text1"/>
        </w:rPr>
        <w:t>研</w:t>
      </w:r>
      <w:proofErr w:type="gramEnd"/>
      <w:r w:rsidRPr="00215DE3">
        <w:rPr>
          <w:rFonts w:cs="細明體" w:hint="eastAsia"/>
          <w:color w:val="000000" w:themeColor="text1"/>
        </w:rPr>
        <w:t>提下列改善措施：1.爾後申請公共建設計畫經費，將提前辦理前置作業，於提報計畫前先行辦理可行性評估及規劃作業，</w:t>
      </w:r>
      <w:proofErr w:type="gramStart"/>
      <w:r w:rsidRPr="00215DE3">
        <w:rPr>
          <w:rFonts w:cs="細明體" w:hint="eastAsia"/>
          <w:color w:val="000000" w:themeColor="text1"/>
        </w:rPr>
        <w:t>釐</w:t>
      </w:r>
      <w:proofErr w:type="gramEnd"/>
      <w:r w:rsidRPr="00215DE3">
        <w:rPr>
          <w:rFonts w:cs="細明體" w:hint="eastAsia"/>
          <w:color w:val="000000" w:themeColor="text1"/>
        </w:rPr>
        <w:t>清可能遭遇問題及法規，並</w:t>
      </w:r>
      <w:proofErr w:type="gramStart"/>
      <w:r w:rsidRPr="00215DE3">
        <w:rPr>
          <w:rFonts w:cs="細明體" w:hint="eastAsia"/>
          <w:color w:val="000000" w:themeColor="text1"/>
        </w:rPr>
        <w:t>研</w:t>
      </w:r>
      <w:proofErr w:type="gramEnd"/>
      <w:r w:rsidRPr="00215DE3">
        <w:rPr>
          <w:rFonts w:cs="細明體" w:hint="eastAsia"/>
          <w:color w:val="000000" w:themeColor="text1"/>
        </w:rPr>
        <w:t>擬採購需求、採購策略及因應之工程概算表，以利後續採購發包作業</w:t>
      </w:r>
      <w:r w:rsidRPr="00215DE3">
        <w:rPr>
          <w:rFonts w:hint="eastAsia"/>
          <w:snapToGrid w:val="0"/>
          <w:color w:val="000000" w:themeColor="text1"/>
          <w:kern w:val="32"/>
        </w:rPr>
        <w:t>；2.計畫推動期間因負責舞團編舞指導演出之舞台總監異動頻繁，致歌舞設備需求變動，連帶影響規劃設計及工程，已降低人員流動率，並積極控管相關作業期程，避免類此情事再次發生。</w:t>
      </w:r>
      <w:proofErr w:type="gramStart"/>
      <w:r w:rsidRPr="00215DE3">
        <w:rPr>
          <w:rFonts w:hint="eastAsia"/>
          <w:snapToGrid w:val="0"/>
          <w:color w:val="000000" w:themeColor="text1"/>
          <w:kern w:val="32"/>
        </w:rPr>
        <w:t>嗣</w:t>
      </w:r>
      <w:proofErr w:type="gramEnd"/>
      <w:r w:rsidRPr="00215DE3">
        <w:rPr>
          <w:rFonts w:hint="eastAsia"/>
          <w:snapToGrid w:val="0"/>
          <w:color w:val="000000" w:themeColor="text1"/>
          <w:kern w:val="32"/>
        </w:rPr>
        <w:t>經監察院於1</w:t>
      </w:r>
      <w:r w:rsidRPr="00215DE3">
        <w:rPr>
          <w:snapToGrid w:val="0"/>
          <w:color w:val="000000" w:themeColor="text1"/>
          <w:kern w:val="32"/>
        </w:rPr>
        <w:t>14</w:t>
      </w:r>
      <w:r w:rsidRPr="00215DE3">
        <w:rPr>
          <w:rFonts w:hint="eastAsia"/>
          <w:snapToGrid w:val="0"/>
          <w:color w:val="000000" w:themeColor="text1"/>
          <w:kern w:val="32"/>
        </w:rPr>
        <w:t>年4月2日函復准予備查。</w:t>
      </w:r>
    </w:p>
    <w:p w14:paraId="194A6DD7" w14:textId="705687F6" w:rsidR="002B2085" w:rsidRPr="006F289E" w:rsidRDefault="002B2085" w:rsidP="009A6EFF">
      <w:pPr>
        <w:pStyle w:val="affffff1"/>
        <w:spacing w:beforeLines="20" w:before="72" w:line="428" w:lineRule="exact"/>
        <w:ind w:firstLineChars="200" w:firstLine="561"/>
        <w:outlineLvl w:val="1"/>
      </w:pPr>
      <w:r w:rsidRPr="006F289E">
        <w:rPr>
          <w:rFonts w:hint="eastAsia"/>
        </w:rPr>
        <w:t>（</w:t>
      </w:r>
      <w:r w:rsidR="00781889">
        <w:rPr>
          <w:rFonts w:hint="eastAsia"/>
        </w:rPr>
        <w:t>三</w:t>
      </w:r>
      <w:r w:rsidRPr="006F289E">
        <w:rPr>
          <w:rFonts w:hint="eastAsia"/>
        </w:rPr>
        <w:t>十</w:t>
      </w:r>
      <w:r w:rsidR="00781889">
        <w:rPr>
          <w:rFonts w:hint="eastAsia"/>
        </w:rPr>
        <w:t>九</w:t>
      </w:r>
      <w:r w:rsidRPr="006F289E">
        <w:rPr>
          <w:rFonts w:hint="eastAsia"/>
        </w:rPr>
        <w:t xml:space="preserve">）　</w:t>
      </w:r>
      <w:r w:rsidR="00804BF1" w:rsidRPr="00804BF1">
        <w:rPr>
          <w:rFonts w:hint="eastAsia"/>
        </w:rPr>
        <w:t>中央選舉委員會近年辦理大型選舉，已適度增設投（開）票所，以</w:t>
      </w:r>
      <w:proofErr w:type="gramStart"/>
      <w:r w:rsidR="00804BF1" w:rsidRPr="00804BF1">
        <w:rPr>
          <w:rFonts w:hint="eastAsia"/>
        </w:rPr>
        <w:t>紓</w:t>
      </w:r>
      <w:proofErr w:type="gramEnd"/>
      <w:r w:rsidR="00804BF1" w:rsidRPr="00804BF1">
        <w:rPr>
          <w:rFonts w:hint="eastAsia"/>
        </w:rPr>
        <w:t>緩排隊人潮及提升可近性，惟部分地區高齡者戶籍</w:t>
      </w:r>
      <w:proofErr w:type="gramStart"/>
      <w:r w:rsidR="00804BF1" w:rsidRPr="00804BF1">
        <w:rPr>
          <w:rFonts w:hint="eastAsia"/>
        </w:rPr>
        <w:t>地距投</w:t>
      </w:r>
      <w:proofErr w:type="gramEnd"/>
      <w:r w:rsidR="00804BF1" w:rsidRPr="00804BF1">
        <w:rPr>
          <w:rFonts w:hint="eastAsia"/>
        </w:rPr>
        <w:t>（開）票所距離較遠，恐影響其參與投票之便利性及意願；另為保障原住民選舉人投票秘密及鼓勵參與投票，已辦理集中設置原住民投（開）票所及投（開）</w:t>
      </w:r>
      <w:proofErr w:type="gramStart"/>
      <w:r w:rsidR="00804BF1" w:rsidRPr="00804BF1">
        <w:rPr>
          <w:rFonts w:hint="eastAsia"/>
        </w:rPr>
        <w:t>票所異動</w:t>
      </w:r>
      <w:proofErr w:type="gramEnd"/>
      <w:r w:rsidR="00804BF1" w:rsidRPr="00804BF1">
        <w:rPr>
          <w:rFonts w:hint="eastAsia"/>
        </w:rPr>
        <w:t>徵詢作業等措施，惟部分地方選舉委員會轄區1人投（開）票所占</w:t>
      </w:r>
      <w:proofErr w:type="gramStart"/>
      <w:r w:rsidR="00804BF1" w:rsidRPr="00804BF1">
        <w:rPr>
          <w:rFonts w:hint="eastAsia"/>
        </w:rPr>
        <w:t>比降幅未</w:t>
      </w:r>
      <w:proofErr w:type="gramEnd"/>
      <w:r w:rsidR="00804BF1" w:rsidRPr="00804BF1">
        <w:rPr>
          <w:rFonts w:hint="eastAsia"/>
        </w:rPr>
        <w:t>達績效目標值，或徵詢異動回復率仍低等，</w:t>
      </w:r>
      <w:r w:rsidR="00632235">
        <w:rPr>
          <w:rFonts w:hint="eastAsia"/>
        </w:rPr>
        <w:t>允宜</w:t>
      </w:r>
      <w:proofErr w:type="gramStart"/>
      <w:r w:rsidR="00804BF1" w:rsidRPr="00804BF1">
        <w:rPr>
          <w:rFonts w:hint="eastAsia"/>
        </w:rPr>
        <w:t>研</w:t>
      </w:r>
      <w:proofErr w:type="gramEnd"/>
      <w:r w:rsidR="00804BF1" w:rsidRPr="00804BF1">
        <w:rPr>
          <w:rFonts w:hint="eastAsia"/>
        </w:rPr>
        <w:t>謀改善。</w:t>
      </w:r>
    </w:p>
    <w:p w14:paraId="7E58CF66" w14:textId="77777777" w:rsidR="00953F2A" w:rsidRPr="00566082" w:rsidRDefault="00953F2A" w:rsidP="00200EED">
      <w:pPr>
        <w:overflowPunct w:val="0"/>
        <w:snapToGrid w:val="0"/>
        <w:spacing w:line="400" w:lineRule="exact"/>
        <w:ind w:firstLineChars="177" w:firstLine="425"/>
        <w:jc w:val="both"/>
        <w:rPr>
          <w:rFonts w:ascii="標楷體" w:eastAsia="標楷體" w:hAnsi="標楷體"/>
          <w:color w:val="000000" w:themeColor="text1"/>
          <w:szCs w:val="24"/>
        </w:rPr>
      </w:pPr>
      <w:bookmarkStart w:id="44" w:name="_Hlk201654765"/>
      <w:r w:rsidRPr="00EA56FE">
        <w:rPr>
          <w:rFonts w:ascii="標楷體" w:eastAsia="標楷體" w:hAnsi="標楷體" w:hint="eastAsia"/>
          <w:color w:val="000000" w:themeColor="text1"/>
          <w:szCs w:val="24"/>
        </w:rPr>
        <w:t>中</w:t>
      </w:r>
      <w:r>
        <w:rPr>
          <w:rFonts w:ascii="標楷體" w:eastAsia="標楷體" w:hAnsi="標楷體" w:hint="eastAsia"/>
          <w:color w:val="000000" w:themeColor="text1"/>
          <w:szCs w:val="24"/>
        </w:rPr>
        <w:t>央</w:t>
      </w:r>
      <w:r w:rsidRPr="00EA56FE">
        <w:rPr>
          <w:rFonts w:ascii="標楷體" w:eastAsia="標楷體" w:hAnsi="標楷體" w:hint="eastAsia"/>
          <w:color w:val="000000" w:themeColor="text1"/>
          <w:szCs w:val="24"/>
        </w:rPr>
        <w:t>選</w:t>
      </w:r>
      <w:r>
        <w:rPr>
          <w:rFonts w:ascii="標楷體" w:eastAsia="標楷體" w:hAnsi="標楷體" w:hint="eastAsia"/>
          <w:color w:val="000000" w:themeColor="text1"/>
          <w:szCs w:val="24"/>
        </w:rPr>
        <w:t>舉委員</w:t>
      </w:r>
      <w:r w:rsidRPr="00EA56FE">
        <w:rPr>
          <w:rFonts w:ascii="標楷體" w:eastAsia="標楷體" w:hAnsi="標楷體" w:hint="eastAsia"/>
          <w:color w:val="000000" w:themeColor="text1"/>
          <w:szCs w:val="24"/>
        </w:rPr>
        <w:t>會</w:t>
      </w:r>
      <w:bookmarkEnd w:id="44"/>
      <w:r w:rsidRPr="00EA56FE">
        <w:rPr>
          <w:rFonts w:ascii="標楷體" w:eastAsia="標楷體" w:hAnsi="標楷體" w:hint="eastAsia"/>
          <w:color w:val="000000" w:themeColor="text1"/>
          <w:szCs w:val="24"/>
        </w:rPr>
        <w:t>依公職人員選舉罷免法第57條第1項</w:t>
      </w:r>
      <w:r>
        <w:rPr>
          <w:rFonts w:ascii="標楷體" w:eastAsia="標楷體" w:hAnsi="標楷體" w:hint="eastAsia"/>
          <w:color w:val="000000" w:themeColor="text1"/>
          <w:szCs w:val="24"/>
        </w:rPr>
        <w:t>、第3項</w:t>
      </w:r>
      <w:r w:rsidRPr="00EA56FE">
        <w:rPr>
          <w:rFonts w:ascii="標楷體" w:eastAsia="標楷體" w:hAnsi="標楷體" w:hint="eastAsia"/>
          <w:color w:val="000000" w:themeColor="text1"/>
          <w:szCs w:val="24"/>
        </w:rPr>
        <w:t>、總統副總統選舉罷免法第9條第1項第1款、公民投票法第24條第1項等相關規定，於歷次辦理選舉或公民投票前均督導各地方選</w:t>
      </w:r>
      <w:r>
        <w:rPr>
          <w:rFonts w:ascii="標楷體" w:eastAsia="標楷體" w:hAnsi="標楷體" w:hint="eastAsia"/>
          <w:color w:val="000000" w:themeColor="text1"/>
          <w:szCs w:val="24"/>
        </w:rPr>
        <w:t>舉</w:t>
      </w:r>
      <w:r w:rsidRPr="00EA56FE">
        <w:rPr>
          <w:rFonts w:ascii="標楷體" w:eastAsia="標楷體" w:hAnsi="標楷體" w:hint="eastAsia"/>
          <w:color w:val="000000" w:themeColor="text1"/>
          <w:szCs w:val="24"/>
        </w:rPr>
        <w:t>委</w:t>
      </w:r>
      <w:r>
        <w:rPr>
          <w:rFonts w:ascii="標楷體" w:eastAsia="標楷體" w:hAnsi="標楷體" w:hint="eastAsia"/>
          <w:color w:val="000000" w:themeColor="text1"/>
          <w:szCs w:val="24"/>
        </w:rPr>
        <w:t>員</w:t>
      </w:r>
      <w:r w:rsidRPr="00EA56FE">
        <w:rPr>
          <w:rFonts w:ascii="標楷體" w:eastAsia="標楷體" w:hAnsi="標楷體" w:hint="eastAsia"/>
          <w:color w:val="000000" w:themeColor="text1"/>
          <w:szCs w:val="24"/>
        </w:rPr>
        <w:t>會依據選</w:t>
      </w:r>
      <w:proofErr w:type="gramStart"/>
      <w:r w:rsidRPr="00EA56FE">
        <w:rPr>
          <w:rFonts w:ascii="標楷體" w:eastAsia="標楷體" w:hAnsi="標楷體" w:hint="eastAsia"/>
          <w:color w:val="000000" w:themeColor="text1"/>
          <w:szCs w:val="24"/>
        </w:rPr>
        <w:t>務</w:t>
      </w:r>
      <w:proofErr w:type="gramEnd"/>
      <w:r w:rsidRPr="00EA56FE">
        <w:rPr>
          <w:rFonts w:ascii="標楷體" w:eastAsia="標楷體" w:hAnsi="標楷體" w:hint="eastAsia"/>
          <w:color w:val="000000" w:themeColor="text1"/>
          <w:szCs w:val="24"/>
        </w:rPr>
        <w:t>工作協調會</w:t>
      </w:r>
      <w:r>
        <w:rPr>
          <w:rFonts w:ascii="標楷體" w:eastAsia="標楷體" w:hAnsi="標楷體" w:hint="eastAsia"/>
          <w:color w:val="000000" w:themeColor="text1"/>
          <w:szCs w:val="24"/>
        </w:rPr>
        <w:t>議</w:t>
      </w:r>
      <w:r w:rsidRPr="00EA56FE">
        <w:rPr>
          <w:rFonts w:ascii="標楷體" w:eastAsia="標楷體" w:hAnsi="標楷體" w:hint="eastAsia"/>
          <w:color w:val="000000" w:themeColor="text1"/>
          <w:szCs w:val="24"/>
        </w:rPr>
        <w:t>決議之原則，妥適設置投（開）票所，並函報該會</w:t>
      </w:r>
      <w:r w:rsidRPr="00EA56FE">
        <w:rPr>
          <w:rFonts w:ascii="標楷體" w:eastAsia="標楷體" w:hAnsi="標楷體" w:hint="eastAsia"/>
          <w:color w:val="000000" w:themeColor="text1"/>
          <w:szCs w:val="24"/>
        </w:rPr>
        <w:lastRenderedPageBreak/>
        <w:t>彙整設置數、設置地點、投（開）票所預估選舉人數（投票權人人數）、無障礙設施檢核結果等資料</w:t>
      </w:r>
      <w:r w:rsidRPr="00566082">
        <w:rPr>
          <w:rFonts w:ascii="標楷體" w:eastAsia="標楷體" w:hAnsi="標楷體" w:hint="eastAsia"/>
          <w:color w:val="000000" w:themeColor="text1"/>
          <w:szCs w:val="24"/>
        </w:rPr>
        <w:t>。經查執行情形，核有下列事項：</w:t>
      </w:r>
    </w:p>
    <w:p w14:paraId="4F91A478" w14:textId="3766708E" w:rsidR="00D20A26" w:rsidRDefault="00F227AD" w:rsidP="00545769">
      <w:pPr>
        <w:overflowPunct w:val="0"/>
        <w:snapToGrid w:val="0"/>
        <w:spacing w:line="440" w:lineRule="exact"/>
        <w:ind w:firstLineChars="350" w:firstLine="1120"/>
        <w:jc w:val="both"/>
        <w:rPr>
          <w:rFonts w:ascii="標楷體" w:eastAsia="標楷體" w:hAnsi="標楷體"/>
          <w:color w:val="000000" w:themeColor="text1"/>
          <w:szCs w:val="24"/>
        </w:rPr>
      </w:pPr>
      <w:r w:rsidRPr="00691968">
        <w:rPr>
          <w:rFonts w:ascii="標楷體" w:eastAsia="標楷體" w:hAnsi="標楷體"/>
          <w:noProof/>
          <w:color w:val="000000" w:themeColor="text1"/>
          <w:sz w:val="32"/>
        </w:rPr>
        <mc:AlternateContent>
          <mc:Choice Requires="wps">
            <w:drawing>
              <wp:anchor distT="45720" distB="45720" distL="114300" distR="114300" simplePos="0" relativeHeight="251644928" behindDoc="0" locked="0" layoutInCell="1" allowOverlap="1" wp14:anchorId="2EEB5C67" wp14:editId="09F90B11">
                <wp:simplePos x="0" y="0"/>
                <wp:positionH relativeFrom="margin">
                  <wp:posOffset>2721610</wp:posOffset>
                </wp:positionH>
                <wp:positionV relativeFrom="paragraph">
                  <wp:posOffset>4615815</wp:posOffset>
                </wp:positionV>
                <wp:extent cx="3581400" cy="3749040"/>
                <wp:effectExtent l="0" t="0" r="0" b="381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3749040"/>
                        </a:xfrm>
                        <a:prstGeom prst="rect">
                          <a:avLst/>
                        </a:prstGeom>
                        <a:solidFill>
                          <a:srgbClr val="FFFFFF"/>
                        </a:solidFill>
                        <a:ln w="9525">
                          <a:noFill/>
                          <a:miter lim="800000"/>
                          <a:headEnd/>
                          <a:tailEnd/>
                        </a:ln>
                      </wps:spPr>
                      <wps:txbx>
                        <w:txbxContent>
                          <w:p w14:paraId="4F2C2A58" w14:textId="77777777" w:rsidR="00763E0D" w:rsidRPr="00773FC6" w:rsidRDefault="00763E0D" w:rsidP="00763E0D">
                            <w:pPr>
                              <w:ind w:leftChars="-52" w:left="384" w:hangingChars="212" w:hanging="509"/>
                              <w:jc w:val="center"/>
                              <w:rPr>
                                <w:rFonts w:ascii="標楷體" w:eastAsia="標楷體" w:hAnsi="標楷體"/>
                                <w:b/>
                              </w:rPr>
                            </w:pPr>
                            <w:r w:rsidRPr="00773FC6">
                              <w:rPr>
                                <w:rFonts w:ascii="標楷體" w:eastAsia="標楷體" w:hAnsi="標楷體" w:hint="eastAsia"/>
                                <w:b/>
                              </w:rPr>
                              <w:t>圖</w:t>
                            </w:r>
                            <w:r w:rsidRPr="00773FC6">
                              <w:rPr>
                                <w:rFonts w:ascii="標楷體" w:eastAsia="標楷體" w:hAnsi="標楷體"/>
                                <w:b/>
                              </w:rPr>
                              <w:t>1</w:t>
                            </w:r>
                            <w:r>
                              <w:rPr>
                                <w:rFonts w:ascii="標楷體" w:eastAsia="標楷體" w:hAnsi="標楷體"/>
                                <w:b/>
                              </w:rPr>
                              <w:t>8</w:t>
                            </w:r>
                            <w:r w:rsidRPr="00773FC6">
                              <w:rPr>
                                <w:rFonts w:ascii="標楷體" w:eastAsia="標楷體" w:hAnsi="標楷體" w:hint="eastAsia"/>
                                <w:b/>
                              </w:rPr>
                              <w:t xml:space="preserve">　</w:t>
                            </w:r>
                            <w:r w:rsidRPr="00514DCA">
                              <w:rPr>
                                <w:rFonts w:ascii="標楷體" w:eastAsia="標楷體" w:hAnsi="標楷體" w:hint="eastAsia"/>
                                <w:b/>
                              </w:rPr>
                              <w:t>最小統計區邊界至所屬村里投</w:t>
                            </w:r>
                            <w:r>
                              <w:rPr>
                                <w:rFonts w:ascii="標楷體" w:eastAsia="標楷體" w:hAnsi="標楷體" w:hint="eastAsia"/>
                                <w:b/>
                              </w:rPr>
                              <w:t>（</w:t>
                            </w:r>
                            <w:r w:rsidRPr="00514DCA">
                              <w:rPr>
                                <w:rFonts w:ascii="標楷體" w:eastAsia="標楷體" w:hAnsi="標楷體" w:hint="eastAsia"/>
                                <w:b/>
                              </w:rPr>
                              <w:t>開</w:t>
                            </w:r>
                            <w:r>
                              <w:rPr>
                                <w:rFonts w:ascii="標楷體" w:eastAsia="標楷體" w:hAnsi="標楷體" w:hint="eastAsia"/>
                                <w:b/>
                              </w:rPr>
                              <w:t>）</w:t>
                            </w:r>
                            <w:r w:rsidRPr="00514DCA">
                              <w:rPr>
                                <w:rFonts w:ascii="標楷體" w:eastAsia="標楷體" w:hAnsi="標楷體" w:hint="eastAsia"/>
                                <w:b/>
                              </w:rPr>
                              <w:t>票所點位最</w:t>
                            </w:r>
                            <w:proofErr w:type="gramStart"/>
                            <w:r w:rsidRPr="00514DCA">
                              <w:rPr>
                                <w:rFonts w:ascii="標楷體" w:eastAsia="標楷體" w:hAnsi="標楷體" w:hint="eastAsia"/>
                                <w:b/>
                              </w:rPr>
                              <w:t>短距離</w:t>
                            </w:r>
                            <w:r>
                              <w:rPr>
                                <w:rFonts w:ascii="標楷體" w:eastAsia="標楷體" w:hAnsi="標楷體" w:hint="eastAsia"/>
                                <w:b/>
                              </w:rPr>
                              <w:t>－以</w:t>
                            </w:r>
                            <w:r w:rsidRPr="00773FC6">
                              <w:rPr>
                                <w:rFonts w:ascii="標楷體" w:eastAsia="標楷體" w:hAnsi="標楷體" w:hint="eastAsia"/>
                                <w:b/>
                              </w:rPr>
                              <w:t>新</w:t>
                            </w:r>
                            <w:proofErr w:type="gramEnd"/>
                            <w:r w:rsidRPr="00773FC6">
                              <w:rPr>
                                <w:rFonts w:ascii="標楷體" w:eastAsia="標楷體" w:hAnsi="標楷體" w:hint="eastAsia"/>
                                <w:b/>
                              </w:rPr>
                              <w:t>北市新店區廣興里</w:t>
                            </w:r>
                            <w:r>
                              <w:rPr>
                                <w:rFonts w:ascii="標楷體" w:eastAsia="標楷體" w:hAnsi="標楷體" w:hint="eastAsia"/>
                                <w:b/>
                              </w:rPr>
                              <w:t>為例</w:t>
                            </w:r>
                          </w:p>
                          <w:p w14:paraId="6C616189" w14:textId="77777777" w:rsidR="00763E0D" w:rsidRDefault="00763E0D" w:rsidP="00763E0D">
                            <w:r w:rsidRPr="00EB31CD">
                              <w:rPr>
                                <w:noProof/>
                              </w:rPr>
                              <w:drawing>
                                <wp:inline distT="0" distB="0" distL="0" distR="0" wp14:anchorId="4965D9B1" wp14:editId="635D4985">
                                  <wp:extent cx="3389630" cy="2788495"/>
                                  <wp:effectExtent l="0" t="0" r="1270" b="0"/>
                                  <wp:docPr id="2008327081" name="圖片 200832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89630" cy="2788495"/>
                                          </a:xfrm>
                                          <a:prstGeom prst="rect">
                                            <a:avLst/>
                                          </a:prstGeom>
                                          <a:noFill/>
                                          <a:ln>
                                            <a:noFill/>
                                          </a:ln>
                                        </pic:spPr>
                                      </pic:pic>
                                    </a:graphicData>
                                  </a:graphic>
                                </wp:inline>
                              </w:drawing>
                            </w:r>
                          </w:p>
                          <w:p w14:paraId="6EE7B05D" w14:textId="77777777" w:rsidR="00763E0D" w:rsidRPr="00773FC6" w:rsidRDefault="00763E0D" w:rsidP="00763E0D">
                            <w:pPr>
                              <w:rPr>
                                <w:rFonts w:ascii="標楷體" w:eastAsia="標楷體" w:hAnsi="標楷體"/>
                                <w:sz w:val="18"/>
                              </w:rPr>
                            </w:pPr>
                            <w:r w:rsidRPr="00773FC6">
                              <w:rPr>
                                <w:rFonts w:ascii="標楷體" w:eastAsia="標楷體" w:hAnsi="標楷體" w:hint="eastAsia"/>
                                <w:sz w:val="18"/>
                              </w:rPr>
                              <w:t>資料來源</w:t>
                            </w:r>
                            <w:r>
                              <w:rPr>
                                <w:rFonts w:ascii="標楷體" w:eastAsia="標楷體" w:hAnsi="標楷體" w:hint="eastAsia"/>
                                <w:sz w:val="18"/>
                              </w:rPr>
                              <w:t>：本部自行繪製</w:t>
                            </w:r>
                            <w:r>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EB5C67" id="文字方塊 20" o:spid="_x0000_s1161" type="#_x0000_t202" style="position:absolute;left:0;text-align:left;margin-left:214.3pt;margin-top:363.45pt;width:282pt;height:295.2pt;z-index:251644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" stroked="f">
                <v:textbox>
                  <w:txbxContent>
                    <w:p w14:paraId="4F2C2A58" w14:textId="77777777" w:rsidR="00763E0D" w:rsidRPr="00773FC6" w:rsidRDefault="00763E0D" w:rsidP="00763E0D">
                      <w:pPr>
                        <w:ind w:leftChars="-52" w:left="384" w:hangingChars="212" w:hanging="509"/>
                        <w:jc w:val="center"/>
                        <w:rPr>
                          <w:rFonts w:ascii="標楷體" w:eastAsia="標楷體" w:hAnsi="標楷體"/>
                          <w:b/>
                        </w:rPr>
                      </w:pPr>
                      <w:r w:rsidRPr="00773FC6">
                        <w:rPr>
                          <w:rFonts w:ascii="標楷體" w:eastAsia="標楷體" w:hAnsi="標楷體" w:hint="eastAsia"/>
                          <w:b/>
                        </w:rPr>
                        <w:t>圖</w:t>
                      </w:r>
                      <w:r w:rsidRPr="00773FC6">
                        <w:rPr>
                          <w:rFonts w:ascii="標楷體" w:eastAsia="標楷體" w:hAnsi="標楷體"/>
                          <w:b/>
                        </w:rPr>
                        <w:t>1</w:t>
                      </w:r>
                      <w:r>
                        <w:rPr>
                          <w:rFonts w:ascii="標楷體" w:eastAsia="標楷體" w:hAnsi="標楷體"/>
                          <w:b/>
                        </w:rPr>
                        <w:t>8</w:t>
                      </w:r>
                      <w:r w:rsidRPr="00773FC6">
                        <w:rPr>
                          <w:rFonts w:ascii="標楷體" w:eastAsia="標楷體" w:hAnsi="標楷體" w:hint="eastAsia"/>
                          <w:b/>
                        </w:rPr>
                        <w:t xml:space="preserve">　</w:t>
                      </w:r>
                      <w:r w:rsidRPr="00514DCA">
                        <w:rPr>
                          <w:rFonts w:ascii="標楷體" w:eastAsia="標楷體" w:hAnsi="標楷體" w:hint="eastAsia"/>
                          <w:b/>
                        </w:rPr>
                        <w:t>最小統計區邊界至所屬村里投</w:t>
                      </w:r>
                      <w:r>
                        <w:rPr>
                          <w:rFonts w:ascii="標楷體" w:eastAsia="標楷體" w:hAnsi="標楷體" w:hint="eastAsia"/>
                          <w:b/>
                        </w:rPr>
                        <w:t>（</w:t>
                      </w:r>
                      <w:r w:rsidRPr="00514DCA">
                        <w:rPr>
                          <w:rFonts w:ascii="標楷體" w:eastAsia="標楷體" w:hAnsi="標楷體" w:hint="eastAsia"/>
                          <w:b/>
                        </w:rPr>
                        <w:t>開</w:t>
                      </w:r>
                      <w:r>
                        <w:rPr>
                          <w:rFonts w:ascii="標楷體" w:eastAsia="標楷體" w:hAnsi="標楷體" w:hint="eastAsia"/>
                          <w:b/>
                        </w:rPr>
                        <w:t>）</w:t>
                      </w:r>
                      <w:r w:rsidRPr="00514DCA">
                        <w:rPr>
                          <w:rFonts w:ascii="標楷體" w:eastAsia="標楷體" w:hAnsi="標楷體" w:hint="eastAsia"/>
                          <w:b/>
                        </w:rPr>
                        <w:t>票所點位最</w:t>
                      </w:r>
                      <w:proofErr w:type="gramStart"/>
                      <w:r w:rsidRPr="00514DCA">
                        <w:rPr>
                          <w:rFonts w:ascii="標楷體" w:eastAsia="標楷體" w:hAnsi="標楷體" w:hint="eastAsia"/>
                          <w:b/>
                        </w:rPr>
                        <w:t>短距離</w:t>
                      </w:r>
                      <w:r>
                        <w:rPr>
                          <w:rFonts w:ascii="標楷體" w:eastAsia="標楷體" w:hAnsi="標楷體" w:hint="eastAsia"/>
                          <w:b/>
                        </w:rPr>
                        <w:t>－以</w:t>
                      </w:r>
                      <w:r w:rsidRPr="00773FC6">
                        <w:rPr>
                          <w:rFonts w:ascii="標楷體" w:eastAsia="標楷體" w:hAnsi="標楷體" w:hint="eastAsia"/>
                          <w:b/>
                        </w:rPr>
                        <w:t>新</w:t>
                      </w:r>
                      <w:proofErr w:type="gramEnd"/>
                      <w:r w:rsidRPr="00773FC6">
                        <w:rPr>
                          <w:rFonts w:ascii="標楷體" w:eastAsia="標楷體" w:hAnsi="標楷體" w:hint="eastAsia"/>
                          <w:b/>
                        </w:rPr>
                        <w:t>北市新店區廣興里</w:t>
                      </w:r>
                      <w:r>
                        <w:rPr>
                          <w:rFonts w:ascii="標楷體" w:eastAsia="標楷體" w:hAnsi="標楷體" w:hint="eastAsia"/>
                          <w:b/>
                        </w:rPr>
                        <w:t>為例</w:t>
                      </w:r>
                    </w:p>
                    <w:p w14:paraId="6C616189" w14:textId="77777777" w:rsidR="00763E0D" w:rsidRDefault="00763E0D" w:rsidP="00763E0D">
                      <w:r w:rsidRPr="00EB31CD">
                        <w:rPr>
                          <w:noProof/>
                        </w:rPr>
                        <w:drawing>
                          <wp:inline distT="0" distB="0" distL="0" distR="0" wp14:anchorId="4965D9B1" wp14:editId="635D4985">
                            <wp:extent cx="3389630" cy="2788495"/>
                            <wp:effectExtent l="0" t="0" r="1270" b="0"/>
                            <wp:docPr id="2008327081" name="圖片 200832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89630" cy="2788495"/>
                                    </a:xfrm>
                                    <a:prstGeom prst="rect">
                                      <a:avLst/>
                                    </a:prstGeom>
                                    <a:noFill/>
                                    <a:ln>
                                      <a:noFill/>
                                    </a:ln>
                                  </pic:spPr>
                                </pic:pic>
                              </a:graphicData>
                            </a:graphic>
                          </wp:inline>
                        </w:drawing>
                      </w:r>
                    </w:p>
                    <w:p w14:paraId="6EE7B05D" w14:textId="77777777" w:rsidR="00763E0D" w:rsidRPr="00773FC6" w:rsidRDefault="00763E0D" w:rsidP="00763E0D">
                      <w:pPr>
                        <w:rPr>
                          <w:rFonts w:ascii="標楷體" w:eastAsia="標楷體" w:hAnsi="標楷體"/>
                          <w:sz w:val="18"/>
                        </w:rPr>
                      </w:pPr>
                      <w:r w:rsidRPr="00773FC6">
                        <w:rPr>
                          <w:rFonts w:ascii="標楷體" w:eastAsia="標楷體" w:hAnsi="標楷體" w:hint="eastAsia"/>
                          <w:sz w:val="18"/>
                        </w:rPr>
                        <w:t>資料來源</w:t>
                      </w:r>
                      <w:r>
                        <w:rPr>
                          <w:rFonts w:ascii="標楷體" w:eastAsia="標楷體" w:hAnsi="標楷體" w:hint="eastAsia"/>
                          <w:sz w:val="18"/>
                        </w:rPr>
                        <w:t>：本部自行繪製</w:t>
                      </w:r>
                      <w:r>
                        <w:rPr>
                          <w:rFonts w:ascii="標楷體" w:eastAsia="標楷體" w:hAnsi="標楷體"/>
                          <w:sz w:val="18"/>
                        </w:rPr>
                        <w:t>。</w:t>
                      </w:r>
                    </w:p>
                  </w:txbxContent>
                </v:textbox>
                <w10:wrap type="square" anchorx="margin"/>
              </v:shape>
            </w:pict>
          </mc:Fallback>
        </mc:AlternateContent>
      </w:r>
      <w:r w:rsidR="00953F2A" w:rsidRPr="00566082">
        <w:rPr>
          <w:rFonts w:ascii="標楷體" w:eastAsia="標楷體" w:hAnsi="標楷體"/>
          <w:b/>
          <w:color w:val="000000" w:themeColor="text1"/>
          <w:szCs w:val="24"/>
        </w:rPr>
        <w:t>1.</w:t>
      </w:r>
      <w:r w:rsidR="00953F2A" w:rsidRPr="00566082">
        <w:rPr>
          <w:rFonts w:ascii="標楷體" w:eastAsia="標楷體" w:hAnsi="標楷體" w:hint="eastAsia"/>
          <w:b/>
          <w:color w:val="000000" w:themeColor="text1"/>
          <w:szCs w:val="24"/>
        </w:rPr>
        <w:t xml:space="preserve">　</w:t>
      </w:r>
      <w:r w:rsidR="00953F2A" w:rsidRPr="00BE4601">
        <w:rPr>
          <w:rFonts w:ascii="標楷體" w:eastAsia="標楷體" w:hAnsi="標楷體" w:hint="eastAsia"/>
          <w:b/>
          <w:color w:val="000000" w:themeColor="text1"/>
          <w:szCs w:val="24"/>
        </w:rPr>
        <w:t>部分地區高齡者戶籍</w:t>
      </w:r>
      <w:proofErr w:type="gramStart"/>
      <w:r w:rsidR="00953F2A" w:rsidRPr="00BE4601">
        <w:rPr>
          <w:rFonts w:ascii="標楷體" w:eastAsia="標楷體" w:hAnsi="標楷體" w:hint="eastAsia"/>
          <w:b/>
          <w:color w:val="000000" w:themeColor="text1"/>
          <w:szCs w:val="24"/>
        </w:rPr>
        <w:t>地距投</w:t>
      </w:r>
      <w:proofErr w:type="gramEnd"/>
      <w:r w:rsidR="00953F2A" w:rsidRPr="00BE4601">
        <w:rPr>
          <w:rFonts w:ascii="標楷體" w:eastAsia="標楷體" w:hAnsi="標楷體" w:hint="eastAsia"/>
          <w:b/>
          <w:color w:val="000000" w:themeColor="text1"/>
          <w:szCs w:val="24"/>
        </w:rPr>
        <w:t>（開）</w:t>
      </w:r>
      <w:r w:rsidR="00953F2A">
        <w:rPr>
          <w:rFonts w:ascii="標楷體" w:eastAsia="標楷體" w:hAnsi="標楷體" w:hint="eastAsia"/>
          <w:b/>
          <w:color w:val="000000" w:themeColor="text1"/>
          <w:szCs w:val="24"/>
        </w:rPr>
        <w:t>票</w:t>
      </w:r>
      <w:r w:rsidR="00953F2A" w:rsidRPr="00BE4601">
        <w:rPr>
          <w:rFonts w:ascii="標楷體" w:eastAsia="標楷體" w:hAnsi="標楷體" w:hint="eastAsia"/>
          <w:b/>
          <w:color w:val="000000" w:themeColor="text1"/>
          <w:szCs w:val="24"/>
        </w:rPr>
        <w:t>所距離較遠，恐影響其參與投票之便利性及意願</w:t>
      </w:r>
      <w:r w:rsidR="00953F2A" w:rsidRPr="00C44F45">
        <w:rPr>
          <w:rFonts w:ascii="標楷體" w:eastAsia="標楷體" w:hAnsi="標楷體" w:hint="eastAsia"/>
          <w:b/>
          <w:color w:val="000000" w:themeColor="text1"/>
          <w:szCs w:val="24"/>
        </w:rPr>
        <w:t>，</w:t>
      </w:r>
      <w:proofErr w:type="gramStart"/>
      <w:r w:rsidR="00953F2A" w:rsidRPr="00C44F45">
        <w:rPr>
          <w:rFonts w:ascii="標楷體" w:eastAsia="標楷體" w:hAnsi="標楷體" w:hint="eastAsia"/>
          <w:b/>
          <w:color w:val="000000" w:themeColor="text1"/>
          <w:szCs w:val="24"/>
        </w:rPr>
        <w:t>允宜審酌</w:t>
      </w:r>
      <w:proofErr w:type="gramEnd"/>
      <w:r w:rsidR="00953F2A" w:rsidRPr="00C44F45">
        <w:rPr>
          <w:rFonts w:ascii="標楷體" w:eastAsia="標楷體" w:hAnsi="標楷體" w:hint="eastAsia"/>
          <w:b/>
          <w:color w:val="000000" w:themeColor="text1"/>
          <w:szCs w:val="24"/>
        </w:rPr>
        <w:t>我國人口高齡化趨勢，本</w:t>
      </w:r>
      <w:proofErr w:type="gramStart"/>
      <w:r w:rsidR="00953F2A" w:rsidRPr="00C44F45">
        <w:rPr>
          <w:rFonts w:ascii="標楷體" w:eastAsia="標楷體" w:hAnsi="標楷體" w:hint="eastAsia"/>
          <w:b/>
          <w:color w:val="000000" w:themeColor="text1"/>
          <w:szCs w:val="24"/>
        </w:rPr>
        <w:t>於循證</w:t>
      </w:r>
      <w:proofErr w:type="gramEnd"/>
      <w:r w:rsidR="00953F2A" w:rsidRPr="00C44F45">
        <w:rPr>
          <w:rFonts w:ascii="標楷體" w:eastAsia="標楷體" w:hAnsi="標楷體" w:hint="eastAsia"/>
          <w:b/>
          <w:color w:val="000000" w:themeColor="text1"/>
          <w:szCs w:val="24"/>
        </w:rPr>
        <w:t>決策模式，督導各地方選</w:t>
      </w:r>
      <w:r w:rsidR="00953F2A">
        <w:rPr>
          <w:rFonts w:ascii="標楷體" w:eastAsia="標楷體" w:hAnsi="標楷體" w:hint="eastAsia"/>
          <w:b/>
          <w:color w:val="000000" w:themeColor="text1"/>
          <w:szCs w:val="24"/>
        </w:rPr>
        <w:t>舉</w:t>
      </w:r>
      <w:r w:rsidR="00953F2A" w:rsidRPr="00C44F45">
        <w:rPr>
          <w:rFonts w:ascii="標楷體" w:eastAsia="標楷體" w:hAnsi="標楷體" w:hint="eastAsia"/>
          <w:b/>
          <w:color w:val="000000" w:themeColor="text1"/>
          <w:szCs w:val="24"/>
        </w:rPr>
        <w:t>委</w:t>
      </w:r>
      <w:r w:rsidR="00953F2A">
        <w:rPr>
          <w:rFonts w:ascii="標楷體" w:eastAsia="標楷體" w:hAnsi="標楷體" w:hint="eastAsia"/>
          <w:b/>
          <w:color w:val="000000" w:themeColor="text1"/>
          <w:szCs w:val="24"/>
        </w:rPr>
        <w:t>員</w:t>
      </w:r>
      <w:r w:rsidR="00953F2A" w:rsidRPr="00C44F45">
        <w:rPr>
          <w:rFonts w:ascii="標楷體" w:eastAsia="標楷體" w:hAnsi="標楷體" w:hint="eastAsia"/>
          <w:b/>
          <w:color w:val="000000" w:themeColor="text1"/>
          <w:szCs w:val="24"/>
        </w:rPr>
        <w:t>會持續優化友善高齡者選舉投票服務工作，以維高齡者投票權益</w:t>
      </w:r>
      <w:r w:rsidR="00953F2A" w:rsidRPr="00566082">
        <w:rPr>
          <w:rFonts w:ascii="標楷體" w:eastAsia="標楷體" w:hAnsi="標楷體" w:hint="eastAsia"/>
          <w:b/>
          <w:color w:val="000000" w:themeColor="text1"/>
          <w:szCs w:val="24"/>
        </w:rPr>
        <w:t>：</w:t>
      </w:r>
      <w:r w:rsidR="00953F2A" w:rsidRPr="00BE4601">
        <w:rPr>
          <w:rFonts w:ascii="標楷體" w:eastAsia="標楷體" w:hAnsi="標楷體" w:hint="eastAsia"/>
          <w:color w:val="000000" w:themeColor="text1"/>
          <w:szCs w:val="24"/>
        </w:rPr>
        <w:t>中</w:t>
      </w:r>
      <w:r w:rsidR="00953F2A">
        <w:rPr>
          <w:rFonts w:ascii="標楷體" w:eastAsia="標楷體" w:hAnsi="標楷體" w:hint="eastAsia"/>
          <w:color w:val="000000" w:themeColor="text1"/>
          <w:szCs w:val="24"/>
        </w:rPr>
        <w:t>央</w:t>
      </w:r>
      <w:r w:rsidR="00953F2A" w:rsidRPr="00BE4601">
        <w:rPr>
          <w:rFonts w:ascii="標楷體" w:eastAsia="標楷體" w:hAnsi="標楷體" w:hint="eastAsia"/>
          <w:color w:val="000000" w:themeColor="text1"/>
          <w:szCs w:val="24"/>
        </w:rPr>
        <w:t>選</w:t>
      </w:r>
      <w:r w:rsidR="00953F2A">
        <w:rPr>
          <w:rFonts w:ascii="標楷體" w:eastAsia="標楷體" w:hAnsi="標楷體" w:hint="eastAsia"/>
          <w:color w:val="000000" w:themeColor="text1"/>
          <w:szCs w:val="24"/>
        </w:rPr>
        <w:t>舉委員</w:t>
      </w:r>
      <w:r w:rsidR="00953F2A" w:rsidRPr="00BE4601">
        <w:rPr>
          <w:rFonts w:ascii="標楷體" w:eastAsia="標楷體" w:hAnsi="標楷體" w:hint="eastAsia"/>
          <w:color w:val="000000" w:themeColor="text1"/>
          <w:szCs w:val="24"/>
        </w:rPr>
        <w:t>會為妥適分散人流，強化投票效率，於108年將投（開）票所選舉人數（投票權人人數）配置標準由原則每1,500人1所，調降為原則每1,200人1所</w:t>
      </w:r>
      <w:r w:rsidR="00953F2A">
        <w:rPr>
          <w:rFonts w:ascii="標楷體" w:eastAsia="標楷體" w:hAnsi="標楷體" w:hint="eastAsia"/>
          <w:color w:val="000000" w:themeColor="text1"/>
          <w:szCs w:val="24"/>
        </w:rPr>
        <w:t>，</w:t>
      </w:r>
      <w:r w:rsidR="00953F2A" w:rsidRPr="00BE4601">
        <w:rPr>
          <w:rFonts w:ascii="標楷體" w:eastAsia="標楷體" w:hAnsi="標楷體" w:hint="eastAsia"/>
          <w:color w:val="000000" w:themeColor="text1"/>
          <w:szCs w:val="24"/>
        </w:rPr>
        <w:t>其後各次選舉全國投（開）票所數由107年之15,886所逐年增設至113年之17,795所，有助於分散人流，提升</w:t>
      </w:r>
      <w:proofErr w:type="gramStart"/>
      <w:r w:rsidR="00953F2A" w:rsidRPr="00BE4601">
        <w:rPr>
          <w:rFonts w:ascii="標楷體" w:eastAsia="標楷體" w:hAnsi="標楷體" w:hint="eastAsia"/>
          <w:color w:val="000000" w:themeColor="text1"/>
          <w:szCs w:val="24"/>
        </w:rPr>
        <w:t>民眾至投</w:t>
      </w:r>
      <w:proofErr w:type="gramEnd"/>
      <w:r w:rsidR="00953F2A" w:rsidRPr="00BE4601">
        <w:rPr>
          <w:rFonts w:ascii="標楷體" w:eastAsia="標楷體" w:hAnsi="標楷體" w:hint="eastAsia"/>
          <w:color w:val="000000" w:themeColor="text1"/>
          <w:szCs w:val="24"/>
        </w:rPr>
        <w:t>（開）票所之便利性，優化投票體驗</w:t>
      </w:r>
      <w:r w:rsidR="00953F2A">
        <w:rPr>
          <w:rFonts w:ascii="標楷體" w:eastAsia="標楷體" w:hAnsi="標楷體" w:hint="eastAsia"/>
          <w:color w:val="000000" w:themeColor="text1"/>
          <w:szCs w:val="24"/>
        </w:rPr>
        <w:t>。又該</w:t>
      </w:r>
      <w:r w:rsidR="00953F2A" w:rsidRPr="00953B2E">
        <w:rPr>
          <w:rFonts w:ascii="標楷體" w:eastAsia="標楷體" w:hAnsi="標楷體" w:hint="eastAsia"/>
          <w:color w:val="000000" w:themeColor="text1"/>
          <w:szCs w:val="24"/>
        </w:rPr>
        <w:t>會因應高齡化社會趨勢，為瞭解65歲以上之高齡者參與投票過程遭遇困難與待協助事項，</w:t>
      </w:r>
      <w:proofErr w:type="gramStart"/>
      <w:r w:rsidR="00953F2A" w:rsidRPr="00953B2E">
        <w:rPr>
          <w:rFonts w:ascii="標楷體" w:eastAsia="標楷體" w:hAnsi="標楷體" w:hint="eastAsia"/>
          <w:color w:val="000000" w:themeColor="text1"/>
          <w:szCs w:val="24"/>
        </w:rPr>
        <w:t>俾研</w:t>
      </w:r>
      <w:proofErr w:type="gramEnd"/>
      <w:r w:rsidR="00953F2A" w:rsidRPr="00953B2E">
        <w:rPr>
          <w:rFonts w:ascii="標楷體" w:eastAsia="標楷體" w:hAnsi="標楷體" w:hint="eastAsia"/>
          <w:color w:val="000000" w:themeColor="text1"/>
          <w:szCs w:val="24"/>
        </w:rPr>
        <w:t>擬對應措施以保障高齡者政治參與，於106年辦理「高齡化社會之選舉投票服務措施」委託研究，報告指出高齡者前往投（開）票所之主要交通方式為「步行」（占54.58％，於9種調查之交通方式中居冠，遠高於排序第2之「騎摩托車」19.58％），前往投（開）票所交通距離對自主行動能力較差或身心障礙之高齡者造成明顯阻礙，提供高齡者交通協助【如免費載送高齡者至投（開）票所，投票日增加復康巴士服務車數，以降低預約困難等】，係受訪者最迫切期待之改善面向之</w:t>
      </w:r>
      <w:proofErr w:type="gramStart"/>
      <w:r w:rsidR="00953F2A" w:rsidRPr="00953B2E">
        <w:rPr>
          <w:rFonts w:ascii="標楷體" w:eastAsia="標楷體" w:hAnsi="標楷體" w:hint="eastAsia"/>
          <w:color w:val="000000" w:themeColor="text1"/>
          <w:szCs w:val="24"/>
        </w:rPr>
        <w:t>一</w:t>
      </w:r>
      <w:proofErr w:type="gramEnd"/>
      <w:r w:rsidR="00953F2A" w:rsidRPr="00953B2E">
        <w:rPr>
          <w:rFonts w:ascii="標楷體" w:eastAsia="標楷體" w:hAnsi="標楷體" w:hint="eastAsia"/>
          <w:color w:val="000000" w:themeColor="text1"/>
          <w:szCs w:val="24"/>
        </w:rPr>
        <w:t>。經查，中</w:t>
      </w:r>
      <w:r w:rsidR="00953F2A">
        <w:rPr>
          <w:rFonts w:ascii="標楷體" w:eastAsia="標楷體" w:hAnsi="標楷體" w:hint="eastAsia"/>
          <w:color w:val="000000" w:themeColor="text1"/>
          <w:szCs w:val="24"/>
        </w:rPr>
        <w:t>央</w:t>
      </w:r>
      <w:r w:rsidR="00953F2A" w:rsidRPr="00953B2E">
        <w:rPr>
          <w:rFonts w:ascii="標楷體" w:eastAsia="標楷體" w:hAnsi="標楷體" w:hint="eastAsia"/>
          <w:color w:val="000000" w:themeColor="text1"/>
          <w:szCs w:val="24"/>
        </w:rPr>
        <w:t>選</w:t>
      </w:r>
      <w:r w:rsidR="00953F2A">
        <w:rPr>
          <w:rFonts w:ascii="標楷體" w:eastAsia="標楷體" w:hAnsi="標楷體" w:hint="eastAsia"/>
          <w:color w:val="000000" w:themeColor="text1"/>
          <w:szCs w:val="24"/>
        </w:rPr>
        <w:t>舉委員</w:t>
      </w:r>
      <w:r w:rsidR="00953F2A" w:rsidRPr="00953B2E">
        <w:rPr>
          <w:rFonts w:ascii="標楷體" w:eastAsia="標楷體" w:hAnsi="標楷體" w:hint="eastAsia"/>
          <w:color w:val="000000" w:themeColor="text1"/>
          <w:szCs w:val="24"/>
        </w:rPr>
        <w:t>會</w:t>
      </w:r>
      <w:proofErr w:type="gramStart"/>
      <w:r w:rsidR="00953F2A" w:rsidRPr="00953B2E">
        <w:rPr>
          <w:rFonts w:ascii="標楷體" w:eastAsia="標楷體" w:hAnsi="標楷體" w:hint="eastAsia"/>
          <w:color w:val="000000" w:themeColor="text1"/>
          <w:szCs w:val="24"/>
        </w:rPr>
        <w:t>113</w:t>
      </w:r>
      <w:proofErr w:type="gramEnd"/>
      <w:r w:rsidR="00953F2A" w:rsidRPr="00953B2E">
        <w:rPr>
          <w:rFonts w:ascii="標楷體" w:eastAsia="標楷體" w:hAnsi="標楷體" w:hint="eastAsia"/>
          <w:color w:val="000000" w:themeColor="text1"/>
          <w:szCs w:val="24"/>
        </w:rPr>
        <w:t>年度辦理第16任總統副總統及第11屆立法委員選舉督導各地方選</w:t>
      </w:r>
      <w:r w:rsidR="00953F2A">
        <w:rPr>
          <w:rFonts w:ascii="標楷體" w:eastAsia="標楷體" w:hAnsi="標楷體" w:hint="eastAsia"/>
          <w:color w:val="000000" w:themeColor="text1"/>
          <w:szCs w:val="24"/>
        </w:rPr>
        <w:t>舉</w:t>
      </w:r>
      <w:r w:rsidR="00953F2A" w:rsidRPr="00953B2E">
        <w:rPr>
          <w:rFonts w:ascii="標楷體" w:eastAsia="標楷體" w:hAnsi="標楷體" w:hint="eastAsia"/>
          <w:color w:val="000000" w:themeColor="text1"/>
          <w:szCs w:val="24"/>
        </w:rPr>
        <w:t>委</w:t>
      </w:r>
      <w:r w:rsidR="00953F2A">
        <w:rPr>
          <w:rFonts w:ascii="標楷體" w:eastAsia="標楷體" w:hAnsi="標楷體" w:hint="eastAsia"/>
          <w:color w:val="000000" w:themeColor="text1"/>
          <w:szCs w:val="24"/>
        </w:rPr>
        <w:t>員</w:t>
      </w:r>
      <w:r w:rsidR="00953F2A" w:rsidRPr="00953B2E">
        <w:rPr>
          <w:rFonts w:ascii="標楷體" w:eastAsia="標楷體" w:hAnsi="標楷體" w:hint="eastAsia"/>
          <w:color w:val="000000" w:themeColor="text1"/>
          <w:szCs w:val="24"/>
        </w:rPr>
        <w:t>會設置全國投（開）票所情形，經本部運用python之</w:t>
      </w:r>
      <w:proofErr w:type="spellStart"/>
      <w:r w:rsidR="00953F2A" w:rsidRPr="00953B2E">
        <w:rPr>
          <w:rFonts w:ascii="標楷體" w:eastAsia="標楷體" w:hAnsi="標楷體" w:hint="eastAsia"/>
          <w:color w:val="000000" w:themeColor="text1"/>
          <w:szCs w:val="24"/>
        </w:rPr>
        <w:t>geopandas</w:t>
      </w:r>
      <w:proofErr w:type="spellEnd"/>
      <w:r w:rsidR="00953F2A" w:rsidRPr="00953B2E">
        <w:rPr>
          <w:rFonts w:ascii="標楷體" w:eastAsia="標楷體" w:hAnsi="標楷體" w:hint="eastAsia"/>
          <w:color w:val="000000" w:themeColor="text1"/>
          <w:szCs w:val="24"/>
        </w:rPr>
        <w:t>套件，</w:t>
      </w:r>
      <w:proofErr w:type="gramStart"/>
      <w:r w:rsidR="00953F2A" w:rsidRPr="00953B2E">
        <w:rPr>
          <w:rFonts w:ascii="標楷體" w:eastAsia="標楷體" w:hAnsi="標楷體" w:hint="eastAsia"/>
          <w:color w:val="000000" w:themeColor="text1"/>
          <w:szCs w:val="24"/>
        </w:rPr>
        <w:t>套疊</w:t>
      </w:r>
      <w:r w:rsidR="00953F2A">
        <w:rPr>
          <w:rFonts w:ascii="標楷體" w:eastAsia="標楷體" w:hAnsi="標楷體" w:hint="eastAsia"/>
          <w:color w:val="000000" w:themeColor="text1"/>
          <w:szCs w:val="24"/>
        </w:rPr>
        <w:t>該</w:t>
      </w:r>
      <w:proofErr w:type="gramEnd"/>
      <w:r w:rsidR="00953F2A" w:rsidRPr="00953B2E">
        <w:rPr>
          <w:rFonts w:ascii="標楷體" w:eastAsia="標楷體" w:hAnsi="標楷體" w:hint="eastAsia"/>
          <w:color w:val="000000" w:themeColor="text1"/>
          <w:szCs w:val="24"/>
        </w:rPr>
        <w:t>會提供17,795個投（開）票所清冊轉列之座標點位，及內政部社會經濟資料服務平</w:t>
      </w:r>
      <w:proofErr w:type="gramStart"/>
      <w:r w:rsidR="00953F2A" w:rsidRPr="00953B2E">
        <w:rPr>
          <w:rFonts w:ascii="標楷體" w:eastAsia="標楷體" w:hAnsi="標楷體" w:hint="eastAsia"/>
          <w:color w:val="000000" w:themeColor="text1"/>
          <w:szCs w:val="24"/>
        </w:rPr>
        <w:t>臺</w:t>
      </w:r>
      <w:proofErr w:type="gramEnd"/>
      <w:r w:rsidR="00953F2A" w:rsidRPr="00953B2E">
        <w:rPr>
          <w:rFonts w:ascii="標楷體" w:eastAsia="標楷體" w:hAnsi="標楷體" w:hint="eastAsia"/>
          <w:color w:val="000000" w:themeColor="text1"/>
          <w:szCs w:val="24"/>
        </w:rPr>
        <w:t>提供之各市縣112年12月最小統計區（含年齡人口統計數據）等</w:t>
      </w:r>
      <w:proofErr w:type="gramStart"/>
      <w:r w:rsidR="00953F2A" w:rsidRPr="00953B2E">
        <w:rPr>
          <w:rFonts w:ascii="標楷體" w:eastAsia="標楷體" w:hAnsi="標楷體" w:hint="eastAsia"/>
          <w:color w:val="000000" w:themeColor="text1"/>
          <w:szCs w:val="24"/>
        </w:rPr>
        <w:t>地理圖資</w:t>
      </w:r>
      <w:proofErr w:type="gramEnd"/>
      <w:r w:rsidR="00953F2A" w:rsidRPr="00953B2E">
        <w:rPr>
          <w:rFonts w:ascii="標楷體" w:eastAsia="標楷體" w:hAnsi="標楷體" w:hint="eastAsia"/>
          <w:color w:val="000000" w:themeColor="text1"/>
          <w:szCs w:val="24"/>
        </w:rPr>
        <w:t>，計算臺北市等19個市縣最小統計區邊界至所屬村里投（開）票所點位之最短距離【下稱距投（開）票所最短距離】，經細部分析各最小統計區各級年齡人口分布情形，有8萬餘名之65歲以上高齡</w:t>
      </w:r>
      <w:proofErr w:type="gramStart"/>
      <w:r w:rsidR="00953F2A" w:rsidRPr="00953B2E">
        <w:rPr>
          <w:rFonts w:ascii="標楷體" w:eastAsia="標楷體" w:hAnsi="標楷體" w:hint="eastAsia"/>
          <w:color w:val="000000" w:themeColor="text1"/>
          <w:szCs w:val="24"/>
        </w:rPr>
        <w:t>者距投</w:t>
      </w:r>
      <w:proofErr w:type="gramEnd"/>
      <w:r w:rsidR="00953F2A" w:rsidRPr="00953B2E">
        <w:rPr>
          <w:rFonts w:ascii="標楷體" w:eastAsia="標楷體" w:hAnsi="標楷體" w:hint="eastAsia"/>
          <w:color w:val="000000" w:themeColor="text1"/>
          <w:szCs w:val="24"/>
        </w:rPr>
        <w:t>（開）票所最短距離達1公里以上，其中甚至有1</w:t>
      </w:r>
      <w:proofErr w:type="gramStart"/>
      <w:r w:rsidR="00953F2A" w:rsidRPr="00953B2E">
        <w:rPr>
          <w:rFonts w:ascii="標楷體" w:eastAsia="標楷體" w:hAnsi="標楷體" w:hint="eastAsia"/>
          <w:color w:val="000000" w:themeColor="text1"/>
          <w:szCs w:val="24"/>
        </w:rPr>
        <w:t>萬餘名達2公里</w:t>
      </w:r>
      <w:proofErr w:type="gramEnd"/>
      <w:r w:rsidR="00953F2A" w:rsidRPr="00953B2E">
        <w:rPr>
          <w:rFonts w:ascii="標楷體" w:eastAsia="標楷體" w:hAnsi="標楷體" w:hint="eastAsia"/>
          <w:color w:val="000000" w:themeColor="text1"/>
          <w:szCs w:val="24"/>
        </w:rPr>
        <w:t>以上（</w:t>
      </w:r>
      <w:r w:rsidR="00953F2A" w:rsidRPr="00590F49">
        <w:rPr>
          <w:rFonts w:ascii="標楷體" w:eastAsia="標楷體" w:hAnsi="標楷體" w:hint="eastAsia"/>
          <w:color w:val="000000" w:themeColor="text1"/>
          <w:szCs w:val="24"/>
        </w:rPr>
        <w:t>其中一例示意如圖</w:t>
      </w:r>
      <w:r w:rsidR="00590F49" w:rsidRPr="00590F49">
        <w:rPr>
          <w:rFonts w:ascii="標楷體" w:eastAsia="標楷體" w:hAnsi="標楷體"/>
          <w:color w:val="000000" w:themeColor="text1"/>
          <w:szCs w:val="24"/>
        </w:rPr>
        <w:t>1</w:t>
      </w:r>
      <w:r w:rsidR="00815EC4">
        <w:rPr>
          <w:rFonts w:ascii="標楷體" w:eastAsia="標楷體" w:hAnsi="標楷體" w:hint="eastAsia"/>
          <w:color w:val="000000" w:themeColor="text1"/>
          <w:szCs w:val="24"/>
        </w:rPr>
        <w:t>8</w:t>
      </w:r>
      <w:r w:rsidR="00953F2A" w:rsidRPr="00953B2E">
        <w:rPr>
          <w:rFonts w:ascii="標楷體" w:eastAsia="標楷體" w:hAnsi="標楷體" w:hint="eastAsia"/>
          <w:color w:val="000000" w:themeColor="text1"/>
          <w:szCs w:val="24"/>
        </w:rPr>
        <w:t>）；另以村里別統計分布情形，</w:t>
      </w:r>
      <w:proofErr w:type="gramStart"/>
      <w:r w:rsidR="00953F2A" w:rsidRPr="00953B2E">
        <w:rPr>
          <w:rFonts w:ascii="標楷體" w:eastAsia="標楷體" w:hAnsi="標楷體" w:hint="eastAsia"/>
          <w:color w:val="000000" w:themeColor="text1"/>
          <w:szCs w:val="24"/>
        </w:rPr>
        <w:t>距投</w:t>
      </w:r>
      <w:proofErr w:type="gramEnd"/>
      <w:r w:rsidR="00953F2A" w:rsidRPr="00953B2E">
        <w:rPr>
          <w:rFonts w:ascii="標楷體" w:eastAsia="標楷體" w:hAnsi="標楷體" w:hint="eastAsia"/>
          <w:color w:val="000000" w:themeColor="text1"/>
          <w:szCs w:val="24"/>
        </w:rPr>
        <w:t>（開）票所最短距離1公里以上且轄區高齡者（65歲以上）達100名以上之村里，計有宜蘭縣五結鄉協和村等198個等，恐因戶籍</w:t>
      </w:r>
      <w:proofErr w:type="gramStart"/>
      <w:r w:rsidR="00953F2A" w:rsidRPr="00953B2E">
        <w:rPr>
          <w:rFonts w:ascii="標楷體" w:eastAsia="標楷體" w:hAnsi="標楷體" w:hint="eastAsia"/>
          <w:color w:val="000000" w:themeColor="text1"/>
          <w:szCs w:val="24"/>
        </w:rPr>
        <w:t>地距投</w:t>
      </w:r>
      <w:proofErr w:type="gramEnd"/>
      <w:r w:rsidR="00953F2A" w:rsidRPr="00953B2E">
        <w:rPr>
          <w:rFonts w:ascii="標楷體" w:eastAsia="標楷體" w:hAnsi="標楷體" w:hint="eastAsia"/>
          <w:color w:val="000000" w:themeColor="text1"/>
          <w:szCs w:val="24"/>
        </w:rPr>
        <w:t>（開）票所距離較遠，影響其參與投票之便利性及意願，對自主行動能力較差或較為衰弱</w:t>
      </w:r>
      <w:r w:rsidR="00953F2A" w:rsidRPr="00953B2E">
        <w:rPr>
          <w:rFonts w:ascii="標楷體" w:eastAsia="標楷體" w:hAnsi="標楷體" w:hint="eastAsia"/>
          <w:color w:val="000000" w:themeColor="text1"/>
          <w:szCs w:val="24"/>
        </w:rPr>
        <w:lastRenderedPageBreak/>
        <w:t>之高齡者尤甚</w:t>
      </w:r>
      <w:r w:rsidR="00953F2A">
        <w:rPr>
          <w:rFonts w:ascii="標楷體" w:eastAsia="標楷體" w:hAnsi="標楷體" w:hint="eastAsia"/>
          <w:color w:val="000000" w:themeColor="text1"/>
          <w:szCs w:val="24"/>
        </w:rPr>
        <w:t>。</w:t>
      </w:r>
      <w:r w:rsidR="00953F2A" w:rsidRPr="0018146A">
        <w:rPr>
          <w:rFonts w:ascii="標楷體" w:eastAsia="標楷體" w:hAnsi="標楷體" w:hint="eastAsia"/>
          <w:color w:val="000000" w:themeColor="text1"/>
          <w:szCs w:val="24"/>
        </w:rPr>
        <w:t>經函請中央選舉委員會審</w:t>
      </w:r>
      <w:proofErr w:type="gramStart"/>
      <w:r w:rsidR="00953F2A" w:rsidRPr="0018146A">
        <w:rPr>
          <w:rFonts w:ascii="標楷體" w:eastAsia="標楷體" w:hAnsi="標楷體" w:hint="eastAsia"/>
          <w:color w:val="000000" w:themeColor="text1"/>
          <w:szCs w:val="24"/>
        </w:rPr>
        <w:t>酌</w:t>
      </w:r>
      <w:proofErr w:type="gramEnd"/>
      <w:r w:rsidR="00953F2A" w:rsidRPr="0018146A">
        <w:rPr>
          <w:rFonts w:ascii="標楷體" w:eastAsia="標楷體" w:hAnsi="標楷體" w:hint="eastAsia"/>
          <w:color w:val="000000" w:themeColor="text1"/>
          <w:szCs w:val="24"/>
        </w:rPr>
        <w:t>我國人口高齡化趨勢，妥善運用資料科學及相關委託研究與選</w:t>
      </w:r>
      <w:proofErr w:type="gramStart"/>
      <w:r w:rsidR="00953F2A" w:rsidRPr="0018146A">
        <w:rPr>
          <w:rFonts w:ascii="標楷體" w:eastAsia="標楷體" w:hAnsi="標楷體" w:hint="eastAsia"/>
          <w:color w:val="000000" w:themeColor="text1"/>
          <w:szCs w:val="24"/>
        </w:rPr>
        <w:t>務</w:t>
      </w:r>
      <w:proofErr w:type="gramEnd"/>
      <w:r w:rsidR="00953F2A" w:rsidRPr="0018146A">
        <w:rPr>
          <w:rFonts w:ascii="標楷體" w:eastAsia="標楷體" w:hAnsi="標楷體" w:hint="eastAsia"/>
          <w:color w:val="000000" w:themeColor="text1"/>
          <w:szCs w:val="24"/>
        </w:rPr>
        <w:t>滿意度調查結果，本</w:t>
      </w:r>
      <w:proofErr w:type="gramStart"/>
      <w:r w:rsidR="00953F2A" w:rsidRPr="0018146A">
        <w:rPr>
          <w:rFonts w:ascii="標楷體" w:eastAsia="標楷體" w:hAnsi="標楷體" w:hint="eastAsia"/>
          <w:color w:val="000000" w:themeColor="text1"/>
          <w:szCs w:val="24"/>
        </w:rPr>
        <w:t>於循證</w:t>
      </w:r>
      <w:proofErr w:type="gramEnd"/>
      <w:r w:rsidR="00953F2A" w:rsidRPr="0018146A">
        <w:rPr>
          <w:rFonts w:ascii="標楷體" w:eastAsia="標楷體" w:hAnsi="標楷體" w:hint="eastAsia"/>
          <w:color w:val="000000" w:themeColor="text1"/>
          <w:szCs w:val="24"/>
        </w:rPr>
        <w:t>決策模式，督導各地方選</w:t>
      </w:r>
      <w:r w:rsidR="00953F2A">
        <w:rPr>
          <w:rFonts w:ascii="標楷體" w:eastAsia="標楷體" w:hAnsi="標楷體" w:hint="eastAsia"/>
          <w:color w:val="000000" w:themeColor="text1"/>
          <w:szCs w:val="24"/>
        </w:rPr>
        <w:t>舉</w:t>
      </w:r>
      <w:r w:rsidR="00953F2A" w:rsidRPr="0018146A">
        <w:rPr>
          <w:rFonts w:ascii="標楷體" w:eastAsia="標楷體" w:hAnsi="標楷體" w:hint="eastAsia"/>
          <w:color w:val="000000" w:themeColor="text1"/>
          <w:szCs w:val="24"/>
        </w:rPr>
        <w:t>委</w:t>
      </w:r>
      <w:r w:rsidR="00953F2A">
        <w:rPr>
          <w:rFonts w:ascii="標楷體" w:eastAsia="標楷體" w:hAnsi="標楷體" w:hint="eastAsia"/>
          <w:color w:val="000000" w:themeColor="text1"/>
          <w:szCs w:val="24"/>
        </w:rPr>
        <w:t>員</w:t>
      </w:r>
      <w:r w:rsidR="00953F2A" w:rsidRPr="0018146A">
        <w:rPr>
          <w:rFonts w:ascii="標楷體" w:eastAsia="標楷體" w:hAnsi="標楷體" w:hint="eastAsia"/>
          <w:color w:val="000000" w:themeColor="text1"/>
          <w:szCs w:val="24"/>
        </w:rPr>
        <w:t>會兼顧整體選</w:t>
      </w:r>
      <w:proofErr w:type="gramStart"/>
      <w:r w:rsidR="00953F2A" w:rsidRPr="0018146A">
        <w:rPr>
          <w:rFonts w:ascii="標楷體" w:eastAsia="標楷體" w:hAnsi="標楷體" w:hint="eastAsia"/>
          <w:color w:val="000000" w:themeColor="text1"/>
          <w:szCs w:val="24"/>
        </w:rPr>
        <w:t>務</w:t>
      </w:r>
      <w:proofErr w:type="gramEnd"/>
      <w:r w:rsidR="00953F2A" w:rsidRPr="0018146A">
        <w:rPr>
          <w:rFonts w:ascii="標楷體" w:eastAsia="標楷體" w:hAnsi="標楷體" w:hint="eastAsia"/>
          <w:color w:val="000000" w:themeColor="text1"/>
          <w:szCs w:val="24"/>
        </w:rPr>
        <w:t>運作及轄區高齡長者投票便利性，持續優化友善高齡者選舉投票服務工作</w:t>
      </w:r>
      <w:r w:rsidR="00953F2A">
        <w:rPr>
          <w:rFonts w:ascii="標楷體" w:eastAsia="標楷體" w:hAnsi="標楷體" w:hint="eastAsia"/>
          <w:color w:val="000000" w:themeColor="text1"/>
          <w:szCs w:val="24"/>
        </w:rPr>
        <w:t>。</w:t>
      </w:r>
      <w:r w:rsidR="00953F2A" w:rsidRPr="00566082">
        <w:rPr>
          <w:rFonts w:ascii="標楷體" w:eastAsia="標楷體" w:hAnsi="標楷體" w:hint="eastAsia"/>
          <w:color w:val="000000" w:themeColor="text1"/>
          <w:szCs w:val="24"/>
        </w:rPr>
        <w:t>據復：</w:t>
      </w:r>
      <w:r w:rsidR="00953F2A">
        <w:rPr>
          <w:rFonts w:ascii="標楷體" w:eastAsia="標楷體" w:hAnsi="標楷體" w:hint="eastAsia"/>
          <w:color w:val="000000" w:themeColor="text1"/>
          <w:szCs w:val="24"/>
        </w:rPr>
        <w:t>已請衛生福利部社會及家庭署協助函請市縣政府協調復康巴士業者於投票日配合營運，另將</w:t>
      </w:r>
      <w:proofErr w:type="gramStart"/>
      <w:r w:rsidR="00953F2A">
        <w:rPr>
          <w:rFonts w:ascii="標楷體" w:eastAsia="標楷體" w:hAnsi="標楷體" w:hint="eastAsia"/>
          <w:color w:val="000000" w:themeColor="text1"/>
          <w:szCs w:val="24"/>
        </w:rPr>
        <w:t>賡</w:t>
      </w:r>
      <w:proofErr w:type="gramEnd"/>
      <w:r w:rsidR="00953F2A">
        <w:rPr>
          <w:rFonts w:ascii="標楷體" w:eastAsia="標楷體" w:hAnsi="標楷體" w:hint="eastAsia"/>
          <w:color w:val="000000" w:themeColor="text1"/>
          <w:szCs w:val="24"/>
        </w:rPr>
        <w:t>續督導地方選舉委員會於適當地點設置</w:t>
      </w:r>
      <w:r w:rsidR="00953F2A" w:rsidRPr="00953B2E">
        <w:rPr>
          <w:rFonts w:ascii="標楷體" w:eastAsia="標楷體" w:hAnsi="標楷體" w:hint="eastAsia"/>
          <w:color w:val="000000" w:themeColor="text1"/>
          <w:szCs w:val="24"/>
        </w:rPr>
        <w:t>投（開）票所</w:t>
      </w:r>
      <w:r w:rsidR="00953F2A">
        <w:rPr>
          <w:rFonts w:ascii="標楷體" w:eastAsia="標楷體" w:hAnsi="標楷體" w:hint="eastAsia"/>
          <w:color w:val="000000" w:themeColor="text1"/>
          <w:szCs w:val="24"/>
        </w:rPr>
        <w:t>，以維護高齡者投票權益。</w:t>
      </w:r>
    </w:p>
    <w:p w14:paraId="6FF8C343" w14:textId="11ED3DE4" w:rsidR="00142942" w:rsidRPr="000A3985" w:rsidRDefault="00AA3647" w:rsidP="00F238E2">
      <w:pPr>
        <w:overflowPunct w:val="0"/>
        <w:snapToGrid w:val="0"/>
        <w:spacing w:line="452" w:lineRule="exact"/>
        <w:ind w:firstLineChars="450" w:firstLine="1080"/>
        <w:jc w:val="distribute"/>
        <w:rPr>
          <w:rFonts w:ascii="標楷體" w:eastAsia="標楷體" w:hAnsi="標楷體"/>
          <w:color w:val="000000" w:themeColor="text1"/>
          <w:spacing w:val="4"/>
          <w:szCs w:val="24"/>
        </w:rPr>
      </w:pPr>
      <w:r w:rsidRPr="000A3985">
        <w:rPr>
          <w:noProof/>
          <w:spacing w:val="4"/>
        </w:rPr>
        <mc:AlternateContent>
          <mc:Choice Requires="wps">
            <w:drawing>
              <wp:anchor distT="45720" distB="45720" distL="114300" distR="114300" simplePos="0" relativeHeight="251662336" behindDoc="0" locked="0" layoutInCell="1" allowOverlap="1" wp14:anchorId="7769DFD9" wp14:editId="322A3CA1">
                <wp:simplePos x="0" y="0"/>
                <wp:positionH relativeFrom="margin">
                  <wp:posOffset>1546860</wp:posOffset>
                </wp:positionH>
                <wp:positionV relativeFrom="paragraph">
                  <wp:posOffset>5587365</wp:posOffset>
                </wp:positionV>
                <wp:extent cx="4744085" cy="1404620"/>
                <wp:effectExtent l="0" t="0" r="0"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4085" cy="1404620"/>
                        </a:xfrm>
                        <a:prstGeom prst="rect">
                          <a:avLst/>
                        </a:prstGeom>
                        <a:solidFill>
                          <a:srgbClr val="FFFFFF"/>
                        </a:solidFill>
                        <a:ln w="9525">
                          <a:noFill/>
                          <a:miter lim="800000"/>
                          <a:headEnd/>
                          <a:tailEnd/>
                        </a:ln>
                      </wps:spPr>
                      <wps:txbx>
                        <w:txbxContent>
                          <w:p w14:paraId="032B9B61" w14:textId="77777777" w:rsidR="00AA3647" w:rsidRPr="00173524" w:rsidRDefault="00AA3647" w:rsidP="00AA3647">
                            <w:pPr>
                              <w:jc w:val="center"/>
                              <w:rPr>
                                <w:rFonts w:ascii="標楷體" w:eastAsia="標楷體" w:hAnsi="標楷體"/>
                                <w:b/>
                                <w:bCs/>
                              </w:rPr>
                            </w:pPr>
                            <w:r w:rsidRPr="00173524">
                              <w:rPr>
                                <w:rFonts w:ascii="標楷體" w:eastAsia="標楷體" w:hAnsi="標楷體" w:hint="eastAsia"/>
                                <w:b/>
                                <w:bCs/>
                              </w:rPr>
                              <w:t>表</w:t>
                            </w:r>
                            <w:r>
                              <w:rPr>
                                <w:rFonts w:ascii="標楷體" w:eastAsia="標楷體" w:hAnsi="標楷體" w:hint="eastAsia"/>
                                <w:b/>
                                <w:bCs/>
                              </w:rPr>
                              <w:t>5</w:t>
                            </w:r>
                            <w:r>
                              <w:rPr>
                                <w:rFonts w:ascii="標楷體" w:eastAsia="標楷體" w:hAnsi="標楷體"/>
                                <w:b/>
                                <w:bCs/>
                              </w:rPr>
                              <w:t>2</w:t>
                            </w:r>
                            <w:r w:rsidRPr="00173524">
                              <w:rPr>
                                <w:rFonts w:ascii="標楷體" w:eastAsia="標楷體" w:hAnsi="標楷體" w:hint="eastAsia"/>
                                <w:b/>
                                <w:bCs/>
                              </w:rPr>
                              <w:t xml:space="preserve">　近3屆立法委員選舉原住民選舉人1人投（開）票所情形</w:t>
                            </w:r>
                          </w:p>
                          <w:p w14:paraId="3AF47862" w14:textId="77777777" w:rsidR="00AA3647" w:rsidRPr="00173524" w:rsidRDefault="00AA3647" w:rsidP="00AA3647">
                            <w:pPr>
                              <w:jc w:val="right"/>
                              <w:rPr>
                                <w:rFonts w:ascii="標楷體" w:eastAsia="標楷體" w:hAnsi="標楷體"/>
                                <w:sz w:val="20"/>
                                <w:szCs w:val="16"/>
                              </w:rPr>
                            </w:pPr>
                            <w:r w:rsidRPr="00173524">
                              <w:rPr>
                                <w:rFonts w:ascii="標楷體" w:eastAsia="標楷體" w:hAnsi="標楷體" w:hint="eastAsia"/>
                                <w:sz w:val="20"/>
                                <w:szCs w:val="16"/>
                              </w:rPr>
                              <w:t>單位：所、％</w:t>
                            </w:r>
                          </w:p>
                          <w:tbl>
                            <w:tblPr>
                              <w:tblOverlap w:val="never"/>
                              <w:tblW w:w="7240" w:type="dxa"/>
                              <w:tblInd w:w="-5" w:type="dxa"/>
                              <w:tblCellMar>
                                <w:left w:w="0" w:type="dxa"/>
                                <w:right w:w="0" w:type="dxa"/>
                              </w:tblCellMar>
                              <w:tblLook w:val="04A0" w:firstRow="1" w:lastRow="0" w:firstColumn="1" w:lastColumn="0" w:noHBand="0" w:noVBand="1"/>
                            </w:tblPr>
                            <w:tblGrid>
                              <w:gridCol w:w="1460"/>
                              <w:gridCol w:w="1360"/>
                              <w:gridCol w:w="620"/>
                              <w:gridCol w:w="1280"/>
                              <w:gridCol w:w="640"/>
                              <w:gridCol w:w="1180"/>
                              <w:gridCol w:w="700"/>
                            </w:tblGrid>
                            <w:tr w:rsidR="00AA3647" w:rsidRPr="006636D0" w14:paraId="7E7312AE" w14:textId="77777777" w:rsidTr="00173524">
                              <w:trPr>
                                <w:trHeight w:val="315"/>
                              </w:trPr>
                              <w:tc>
                                <w:tcPr>
                                  <w:tcW w:w="146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4FBB1E85"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屆次</w:t>
                                  </w:r>
                                </w:p>
                                <w:p w14:paraId="588EB9C5"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(年度)</w:t>
                                  </w:r>
                                </w:p>
                                <w:p w14:paraId="76799228" w14:textId="77777777" w:rsidR="00AA3647" w:rsidRPr="006636D0" w:rsidRDefault="00AA3647" w:rsidP="00173524">
                                  <w:pPr>
                                    <w:snapToGrid w:val="0"/>
                                    <w:spacing w:line="200" w:lineRule="atLeast"/>
                                    <w:suppressOverlap/>
                                    <w:rPr>
                                      <w:rFonts w:ascii="標楷體" w:eastAsia="標楷體" w:hAnsi="標楷體"/>
                                      <w:color w:val="000000"/>
                                      <w:sz w:val="20"/>
                                    </w:rPr>
                                  </w:pPr>
                                  <w:r w:rsidRPr="006636D0">
                                    <w:rPr>
                                      <w:rFonts w:ascii="標楷體" w:eastAsia="標楷體" w:hAnsi="標楷體" w:hint="eastAsia"/>
                                      <w:color w:val="000000"/>
                                      <w:sz w:val="20"/>
                                    </w:rPr>
                                    <w:t>類型</w:t>
                                  </w:r>
                                </w:p>
                              </w:tc>
                              <w:tc>
                                <w:tcPr>
                                  <w:tcW w:w="198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E8EF56"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第11屆(</w:t>
                                  </w:r>
                                  <w:proofErr w:type="gramStart"/>
                                  <w:r w:rsidRPr="006636D0">
                                    <w:rPr>
                                      <w:rFonts w:ascii="標楷體" w:eastAsia="標楷體" w:hAnsi="標楷體" w:hint="eastAsia"/>
                                      <w:color w:val="000000"/>
                                      <w:sz w:val="20"/>
                                    </w:rPr>
                                    <w:t>113</w:t>
                                  </w:r>
                                  <w:proofErr w:type="gramEnd"/>
                                  <w:r w:rsidRPr="006636D0">
                                    <w:rPr>
                                      <w:rFonts w:ascii="標楷體" w:eastAsia="標楷體" w:hAnsi="標楷體" w:hint="eastAsia"/>
                                      <w:color w:val="000000"/>
                                      <w:sz w:val="20"/>
                                    </w:rPr>
                                    <w:t>年度)</w:t>
                                  </w:r>
                                </w:p>
                              </w:tc>
                              <w:tc>
                                <w:tcPr>
                                  <w:tcW w:w="192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3271CF"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第10屆(</w:t>
                                  </w:r>
                                  <w:proofErr w:type="gramStart"/>
                                  <w:r w:rsidRPr="006636D0">
                                    <w:rPr>
                                      <w:rFonts w:ascii="標楷體" w:eastAsia="標楷體" w:hAnsi="標楷體" w:hint="eastAsia"/>
                                      <w:color w:val="000000"/>
                                      <w:sz w:val="20"/>
                                    </w:rPr>
                                    <w:t>109</w:t>
                                  </w:r>
                                  <w:proofErr w:type="gramEnd"/>
                                  <w:r w:rsidRPr="006636D0">
                                    <w:rPr>
                                      <w:rFonts w:ascii="標楷體" w:eastAsia="標楷體" w:hAnsi="標楷體" w:hint="eastAsia"/>
                                      <w:color w:val="000000"/>
                                      <w:sz w:val="20"/>
                                    </w:rPr>
                                    <w:t>年度)</w:t>
                                  </w:r>
                                </w:p>
                              </w:tc>
                              <w:tc>
                                <w:tcPr>
                                  <w:tcW w:w="188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44FB8C"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第9屆(</w:t>
                                  </w:r>
                                  <w:proofErr w:type="gramStart"/>
                                  <w:r w:rsidRPr="006636D0">
                                    <w:rPr>
                                      <w:rFonts w:ascii="標楷體" w:eastAsia="標楷體" w:hAnsi="標楷體" w:hint="eastAsia"/>
                                      <w:color w:val="000000"/>
                                      <w:sz w:val="20"/>
                                    </w:rPr>
                                    <w:t>105</w:t>
                                  </w:r>
                                  <w:proofErr w:type="gramEnd"/>
                                  <w:r w:rsidRPr="006636D0">
                                    <w:rPr>
                                      <w:rFonts w:ascii="標楷體" w:eastAsia="標楷體" w:hAnsi="標楷體" w:hint="eastAsia"/>
                                      <w:color w:val="000000"/>
                                      <w:sz w:val="20"/>
                                    </w:rPr>
                                    <w:t>年度)</w:t>
                                  </w:r>
                                </w:p>
                              </w:tc>
                            </w:tr>
                            <w:tr w:rsidR="00AA3647" w:rsidRPr="006636D0" w14:paraId="51B6A340" w14:textId="77777777" w:rsidTr="00173524">
                              <w:trPr>
                                <w:trHeight w:val="4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A0A1E9" w14:textId="77777777" w:rsidR="00AA3647" w:rsidRPr="006636D0" w:rsidRDefault="00AA3647" w:rsidP="00173524">
                                  <w:pPr>
                                    <w:snapToGrid w:val="0"/>
                                    <w:spacing w:line="200" w:lineRule="atLeast"/>
                                    <w:suppressOverlap/>
                                    <w:rPr>
                                      <w:rFonts w:ascii="標楷體" w:eastAsia="標楷體" w:hAnsi="標楷體" w:cs="新細明體"/>
                                      <w:color w:val="000000"/>
                                      <w:sz w:val="20"/>
                                    </w:rPr>
                                  </w:pPr>
                                </w:p>
                              </w:tc>
                              <w:tc>
                                <w:tcPr>
                                  <w:tcW w:w="13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070357E"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1人投（開）票所數</w:t>
                                  </w:r>
                                </w:p>
                              </w:tc>
                              <w:tc>
                                <w:tcPr>
                                  <w:tcW w:w="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C1186A"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占比</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D254E0"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1人投（開）票所數</w:t>
                                  </w:r>
                                </w:p>
                              </w:tc>
                              <w:tc>
                                <w:tcPr>
                                  <w:tcW w:w="6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0F0251"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占比</w:t>
                                  </w:r>
                                </w:p>
                              </w:tc>
                              <w:tc>
                                <w:tcPr>
                                  <w:tcW w:w="11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D8E1AC"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1人投（開）票所數</w:t>
                                  </w:r>
                                </w:p>
                              </w:tc>
                              <w:tc>
                                <w:tcPr>
                                  <w:tcW w:w="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567441"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占比</w:t>
                                  </w:r>
                                </w:p>
                              </w:tc>
                            </w:tr>
                            <w:tr w:rsidR="00AA3647" w:rsidRPr="006636D0" w14:paraId="7A3E97AD" w14:textId="77777777" w:rsidTr="00173524">
                              <w:trPr>
                                <w:trHeight w:val="315"/>
                              </w:trPr>
                              <w:tc>
                                <w:tcPr>
                                  <w:tcW w:w="14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6A1AC95"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平地原住民</w:t>
                                  </w:r>
                                </w:p>
                              </w:tc>
                              <w:tc>
                                <w:tcPr>
                                  <w:tcW w:w="13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66C444"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966 </w:t>
                                  </w:r>
                                </w:p>
                              </w:tc>
                              <w:tc>
                                <w:tcPr>
                                  <w:tcW w:w="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84535E"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5.43 </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7F4838"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1,623 </w:t>
                                  </w:r>
                                </w:p>
                              </w:tc>
                              <w:tc>
                                <w:tcPr>
                                  <w:tcW w:w="6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02449E"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9.42 </w:t>
                                  </w:r>
                                </w:p>
                              </w:tc>
                              <w:tc>
                                <w:tcPr>
                                  <w:tcW w:w="11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0F24B0"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1,474 </w:t>
                                  </w:r>
                                </w:p>
                              </w:tc>
                              <w:tc>
                                <w:tcPr>
                                  <w:tcW w:w="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FF2BC3"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9.46 </w:t>
                                  </w:r>
                                </w:p>
                              </w:tc>
                            </w:tr>
                            <w:tr w:rsidR="00AA3647" w:rsidRPr="006636D0" w14:paraId="020A972A" w14:textId="77777777" w:rsidTr="00173524">
                              <w:trPr>
                                <w:trHeight w:val="315"/>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4DBEC2"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山地原住民</w:t>
                                  </w:r>
                                </w:p>
                              </w:tc>
                              <w:tc>
                                <w:tcPr>
                                  <w:tcW w:w="13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9BFC82"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1,069 </w:t>
                                  </w:r>
                                </w:p>
                              </w:tc>
                              <w:tc>
                                <w:tcPr>
                                  <w:tcW w:w="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32CD82"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6.01 </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02DC99"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1,653 </w:t>
                                  </w:r>
                                </w:p>
                              </w:tc>
                              <w:tc>
                                <w:tcPr>
                                  <w:tcW w:w="6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D5DAC2"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9.60 </w:t>
                                  </w:r>
                                </w:p>
                              </w:tc>
                              <w:tc>
                                <w:tcPr>
                                  <w:tcW w:w="11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362403"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1,522 </w:t>
                                  </w:r>
                                </w:p>
                              </w:tc>
                              <w:tc>
                                <w:tcPr>
                                  <w:tcW w:w="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105144"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9.77 </w:t>
                                  </w:r>
                                </w:p>
                              </w:tc>
                            </w:tr>
                          </w:tbl>
                          <w:p w14:paraId="6B55EAAA" w14:textId="77777777" w:rsidR="00AA3647" w:rsidRPr="00173524" w:rsidRDefault="00AA3647" w:rsidP="00AA3647">
                            <w:pPr>
                              <w:rPr>
                                <w:rFonts w:ascii="標楷體" w:eastAsia="標楷體" w:hAnsi="標楷體"/>
                                <w:sz w:val="18"/>
                                <w:szCs w:val="14"/>
                              </w:rPr>
                            </w:pPr>
                            <w:r w:rsidRPr="00173524">
                              <w:rPr>
                                <w:rFonts w:ascii="標楷體" w:eastAsia="標楷體" w:hAnsi="標楷體" w:hint="eastAsia"/>
                                <w:sz w:val="18"/>
                                <w:szCs w:val="14"/>
                              </w:rPr>
                              <w:t>資料來源：整理自中央選舉委員會提供資料。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69DFD9" id="_x0000_s1162" type="#_x0000_t202" style="position:absolute;left:0;text-align:left;margin-left:121.8pt;margin-top:439.95pt;width:373.55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" stroked="f">
                <v:textbox style="mso-fit-shape-to-text:t">
                  <w:txbxContent>
                    <w:p w14:paraId="032B9B61" w14:textId="77777777" w:rsidR="00AA3647" w:rsidRPr="00173524" w:rsidRDefault="00AA3647" w:rsidP="00AA3647">
                      <w:pPr>
                        <w:jc w:val="center"/>
                        <w:rPr>
                          <w:rFonts w:ascii="標楷體" w:eastAsia="標楷體" w:hAnsi="標楷體"/>
                          <w:b/>
                          <w:bCs/>
                        </w:rPr>
                      </w:pPr>
                      <w:r w:rsidRPr="00173524">
                        <w:rPr>
                          <w:rFonts w:ascii="標楷體" w:eastAsia="標楷體" w:hAnsi="標楷體" w:hint="eastAsia"/>
                          <w:b/>
                          <w:bCs/>
                        </w:rPr>
                        <w:t>表</w:t>
                      </w:r>
                      <w:r>
                        <w:rPr>
                          <w:rFonts w:ascii="標楷體" w:eastAsia="標楷體" w:hAnsi="標楷體" w:hint="eastAsia"/>
                          <w:b/>
                          <w:bCs/>
                        </w:rPr>
                        <w:t>5</w:t>
                      </w:r>
                      <w:r>
                        <w:rPr>
                          <w:rFonts w:ascii="標楷體" w:eastAsia="標楷體" w:hAnsi="標楷體"/>
                          <w:b/>
                          <w:bCs/>
                        </w:rPr>
                        <w:t>2</w:t>
                      </w:r>
                      <w:r w:rsidRPr="00173524">
                        <w:rPr>
                          <w:rFonts w:ascii="標楷體" w:eastAsia="標楷體" w:hAnsi="標楷體" w:hint="eastAsia"/>
                          <w:b/>
                          <w:bCs/>
                        </w:rPr>
                        <w:t xml:space="preserve">　近3屆立法委員選舉原住民選舉人1人投（開）票所情形</w:t>
                      </w:r>
                    </w:p>
                    <w:p w14:paraId="3AF47862" w14:textId="77777777" w:rsidR="00AA3647" w:rsidRPr="00173524" w:rsidRDefault="00AA3647" w:rsidP="00AA3647">
                      <w:pPr>
                        <w:jc w:val="right"/>
                        <w:rPr>
                          <w:rFonts w:ascii="標楷體" w:eastAsia="標楷體" w:hAnsi="標楷體"/>
                          <w:sz w:val="20"/>
                          <w:szCs w:val="16"/>
                        </w:rPr>
                      </w:pPr>
                      <w:r w:rsidRPr="00173524">
                        <w:rPr>
                          <w:rFonts w:ascii="標楷體" w:eastAsia="標楷體" w:hAnsi="標楷體" w:hint="eastAsia"/>
                          <w:sz w:val="20"/>
                          <w:szCs w:val="16"/>
                        </w:rPr>
                        <w:t>單位：所、％</w:t>
                      </w:r>
                    </w:p>
                    <w:tbl>
                      <w:tblPr>
                        <w:tblOverlap w:val="never"/>
                        <w:tblW w:w="7240" w:type="dxa"/>
                        <w:tblInd w:w="-5" w:type="dxa"/>
                        <w:tblCellMar>
                          <w:left w:w="0" w:type="dxa"/>
                          <w:right w:w="0" w:type="dxa"/>
                        </w:tblCellMar>
                        <w:tblLook w:val="04A0" w:firstRow="1" w:lastRow="0" w:firstColumn="1" w:lastColumn="0" w:noHBand="0" w:noVBand="1"/>
                      </w:tblPr>
                      <w:tblGrid>
                        <w:gridCol w:w="1460"/>
                        <w:gridCol w:w="1360"/>
                        <w:gridCol w:w="620"/>
                        <w:gridCol w:w="1280"/>
                        <w:gridCol w:w="640"/>
                        <w:gridCol w:w="1180"/>
                        <w:gridCol w:w="700"/>
                      </w:tblGrid>
                      <w:tr w:rsidR="00AA3647" w:rsidRPr="006636D0" w14:paraId="7E7312AE" w14:textId="77777777" w:rsidTr="00173524">
                        <w:trPr>
                          <w:trHeight w:val="315"/>
                        </w:trPr>
                        <w:tc>
                          <w:tcPr>
                            <w:tcW w:w="146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Mar>
                              <w:top w:w="15" w:type="dxa"/>
                              <w:left w:w="15" w:type="dxa"/>
                              <w:bottom w:w="0" w:type="dxa"/>
                              <w:right w:w="15" w:type="dxa"/>
                            </w:tcMar>
                            <w:vAlign w:val="center"/>
                            <w:hideMark/>
                          </w:tcPr>
                          <w:p w14:paraId="4FBB1E85"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屆次</w:t>
                            </w:r>
                          </w:p>
                          <w:p w14:paraId="588EB9C5"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(年度)</w:t>
                            </w:r>
                          </w:p>
                          <w:p w14:paraId="76799228" w14:textId="77777777" w:rsidR="00AA3647" w:rsidRPr="006636D0" w:rsidRDefault="00AA3647" w:rsidP="00173524">
                            <w:pPr>
                              <w:snapToGrid w:val="0"/>
                              <w:spacing w:line="200" w:lineRule="atLeast"/>
                              <w:suppressOverlap/>
                              <w:rPr>
                                <w:rFonts w:ascii="標楷體" w:eastAsia="標楷體" w:hAnsi="標楷體"/>
                                <w:color w:val="000000"/>
                                <w:sz w:val="20"/>
                              </w:rPr>
                            </w:pPr>
                            <w:r w:rsidRPr="006636D0">
                              <w:rPr>
                                <w:rFonts w:ascii="標楷體" w:eastAsia="標楷體" w:hAnsi="標楷體" w:hint="eastAsia"/>
                                <w:color w:val="000000"/>
                                <w:sz w:val="20"/>
                              </w:rPr>
                              <w:t>類型</w:t>
                            </w:r>
                          </w:p>
                        </w:tc>
                        <w:tc>
                          <w:tcPr>
                            <w:tcW w:w="198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E8EF56"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第11屆(</w:t>
                            </w:r>
                            <w:proofErr w:type="gramStart"/>
                            <w:r w:rsidRPr="006636D0">
                              <w:rPr>
                                <w:rFonts w:ascii="標楷體" w:eastAsia="標楷體" w:hAnsi="標楷體" w:hint="eastAsia"/>
                                <w:color w:val="000000"/>
                                <w:sz w:val="20"/>
                              </w:rPr>
                              <w:t>113</w:t>
                            </w:r>
                            <w:proofErr w:type="gramEnd"/>
                            <w:r w:rsidRPr="006636D0">
                              <w:rPr>
                                <w:rFonts w:ascii="標楷體" w:eastAsia="標楷體" w:hAnsi="標楷體" w:hint="eastAsia"/>
                                <w:color w:val="000000"/>
                                <w:sz w:val="20"/>
                              </w:rPr>
                              <w:t>年度)</w:t>
                            </w:r>
                          </w:p>
                        </w:tc>
                        <w:tc>
                          <w:tcPr>
                            <w:tcW w:w="192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3271CF"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第10屆(</w:t>
                            </w:r>
                            <w:proofErr w:type="gramStart"/>
                            <w:r w:rsidRPr="006636D0">
                              <w:rPr>
                                <w:rFonts w:ascii="標楷體" w:eastAsia="標楷體" w:hAnsi="標楷體" w:hint="eastAsia"/>
                                <w:color w:val="000000"/>
                                <w:sz w:val="20"/>
                              </w:rPr>
                              <w:t>109</w:t>
                            </w:r>
                            <w:proofErr w:type="gramEnd"/>
                            <w:r w:rsidRPr="006636D0">
                              <w:rPr>
                                <w:rFonts w:ascii="標楷體" w:eastAsia="標楷體" w:hAnsi="標楷體" w:hint="eastAsia"/>
                                <w:color w:val="000000"/>
                                <w:sz w:val="20"/>
                              </w:rPr>
                              <w:t>年度)</w:t>
                            </w:r>
                          </w:p>
                        </w:tc>
                        <w:tc>
                          <w:tcPr>
                            <w:tcW w:w="188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44FB8C"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第9屆(</w:t>
                            </w:r>
                            <w:proofErr w:type="gramStart"/>
                            <w:r w:rsidRPr="006636D0">
                              <w:rPr>
                                <w:rFonts w:ascii="標楷體" w:eastAsia="標楷體" w:hAnsi="標楷體" w:hint="eastAsia"/>
                                <w:color w:val="000000"/>
                                <w:sz w:val="20"/>
                              </w:rPr>
                              <w:t>105</w:t>
                            </w:r>
                            <w:proofErr w:type="gramEnd"/>
                            <w:r w:rsidRPr="006636D0">
                              <w:rPr>
                                <w:rFonts w:ascii="標楷體" w:eastAsia="標楷體" w:hAnsi="標楷體" w:hint="eastAsia"/>
                                <w:color w:val="000000"/>
                                <w:sz w:val="20"/>
                              </w:rPr>
                              <w:t>年度)</w:t>
                            </w:r>
                          </w:p>
                        </w:tc>
                      </w:tr>
                      <w:tr w:rsidR="00AA3647" w:rsidRPr="006636D0" w14:paraId="51B6A340" w14:textId="77777777" w:rsidTr="00173524">
                        <w:trPr>
                          <w:trHeight w:val="4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A0A1E9" w14:textId="77777777" w:rsidR="00AA3647" w:rsidRPr="006636D0" w:rsidRDefault="00AA3647" w:rsidP="00173524">
                            <w:pPr>
                              <w:snapToGrid w:val="0"/>
                              <w:spacing w:line="200" w:lineRule="atLeast"/>
                              <w:suppressOverlap/>
                              <w:rPr>
                                <w:rFonts w:ascii="標楷體" w:eastAsia="標楷體" w:hAnsi="標楷體" w:cs="新細明體"/>
                                <w:color w:val="000000"/>
                                <w:sz w:val="20"/>
                              </w:rPr>
                            </w:pPr>
                          </w:p>
                        </w:tc>
                        <w:tc>
                          <w:tcPr>
                            <w:tcW w:w="13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070357E"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1人投（開）票所數</w:t>
                            </w:r>
                          </w:p>
                        </w:tc>
                        <w:tc>
                          <w:tcPr>
                            <w:tcW w:w="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C1186A"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占比</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D254E0"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1人投（開）票所數</w:t>
                            </w:r>
                          </w:p>
                        </w:tc>
                        <w:tc>
                          <w:tcPr>
                            <w:tcW w:w="6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0F0251"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占比</w:t>
                            </w:r>
                          </w:p>
                        </w:tc>
                        <w:tc>
                          <w:tcPr>
                            <w:tcW w:w="11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D8E1AC"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1人投（開）票所數</w:t>
                            </w:r>
                          </w:p>
                        </w:tc>
                        <w:tc>
                          <w:tcPr>
                            <w:tcW w:w="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567441"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占比</w:t>
                            </w:r>
                          </w:p>
                        </w:tc>
                      </w:tr>
                      <w:tr w:rsidR="00AA3647" w:rsidRPr="006636D0" w14:paraId="7A3E97AD" w14:textId="77777777" w:rsidTr="00173524">
                        <w:trPr>
                          <w:trHeight w:val="315"/>
                        </w:trPr>
                        <w:tc>
                          <w:tcPr>
                            <w:tcW w:w="14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6A1AC95"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平地原住民</w:t>
                            </w:r>
                          </w:p>
                        </w:tc>
                        <w:tc>
                          <w:tcPr>
                            <w:tcW w:w="13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66C444"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966 </w:t>
                            </w:r>
                          </w:p>
                        </w:tc>
                        <w:tc>
                          <w:tcPr>
                            <w:tcW w:w="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84535E"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5.43 </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7F4838"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1,623 </w:t>
                            </w:r>
                          </w:p>
                        </w:tc>
                        <w:tc>
                          <w:tcPr>
                            <w:tcW w:w="6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02449E"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9.42 </w:t>
                            </w:r>
                          </w:p>
                        </w:tc>
                        <w:tc>
                          <w:tcPr>
                            <w:tcW w:w="11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0F24B0"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1,474 </w:t>
                            </w:r>
                          </w:p>
                        </w:tc>
                        <w:tc>
                          <w:tcPr>
                            <w:tcW w:w="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FF2BC3"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9.46 </w:t>
                            </w:r>
                          </w:p>
                        </w:tc>
                      </w:tr>
                      <w:tr w:rsidR="00AA3647" w:rsidRPr="006636D0" w14:paraId="020A972A" w14:textId="77777777" w:rsidTr="00173524">
                        <w:trPr>
                          <w:trHeight w:val="315"/>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4DBEC2" w14:textId="77777777" w:rsidR="00AA3647" w:rsidRPr="006636D0" w:rsidRDefault="00AA3647" w:rsidP="00173524">
                            <w:pPr>
                              <w:snapToGrid w:val="0"/>
                              <w:spacing w:line="200" w:lineRule="atLeast"/>
                              <w:suppressOverlap/>
                              <w:jc w:val="center"/>
                              <w:rPr>
                                <w:rFonts w:ascii="標楷體" w:eastAsia="標楷體" w:hAnsi="標楷體"/>
                                <w:color w:val="000000"/>
                                <w:sz w:val="20"/>
                              </w:rPr>
                            </w:pPr>
                            <w:r w:rsidRPr="006636D0">
                              <w:rPr>
                                <w:rFonts w:ascii="標楷體" w:eastAsia="標楷體" w:hAnsi="標楷體" w:hint="eastAsia"/>
                                <w:color w:val="000000"/>
                                <w:sz w:val="20"/>
                              </w:rPr>
                              <w:t>山地原住民</w:t>
                            </w:r>
                          </w:p>
                        </w:tc>
                        <w:tc>
                          <w:tcPr>
                            <w:tcW w:w="13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9BFC82"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1,069 </w:t>
                            </w:r>
                          </w:p>
                        </w:tc>
                        <w:tc>
                          <w:tcPr>
                            <w:tcW w:w="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32CD82"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6.01 </w:t>
                            </w:r>
                          </w:p>
                        </w:tc>
                        <w:tc>
                          <w:tcPr>
                            <w:tcW w:w="12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02DC99"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1,653 </w:t>
                            </w:r>
                          </w:p>
                        </w:tc>
                        <w:tc>
                          <w:tcPr>
                            <w:tcW w:w="6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D5DAC2"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9.60 </w:t>
                            </w:r>
                          </w:p>
                        </w:tc>
                        <w:tc>
                          <w:tcPr>
                            <w:tcW w:w="11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362403"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1,522 </w:t>
                            </w:r>
                          </w:p>
                        </w:tc>
                        <w:tc>
                          <w:tcPr>
                            <w:tcW w:w="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105144" w14:textId="77777777" w:rsidR="00AA3647" w:rsidRPr="006636D0" w:rsidRDefault="00AA3647" w:rsidP="00173524">
                            <w:pPr>
                              <w:snapToGrid w:val="0"/>
                              <w:spacing w:line="200" w:lineRule="atLeast"/>
                              <w:suppressOverlap/>
                              <w:jc w:val="right"/>
                              <w:rPr>
                                <w:rFonts w:ascii="標楷體" w:eastAsia="標楷體" w:hAnsi="標楷體"/>
                                <w:color w:val="000000"/>
                                <w:sz w:val="20"/>
                              </w:rPr>
                            </w:pPr>
                            <w:r w:rsidRPr="006636D0">
                              <w:rPr>
                                <w:rFonts w:ascii="標楷體" w:eastAsia="標楷體" w:hAnsi="標楷體" w:hint="eastAsia"/>
                                <w:color w:val="000000"/>
                                <w:sz w:val="20"/>
                              </w:rPr>
                              <w:t xml:space="preserve">9.77 </w:t>
                            </w:r>
                          </w:p>
                        </w:tc>
                      </w:tr>
                    </w:tbl>
                    <w:p w14:paraId="6B55EAAA" w14:textId="77777777" w:rsidR="00AA3647" w:rsidRPr="00173524" w:rsidRDefault="00AA3647" w:rsidP="00AA3647">
                      <w:pPr>
                        <w:rPr>
                          <w:rFonts w:ascii="標楷體" w:eastAsia="標楷體" w:hAnsi="標楷體"/>
                          <w:sz w:val="18"/>
                          <w:szCs w:val="14"/>
                        </w:rPr>
                      </w:pPr>
                      <w:r w:rsidRPr="00173524">
                        <w:rPr>
                          <w:rFonts w:ascii="標楷體" w:eastAsia="標楷體" w:hAnsi="標楷體" w:hint="eastAsia"/>
                          <w:sz w:val="18"/>
                          <w:szCs w:val="14"/>
                        </w:rPr>
                        <w:t>資料來源：整理自中央選舉委員會提供資料。</w:t>
                      </w:r>
                    </w:p>
                  </w:txbxContent>
                </v:textbox>
                <w10:wrap type="square" anchorx="margin"/>
              </v:shape>
            </w:pict>
          </mc:Fallback>
        </mc:AlternateContent>
      </w:r>
      <w:r w:rsidR="00142942" w:rsidRPr="000A3985">
        <w:rPr>
          <w:rFonts w:ascii="標楷體" w:eastAsia="標楷體" w:hAnsi="標楷體"/>
          <w:b/>
          <w:color w:val="000000" w:themeColor="text1"/>
          <w:spacing w:val="4"/>
          <w:szCs w:val="24"/>
        </w:rPr>
        <w:t>2.</w:t>
      </w:r>
      <w:r w:rsidR="00142942" w:rsidRPr="000A3985">
        <w:rPr>
          <w:rFonts w:ascii="標楷體" w:eastAsia="標楷體" w:hAnsi="標楷體" w:hint="eastAsia"/>
          <w:b/>
          <w:color w:val="000000" w:themeColor="text1"/>
          <w:spacing w:val="4"/>
          <w:szCs w:val="24"/>
        </w:rPr>
        <w:t xml:space="preserve">　部分地方選舉委員會轄區1人原住民選舉人投（開）票所占</w:t>
      </w:r>
      <w:proofErr w:type="gramStart"/>
      <w:r w:rsidR="00142942" w:rsidRPr="000A3985">
        <w:rPr>
          <w:rFonts w:ascii="標楷體" w:eastAsia="標楷體" w:hAnsi="標楷體" w:hint="eastAsia"/>
          <w:b/>
          <w:color w:val="000000" w:themeColor="text1"/>
          <w:spacing w:val="4"/>
          <w:szCs w:val="24"/>
        </w:rPr>
        <w:t>比降幅未</w:t>
      </w:r>
      <w:proofErr w:type="gramEnd"/>
      <w:r w:rsidR="00142942" w:rsidRPr="000A3985">
        <w:rPr>
          <w:rFonts w:ascii="標楷體" w:eastAsia="標楷體" w:hAnsi="標楷體" w:hint="eastAsia"/>
          <w:b/>
          <w:color w:val="000000" w:themeColor="text1"/>
          <w:spacing w:val="4"/>
          <w:szCs w:val="24"/>
        </w:rPr>
        <w:t>達績效目標值，或徵詢異動回復率仍低：</w:t>
      </w:r>
      <w:r w:rsidR="00142942" w:rsidRPr="000A3985">
        <w:rPr>
          <w:rFonts w:ascii="標楷體" w:eastAsia="標楷體" w:hAnsi="標楷體" w:hint="eastAsia"/>
          <w:bCs/>
          <w:color w:val="000000" w:themeColor="text1"/>
          <w:spacing w:val="4"/>
          <w:szCs w:val="24"/>
        </w:rPr>
        <w:t>依據公職人員選舉罷免法第16條、第17條第1項、第57條第1項、第3項及第5項等規定，原住民公職人員係由具原住民族身分之選舉人（下稱原住民選舉人）投票產生，</w:t>
      </w:r>
      <w:proofErr w:type="gramStart"/>
      <w:r w:rsidR="00142942" w:rsidRPr="000A3985">
        <w:rPr>
          <w:rFonts w:ascii="標楷體" w:eastAsia="標楷體" w:hAnsi="標楷體" w:hint="eastAsia"/>
          <w:bCs/>
          <w:color w:val="000000" w:themeColor="text1"/>
          <w:spacing w:val="4"/>
          <w:szCs w:val="24"/>
        </w:rPr>
        <w:t>其投</w:t>
      </w:r>
      <w:proofErr w:type="gramEnd"/>
      <w:r w:rsidR="00142942" w:rsidRPr="000A3985">
        <w:rPr>
          <w:rFonts w:ascii="標楷體" w:eastAsia="標楷體" w:hAnsi="標楷體" w:hint="eastAsia"/>
          <w:bCs/>
          <w:color w:val="000000" w:themeColor="text1"/>
          <w:spacing w:val="4"/>
          <w:szCs w:val="24"/>
        </w:rPr>
        <w:t>（開）票所之設置，係由中央選舉委員會督導各地方選舉委員會視原住民選舉人分布情形，單獨設置投（開）票所或於區域選舉投（開）票所內辦理投票。長年以來，因部分地區原住民選舉人數較少，每逢公職人員選舉，易發生1投（開）票所內僅有1位原住民選舉人之情形，產生雖選票為無記名，惟該原住民選舉人投票選擇之對象於唱票時暴露，形同記名投票，衍生有違憲法保障人民無記名（秘密）投票自由之疑慮。中央選舉委員會為保障原住民選舉人投票秘密，自90年間即持續督導各地方選舉委員會如遇有投（開）票所僅1位原住民選舉人【下稱1人投（開）票所】情形，應於徵詢該原住民選舉人意願後，將其調整至選舉區內其他有原住民選舉人之投（開）票所投票，以降低1人投（開）票所數量，該會</w:t>
      </w:r>
      <w:proofErr w:type="gramStart"/>
      <w:r w:rsidR="00142942" w:rsidRPr="000A3985">
        <w:rPr>
          <w:rFonts w:ascii="標楷體" w:eastAsia="標楷體" w:hAnsi="標楷體" w:hint="eastAsia"/>
          <w:bCs/>
          <w:color w:val="000000" w:themeColor="text1"/>
          <w:spacing w:val="4"/>
          <w:szCs w:val="24"/>
        </w:rPr>
        <w:t>嗣</w:t>
      </w:r>
      <w:proofErr w:type="gramEnd"/>
      <w:r w:rsidR="00142942" w:rsidRPr="000A3985">
        <w:rPr>
          <w:rFonts w:ascii="標楷體" w:eastAsia="標楷體" w:hAnsi="標楷體" w:hint="eastAsia"/>
          <w:bCs/>
          <w:color w:val="000000" w:themeColor="text1"/>
          <w:spacing w:val="4"/>
          <w:szCs w:val="24"/>
        </w:rPr>
        <w:t>就第11屆立法委員選舉原住民投（開）票所設置及異動作業，於112年6月8日函請各地方選舉委員會配合朝向「集中設置原住民投票所」及「提高辦理徵詢原住民選舉人投票所異動回復率」等2大方向進行改善，並參照轄區內原住民選舉人分布情形及投（開）票所設置數等，訂定降低第11屆立法委員選舉1人投（開）票所</w:t>
      </w:r>
      <w:r w:rsidRPr="000A3985">
        <w:rPr>
          <w:rFonts w:ascii="標楷體" w:eastAsia="標楷體" w:hAnsi="標楷體" w:hint="eastAsia"/>
          <w:bCs/>
          <w:color w:val="000000" w:themeColor="text1"/>
          <w:spacing w:val="4"/>
          <w:szCs w:val="24"/>
        </w:rPr>
        <w:t>之績效目標，以強化降低1人投（開）票所措施之辦理成效。</w:t>
      </w:r>
      <w:proofErr w:type="gramStart"/>
      <w:r w:rsidRPr="000A3985">
        <w:rPr>
          <w:rFonts w:ascii="標楷體" w:eastAsia="標楷體" w:hAnsi="標楷體" w:hint="eastAsia"/>
          <w:bCs/>
          <w:color w:val="000000" w:themeColor="text1"/>
          <w:spacing w:val="4"/>
          <w:szCs w:val="24"/>
        </w:rPr>
        <w:t>查據中央選舉委員會</w:t>
      </w:r>
      <w:proofErr w:type="gramEnd"/>
      <w:r w:rsidRPr="000A3985">
        <w:rPr>
          <w:rFonts w:ascii="標楷體" w:eastAsia="標楷體" w:hAnsi="標楷體" w:hint="eastAsia"/>
          <w:bCs/>
          <w:color w:val="000000" w:themeColor="text1"/>
          <w:spacing w:val="4"/>
          <w:szCs w:val="24"/>
        </w:rPr>
        <w:t>統計近3屆立法委員選舉（第9屆至第11屆，分別於105、109、113年度辦理選舉）1人投（開）票所情形，該會於第11屆立法委員選舉採取前揭強化措施後，平地、山地原住民選舉人1人投（開）票所數由</w:t>
      </w:r>
      <w:proofErr w:type="gramStart"/>
      <w:r w:rsidRPr="000A3985">
        <w:rPr>
          <w:rFonts w:ascii="標楷體" w:eastAsia="標楷體" w:hAnsi="標楷體" w:hint="eastAsia"/>
          <w:bCs/>
          <w:color w:val="000000" w:themeColor="text1"/>
          <w:spacing w:val="4"/>
          <w:szCs w:val="24"/>
        </w:rPr>
        <w:t>105</w:t>
      </w:r>
      <w:proofErr w:type="gramEnd"/>
      <w:r w:rsidRPr="000A3985">
        <w:rPr>
          <w:rFonts w:ascii="標楷體" w:eastAsia="標楷體" w:hAnsi="標楷體" w:hint="eastAsia"/>
          <w:bCs/>
          <w:color w:val="000000" w:themeColor="text1"/>
          <w:spacing w:val="4"/>
          <w:szCs w:val="24"/>
        </w:rPr>
        <w:t>年度、</w:t>
      </w:r>
      <w:proofErr w:type="gramStart"/>
      <w:r w:rsidRPr="000A3985">
        <w:rPr>
          <w:rFonts w:ascii="標楷體" w:eastAsia="標楷體" w:hAnsi="標楷體" w:hint="eastAsia"/>
          <w:bCs/>
          <w:color w:val="000000" w:themeColor="text1"/>
          <w:spacing w:val="4"/>
          <w:szCs w:val="24"/>
        </w:rPr>
        <w:t>109</w:t>
      </w:r>
      <w:proofErr w:type="gramEnd"/>
      <w:r w:rsidRPr="000A3985">
        <w:rPr>
          <w:rFonts w:ascii="標楷體" w:eastAsia="標楷體" w:hAnsi="標楷體" w:hint="eastAsia"/>
          <w:bCs/>
          <w:color w:val="000000" w:themeColor="text1"/>
          <w:spacing w:val="4"/>
          <w:szCs w:val="24"/>
        </w:rPr>
        <w:t>年度介於1千4百餘所至1千6百餘所間（占比介於9.42％至9.77％間），降低至</w:t>
      </w:r>
      <w:proofErr w:type="gramStart"/>
      <w:r w:rsidRPr="000A3985">
        <w:rPr>
          <w:rFonts w:ascii="標楷體" w:eastAsia="標楷體" w:hAnsi="標楷體" w:hint="eastAsia"/>
          <w:bCs/>
          <w:color w:val="000000" w:themeColor="text1"/>
          <w:spacing w:val="4"/>
          <w:szCs w:val="24"/>
        </w:rPr>
        <w:t>113</w:t>
      </w:r>
      <w:proofErr w:type="gramEnd"/>
      <w:r w:rsidRPr="000A3985">
        <w:rPr>
          <w:rFonts w:ascii="標楷體" w:eastAsia="標楷體" w:hAnsi="標楷體" w:hint="eastAsia"/>
          <w:bCs/>
          <w:color w:val="000000" w:themeColor="text1"/>
          <w:spacing w:val="4"/>
          <w:szCs w:val="24"/>
        </w:rPr>
        <w:t>年度之966所（占比5.43％）、1,069所(占比6.01％)，整體改善成效顯著（表</w:t>
      </w:r>
      <w:r w:rsidRPr="000A3985">
        <w:rPr>
          <w:rFonts w:ascii="標楷體" w:eastAsia="標楷體" w:hAnsi="標楷體"/>
          <w:bCs/>
          <w:color w:val="000000" w:themeColor="text1"/>
          <w:spacing w:val="4"/>
          <w:szCs w:val="24"/>
        </w:rPr>
        <w:t>5</w:t>
      </w:r>
      <w:r w:rsidRPr="000A3985">
        <w:rPr>
          <w:rFonts w:ascii="標楷體" w:eastAsia="標楷體" w:hAnsi="標楷體" w:hint="eastAsia"/>
          <w:bCs/>
          <w:color w:val="000000" w:themeColor="text1"/>
          <w:spacing w:val="4"/>
          <w:szCs w:val="24"/>
        </w:rPr>
        <w:t>2）。</w:t>
      </w:r>
      <w:proofErr w:type="gramStart"/>
      <w:r w:rsidRPr="000A3985">
        <w:rPr>
          <w:rFonts w:ascii="標楷體" w:eastAsia="標楷體" w:hAnsi="標楷體" w:hint="eastAsia"/>
          <w:bCs/>
          <w:color w:val="000000" w:themeColor="text1"/>
          <w:spacing w:val="4"/>
          <w:szCs w:val="24"/>
        </w:rPr>
        <w:t>惟</w:t>
      </w:r>
      <w:proofErr w:type="gramEnd"/>
      <w:r w:rsidRPr="000A3985">
        <w:rPr>
          <w:rFonts w:ascii="標楷體" w:eastAsia="標楷體" w:hAnsi="標楷體" w:hint="eastAsia"/>
          <w:bCs/>
          <w:color w:val="000000" w:themeColor="text1"/>
          <w:spacing w:val="4"/>
          <w:szCs w:val="24"/>
        </w:rPr>
        <w:t>22個地方選舉委員會中，仍有新北市等8</w:t>
      </w:r>
      <w:r w:rsidR="000A3985" w:rsidRPr="00714887">
        <w:rPr>
          <w:rFonts w:ascii="標楷體" w:eastAsia="標楷體" w:hAnsi="標楷體" w:hint="eastAsia"/>
          <w:bCs/>
          <w:color w:val="000000" w:themeColor="text1"/>
          <w:szCs w:val="24"/>
        </w:rPr>
        <w:t>個地</w:t>
      </w:r>
    </w:p>
    <w:p w14:paraId="4EDBC9EE" w14:textId="52AAB764" w:rsidR="00A77EB2" w:rsidRPr="00A77EB2" w:rsidRDefault="000A3985" w:rsidP="00714887">
      <w:pPr>
        <w:overflowPunct w:val="0"/>
        <w:snapToGrid w:val="0"/>
        <w:spacing w:line="450" w:lineRule="exact"/>
        <w:jc w:val="both"/>
        <w:rPr>
          <w:rFonts w:ascii="標楷體" w:eastAsia="標楷體" w:hAnsi="標楷體"/>
          <w:bCs/>
          <w:color w:val="000000" w:themeColor="text1"/>
          <w:szCs w:val="24"/>
        </w:rPr>
      </w:pPr>
      <w:r w:rsidRPr="00714887">
        <w:rPr>
          <w:rFonts w:ascii="標楷體" w:eastAsia="標楷體" w:hAnsi="標楷體" w:hint="eastAsia"/>
          <w:bCs/>
          <w:color w:val="000000" w:themeColor="text1"/>
          <w:szCs w:val="24"/>
        </w:rPr>
        <w:lastRenderedPageBreak/>
        <w:t>方</w:t>
      </w:r>
      <w:r w:rsidR="00014570">
        <w:rPr>
          <w:noProof/>
        </w:rPr>
        <mc:AlternateContent>
          <mc:Choice Requires="wps">
            <w:drawing>
              <wp:anchor distT="45720" distB="45720" distL="114300" distR="114300" simplePos="0" relativeHeight="251653120" behindDoc="0" locked="0" layoutInCell="1" allowOverlap="1" wp14:anchorId="01C820FC" wp14:editId="1964C1D6">
                <wp:simplePos x="0" y="0"/>
                <wp:positionH relativeFrom="margin">
                  <wp:posOffset>1949450</wp:posOffset>
                </wp:positionH>
                <wp:positionV relativeFrom="paragraph">
                  <wp:posOffset>57150</wp:posOffset>
                </wp:positionV>
                <wp:extent cx="4352290" cy="140462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290" cy="1404620"/>
                        </a:xfrm>
                        <a:prstGeom prst="rect">
                          <a:avLst/>
                        </a:prstGeom>
                        <a:solidFill>
                          <a:srgbClr val="FFFFFF"/>
                        </a:solidFill>
                        <a:ln w="9525">
                          <a:noFill/>
                          <a:miter lim="800000"/>
                          <a:headEnd/>
                          <a:tailEnd/>
                        </a:ln>
                      </wps:spPr>
                      <wps:txbx>
                        <w:txbxContent>
                          <w:p w14:paraId="4D1A4F4D" w14:textId="77777777" w:rsidR="00763E0D" w:rsidRDefault="00763E0D" w:rsidP="00763E0D">
                            <w:pPr>
                              <w:spacing w:line="320" w:lineRule="exact"/>
                              <w:ind w:left="781" w:hangingChars="325" w:hanging="781"/>
                              <w:rPr>
                                <w:rFonts w:ascii="標楷體" w:eastAsia="標楷體" w:hAnsi="標楷體"/>
                                <w:b/>
                                <w:bCs/>
                              </w:rPr>
                            </w:pPr>
                            <w:r w:rsidRPr="00B0462E">
                              <w:rPr>
                                <w:rFonts w:ascii="標楷體" w:eastAsia="標楷體" w:hAnsi="標楷體" w:hint="eastAsia"/>
                                <w:b/>
                                <w:bCs/>
                              </w:rPr>
                              <w:t>表</w:t>
                            </w:r>
                            <w:r>
                              <w:rPr>
                                <w:rFonts w:ascii="標楷體" w:eastAsia="標楷體" w:hAnsi="標楷體" w:hint="eastAsia"/>
                                <w:b/>
                                <w:bCs/>
                              </w:rPr>
                              <w:t>5</w:t>
                            </w:r>
                            <w:r>
                              <w:rPr>
                                <w:rFonts w:ascii="標楷體" w:eastAsia="標楷體" w:hAnsi="標楷體"/>
                                <w:b/>
                                <w:bCs/>
                              </w:rPr>
                              <w:t>3</w:t>
                            </w:r>
                            <w:r w:rsidRPr="00B0462E">
                              <w:rPr>
                                <w:rFonts w:ascii="標楷體" w:eastAsia="標楷體" w:hAnsi="標楷體" w:hint="eastAsia"/>
                                <w:b/>
                                <w:bCs/>
                              </w:rPr>
                              <w:t xml:space="preserve">　</w:t>
                            </w:r>
                            <w:r>
                              <w:rPr>
                                <w:rFonts w:ascii="標楷體" w:eastAsia="標楷體" w:hAnsi="標楷體" w:hint="eastAsia"/>
                                <w:b/>
                                <w:bCs/>
                              </w:rPr>
                              <w:t>第1</w:t>
                            </w:r>
                            <w:r>
                              <w:rPr>
                                <w:rFonts w:ascii="標楷體" w:eastAsia="標楷體" w:hAnsi="標楷體"/>
                                <w:b/>
                                <w:bCs/>
                              </w:rPr>
                              <w:t>1</w:t>
                            </w:r>
                            <w:r>
                              <w:rPr>
                                <w:rFonts w:ascii="標楷體" w:eastAsia="標楷體" w:hAnsi="標楷體" w:hint="eastAsia"/>
                                <w:b/>
                                <w:bCs/>
                              </w:rPr>
                              <w:t>屆</w:t>
                            </w:r>
                            <w:r w:rsidRPr="00B0462E">
                              <w:rPr>
                                <w:rFonts w:ascii="標楷體" w:eastAsia="標楷體" w:hAnsi="標楷體" w:hint="eastAsia"/>
                                <w:b/>
                                <w:bCs/>
                              </w:rPr>
                              <w:t>立法委員選舉原住民選舉人1人投（開）票所設置</w:t>
                            </w:r>
                            <w:r>
                              <w:rPr>
                                <w:rFonts w:ascii="標楷體" w:eastAsia="標楷體" w:hAnsi="標楷體" w:hint="eastAsia"/>
                                <w:b/>
                                <w:bCs/>
                              </w:rPr>
                              <w:t>未達目標值且占比為5％以上</w:t>
                            </w:r>
                            <w:r w:rsidRPr="00B0462E">
                              <w:rPr>
                                <w:rFonts w:ascii="標楷體" w:eastAsia="標楷體" w:hAnsi="標楷體" w:hint="eastAsia"/>
                                <w:b/>
                                <w:bCs/>
                              </w:rPr>
                              <w:t>情形</w:t>
                            </w:r>
                          </w:p>
                          <w:p w14:paraId="05612281" w14:textId="77777777" w:rsidR="00763E0D" w:rsidRPr="006C76B0" w:rsidRDefault="00763E0D" w:rsidP="00763E0D">
                            <w:pPr>
                              <w:spacing w:line="240" w:lineRule="exact"/>
                              <w:jc w:val="right"/>
                              <w:rPr>
                                <w:rFonts w:ascii="標楷體" w:eastAsia="標楷體" w:hAnsi="標楷體"/>
                                <w:sz w:val="20"/>
                                <w:szCs w:val="16"/>
                              </w:rPr>
                            </w:pPr>
                            <w:r w:rsidRPr="006C76B0">
                              <w:rPr>
                                <w:rFonts w:ascii="標楷體" w:eastAsia="標楷體" w:hAnsi="標楷體" w:hint="eastAsia"/>
                                <w:sz w:val="20"/>
                                <w:szCs w:val="16"/>
                              </w:rPr>
                              <w:t>單位：所、％</w:t>
                            </w:r>
                          </w:p>
                          <w:tbl>
                            <w:tblPr>
                              <w:tblStyle w:val="afff"/>
                              <w:tblW w:w="6521" w:type="dxa"/>
                              <w:jc w:val="center"/>
                              <w:tblLook w:val="04A0" w:firstRow="1" w:lastRow="0" w:firstColumn="1" w:lastColumn="0" w:noHBand="0" w:noVBand="1"/>
                            </w:tblPr>
                            <w:tblGrid>
                              <w:gridCol w:w="886"/>
                              <w:gridCol w:w="1289"/>
                              <w:gridCol w:w="1088"/>
                              <w:gridCol w:w="1156"/>
                              <w:gridCol w:w="942"/>
                              <w:gridCol w:w="1160"/>
                            </w:tblGrid>
                            <w:tr w:rsidR="00763E0D" w:rsidRPr="004D771D" w14:paraId="3D1F73D8" w14:textId="77777777" w:rsidTr="00DA0F57">
                              <w:trPr>
                                <w:jc w:val="center"/>
                              </w:trPr>
                              <w:tc>
                                <w:tcPr>
                                  <w:tcW w:w="886" w:type="dxa"/>
                                  <w:vAlign w:val="center"/>
                                </w:tcPr>
                                <w:p w14:paraId="7A75670E" w14:textId="77777777" w:rsidR="00763E0D" w:rsidRPr="004D771D" w:rsidRDefault="00763E0D" w:rsidP="00E3260A">
                                  <w:pPr>
                                    <w:spacing w:line="280" w:lineRule="exact"/>
                                    <w:jc w:val="center"/>
                                    <w:rPr>
                                      <w:rFonts w:ascii="標楷體" w:eastAsia="標楷體" w:hAnsi="標楷體"/>
                                      <w:sz w:val="20"/>
                                    </w:rPr>
                                  </w:pPr>
                                  <w:proofErr w:type="gramStart"/>
                                  <w:r w:rsidRPr="004D771D">
                                    <w:rPr>
                                      <w:rFonts w:ascii="標楷體" w:eastAsia="標楷體" w:hAnsi="標楷體" w:hint="eastAsia"/>
                                      <w:sz w:val="20"/>
                                    </w:rPr>
                                    <w:t>市縣別</w:t>
                                  </w:r>
                                  <w:proofErr w:type="gramEnd"/>
                                </w:p>
                              </w:tc>
                              <w:tc>
                                <w:tcPr>
                                  <w:tcW w:w="1289" w:type="dxa"/>
                                  <w:vAlign w:val="center"/>
                                </w:tcPr>
                                <w:p w14:paraId="04FF8D22"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z w:val="20"/>
                                    </w:rPr>
                                    <w:t>轄內總投(開)票所數</w:t>
                                  </w:r>
                                </w:p>
                              </w:tc>
                              <w:tc>
                                <w:tcPr>
                                  <w:tcW w:w="1088" w:type="dxa"/>
                                  <w:vAlign w:val="center"/>
                                </w:tcPr>
                                <w:p w14:paraId="5AD60D5E"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pacing w:val="-4"/>
                                      <w:sz w:val="20"/>
                                    </w:rPr>
                                    <w:t>平／山地</w:t>
                                  </w:r>
                                </w:p>
                              </w:tc>
                              <w:tc>
                                <w:tcPr>
                                  <w:tcW w:w="1156" w:type="dxa"/>
                                  <w:vAlign w:val="center"/>
                                </w:tcPr>
                                <w:p w14:paraId="60CBBBF1" w14:textId="77777777" w:rsidR="00763E0D" w:rsidRPr="004D771D" w:rsidRDefault="00763E0D" w:rsidP="00E3260A">
                                  <w:pPr>
                                    <w:spacing w:line="280" w:lineRule="exact"/>
                                    <w:jc w:val="center"/>
                                    <w:rPr>
                                      <w:rFonts w:ascii="標楷體" w:eastAsia="標楷體" w:hAnsi="標楷體"/>
                                      <w:spacing w:val="-2"/>
                                      <w:sz w:val="20"/>
                                    </w:rPr>
                                  </w:pPr>
                                  <w:r w:rsidRPr="004D771D">
                                    <w:rPr>
                                      <w:rFonts w:ascii="標楷體" w:eastAsia="標楷體" w:hAnsi="標楷體" w:hint="eastAsia"/>
                                      <w:spacing w:val="-2"/>
                                      <w:sz w:val="20"/>
                                    </w:rPr>
                                    <w:t>1人投(開)票所數</w:t>
                                  </w:r>
                                </w:p>
                              </w:tc>
                              <w:tc>
                                <w:tcPr>
                                  <w:tcW w:w="942" w:type="dxa"/>
                                  <w:vAlign w:val="center"/>
                                </w:tcPr>
                                <w:p w14:paraId="02F602DE"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z w:val="20"/>
                                    </w:rPr>
                                    <w:t>占比</w:t>
                                  </w:r>
                                </w:p>
                              </w:tc>
                              <w:tc>
                                <w:tcPr>
                                  <w:tcW w:w="1160" w:type="dxa"/>
                                  <w:vAlign w:val="center"/>
                                </w:tcPr>
                                <w:p w14:paraId="32D8AADB"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z w:val="20"/>
                                    </w:rPr>
                                    <w:t>績效目標</w:t>
                                  </w:r>
                                </w:p>
                              </w:tc>
                            </w:tr>
                            <w:tr w:rsidR="00763E0D" w:rsidRPr="004D771D" w14:paraId="77AED650" w14:textId="77777777" w:rsidTr="00DA0F57">
                              <w:trPr>
                                <w:jc w:val="center"/>
                              </w:trPr>
                              <w:tc>
                                <w:tcPr>
                                  <w:tcW w:w="886" w:type="dxa"/>
                                  <w:vMerge w:val="restart"/>
                                  <w:vAlign w:val="center"/>
                                </w:tcPr>
                                <w:p w14:paraId="7AABFF9B"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新北市</w:t>
                                  </w:r>
                                </w:p>
                              </w:tc>
                              <w:tc>
                                <w:tcPr>
                                  <w:tcW w:w="1289" w:type="dxa"/>
                                  <w:vMerge w:val="restart"/>
                                  <w:vAlign w:val="center"/>
                                </w:tcPr>
                                <w:p w14:paraId="3379CAD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2,681</w:t>
                                  </w:r>
                                </w:p>
                              </w:tc>
                              <w:tc>
                                <w:tcPr>
                                  <w:tcW w:w="1088" w:type="dxa"/>
                                  <w:vAlign w:val="center"/>
                                </w:tcPr>
                                <w:p w14:paraId="6267FC9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4A52F0B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177</w:t>
                                  </w:r>
                                </w:p>
                              </w:tc>
                              <w:tc>
                                <w:tcPr>
                                  <w:tcW w:w="942" w:type="dxa"/>
                                  <w:vAlign w:val="center"/>
                                </w:tcPr>
                                <w:p w14:paraId="6AE8B87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6.60</w:t>
                                  </w:r>
                                </w:p>
                              </w:tc>
                              <w:tc>
                                <w:tcPr>
                                  <w:tcW w:w="1160" w:type="dxa"/>
                                  <w:vAlign w:val="center"/>
                                </w:tcPr>
                                <w:p w14:paraId="7CF9012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5.00</w:t>
                                  </w:r>
                                </w:p>
                              </w:tc>
                            </w:tr>
                            <w:tr w:rsidR="00763E0D" w:rsidRPr="004D771D" w14:paraId="6734D116" w14:textId="77777777" w:rsidTr="00DA0F57">
                              <w:trPr>
                                <w:jc w:val="center"/>
                              </w:trPr>
                              <w:tc>
                                <w:tcPr>
                                  <w:tcW w:w="886" w:type="dxa"/>
                                  <w:vMerge/>
                                  <w:vAlign w:val="center"/>
                                </w:tcPr>
                                <w:p w14:paraId="0960B978"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5EB7F48D"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522DBBC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3F88E8F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317</w:t>
                                  </w:r>
                                </w:p>
                              </w:tc>
                              <w:tc>
                                <w:tcPr>
                                  <w:tcW w:w="942" w:type="dxa"/>
                                  <w:vAlign w:val="center"/>
                                </w:tcPr>
                                <w:p w14:paraId="025DAC90"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11.82</w:t>
                                  </w:r>
                                </w:p>
                              </w:tc>
                              <w:tc>
                                <w:tcPr>
                                  <w:tcW w:w="1160" w:type="dxa"/>
                                  <w:vAlign w:val="center"/>
                                </w:tcPr>
                                <w:p w14:paraId="5EB1D49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8.00</w:t>
                                  </w:r>
                                </w:p>
                              </w:tc>
                            </w:tr>
                            <w:tr w:rsidR="00763E0D" w:rsidRPr="004D771D" w14:paraId="720FAFF6" w14:textId="77777777" w:rsidTr="00DA0F57">
                              <w:trPr>
                                <w:jc w:val="center"/>
                              </w:trPr>
                              <w:tc>
                                <w:tcPr>
                                  <w:tcW w:w="886" w:type="dxa"/>
                                  <w:vMerge w:val="restart"/>
                                  <w:vAlign w:val="center"/>
                                </w:tcPr>
                                <w:p w14:paraId="704626FC"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基隆市</w:t>
                                  </w:r>
                                </w:p>
                              </w:tc>
                              <w:tc>
                                <w:tcPr>
                                  <w:tcW w:w="1289" w:type="dxa"/>
                                  <w:vMerge w:val="restart"/>
                                  <w:vAlign w:val="center"/>
                                </w:tcPr>
                                <w:p w14:paraId="4E52844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285</w:t>
                                  </w:r>
                                </w:p>
                              </w:tc>
                              <w:tc>
                                <w:tcPr>
                                  <w:tcW w:w="1088" w:type="dxa"/>
                                  <w:vAlign w:val="center"/>
                                </w:tcPr>
                                <w:p w14:paraId="4EA8DBC6"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3F04282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16</w:t>
                                  </w:r>
                                </w:p>
                              </w:tc>
                              <w:tc>
                                <w:tcPr>
                                  <w:tcW w:w="942" w:type="dxa"/>
                                  <w:vAlign w:val="center"/>
                                </w:tcPr>
                                <w:p w14:paraId="1D8619B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5.61</w:t>
                                  </w:r>
                                </w:p>
                              </w:tc>
                              <w:tc>
                                <w:tcPr>
                                  <w:tcW w:w="1160" w:type="dxa"/>
                                  <w:vAlign w:val="center"/>
                                </w:tcPr>
                                <w:p w14:paraId="3C966E3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5.00</w:t>
                                  </w:r>
                                </w:p>
                              </w:tc>
                            </w:tr>
                            <w:tr w:rsidR="00763E0D" w:rsidRPr="004D771D" w14:paraId="6504CAEE" w14:textId="77777777" w:rsidTr="00DA0F57">
                              <w:trPr>
                                <w:jc w:val="center"/>
                              </w:trPr>
                              <w:tc>
                                <w:tcPr>
                                  <w:tcW w:w="886" w:type="dxa"/>
                                  <w:vMerge/>
                                  <w:vAlign w:val="center"/>
                                </w:tcPr>
                                <w:p w14:paraId="5EDE6B19"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15BF8C4E"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7076473A"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0497736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39</w:t>
                                  </w:r>
                                </w:p>
                              </w:tc>
                              <w:tc>
                                <w:tcPr>
                                  <w:tcW w:w="942" w:type="dxa"/>
                                  <w:vAlign w:val="center"/>
                                </w:tcPr>
                                <w:p w14:paraId="41342A70"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13.68</w:t>
                                  </w:r>
                                </w:p>
                              </w:tc>
                              <w:tc>
                                <w:tcPr>
                                  <w:tcW w:w="1160" w:type="dxa"/>
                                  <w:vAlign w:val="center"/>
                                </w:tcPr>
                                <w:p w14:paraId="094CDE9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r w:rsidR="00763E0D" w:rsidRPr="004D771D" w14:paraId="6F7C7B4C" w14:textId="77777777" w:rsidTr="00DA0F57">
                              <w:trPr>
                                <w:jc w:val="center"/>
                              </w:trPr>
                              <w:tc>
                                <w:tcPr>
                                  <w:tcW w:w="886" w:type="dxa"/>
                                  <w:vAlign w:val="center"/>
                                </w:tcPr>
                                <w:p w14:paraId="03E9F883"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新竹縣</w:t>
                                  </w:r>
                                </w:p>
                              </w:tc>
                              <w:tc>
                                <w:tcPr>
                                  <w:tcW w:w="1289" w:type="dxa"/>
                                  <w:vAlign w:val="center"/>
                                </w:tcPr>
                                <w:p w14:paraId="41EF6A38"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470</w:t>
                                  </w:r>
                                </w:p>
                              </w:tc>
                              <w:tc>
                                <w:tcPr>
                                  <w:tcW w:w="1088" w:type="dxa"/>
                                  <w:vAlign w:val="center"/>
                                </w:tcPr>
                                <w:p w14:paraId="18CABBC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34920461"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24</w:t>
                                  </w:r>
                                </w:p>
                              </w:tc>
                              <w:tc>
                                <w:tcPr>
                                  <w:tcW w:w="942" w:type="dxa"/>
                                  <w:vAlign w:val="center"/>
                                </w:tcPr>
                                <w:p w14:paraId="60BEBD3A"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5.11</w:t>
                                  </w:r>
                                </w:p>
                              </w:tc>
                              <w:tc>
                                <w:tcPr>
                                  <w:tcW w:w="1160" w:type="dxa"/>
                                  <w:vAlign w:val="center"/>
                                </w:tcPr>
                                <w:p w14:paraId="106E388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2.55</w:t>
                                  </w:r>
                                </w:p>
                              </w:tc>
                            </w:tr>
                            <w:tr w:rsidR="00763E0D" w:rsidRPr="004D771D" w14:paraId="310CEC55" w14:textId="77777777" w:rsidTr="00DA0F57">
                              <w:trPr>
                                <w:jc w:val="center"/>
                              </w:trPr>
                              <w:tc>
                                <w:tcPr>
                                  <w:tcW w:w="886" w:type="dxa"/>
                                  <w:vMerge w:val="restart"/>
                                  <w:vAlign w:val="center"/>
                                </w:tcPr>
                                <w:p w14:paraId="1592F90A"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苗栗縣</w:t>
                                  </w:r>
                                </w:p>
                              </w:tc>
                              <w:tc>
                                <w:tcPr>
                                  <w:tcW w:w="1289" w:type="dxa"/>
                                  <w:vMerge w:val="restart"/>
                                  <w:vAlign w:val="center"/>
                                </w:tcPr>
                                <w:p w14:paraId="4268B3C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484</w:t>
                                  </w:r>
                                </w:p>
                              </w:tc>
                              <w:tc>
                                <w:tcPr>
                                  <w:tcW w:w="1088" w:type="dxa"/>
                                  <w:vAlign w:val="center"/>
                                </w:tcPr>
                                <w:p w14:paraId="45C677A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69E9BDC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53</w:t>
                                  </w:r>
                                </w:p>
                              </w:tc>
                              <w:tc>
                                <w:tcPr>
                                  <w:tcW w:w="942" w:type="dxa"/>
                                  <w:vAlign w:val="center"/>
                                </w:tcPr>
                                <w:p w14:paraId="472343C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10.95</w:t>
                                  </w:r>
                                </w:p>
                              </w:tc>
                              <w:tc>
                                <w:tcPr>
                                  <w:tcW w:w="1160" w:type="dxa"/>
                                  <w:vAlign w:val="center"/>
                                </w:tcPr>
                                <w:p w14:paraId="2EEC0F1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01FF0C77" w14:textId="77777777" w:rsidTr="00DA0F57">
                              <w:trPr>
                                <w:jc w:val="center"/>
                              </w:trPr>
                              <w:tc>
                                <w:tcPr>
                                  <w:tcW w:w="886" w:type="dxa"/>
                                  <w:vMerge/>
                                  <w:vAlign w:val="center"/>
                                </w:tcPr>
                                <w:p w14:paraId="57D34B13"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5FF3FBB5"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2E0C267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232DA48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52</w:t>
                                  </w:r>
                                </w:p>
                              </w:tc>
                              <w:tc>
                                <w:tcPr>
                                  <w:tcW w:w="942" w:type="dxa"/>
                                  <w:vAlign w:val="center"/>
                                </w:tcPr>
                                <w:p w14:paraId="290D0F48"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10.74</w:t>
                                  </w:r>
                                </w:p>
                              </w:tc>
                              <w:tc>
                                <w:tcPr>
                                  <w:tcW w:w="1160" w:type="dxa"/>
                                  <w:vAlign w:val="center"/>
                                </w:tcPr>
                                <w:p w14:paraId="751000E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r w:rsidR="00763E0D" w:rsidRPr="004D771D" w14:paraId="5B219ADF" w14:textId="77777777" w:rsidTr="00DA0F57">
                              <w:trPr>
                                <w:jc w:val="center"/>
                              </w:trPr>
                              <w:tc>
                                <w:tcPr>
                                  <w:tcW w:w="886" w:type="dxa"/>
                                  <w:vMerge w:val="restart"/>
                                  <w:vAlign w:val="center"/>
                                </w:tcPr>
                                <w:p w14:paraId="308DD86B"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彰化縣</w:t>
                                  </w:r>
                                </w:p>
                              </w:tc>
                              <w:tc>
                                <w:tcPr>
                                  <w:tcW w:w="1289" w:type="dxa"/>
                                  <w:vMerge w:val="restart"/>
                                  <w:vAlign w:val="center"/>
                                </w:tcPr>
                                <w:p w14:paraId="4CB45AA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1,085</w:t>
                                  </w:r>
                                </w:p>
                              </w:tc>
                              <w:tc>
                                <w:tcPr>
                                  <w:tcW w:w="1088" w:type="dxa"/>
                                  <w:vAlign w:val="center"/>
                                </w:tcPr>
                                <w:p w14:paraId="3E0600E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075E322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158</w:t>
                                  </w:r>
                                </w:p>
                              </w:tc>
                              <w:tc>
                                <w:tcPr>
                                  <w:tcW w:w="942" w:type="dxa"/>
                                  <w:vAlign w:val="center"/>
                                </w:tcPr>
                                <w:p w14:paraId="43B7DD6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14.56</w:t>
                                  </w:r>
                                </w:p>
                              </w:tc>
                              <w:tc>
                                <w:tcPr>
                                  <w:tcW w:w="1160" w:type="dxa"/>
                                  <w:vAlign w:val="center"/>
                                </w:tcPr>
                                <w:p w14:paraId="7FB4EE2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8.75</w:t>
                                  </w:r>
                                </w:p>
                              </w:tc>
                            </w:tr>
                            <w:tr w:rsidR="00763E0D" w:rsidRPr="004D771D" w14:paraId="5EDF96B0" w14:textId="77777777" w:rsidTr="00DA0F57">
                              <w:trPr>
                                <w:jc w:val="center"/>
                              </w:trPr>
                              <w:tc>
                                <w:tcPr>
                                  <w:tcW w:w="886" w:type="dxa"/>
                                  <w:vMerge/>
                                  <w:vAlign w:val="center"/>
                                </w:tcPr>
                                <w:p w14:paraId="333F4025"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1C8C8AD5"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56B6DA7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3FE87700"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140</w:t>
                                  </w:r>
                                </w:p>
                              </w:tc>
                              <w:tc>
                                <w:tcPr>
                                  <w:tcW w:w="942" w:type="dxa"/>
                                  <w:vAlign w:val="center"/>
                                </w:tcPr>
                                <w:p w14:paraId="542A1E6E"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12.90</w:t>
                                  </w:r>
                                </w:p>
                              </w:tc>
                              <w:tc>
                                <w:tcPr>
                                  <w:tcW w:w="1160" w:type="dxa"/>
                                  <w:vAlign w:val="center"/>
                                </w:tcPr>
                                <w:p w14:paraId="6EDE3D3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8.75</w:t>
                                  </w:r>
                                </w:p>
                              </w:tc>
                            </w:tr>
                            <w:tr w:rsidR="00763E0D" w:rsidRPr="004D771D" w14:paraId="118226AB" w14:textId="77777777" w:rsidTr="00DA0F57">
                              <w:trPr>
                                <w:jc w:val="center"/>
                              </w:trPr>
                              <w:tc>
                                <w:tcPr>
                                  <w:tcW w:w="886" w:type="dxa"/>
                                  <w:vAlign w:val="center"/>
                                </w:tcPr>
                                <w:p w14:paraId="42A4B5D4"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南投縣</w:t>
                                  </w:r>
                                </w:p>
                              </w:tc>
                              <w:tc>
                                <w:tcPr>
                                  <w:tcW w:w="1289" w:type="dxa"/>
                                  <w:vAlign w:val="center"/>
                                </w:tcPr>
                                <w:p w14:paraId="43E0625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493</w:t>
                                  </w:r>
                                </w:p>
                              </w:tc>
                              <w:tc>
                                <w:tcPr>
                                  <w:tcW w:w="1088" w:type="dxa"/>
                                  <w:vAlign w:val="center"/>
                                </w:tcPr>
                                <w:p w14:paraId="122901F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4A3D253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48</w:t>
                                  </w:r>
                                </w:p>
                              </w:tc>
                              <w:tc>
                                <w:tcPr>
                                  <w:tcW w:w="942" w:type="dxa"/>
                                  <w:vAlign w:val="center"/>
                                </w:tcPr>
                                <w:p w14:paraId="26C9899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9.74</w:t>
                                  </w:r>
                                </w:p>
                              </w:tc>
                              <w:tc>
                                <w:tcPr>
                                  <w:tcW w:w="1160" w:type="dxa"/>
                                  <w:vAlign w:val="center"/>
                                </w:tcPr>
                                <w:p w14:paraId="1CAF70A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5D2819BB" w14:textId="77777777" w:rsidTr="00DA0F57">
                              <w:trPr>
                                <w:jc w:val="center"/>
                              </w:trPr>
                              <w:tc>
                                <w:tcPr>
                                  <w:tcW w:w="886" w:type="dxa"/>
                                  <w:vMerge w:val="restart"/>
                                  <w:vAlign w:val="center"/>
                                </w:tcPr>
                                <w:p w14:paraId="491219BB"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雲林縣</w:t>
                                  </w:r>
                                </w:p>
                              </w:tc>
                              <w:tc>
                                <w:tcPr>
                                  <w:tcW w:w="1289" w:type="dxa"/>
                                  <w:vMerge w:val="restart"/>
                                  <w:vAlign w:val="center"/>
                                </w:tcPr>
                                <w:p w14:paraId="5671E9D5"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620</w:t>
                                  </w:r>
                                </w:p>
                              </w:tc>
                              <w:tc>
                                <w:tcPr>
                                  <w:tcW w:w="1088" w:type="dxa"/>
                                  <w:vAlign w:val="center"/>
                                </w:tcPr>
                                <w:p w14:paraId="6B24747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7095864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100</w:t>
                                  </w:r>
                                </w:p>
                              </w:tc>
                              <w:tc>
                                <w:tcPr>
                                  <w:tcW w:w="942" w:type="dxa"/>
                                  <w:vAlign w:val="center"/>
                                </w:tcPr>
                                <w:p w14:paraId="334DF5F1"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16.13</w:t>
                                  </w:r>
                                </w:p>
                              </w:tc>
                              <w:tc>
                                <w:tcPr>
                                  <w:tcW w:w="1160" w:type="dxa"/>
                                  <w:vAlign w:val="center"/>
                                </w:tcPr>
                                <w:p w14:paraId="50E0DA6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744B0646" w14:textId="77777777" w:rsidTr="00DA0F57">
                              <w:trPr>
                                <w:jc w:val="center"/>
                              </w:trPr>
                              <w:tc>
                                <w:tcPr>
                                  <w:tcW w:w="886" w:type="dxa"/>
                                  <w:vMerge/>
                                  <w:vAlign w:val="center"/>
                                </w:tcPr>
                                <w:p w14:paraId="666FF31F"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6FCEE472"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6F1ED0B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0C3ACF16"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98</w:t>
                                  </w:r>
                                </w:p>
                              </w:tc>
                              <w:tc>
                                <w:tcPr>
                                  <w:tcW w:w="942" w:type="dxa"/>
                                  <w:vAlign w:val="center"/>
                                </w:tcPr>
                                <w:p w14:paraId="47272C2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15.81</w:t>
                                  </w:r>
                                </w:p>
                              </w:tc>
                              <w:tc>
                                <w:tcPr>
                                  <w:tcW w:w="1160" w:type="dxa"/>
                                  <w:vAlign w:val="center"/>
                                </w:tcPr>
                                <w:p w14:paraId="44D68221"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r w:rsidR="00763E0D" w:rsidRPr="004D771D" w14:paraId="31E5D893" w14:textId="77777777" w:rsidTr="00DA0F57">
                              <w:trPr>
                                <w:jc w:val="center"/>
                              </w:trPr>
                              <w:tc>
                                <w:tcPr>
                                  <w:tcW w:w="886" w:type="dxa"/>
                                  <w:vMerge w:val="restart"/>
                                  <w:vAlign w:val="center"/>
                                </w:tcPr>
                                <w:p w14:paraId="7D3CA6E8"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嘉義縣</w:t>
                                  </w:r>
                                </w:p>
                              </w:tc>
                              <w:tc>
                                <w:tcPr>
                                  <w:tcW w:w="1289" w:type="dxa"/>
                                  <w:vMerge w:val="restart"/>
                                  <w:vAlign w:val="center"/>
                                </w:tcPr>
                                <w:p w14:paraId="1ADC1FA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535</w:t>
                                  </w:r>
                                </w:p>
                              </w:tc>
                              <w:tc>
                                <w:tcPr>
                                  <w:tcW w:w="1088" w:type="dxa"/>
                                  <w:vAlign w:val="center"/>
                                </w:tcPr>
                                <w:p w14:paraId="09B7DA0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6D3448D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98</w:t>
                                  </w:r>
                                </w:p>
                              </w:tc>
                              <w:tc>
                                <w:tcPr>
                                  <w:tcW w:w="942" w:type="dxa"/>
                                  <w:vAlign w:val="center"/>
                                </w:tcPr>
                                <w:p w14:paraId="09DC059A"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18.32</w:t>
                                  </w:r>
                                </w:p>
                              </w:tc>
                              <w:tc>
                                <w:tcPr>
                                  <w:tcW w:w="1160" w:type="dxa"/>
                                  <w:vAlign w:val="center"/>
                                </w:tcPr>
                                <w:p w14:paraId="58CFAB2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4D7929F4" w14:textId="77777777" w:rsidTr="00DA0F57">
                              <w:trPr>
                                <w:jc w:val="center"/>
                              </w:trPr>
                              <w:tc>
                                <w:tcPr>
                                  <w:tcW w:w="886" w:type="dxa"/>
                                  <w:vMerge/>
                                  <w:vAlign w:val="center"/>
                                </w:tcPr>
                                <w:p w14:paraId="59B25E56"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2AD9E867"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04B5851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42C0B79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85</w:t>
                                  </w:r>
                                </w:p>
                              </w:tc>
                              <w:tc>
                                <w:tcPr>
                                  <w:tcW w:w="942" w:type="dxa"/>
                                  <w:vAlign w:val="center"/>
                                </w:tcPr>
                                <w:p w14:paraId="7650516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15.89</w:t>
                                  </w:r>
                                </w:p>
                              </w:tc>
                              <w:tc>
                                <w:tcPr>
                                  <w:tcW w:w="1160" w:type="dxa"/>
                                  <w:vAlign w:val="center"/>
                                </w:tcPr>
                                <w:p w14:paraId="024FE10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bl>
                          <w:p w14:paraId="3C4B5002" w14:textId="77777777" w:rsidR="00763E0D" w:rsidRPr="00B0462E" w:rsidRDefault="00763E0D" w:rsidP="00763E0D">
                            <w:pPr>
                              <w:spacing w:line="240" w:lineRule="exact"/>
                              <w:jc w:val="both"/>
                              <w:rPr>
                                <w:rFonts w:ascii="標楷體" w:eastAsia="標楷體" w:hAnsi="標楷體"/>
                                <w:sz w:val="18"/>
                                <w:szCs w:val="14"/>
                              </w:rPr>
                            </w:pPr>
                            <w:r w:rsidRPr="00B0462E">
                              <w:rPr>
                                <w:rFonts w:ascii="標楷體" w:eastAsia="標楷體" w:hAnsi="標楷體" w:hint="eastAsia"/>
                                <w:sz w:val="18"/>
                                <w:szCs w:val="14"/>
                              </w:rPr>
                              <w:t>資料來源：整理自中央選舉委員會提供資料。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C820FC" id="_x0000_s1163" type="#_x0000_t202" style="position:absolute;left:0;text-align:left;margin-left:153.5pt;margin-top:4.5pt;width:342.7pt;height:110.6pt;z-index:2516531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" stroked="f">
                <v:textbox style="mso-fit-shape-to-text:t">
                  <w:txbxContent>
                    <w:p w14:paraId="4D1A4F4D" w14:textId="77777777" w:rsidR="00763E0D" w:rsidRDefault="00763E0D" w:rsidP="00763E0D">
                      <w:pPr>
                        <w:spacing w:line="320" w:lineRule="exact"/>
                        <w:ind w:left="781" w:hangingChars="325" w:hanging="781"/>
                        <w:rPr>
                          <w:rFonts w:ascii="標楷體" w:eastAsia="標楷體" w:hAnsi="標楷體"/>
                          <w:b/>
                          <w:bCs/>
                        </w:rPr>
                      </w:pPr>
                      <w:r w:rsidRPr="00B0462E">
                        <w:rPr>
                          <w:rFonts w:ascii="標楷體" w:eastAsia="標楷體" w:hAnsi="標楷體" w:hint="eastAsia"/>
                          <w:b/>
                          <w:bCs/>
                        </w:rPr>
                        <w:t>表</w:t>
                      </w:r>
                      <w:r>
                        <w:rPr>
                          <w:rFonts w:ascii="標楷體" w:eastAsia="標楷體" w:hAnsi="標楷體" w:hint="eastAsia"/>
                          <w:b/>
                          <w:bCs/>
                        </w:rPr>
                        <w:t>5</w:t>
                      </w:r>
                      <w:r>
                        <w:rPr>
                          <w:rFonts w:ascii="標楷體" w:eastAsia="標楷體" w:hAnsi="標楷體"/>
                          <w:b/>
                          <w:bCs/>
                        </w:rPr>
                        <w:t>3</w:t>
                      </w:r>
                      <w:r w:rsidRPr="00B0462E">
                        <w:rPr>
                          <w:rFonts w:ascii="標楷體" w:eastAsia="標楷體" w:hAnsi="標楷體" w:hint="eastAsia"/>
                          <w:b/>
                          <w:bCs/>
                        </w:rPr>
                        <w:t xml:space="preserve">　</w:t>
                      </w:r>
                      <w:r>
                        <w:rPr>
                          <w:rFonts w:ascii="標楷體" w:eastAsia="標楷體" w:hAnsi="標楷體" w:hint="eastAsia"/>
                          <w:b/>
                          <w:bCs/>
                        </w:rPr>
                        <w:t>第1</w:t>
                      </w:r>
                      <w:r>
                        <w:rPr>
                          <w:rFonts w:ascii="標楷體" w:eastAsia="標楷體" w:hAnsi="標楷體"/>
                          <w:b/>
                          <w:bCs/>
                        </w:rPr>
                        <w:t>1</w:t>
                      </w:r>
                      <w:r>
                        <w:rPr>
                          <w:rFonts w:ascii="標楷體" w:eastAsia="標楷體" w:hAnsi="標楷體" w:hint="eastAsia"/>
                          <w:b/>
                          <w:bCs/>
                        </w:rPr>
                        <w:t>屆</w:t>
                      </w:r>
                      <w:r w:rsidRPr="00B0462E">
                        <w:rPr>
                          <w:rFonts w:ascii="標楷體" w:eastAsia="標楷體" w:hAnsi="標楷體" w:hint="eastAsia"/>
                          <w:b/>
                          <w:bCs/>
                        </w:rPr>
                        <w:t>立法委員選舉原住民選舉人1人投（開）票所設置</w:t>
                      </w:r>
                      <w:r>
                        <w:rPr>
                          <w:rFonts w:ascii="標楷體" w:eastAsia="標楷體" w:hAnsi="標楷體" w:hint="eastAsia"/>
                          <w:b/>
                          <w:bCs/>
                        </w:rPr>
                        <w:t>未達目標值且占比為5％以上</w:t>
                      </w:r>
                      <w:r w:rsidRPr="00B0462E">
                        <w:rPr>
                          <w:rFonts w:ascii="標楷體" w:eastAsia="標楷體" w:hAnsi="標楷體" w:hint="eastAsia"/>
                          <w:b/>
                          <w:bCs/>
                        </w:rPr>
                        <w:t>情形</w:t>
                      </w:r>
                    </w:p>
                    <w:p w14:paraId="05612281" w14:textId="77777777" w:rsidR="00763E0D" w:rsidRPr="006C76B0" w:rsidRDefault="00763E0D" w:rsidP="00763E0D">
                      <w:pPr>
                        <w:spacing w:line="240" w:lineRule="exact"/>
                        <w:jc w:val="right"/>
                        <w:rPr>
                          <w:rFonts w:ascii="標楷體" w:eastAsia="標楷體" w:hAnsi="標楷體"/>
                          <w:sz w:val="20"/>
                          <w:szCs w:val="16"/>
                        </w:rPr>
                      </w:pPr>
                      <w:r w:rsidRPr="006C76B0">
                        <w:rPr>
                          <w:rFonts w:ascii="標楷體" w:eastAsia="標楷體" w:hAnsi="標楷體" w:hint="eastAsia"/>
                          <w:sz w:val="20"/>
                          <w:szCs w:val="16"/>
                        </w:rPr>
                        <w:t>單位：所、％</w:t>
                      </w:r>
                    </w:p>
                    <w:tbl>
                      <w:tblPr>
                        <w:tblStyle w:val="afff"/>
                        <w:tblW w:w="6521" w:type="dxa"/>
                        <w:jc w:val="center"/>
                        <w:tblLook w:val="04A0" w:firstRow="1" w:lastRow="0" w:firstColumn="1" w:lastColumn="0" w:noHBand="0" w:noVBand="1"/>
                      </w:tblPr>
                      <w:tblGrid>
                        <w:gridCol w:w="886"/>
                        <w:gridCol w:w="1289"/>
                        <w:gridCol w:w="1088"/>
                        <w:gridCol w:w="1156"/>
                        <w:gridCol w:w="942"/>
                        <w:gridCol w:w="1160"/>
                      </w:tblGrid>
                      <w:tr w:rsidR="00763E0D" w:rsidRPr="004D771D" w14:paraId="3D1F73D8" w14:textId="77777777" w:rsidTr="00DA0F57">
                        <w:trPr>
                          <w:jc w:val="center"/>
                        </w:trPr>
                        <w:tc>
                          <w:tcPr>
                            <w:tcW w:w="886" w:type="dxa"/>
                            <w:vAlign w:val="center"/>
                          </w:tcPr>
                          <w:p w14:paraId="7A75670E" w14:textId="77777777" w:rsidR="00763E0D" w:rsidRPr="004D771D" w:rsidRDefault="00763E0D" w:rsidP="00E3260A">
                            <w:pPr>
                              <w:spacing w:line="280" w:lineRule="exact"/>
                              <w:jc w:val="center"/>
                              <w:rPr>
                                <w:rFonts w:ascii="標楷體" w:eastAsia="標楷體" w:hAnsi="標楷體"/>
                                <w:sz w:val="20"/>
                              </w:rPr>
                            </w:pPr>
                            <w:proofErr w:type="gramStart"/>
                            <w:r w:rsidRPr="004D771D">
                              <w:rPr>
                                <w:rFonts w:ascii="標楷體" w:eastAsia="標楷體" w:hAnsi="標楷體" w:hint="eastAsia"/>
                                <w:sz w:val="20"/>
                              </w:rPr>
                              <w:t>市縣別</w:t>
                            </w:r>
                            <w:proofErr w:type="gramEnd"/>
                          </w:p>
                        </w:tc>
                        <w:tc>
                          <w:tcPr>
                            <w:tcW w:w="1289" w:type="dxa"/>
                            <w:vAlign w:val="center"/>
                          </w:tcPr>
                          <w:p w14:paraId="04FF8D22"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z w:val="20"/>
                              </w:rPr>
                              <w:t>轄內總投(開)票所數</w:t>
                            </w:r>
                          </w:p>
                        </w:tc>
                        <w:tc>
                          <w:tcPr>
                            <w:tcW w:w="1088" w:type="dxa"/>
                            <w:vAlign w:val="center"/>
                          </w:tcPr>
                          <w:p w14:paraId="5AD60D5E"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pacing w:val="-4"/>
                                <w:sz w:val="20"/>
                              </w:rPr>
                              <w:t>平／山地</w:t>
                            </w:r>
                          </w:p>
                        </w:tc>
                        <w:tc>
                          <w:tcPr>
                            <w:tcW w:w="1156" w:type="dxa"/>
                            <w:vAlign w:val="center"/>
                          </w:tcPr>
                          <w:p w14:paraId="60CBBBF1" w14:textId="77777777" w:rsidR="00763E0D" w:rsidRPr="004D771D" w:rsidRDefault="00763E0D" w:rsidP="00E3260A">
                            <w:pPr>
                              <w:spacing w:line="280" w:lineRule="exact"/>
                              <w:jc w:val="center"/>
                              <w:rPr>
                                <w:rFonts w:ascii="標楷體" w:eastAsia="標楷體" w:hAnsi="標楷體"/>
                                <w:spacing w:val="-2"/>
                                <w:sz w:val="20"/>
                              </w:rPr>
                            </w:pPr>
                            <w:r w:rsidRPr="004D771D">
                              <w:rPr>
                                <w:rFonts w:ascii="標楷體" w:eastAsia="標楷體" w:hAnsi="標楷體" w:hint="eastAsia"/>
                                <w:spacing w:val="-2"/>
                                <w:sz w:val="20"/>
                              </w:rPr>
                              <w:t>1人投(開)票所數</w:t>
                            </w:r>
                          </w:p>
                        </w:tc>
                        <w:tc>
                          <w:tcPr>
                            <w:tcW w:w="942" w:type="dxa"/>
                            <w:vAlign w:val="center"/>
                          </w:tcPr>
                          <w:p w14:paraId="02F602DE"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z w:val="20"/>
                              </w:rPr>
                              <w:t>占比</w:t>
                            </w:r>
                          </w:p>
                        </w:tc>
                        <w:tc>
                          <w:tcPr>
                            <w:tcW w:w="1160" w:type="dxa"/>
                            <w:vAlign w:val="center"/>
                          </w:tcPr>
                          <w:p w14:paraId="32D8AADB" w14:textId="77777777" w:rsidR="00763E0D" w:rsidRPr="004D771D" w:rsidRDefault="00763E0D" w:rsidP="00E3260A">
                            <w:pPr>
                              <w:spacing w:line="280" w:lineRule="exact"/>
                              <w:jc w:val="center"/>
                              <w:rPr>
                                <w:rFonts w:ascii="標楷體" w:eastAsia="標楷體" w:hAnsi="標楷體"/>
                                <w:sz w:val="20"/>
                              </w:rPr>
                            </w:pPr>
                            <w:r w:rsidRPr="004D771D">
                              <w:rPr>
                                <w:rFonts w:ascii="標楷體" w:eastAsia="標楷體" w:hAnsi="標楷體" w:hint="eastAsia"/>
                                <w:sz w:val="20"/>
                              </w:rPr>
                              <w:t>績效目標</w:t>
                            </w:r>
                          </w:p>
                        </w:tc>
                      </w:tr>
                      <w:tr w:rsidR="00763E0D" w:rsidRPr="004D771D" w14:paraId="77AED650" w14:textId="77777777" w:rsidTr="00DA0F57">
                        <w:trPr>
                          <w:jc w:val="center"/>
                        </w:trPr>
                        <w:tc>
                          <w:tcPr>
                            <w:tcW w:w="886" w:type="dxa"/>
                            <w:vMerge w:val="restart"/>
                            <w:vAlign w:val="center"/>
                          </w:tcPr>
                          <w:p w14:paraId="7AABFF9B"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新北市</w:t>
                            </w:r>
                          </w:p>
                        </w:tc>
                        <w:tc>
                          <w:tcPr>
                            <w:tcW w:w="1289" w:type="dxa"/>
                            <w:vMerge w:val="restart"/>
                            <w:vAlign w:val="center"/>
                          </w:tcPr>
                          <w:p w14:paraId="3379CAD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2,681</w:t>
                            </w:r>
                          </w:p>
                        </w:tc>
                        <w:tc>
                          <w:tcPr>
                            <w:tcW w:w="1088" w:type="dxa"/>
                            <w:vAlign w:val="center"/>
                          </w:tcPr>
                          <w:p w14:paraId="6267FC9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4A52F0B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177</w:t>
                            </w:r>
                          </w:p>
                        </w:tc>
                        <w:tc>
                          <w:tcPr>
                            <w:tcW w:w="942" w:type="dxa"/>
                            <w:vAlign w:val="center"/>
                          </w:tcPr>
                          <w:p w14:paraId="6AE8B87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6.60</w:t>
                            </w:r>
                          </w:p>
                        </w:tc>
                        <w:tc>
                          <w:tcPr>
                            <w:tcW w:w="1160" w:type="dxa"/>
                            <w:vAlign w:val="center"/>
                          </w:tcPr>
                          <w:p w14:paraId="7CF9012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5.00</w:t>
                            </w:r>
                          </w:p>
                        </w:tc>
                      </w:tr>
                      <w:tr w:rsidR="00763E0D" w:rsidRPr="004D771D" w14:paraId="6734D116" w14:textId="77777777" w:rsidTr="00DA0F57">
                        <w:trPr>
                          <w:jc w:val="center"/>
                        </w:trPr>
                        <w:tc>
                          <w:tcPr>
                            <w:tcW w:w="886" w:type="dxa"/>
                            <w:vMerge/>
                            <w:vAlign w:val="center"/>
                          </w:tcPr>
                          <w:p w14:paraId="0960B978"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5EB7F48D"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522DBBC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3F88E8F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317</w:t>
                            </w:r>
                          </w:p>
                        </w:tc>
                        <w:tc>
                          <w:tcPr>
                            <w:tcW w:w="942" w:type="dxa"/>
                            <w:vAlign w:val="center"/>
                          </w:tcPr>
                          <w:p w14:paraId="025DAC90"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11.82</w:t>
                            </w:r>
                          </w:p>
                        </w:tc>
                        <w:tc>
                          <w:tcPr>
                            <w:tcW w:w="1160" w:type="dxa"/>
                            <w:vAlign w:val="center"/>
                          </w:tcPr>
                          <w:p w14:paraId="5EB1D49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8.00</w:t>
                            </w:r>
                          </w:p>
                        </w:tc>
                      </w:tr>
                      <w:tr w:rsidR="00763E0D" w:rsidRPr="004D771D" w14:paraId="720FAFF6" w14:textId="77777777" w:rsidTr="00DA0F57">
                        <w:trPr>
                          <w:jc w:val="center"/>
                        </w:trPr>
                        <w:tc>
                          <w:tcPr>
                            <w:tcW w:w="886" w:type="dxa"/>
                            <w:vMerge w:val="restart"/>
                            <w:vAlign w:val="center"/>
                          </w:tcPr>
                          <w:p w14:paraId="704626FC"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基隆市</w:t>
                            </w:r>
                          </w:p>
                        </w:tc>
                        <w:tc>
                          <w:tcPr>
                            <w:tcW w:w="1289" w:type="dxa"/>
                            <w:vMerge w:val="restart"/>
                            <w:vAlign w:val="center"/>
                          </w:tcPr>
                          <w:p w14:paraId="4E52844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285</w:t>
                            </w:r>
                          </w:p>
                        </w:tc>
                        <w:tc>
                          <w:tcPr>
                            <w:tcW w:w="1088" w:type="dxa"/>
                            <w:vAlign w:val="center"/>
                          </w:tcPr>
                          <w:p w14:paraId="4EA8DBC6"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3F04282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16</w:t>
                            </w:r>
                          </w:p>
                        </w:tc>
                        <w:tc>
                          <w:tcPr>
                            <w:tcW w:w="942" w:type="dxa"/>
                            <w:vAlign w:val="center"/>
                          </w:tcPr>
                          <w:p w14:paraId="1D8619B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5.61</w:t>
                            </w:r>
                          </w:p>
                        </w:tc>
                        <w:tc>
                          <w:tcPr>
                            <w:tcW w:w="1160" w:type="dxa"/>
                            <w:vAlign w:val="center"/>
                          </w:tcPr>
                          <w:p w14:paraId="3C966E3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5.00</w:t>
                            </w:r>
                          </w:p>
                        </w:tc>
                      </w:tr>
                      <w:tr w:rsidR="00763E0D" w:rsidRPr="004D771D" w14:paraId="6504CAEE" w14:textId="77777777" w:rsidTr="00DA0F57">
                        <w:trPr>
                          <w:jc w:val="center"/>
                        </w:trPr>
                        <w:tc>
                          <w:tcPr>
                            <w:tcW w:w="886" w:type="dxa"/>
                            <w:vMerge/>
                            <w:vAlign w:val="center"/>
                          </w:tcPr>
                          <w:p w14:paraId="5EDE6B19"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15BF8C4E"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7076473A"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0497736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39</w:t>
                            </w:r>
                          </w:p>
                        </w:tc>
                        <w:tc>
                          <w:tcPr>
                            <w:tcW w:w="942" w:type="dxa"/>
                            <w:vAlign w:val="center"/>
                          </w:tcPr>
                          <w:p w14:paraId="41342A70"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13.68</w:t>
                            </w:r>
                          </w:p>
                        </w:tc>
                        <w:tc>
                          <w:tcPr>
                            <w:tcW w:w="1160" w:type="dxa"/>
                            <w:vAlign w:val="center"/>
                          </w:tcPr>
                          <w:p w14:paraId="094CDE9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r w:rsidR="00763E0D" w:rsidRPr="004D771D" w14:paraId="6F7C7B4C" w14:textId="77777777" w:rsidTr="00DA0F57">
                        <w:trPr>
                          <w:jc w:val="center"/>
                        </w:trPr>
                        <w:tc>
                          <w:tcPr>
                            <w:tcW w:w="886" w:type="dxa"/>
                            <w:vAlign w:val="center"/>
                          </w:tcPr>
                          <w:p w14:paraId="03E9F883"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新竹縣</w:t>
                            </w:r>
                          </w:p>
                        </w:tc>
                        <w:tc>
                          <w:tcPr>
                            <w:tcW w:w="1289" w:type="dxa"/>
                            <w:vAlign w:val="center"/>
                          </w:tcPr>
                          <w:p w14:paraId="41EF6A38"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470</w:t>
                            </w:r>
                          </w:p>
                        </w:tc>
                        <w:tc>
                          <w:tcPr>
                            <w:tcW w:w="1088" w:type="dxa"/>
                            <w:vAlign w:val="center"/>
                          </w:tcPr>
                          <w:p w14:paraId="18CABBC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34920461"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24</w:t>
                            </w:r>
                          </w:p>
                        </w:tc>
                        <w:tc>
                          <w:tcPr>
                            <w:tcW w:w="942" w:type="dxa"/>
                            <w:vAlign w:val="center"/>
                          </w:tcPr>
                          <w:p w14:paraId="60BEBD3A"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5.11</w:t>
                            </w:r>
                          </w:p>
                        </w:tc>
                        <w:tc>
                          <w:tcPr>
                            <w:tcW w:w="1160" w:type="dxa"/>
                            <w:vAlign w:val="center"/>
                          </w:tcPr>
                          <w:p w14:paraId="106E388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2.55</w:t>
                            </w:r>
                          </w:p>
                        </w:tc>
                      </w:tr>
                      <w:tr w:rsidR="00763E0D" w:rsidRPr="004D771D" w14:paraId="310CEC55" w14:textId="77777777" w:rsidTr="00DA0F57">
                        <w:trPr>
                          <w:jc w:val="center"/>
                        </w:trPr>
                        <w:tc>
                          <w:tcPr>
                            <w:tcW w:w="886" w:type="dxa"/>
                            <w:vMerge w:val="restart"/>
                            <w:vAlign w:val="center"/>
                          </w:tcPr>
                          <w:p w14:paraId="1592F90A"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苗栗縣</w:t>
                            </w:r>
                          </w:p>
                        </w:tc>
                        <w:tc>
                          <w:tcPr>
                            <w:tcW w:w="1289" w:type="dxa"/>
                            <w:vMerge w:val="restart"/>
                            <w:vAlign w:val="center"/>
                          </w:tcPr>
                          <w:p w14:paraId="4268B3C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484</w:t>
                            </w:r>
                          </w:p>
                        </w:tc>
                        <w:tc>
                          <w:tcPr>
                            <w:tcW w:w="1088" w:type="dxa"/>
                            <w:vAlign w:val="center"/>
                          </w:tcPr>
                          <w:p w14:paraId="45C677A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69E9BDC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53</w:t>
                            </w:r>
                          </w:p>
                        </w:tc>
                        <w:tc>
                          <w:tcPr>
                            <w:tcW w:w="942" w:type="dxa"/>
                            <w:vAlign w:val="center"/>
                          </w:tcPr>
                          <w:p w14:paraId="472343C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10.95</w:t>
                            </w:r>
                          </w:p>
                        </w:tc>
                        <w:tc>
                          <w:tcPr>
                            <w:tcW w:w="1160" w:type="dxa"/>
                            <w:vAlign w:val="center"/>
                          </w:tcPr>
                          <w:p w14:paraId="2EEC0F1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01FF0C77" w14:textId="77777777" w:rsidTr="00DA0F57">
                        <w:trPr>
                          <w:jc w:val="center"/>
                        </w:trPr>
                        <w:tc>
                          <w:tcPr>
                            <w:tcW w:w="886" w:type="dxa"/>
                            <w:vMerge/>
                            <w:vAlign w:val="center"/>
                          </w:tcPr>
                          <w:p w14:paraId="57D34B13"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5FF3FBB5"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2E0C267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232DA48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52</w:t>
                            </w:r>
                          </w:p>
                        </w:tc>
                        <w:tc>
                          <w:tcPr>
                            <w:tcW w:w="942" w:type="dxa"/>
                            <w:vAlign w:val="center"/>
                          </w:tcPr>
                          <w:p w14:paraId="290D0F48"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10.74</w:t>
                            </w:r>
                          </w:p>
                        </w:tc>
                        <w:tc>
                          <w:tcPr>
                            <w:tcW w:w="1160" w:type="dxa"/>
                            <w:vAlign w:val="center"/>
                          </w:tcPr>
                          <w:p w14:paraId="751000E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r w:rsidR="00763E0D" w:rsidRPr="004D771D" w14:paraId="5B219ADF" w14:textId="77777777" w:rsidTr="00DA0F57">
                        <w:trPr>
                          <w:jc w:val="center"/>
                        </w:trPr>
                        <w:tc>
                          <w:tcPr>
                            <w:tcW w:w="886" w:type="dxa"/>
                            <w:vMerge w:val="restart"/>
                            <w:vAlign w:val="center"/>
                          </w:tcPr>
                          <w:p w14:paraId="308DD86B"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彰化縣</w:t>
                            </w:r>
                          </w:p>
                        </w:tc>
                        <w:tc>
                          <w:tcPr>
                            <w:tcW w:w="1289" w:type="dxa"/>
                            <w:vMerge w:val="restart"/>
                            <w:vAlign w:val="center"/>
                          </w:tcPr>
                          <w:p w14:paraId="4CB45AA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1,085</w:t>
                            </w:r>
                          </w:p>
                        </w:tc>
                        <w:tc>
                          <w:tcPr>
                            <w:tcW w:w="1088" w:type="dxa"/>
                            <w:vAlign w:val="center"/>
                          </w:tcPr>
                          <w:p w14:paraId="3E0600E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075E322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158</w:t>
                            </w:r>
                          </w:p>
                        </w:tc>
                        <w:tc>
                          <w:tcPr>
                            <w:tcW w:w="942" w:type="dxa"/>
                            <w:vAlign w:val="center"/>
                          </w:tcPr>
                          <w:p w14:paraId="43B7DD63"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14.56</w:t>
                            </w:r>
                          </w:p>
                        </w:tc>
                        <w:tc>
                          <w:tcPr>
                            <w:tcW w:w="1160" w:type="dxa"/>
                            <w:vAlign w:val="center"/>
                          </w:tcPr>
                          <w:p w14:paraId="7FB4EE2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8.75</w:t>
                            </w:r>
                          </w:p>
                        </w:tc>
                      </w:tr>
                      <w:tr w:rsidR="00763E0D" w:rsidRPr="004D771D" w14:paraId="5EDF96B0" w14:textId="77777777" w:rsidTr="00DA0F57">
                        <w:trPr>
                          <w:jc w:val="center"/>
                        </w:trPr>
                        <w:tc>
                          <w:tcPr>
                            <w:tcW w:w="886" w:type="dxa"/>
                            <w:vMerge/>
                            <w:vAlign w:val="center"/>
                          </w:tcPr>
                          <w:p w14:paraId="333F4025"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1C8C8AD5"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56B6DA7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3FE87700"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140</w:t>
                            </w:r>
                          </w:p>
                        </w:tc>
                        <w:tc>
                          <w:tcPr>
                            <w:tcW w:w="942" w:type="dxa"/>
                            <w:vAlign w:val="center"/>
                          </w:tcPr>
                          <w:p w14:paraId="542A1E6E"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12.90</w:t>
                            </w:r>
                          </w:p>
                        </w:tc>
                        <w:tc>
                          <w:tcPr>
                            <w:tcW w:w="1160" w:type="dxa"/>
                            <w:vAlign w:val="center"/>
                          </w:tcPr>
                          <w:p w14:paraId="6EDE3D3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8.75</w:t>
                            </w:r>
                          </w:p>
                        </w:tc>
                      </w:tr>
                      <w:tr w:rsidR="00763E0D" w:rsidRPr="004D771D" w14:paraId="118226AB" w14:textId="77777777" w:rsidTr="00DA0F57">
                        <w:trPr>
                          <w:jc w:val="center"/>
                        </w:trPr>
                        <w:tc>
                          <w:tcPr>
                            <w:tcW w:w="886" w:type="dxa"/>
                            <w:vAlign w:val="center"/>
                          </w:tcPr>
                          <w:p w14:paraId="42A4B5D4"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南投縣</w:t>
                            </w:r>
                          </w:p>
                        </w:tc>
                        <w:tc>
                          <w:tcPr>
                            <w:tcW w:w="1289" w:type="dxa"/>
                            <w:vAlign w:val="center"/>
                          </w:tcPr>
                          <w:p w14:paraId="43E06254"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493</w:t>
                            </w:r>
                          </w:p>
                        </w:tc>
                        <w:tc>
                          <w:tcPr>
                            <w:tcW w:w="1088" w:type="dxa"/>
                            <w:vAlign w:val="center"/>
                          </w:tcPr>
                          <w:p w14:paraId="122901F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4A3D253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48</w:t>
                            </w:r>
                          </w:p>
                        </w:tc>
                        <w:tc>
                          <w:tcPr>
                            <w:tcW w:w="942" w:type="dxa"/>
                            <w:vAlign w:val="center"/>
                          </w:tcPr>
                          <w:p w14:paraId="26C98992"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9.74</w:t>
                            </w:r>
                          </w:p>
                        </w:tc>
                        <w:tc>
                          <w:tcPr>
                            <w:tcW w:w="1160" w:type="dxa"/>
                            <w:vAlign w:val="center"/>
                          </w:tcPr>
                          <w:p w14:paraId="1CAF70A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5D2819BB" w14:textId="77777777" w:rsidTr="00DA0F57">
                        <w:trPr>
                          <w:jc w:val="center"/>
                        </w:trPr>
                        <w:tc>
                          <w:tcPr>
                            <w:tcW w:w="886" w:type="dxa"/>
                            <w:vMerge w:val="restart"/>
                            <w:vAlign w:val="center"/>
                          </w:tcPr>
                          <w:p w14:paraId="491219BB"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雲林縣</w:t>
                            </w:r>
                          </w:p>
                        </w:tc>
                        <w:tc>
                          <w:tcPr>
                            <w:tcW w:w="1289" w:type="dxa"/>
                            <w:vMerge w:val="restart"/>
                            <w:vAlign w:val="center"/>
                          </w:tcPr>
                          <w:p w14:paraId="5671E9D5"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620</w:t>
                            </w:r>
                          </w:p>
                        </w:tc>
                        <w:tc>
                          <w:tcPr>
                            <w:tcW w:w="1088" w:type="dxa"/>
                            <w:vAlign w:val="center"/>
                          </w:tcPr>
                          <w:p w14:paraId="6B24747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7095864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100</w:t>
                            </w:r>
                          </w:p>
                        </w:tc>
                        <w:tc>
                          <w:tcPr>
                            <w:tcW w:w="942" w:type="dxa"/>
                            <w:vAlign w:val="center"/>
                          </w:tcPr>
                          <w:p w14:paraId="334DF5F1"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16.13</w:t>
                            </w:r>
                          </w:p>
                        </w:tc>
                        <w:tc>
                          <w:tcPr>
                            <w:tcW w:w="1160" w:type="dxa"/>
                            <w:vAlign w:val="center"/>
                          </w:tcPr>
                          <w:p w14:paraId="50E0DA6B"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744B0646" w14:textId="77777777" w:rsidTr="00DA0F57">
                        <w:trPr>
                          <w:jc w:val="center"/>
                        </w:trPr>
                        <w:tc>
                          <w:tcPr>
                            <w:tcW w:w="886" w:type="dxa"/>
                            <w:vMerge/>
                            <w:vAlign w:val="center"/>
                          </w:tcPr>
                          <w:p w14:paraId="666FF31F"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6FCEE472"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6F1ED0B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0C3ACF16"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98</w:t>
                            </w:r>
                          </w:p>
                        </w:tc>
                        <w:tc>
                          <w:tcPr>
                            <w:tcW w:w="942" w:type="dxa"/>
                            <w:vAlign w:val="center"/>
                          </w:tcPr>
                          <w:p w14:paraId="47272C2D"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15.81</w:t>
                            </w:r>
                          </w:p>
                        </w:tc>
                        <w:tc>
                          <w:tcPr>
                            <w:tcW w:w="1160" w:type="dxa"/>
                            <w:vAlign w:val="center"/>
                          </w:tcPr>
                          <w:p w14:paraId="44D68221"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r w:rsidR="00763E0D" w:rsidRPr="004D771D" w14:paraId="31E5D893" w14:textId="77777777" w:rsidTr="00DA0F57">
                        <w:trPr>
                          <w:jc w:val="center"/>
                        </w:trPr>
                        <w:tc>
                          <w:tcPr>
                            <w:tcW w:w="886" w:type="dxa"/>
                            <w:vMerge w:val="restart"/>
                            <w:vAlign w:val="center"/>
                          </w:tcPr>
                          <w:p w14:paraId="7D3CA6E8" w14:textId="77777777" w:rsidR="00763E0D" w:rsidRPr="004D771D" w:rsidRDefault="00763E0D" w:rsidP="00DF56CD">
                            <w:pPr>
                              <w:spacing w:line="280" w:lineRule="exact"/>
                              <w:jc w:val="both"/>
                              <w:rPr>
                                <w:rFonts w:ascii="標楷體" w:eastAsia="標楷體" w:hAnsi="標楷體"/>
                                <w:sz w:val="20"/>
                              </w:rPr>
                            </w:pPr>
                            <w:r w:rsidRPr="004D771D">
                              <w:rPr>
                                <w:rFonts w:ascii="標楷體" w:eastAsia="標楷體" w:hAnsi="標楷體" w:hint="eastAsia"/>
                                <w:sz w:val="20"/>
                              </w:rPr>
                              <w:t>嘉義縣</w:t>
                            </w:r>
                          </w:p>
                        </w:tc>
                        <w:tc>
                          <w:tcPr>
                            <w:tcW w:w="1289" w:type="dxa"/>
                            <w:vMerge w:val="restart"/>
                            <w:vAlign w:val="center"/>
                          </w:tcPr>
                          <w:p w14:paraId="1ADC1FA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535</w:t>
                            </w:r>
                          </w:p>
                        </w:tc>
                        <w:tc>
                          <w:tcPr>
                            <w:tcW w:w="1088" w:type="dxa"/>
                            <w:vAlign w:val="center"/>
                          </w:tcPr>
                          <w:p w14:paraId="09B7DA0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平地</w:t>
                            </w:r>
                          </w:p>
                        </w:tc>
                        <w:tc>
                          <w:tcPr>
                            <w:tcW w:w="1156" w:type="dxa"/>
                            <w:vAlign w:val="center"/>
                          </w:tcPr>
                          <w:p w14:paraId="6D3448D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98</w:t>
                            </w:r>
                          </w:p>
                        </w:tc>
                        <w:tc>
                          <w:tcPr>
                            <w:tcW w:w="942" w:type="dxa"/>
                            <w:vAlign w:val="center"/>
                          </w:tcPr>
                          <w:p w14:paraId="09DC059A"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18.32</w:t>
                            </w:r>
                          </w:p>
                        </w:tc>
                        <w:tc>
                          <w:tcPr>
                            <w:tcW w:w="1160" w:type="dxa"/>
                            <w:vAlign w:val="center"/>
                          </w:tcPr>
                          <w:p w14:paraId="58CFAB2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9.00</w:t>
                            </w:r>
                          </w:p>
                        </w:tc>
                      </w:tr>
                      <w:tr w:rsidR="00763E0D" w:rsidRPr="004D771D" w14:paraId="4D7929F4" w14:textId="77777777" w:rsidTr="00DA0F57">
                        <w:trPr>
                          <w:jc w:val="center"/>
                        </w:trPr>
                        <w:tc>
                          <w:tcPr>
                            <w:tcW w:w="886" w:type="dxa"/>
                            <w:vMerge/>
                            <w:vAlign w:val="center"/>
                          </w:tcPr>
                          <w:p w14:paraId="59B25E56" w14:textId="77777777" w:rsidR="00763E0D" w:rsidRPr="004D771D" w:rsidRDefault="00763E0D" w:rsidP="00DF56CD">
                            <w:pPr>
                              <w:spacing w:line="280" w:lineRule="exact"/>
                              <w:jc w:val="both"/>
                              <w:rPr>
                                <w:rFonts w:ascii="標楷體" w:eastAsia="標楷體" w:hAnsi="標楷體"/>
                                <w:sz w:val="20"/>
                              </w:rPr>
                            </w:pPr>
                          </w:p>
                        </w:tc>
                        <w:tc>
                          <w:tcPr>
                            <w:tcW w:w="1289" w:type="dxa"/>
                            <w:vMerge/>
                            <w:vAlign w:val="center"/>
                          </w:tcPr>
                          <w:p w14:paraId="2AD9E867" w14:textId="77777777" w:rsidR="00763E0D" w:rsidRPr="004D771D" w:rsidRDefault="00763E0D" w:rsidP="00DF56CD">
                            <w:pPr>
                              <w:spacing w:line="280" w:lineRule="exact"/>
                              <w:jc w:val="right"/>
                              <w:rPr>
                                <w:rFonts w:ascii="標楷體" w:eastAsia="標楷體" w:hAnsi="標楷體"/>
                                <w:sz w:val="20"/>
                              </w:rPr>
                            </w:pPr>
                          </w:p>
                        </w:tc>
                        <w:tc>
                          <w:tcPr>
                            <w:tcW w:w="1088" w:type="dxa"/>
                            <w:vAlign w:val="center"/>
                          </w:tcPr>
                          <w:p w14:paraId="04B5851F"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hint="eastAsia"/>
                                <w:sz w:val="20"/>
                              </w:rPr>
                              <w:t>山地</w:t>
                            </w:r>
                          </w:p>
                        </w:tc>
                        <w:tc>
                          <w:tcPr>
                            <w:tcW w:w="1156" w:type="dxa"/>
                            <w:vAlign w:val="center"/>
                          </w:tcPr>
                          <w:p w14:paraId="42C0B799"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85</w:t>
                            </w:r>
                          </w:p>
                        </w:tc>
                        <w:tc>
                          <w:tcPr>
                            <w:tcW w:w="942" w:type="dxa"/>
                            <w:vAlign w:val="center"/>
                          </w:tcPr>
                          <w:p w14:paraId="76505167"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15.89</w:t>
                            </w:r>
                          </w:p>
                        </w:tc>
                        <w:tc>
                          <w:tcPr>
                            <w:tcW w:w="1160" w:type="dxa"/>
                            <w:vAlign w:val="center"/>
                          </w:tcPr>
                          <w:p w14:paraId="024FE10C" w14:textId="77777777" w:rsidR="00763E0D" w:rsidRPr="004D771D" w:rsidRDefault="00763E0D" w:rsidP="00DF56CD">
                            <w:pPr>
                              <w:spacing w:line="280" w:lineRule="exact"/>
                              <w:jc w:val="right"/>
                              <w:rPr>
                                <w:rFonts w:ascii="標楷體" w:eastAsia="標楷體" w:hAnsi="標楷體"/>
                                <w:sz w:val="20"/>
                              </w:rPr>
                            </w:pPr>
                            <w:r w:rsidRPr="004D771D">
                              <w:rPr>
                                <w:rFonts w:ascii="標楷體" w:eastAsia="標楷體" w:hAnsi="標楷體"/>
                                <w:sz w:val="20"/>
                              </w:rPr>
                              <w:t>9.00</w:t>
                            </w:r>
                          </w:p>
                        </w:tc>
                      </w:tr>
                    </w:tbl>
                    <w:p w14:paraId="3C4B5002" w14:textId="77777777" w:rsidR="00763E0D" w:rsidRPr="00B0462E" w:rsidRDefault="00763E0D" w:rsidP="00763E0D">
                      <w:pPr>
                        <w:spacing w:line="240" w:lineRule="exact"/>
                        <w:jc w:val="both"/>
                        <w:rPr>
                          <w:rFonts w:ascii="標楷體" w:eastAsia="標楷體" w:hAnsi="標楷體"/>
                          <w:sz w:val="18"/>
                          <w:szCs w:val="14"/>
                        </w:rPr>
                      </w:pPr>
                      <w:r w:rsidRPr="00B0462E">
                        <w:rPr>
                          <w:rFonts w:ascii="標楷體" w:eastAsia="標楷體" w:hAnsi="標楷體" w:hint="eastAsia"/>
                          <w:sz w:val="18"/>
                          <w:szCs w:val="14"/>
                        </w:rPr>
                        <w:t>資料來源：整理自中央選舉委員會提供資料。</w:t>
                      </w:r>
                    </w:p>
                  </w:txbxContent>
                </v:textbox>
                <w10:wrap type="square" anchorx="margin"/>
              </v:shape>
            </w:pict>
          </mc:Fallback>
        </mc:AlternateContent>
      </w:r>
      <w:r w:rsidR="00714887" w:rsidRPr="00714887">
        <w:rPr>
          <w:rFonts w:ascii="標楷體" w:eastAsia="標楷體" w:hAnsi="標楷體" w:hint="eastAsia"/>
          <w:bCs/>
          <w:color w:val="000000" w:themeColor="text1"/>
          <w:szCs w:val="24"/>
        </w:rPr>
        <w:t>選舉委員會平地或山地1人投（開）票所比率未達所訂績效目標，</w:t>
      </w:r>
      <w:r w:rsidR="00953F2A" w:rsidRPr="000F73BE">
        <w:rPr>
          <w:rFonts w:ascii="標楷體" w:eastAsia="標楷體" w:hAnsi="標楷體" w:hint="eastAsia"/>
          <w:bCs/>
          <w:color w:val="000000" w:themeColor="text1"/>
          <w:szCs w:val="24"/>
        </w:rPr>
        <w:t>且占比為5％以上（</w:t>
      </w:r>
      <w:r w:rsidR="00953F2A" w:rsidRPr="00FA2419">
        <w:rPr>
          <w:rFonts w:ascii="標楷體" w:eastAsia="標楷體" w:hAnsi="標楷體" w:hint="eastAsia"/>
          <w:bCs/>
          <w:color w:val="000000" w:themeColor="text1"/>
          <w:szCs w:val="24"/>
        </w:rPr>
        <w:t>表</w:t>
      </w:r>
      <w:r w:rsidR="000F73BE" w:rsidRPr="00FA2419">
        <w:rPr>
          <w:rFonts w:ascii="標楷體" w:eastAsia="標楷體" w:hAnsi="標楷體"/>
          <w:bCs/>
          <w:color w:val="000000" w:themeColor="text1"/>
          <w:szCs w:val="24"/>
        </w:rPr>
        <w:t>5</w:t>
      </w:r>
      <w:r w:rsidR="00F008A9">
        <w:rPr>
          <w:rFonts w:ascii="標楷體" w:eastAsia="標楷體" w:hAnsi="標楷體" w:hint="eastAsia"/>
          <w:bCs/>
          <w:color w:val="000000" w:themeColor="text1"/>
          <w:szCs w:val="24"/>
        </w:rPr>
        <w:t>3</w:t>
      </w:r>
      <w:r w:rsidR="00953F2A">
        <w:rPr>
          <w:rFonts w:ascii="標楷體" w:eastAsia="標楷體" w:hAnsi="標楷體" w:hint="eastAsia"/>
          <w:bCs/>
          <w:color w:val="000000" w:themeColor="text1"/>
          <w:szCs w:val="24"/>
        </w:rPr>
        <w:t>）；</w:t>
      </w:r>
      <w:r w:rsidR="00953F2A" w:rsidRPr="00DB5B8C">
        <w:rPr>
          <w:rFonts w:ascii="標楷體" w:eastAsia="標楷體" w:hAnsi="標楷體" w:hint="eastAsia"/>
          <w:bCs/>
          <w:color w:val="000000" w:themeColor="text1"/>
          <w:szCs w:val="24"/>
        </w:rPr>
        <w:t>復查各地方選</w:t>
      </w:r>
      <w:r w:rsidR="00953F2A">
        <w:rPr>
          <w:rFonts w:ascii="標楷體" w:eastAsia="標楷體" w:hAnsi="標楷體" w:hint="eastAsia"/>
          <w:bCs/>
          <w:color w:val="000000" w:themeColor="text1"/>
          <w:szCs w:val="24"/>
        </w:rPr>
        <w:t>舉</w:t>
      </w:r>
      <w:r w:rsidR="00953F2A" w:rsidRPr="00DB5B8C">
        <w:rPr>
          <w:rFonts w:ascii="標楷體" w:eastAsia="標楷體" w:hAnsi="標楷體" w:hint="eastAsia"/>
          <w:bCs/>
          <w:color w:val="000000" w:themeColor="text1"/>
          <w:szCs w:val="24"/>
        </w:rPr>
        <w:t>委</w:t>
      </w:r>
      <w:r w:rsidR="00953F2A">
        <w:rPr>
          <w:rFonts w:ascii="標楷體" w:eastAsia="標楷體" w:hAnsi="標楷體" w:hint="eastAsia"/>
          <w:bCs/>
          <w:color w:val="000000" w:themeColor="text1"/>
          <w:szCs w:val="24"/>
        </w:rPr>
        <w:t>員</w:t>
      </w:r>
      <w:r w:rsidR="00953F2A" w:rsidRPr="00DB5B8C">
        <w:rPr>
          <w:rFonts w:ascii="標楷體" w:eastAsia="標楷體" w:hAnsi="標楷體" w:hint="eastAsia"/>
          <w:bCs/>
          <w:color w:val="000000" w:themeColor="text1"/>
          <w:szCs w:val="24"/>
        </w:rPr>
        <w:t>會112年間籌備第11屆立法委員選舉，就轄內1人投（開）票所之原住民選舉人，辦理投（開）票所設置及異動徵詢作業結果，回復人數占總徵詢人數比率，平地及山地原住民選舉人分別為44.35％、43.43％，未及</w:t>
      </w:r>
      <w:proofErr w:type="gramStart"/>
      <w:r w:rsidR="00953F2A" w:rsidRPr="00DB5B8C">
        <w:rPr>
          <w:rFonts w:ascii="標楷體" w:eastAsia="標楷體" w:hAnsi="標楷體" w:hint="eastAsia"/>
          <w:bCs/>
          <w:color w:val="000000" w:themeColor="text1"/>
          <w:szCs w:val="24"/>
        </w:rPr>
        <w:t>5成</w:t>
      </w:r>
      <w:proofErr w:type="gramEnd"/>
      <w:r w:rsidR="00953F2A" w:rsidRPr="00DB5B8C">
        <w:rPr>
          <w:rFonts w:ascii="標楷體" w:eastAsia="標楷體" w:hAnsi="標楷體" w:hint="eastAsia"/>
          <w:bCs/>
          <w:color w:val="000000" w:themeColor="text1"/>
          <w:szCs w:val="24"/>
        </w:rPr>
        <w:t>，其中，新北市等7個地方選</w:t>
      </w:r>
      <w:r w:rsidR="00953F2A">
        <w:rPr>
          <w:rFonts w:ascii="標楷體" w:eastAsia="標楷體" w:hAnsi="標楷體" w:hint="eastAsia"/>
          <w:bCs/>
          <w:color w:val="000000" w:themeColor="text1"/>
          <w:szCs w:val="24"/>
        </w:rPr>
        <w:t>舉</w:t>
      </w:r>
      <w:r w:rsidR="00953F2A" w:rsidRPr="00DB5B8C">
        <w:rPr>
          <w:rFonts w:ascii="標楷體" w:eastAsia="標楷體" w:hAnsi="標楷體" w:hint="eastAsia"/>
          <w:bCs/>
          <w:color w:val="000000" w:themeColor="text1"/>
          <w:szCs w:val="24"/>
        </w:rPr>
        <w:t>委</w:t>
      </w:r>
      <w:r w:rsidR="00953F2A">
        <w:rPr>
          <w:rFonts w:ascii="標楷體" w:eastAsia="標楷體" w:hAnsi="標楷體" w:hint="eastAsia"/>
          <w:bCs/>
          <w:color w:val="000000" w:themeColor="text1"/>
          <w:szCs w:val="24"/>
        </w:rPr>
        <w:t>員</w:t>
      </w:r>
      <w:r w:rsidR="00953F2A" w:rsidRPr="00DB5B8C">
        <w:rPr>
          <w:rFonts w:ascii="標楷體" w:eastAsia="標楷體" w:hAnsi="標楷體" w:hint="eastAsia"/>
          <w:bCs/>
          <w:color w:val="000000" w:themeColor="text1"/>
          <w:szCs w:val="24"/>
        </w:rPr>
        <w:t>會因轄區內多數原住民選舉人戶籍屬寄居性質（籍在人不在）或拒絕簽收等，平地或山地原住民選舉人徵詢回復率更低，僅介於</w:t>
      </w:r>
      <w:proofErr w:type="gramStart"/>
      <w:r w:rsidR="00953F2A" w:rsidRPr="00DB5B8C">
        <w:rPr>
          <w:rFonts w:ascii="標楷體" w:eastAsia="標楷體" w:hAnsi="標楷體" w:hint="eastAsia"/>
          <w:bCs/>
          <w:color w:val="000000" w:themeColor="text1"/>
          <w:szCs w:val="24"/>
        </w:rPr>
        <w:t>1成</w:t>
      </w:r>
      <w:proofErr w:type="gramEnd"/>
      <w:r w:rsidR="00953F2A" w:rsidRPr="00DB5B8C">
        <w:rPr>
          <w:rFonts w:ascii="標楷體" w:eastAsia="標楷體" w:hAnsi="標楷體" w:hint="eastAsia"/>
          <w:bCs/>
          <w:color w:val="000000" w:themeColor="text1"/>
          <w:szCs w:val="24"/>
        </w:rPr>
        <w:t>餘至</w:t>
      </w:r>
      <w:proofErr w:type="gramStart"/>
      <w:r w:rsidR="00953F2A" w:rsidRPr="00DB5B8C">
        <w:rPr>
          <w:rFonts w:ascii="標楷體" w:eastAsia="標楷體" w:hAnsi="標楷體" w:hint="eastAsia"/>
          <w:bCs/>
          <w:color w:val="000000" w:themeColor="text1"/>
          <w:szCs w:val="24"/>
        </w:rPr>
        <w:t>3成餘間</w:t>
      </w:r>
      <w:r w:rsidR="00953F2A">
        <w:rPr>
          <w:rFonts w:ascii="標楷體" w:eastAsia="標楷體" w:hAnsi="標楷體" w:hint="eastAsia"/>
          <w:bCs/>
          <w:color w:val="000000" w:themeColor="text1"/>
          <w:szCs w:val="24"/>
        </w:rPr>
        <w:t>等</w:t>
      </w:r>
      <w:proofErr w:type="gramEnd"/>
      <w:r w:rsidR="00953F2A">
        <w:rPr>
          <w:rFonts w:ascii="標楷體" w:eastAsia="標楷體" w:hAnsi="標楷體" w:hint="eastAsia"/>
          <w:bCs/>
          <w:color w:val="000000" w:themeColor="text1"/>
          <w:szCs w:val="24"/>
        </w:rPr>
        <w:t>，</w:t>
      </w:r>
      <w:r w:rsidR="00953F2A" w:rsidRPr="00AC41AC">
        <w:rPr>
          <w:rFonts w:ascii="標楷體" w:eastAsia="標楷體" w:hAnsi="標楷體" w:hint="eastAsia"/>
          <w:bCs/>
          <w:color w:val="000000" w:themeColor="text1"/>
          <w:szCs w:val="24"/>
        </w:rPr>
        <w:t>顯示集中設置原住民投</w:t>
      </w:r>
      <w:r w:rsidR="00953F2A" w:rsidRPr="005508C6">
        <w:rPr>
          <w:rFonts w:ascii="標楷體" w:eastAsia="標楷體" w:hAnsi="標楷體" w:hint="eastAsia"/>
          <w:bCs/>
          <w:color w:val="000000" w:themeColor="text1"/>
          <w:szCs w:val="24"/>
        </w:rPr>
        <w:t>（開）</w:t>
      </w:r>
      <w:r w:rsidR="00953F2A" w:rsidRPr="00AC41AC">
        <w:rPr>
          <w:rFonts w:ascii="標楷體" w:eastAsia="標楷體" w:hAnsi="標楷體" w:hint="eastAsia"/>
          <w:bCs/>
          <w:color w:val="000000" w:themeColor="text1"/>
          <w:szCs w:val="24"/>
        </w:rPr>
        <w:t>票所</w:t>
      </w:r>
      <w:r w:rsidR="00953F2A">
        <w:rPr>
          <w:rFonts w:ascii="標楷體" w:eastAsia="標楷體" w:hAnsi="標楷體" w:hint="eastAsia"/>
          <w:bCs/>
          <w:color w:val="000000" w:themeColor="text1"/>
          <w:szCs w:val="24"/>
        </w:rPr>
        <w:t>及異動徵詢作業</w:t>
      </w:r>
      <w:r w:rsidR="00953F2A" w:rsidRPr="00AC41AC">
        <w:rPr>
          <w:rFonts w:ascii="標楷體" w:eastAsia="標楷體" w:hAnsi="標楷體" w:hint="eastAsia"/>
          <w:bCs/>
          <w:color w:val="000000" w:themeColor="text1"/>
          <w:szCs w:val="24"/>
        </w:rPr>
        <w:t>之辦理情形，仍有改善精進空間</w:t>
      </w:r>
      <w:r w:rsidR="00953F2A">
        <w:rPr>
          <w:rFonts w:ascii="標楷體" w:eastAsia="標楷體" w:hAnsi="標楷體" w:hint="eastAsia"/>
          <w:bCs/>
          <w:color w:val="000000" w:themeColor="text1"/>
          <w:szCs w:val="24"/>
        </w:rPr>
        <w:t>。經函請中央選舉委員會</w:t>
      </w:r>
      <w:r w:rsidR="00953F2A" w:rsidRPr="005508C6">
        <w:rPr>
          <w:rFonts w:ascii="標楷體" w:eastAsia="標楷體" w:hAnsi="標楷體" w:hint="eastAsia"/>
          <w:bCs/>
          <w:color w:val="000000" w:themeColor="text1"/>
          <w:szCs w:val="24"/>
        </w:rPr>
        <w:t>督促轄區1人投（開）票所占</w:t>
      </w:r>
      <w:proofErr w:type="gramStart"/>
      <w:r w:rsidR="00953F2A" w:rsidRPr="005508C6">
        <w:rPr>
          <w:rFonts w:ascii="標楷體" w:eastAsia="標楷體" w:hAnsi="標楷體" w:hint="eastAsia"/>
          <w:bCs/>
          <w:color w:val="000000" w:themeColor="text1"/>
          <w:szCs w:val="24"/>
        </w:rPr>
        <w:t>比降幅未</w:t>
      </w:r>
      <w:proofErr w:type="gramEnd"/>
      <w:r w:rsidR="00953F2A" w:rsidRPr="005508C6">
        <w:rPr>
          <w:rFonts w:ascii="標楷體" w:eastAsia="標楷體" w:hAnsi="標楷體" w:hint="eastAsia"/>
          <w:bCs/>
          <w:color w:val="000000" w:themeColor="text1"/>
          <w:szCs w:val="24"/>
        </w:rPr>
        <w:t>達績效目標者檢討改善，並</w:t>
      </w:r>
      <w:proofErr w:type="gramStart"/>
      <w:r w:rsidR="00953F2A" w:rsidRPr="005508C6">
        <w:rPr>
          <w:rFonts w:ascii="標楷體" w:eastAsia="標楷體" w:hAnsi="標楷體" w:hint="eastAsia"/>
          <w:bCs/>
          <w:color w:val="000000" w:themeColor="text1"/>
          <w:szCs w:val="24"/>
        </w:rPr>
        <w:t>賡</w:t>
      </w:r>
      <w:proofErr w:type="gramEnd"/>
      <w:r w:rsidR="00953F2A" w:rsidRPr="005508C6">
        <w:rPr>
          <w:rFonts w:ascii="標楷體" w:eastAsia="標楷體" w:hAnsi="標楷體" w:hint="eastAsia"/>
          <w:bCs/>
          <w:color w:val="000000" w:themeColor="text1"/>
          <w:szCs w:val="24"/>
        </w:rPr>
        <w:t>續強化集中設置原住民投（開）票所措施</w:t>
      </w:r>
      <w:r w:rsidR="00953F2A">
        <w:rPr>
          <w:rFonts w:ascii="標楷體" w:eastAsia="標楷體" w:hAnsi="標楷體" w:hint="eastAsia"/>
          <w:bCs/>
          <w:color w:val="000000" w:themeColor="text1"/>
          <w:szCs w:val="24"/>
        </w:rPr>
        <w:t>。據復：將於</w:t>
      </w:r>
      <w:r w:rsidR="00953F2A" w:rsidRPr="005508C6">
        <w:rPr>
          <w:rFonts w:ascii="標楷體" w:eastAsia="標楷體" w:hAnsi="標楷體" w:hint="eastAsia"/>
          <w:bCs/>
          <w:color w:val="000000" w:themeColor="text1"/>
          <w:szCs w:val="24"/>
        </w:rPr>
        <w:t>投（開）票所設置及異動徵詢作業</w:t>
      </w:r>
      <w:r w:rsidR="00953F2A">
        <w:rPr>
          <w:rFonts w:ascii="標楷體" w:eastAsia="標楷體" w:hAnsi="標楷體" w:hint="eastAsia"/>
          <w:bCs/>
          <w:color w:val="000000" w:themeColor="text1"/>
          <w:szCs w:val="24"/>
        </w:rPr>
        <w:t>辦理期間，</w:t>
      </w:r>
      <w:proofErr w:type="gramStart"/>
      <w:r w:rsidR="00953F2A">
        <w:rPr>
          <w:rFonts w:ascii="標楷體" w:eastAsia="標楷體" w:hAnsi="標楷體" w:hint="eastAsia"/>
          <w:bCs/>
          <w:color w:val="000000" w:themeColor="text1"/>
          <w:szCs w:val="24"/>
        </w:rPr>
        <w:t>賡</w:t>
      </w:r>
      <w:proofErr w:type="gramEnd"/>
      <w:r w:rsidR="00953F2A">
        <w:rPr>
          <w:rFonts w:ascii="標楷體" w:eastAsia="標楷體" w:hAnsi="標楷體" w:hint="eastAsia"/>
          <w:bCs/>
          <w:color w:val="000000" w:themeColor="text1"/>
          <w:szCs w:val="24"/>
        </w:rPr>
        <w:t>續請地方選舉委員會會同地方政府原住民族事務主管機關透過社群媒體等多元管道加強宣導，以提高</w:t>
      </w:r>
      <w:r w:rsidR="00953F2A" w:rsidRPr="005508C6">
        <w:rPr>
          <w:rFonts w:ascii="標楷體" w:eastAsia="標楷體" w:hAnsi="標楷體" w:hint="eastAsia"/>
          <w:bCs/>
          <w:color w:val="000000" w:themeColor="text1"/>
          <w:szCs w:val="24"/>
        </w:rPr>
        <w:t>原住民選舉人</w:t>
      </w:r>
      <w:r w:rsidR="00953F2A" w:rsidRPr="00180509">
        <w:rPr>
          <w:rFonts w:ascii="標楷體" w:eastAsia="標楷體" w:hAnsi="標楷體" w:hint="eastAsia"/>
          <w:bCs/>
          <w:color w:val="000000" w:themeColor="text1"/>
          <w:szCs w:val="24"/>
        </w:rPr>
        <w:t>徵詢回復率</w:t>
      </w:r>
      <w:r w:rsidR="00953F2A">
        <w:rPr>
          <w:rFonts w:ascii="標楷體" w:eastAsia="標楷體" w:hAnsi="標楷體" w:hint="eastAsia"/>
          <w:bCs/>
          <w:color w:val="000000" w:themeColor="text1"/>
          <w:szCs w:val="24"/>
        </w:rPr>
        <w:t>，落實原住民選舉人權益保障。</w:t>
      </w:r>
    </w:p>
    <w:p w14:paraId="60DE8327" w14:textId="2AD78CCD" w:rsidR="00A77EB2" w:rsidRPr="009F63CA" w:rsidRDefault="00A77EB2" w:rsidP="00450DF7">
      <w:pPr>
        <w:pStyle w:val="affffff1"/>
        <w:spacing w:beforeLines="20" w:before="72" w:line="440" w:lineRule="exact"/>
        <w:ind w:firstLineChars="200" w:firstLine="561"/>
        <w:outlineLvl w:val="1"/>
      </w:pPr>
      <w:r w:rsidRPr="006F289E">
        <w:rPr>
          <w:rFonts w:hint="eastAsia"/>
        </w:rPr>
        <w:t>（</w:t>
      </w:r>
      <w:r w:rsidR="00AD25E2">
        <w:rPr>
          <w:rFonts w:hint="eastAsia"/>
        </w:rPr>
        <w:t>四十</w:t>
      </w:r>
      <w:r w:rsidRPr="006F289E">
        <w:rPr>
          <w:rFonts w:hint="eastAsia"/>
        </w:rPr>
        <w:t xml:space="preserve">）　</w:t>
      </w:r>
      <w:r w:rsidR="00D21E63">
        <w:rPr>
          <w:rFonts w:hint="eastAsia"/>
          <w:color w:val="000000" w:themeColor="text1"/>
        </w:rPr>
        <w:t>中央選舉</w:t>
      </w:r>
      <w:r w:rsidR="00D21E63" w:rsidRPr="0087471F">
        <w:rPr>
          <w:rFonts w:hint="eastAsia"/>
          <w:color w:val="000000" w:themeColor="text1"/>
        </w:rPr>
        <w:t>委員會辦理</w:t>
      </w:r>
      <w:r w:rsidR="00D21E63">
        <w:rPr>
          <w:rFonts w:hint="eastAsia"/>
          <w:color w:val="000000" w:themeColor="text1"/>
        </w:rPr>
        <w:t>110年全國性公民投票選</w:t>
      </w:r>
      <w:proofErr w:type="gramStart"/>
      <w:r w:rsidR="00D21E63">
        <w:rPr>
          <w:rFonts w:hint="eastAsia"/>
          <w:color w:val="000000" w:themeColor="text1"/>
        </w:rPr>
        <w:t>務</w:t>
      </w:r>
      <w:proofErr w:type="gramEnd"/>
      <w:r w:rsidR="00D21E63">
        <w:rPr>
          <w:rFonts w:hint="eastAsia"/>
          <w:color w:val="000000" w:themeColor="text1"/>
        </w:rPr>
        <w:t>工作，</w:t>
      </w:r>
      <w:r w:rsidR="006B1E0D" w:rsidRPr="006B1E0D">
        <w:rPr>
          <w:rFonts w:hint="eastAsia"/>
        </w:rPr>
        <w:t>未</w:t>
      </w:r>
      <w:r w:rsidR="00E75ED8">
        <w:rPr>
          <w:rFonts w:hint="eastAsia"/>
        </w:rPr>
        <w:t>基於</w:t>
      </w:r>
      <w:r w:rsidR="006B1E0D" w:rsidRPr="006B1E0D">
        <w:rPr>
          <w:rFonts w:hint="eastAsia"/>
        </w:rPr>
        <w:t>選</w:t>
      </w:r>
      <w:proofErr w:type="gramStart"/>
      <w:r w:rsidR="006B1E0D" w:rsidRPr="006B1E0D">
        <w:rPr>
          <w:rFonts w:hint="eastAsia"/>
        </w:rPr>
        <w:t>務</w:t>
      </w:r>
      <w:proofErr w:type="gramEnd"/>
      <w:r w:rsidR="006B1E0D" w:rsidRPr="006B1E0D">
        <w:rPr>
          <w:rFonts w:hint="eastAsia"/>
        </w:rPr>
        <w:t>經驗及場地條件</w:t>
      </w:r>
      <w:r w:rsidR="006B1E0D">
        <w:rPr>
          <w:rFonts w:hint="eastAsia"/>
          <w:color w:val="000000" w:themeColor="text1"/>
        </w:rPr>
        <w:t>，</w:t>
      </w:r>
      <w:r w:rsidR="00D21E63">
        <w:rPr>
          <w:rFonts w:hint="eastAsia"/>
          <w:color w:val="000000" w:themeColor="text1"/>
        </w:rPr>
        <w:t>本於專業判斷審慎</w:t>
      </w:r>
      <w:proofErr w:type="gramStart"/>
      <w:r w:rsidR="00D21E63">
        <w:rPr>
          <w:rFonts w:hint="eastAsia"/>
          <w:color w:val="000000" w:themeColor="text1"/>
        </w:rPr>
        <w:t>衡酌</w:t>
      </w:r>
      <w:r w:rsidR="00D21E63" w:rsidRPr="001E3262">
        <w:rPr>
          <w:rFonts w:hint="eastAsia"/>
          <w:color w:val="000000" w:themeColor="text1"/>
        </w:rPr>
        <w:t>投</w:t>
      </w:r>
      <w:proofErr w:type="gramEnd"/>
      <w:r w:rsidR="00D21E63" w:rsidRPr="001E3262">
        <w:rPr>
          <w:rFonts w:hint="eastAsia"/>
          <w:color w:val="000000" w:themeColor="text1"/>
        </w:rPr>
        <w:t>（開）票所</w:t>
      </w:r>
      <w:r w:rsidR="00D21E63">
        <w:rPr>
          <w:rFonts w:hint="eastAsia"/>
          <w:color w:val="000000" w:themeColor="text1"/>
        </w:rPr>
        <w:t>圈票</w:t>
      </w:r>
      <w:proofErr w:type="gramStart"/>
      <w:r w:rsidR="00D21E63">
        <w:rPr>
          <w:rFonts w:hint="eastAsia"/>
          <w:color w:val="000000" w:themeColor="text1"/>
        </w:rPr>
        <w:t>處遮屏</w:t>
      </w:r>
      <w:proofErr w:type="gramEnd"/>
      <w:r w:rsidR="00D21E63">
        <w:rPr>
          <w:rFonts w:hint="eastAsia"/>
          <w:color w:val="000000" w:themeColor="text1"/>
        </w:rPr>
        <w:t>設置標準，並妥為設算</w:t>
      </w:r>
      <w:proofErr w:type="gramStart"/>
      <w:r w:rsidR="00D21E63">
        <w:rPr>
          <w:rFonts w:hint="eastAsia"/>
          <w:color w:val="000000" w:themeColor="text1"/>
        </w:rPr>
        <w:t>最</w:t>
      </w:r>
      <w:proofErr w:type="gramEnd"/>
      <w:r w:rsidR="00D21E63">
        <w:rPr>
          <w:rFonts w:hint="eastAsia"/>
          <w:color w:val="000000" w:themeColor="text1"/>
        </w:rPr>
        <w:t>適購置數量</w:t>
      </w:r>
      <w:r w:rsidR="00D21E63" w:rsidRPr="0087471F">
        <w:rPr>
          <w:rFonts w:hint="eastAsia"/>
          <w:color w:val="000000" w:themeColor="text1"/>
        </w:rPr>
        <w:t>，</w:t>
      </w:r>
      <w:r w:rsidR="00D21E63">
        <w:rPr>
          <w:rFonts w:hint="eastAsia"/>
          <w:color w:val="000000" w:themeColor="text1"/>
        </w:rPr>
        <w:t>致緊急採購</w:t>
      </w:r>
      <w:proofErr w:type="gramStart"/>
      <w:r w:rsidR="00D21E63">
        <w:rPr>
          <w:rFonts w:hint="eastAsia"/>
          <w:color w:val="000000" w:themeColor="text1"/>
        </w:rPr>
        <w:t>遮屏</w:t>
      </w:r>
      <w:r w:rsidR="00D21E63" w:rsidRPr="003A1CB3">
        <w:rPr>
          <w:rFonts w:hint="eastAsia"/>
          <w:color w:val="000000" w:themeColor="text1"/>
        </w:rPr>
        <w:t>未</w:t>
      </w:r>
      <w:proofErr w:type="gramEnd"/>
      <w:r w:rsidR="00D21E63">
        <w:rPr>
          <w:rFonts w:hint="eastAsia"/>
          <w:color w:val="000000" w:themeColor="text1"/>
        </w:rPr>
        <w:t>盡</w:t>
      </w:r>
      <w:r w:rsidR="00D21E63" w:rsidRPr="003A1CB3">
        <w:rPr>
          <w:rFonts w:hint="eastAsia"/>
          <w:color w:val="000000" w:themeColor="text1"/>
        </w:rPr>
        <w:t>發揮應有效益</w:t>
      </w:r>
      <w:r w:rsidR="00D21E63">
        <w:rPr>
          <w:rFonts w:hint="eastAsia"/>
          <w:color w:val="000000" w:themeColor="text1"/>
        </w:rPr>
        <w:t>，允宜</w:t>
      </w:r>
      <w:proofErr w:type="gramStart"/>
      <w:r w:rsidR="00D21E63" w:rsidRPr="004C2100">
        <w:rPr>
          <w:rFonts w:hint="eastAsia"/>
          <w:color w:val="000000" w:themeColor="text1"/>
        </w:rPr>
        <w:t>研</w:t>
      </w:r>
      <w:proofErr w:type="gramEnd"/>
      <w:r w:rsidR="00D21E63" w:rsidRPr="004C2100">
        <w:rPr>
          <w:rFonts w:hint="eastAsia"/>
          <w:color w:val="000000" w:themeColor="text1"/>
        </w:rPr>
        <w:t>謀改善</w:t>
      </w:r>
      <w:r w:rsidR="00D21E63" w:rsidRPr="0087471F">
        <w:rPr>
          <w:rFonts w:hint="eastAsia"/>
          <w:color w:val="000000" w:themeColor="text1"/>
        </w:rPr>
        <w:t>。</w:t>
      </w:r>
    </w:p>
    <w:p w14:paraId="645EF0AD" w14:textId="154F762A" w:rsidR="00450DF7" w:rsidRDefault="006D4ADA" w:rsidP="00992F39">
      <w:pPr>
        <w:pStyle w:val="affb"/>
        <w:kinsoku/>
        <w:overflowPunct w:val="0"/>
        <w:adjustRightInd/>
        <w:spacing w:line="440" w:lineRule="exact"/>
        <w:ind w:left="0" w:firstLineChars="200" w:firstLine="480"/>
        <w:jc w:val="both"/>
        <w:rPr>
          <w:rFonts w:hAnsi="標楷體"/>
          <w:bCs/>
          <w:sz w:val="24"/>
          <w:szCs w:val="24"/>
        </w:rPr>
      </w:pPr>
      <w:r w:rsidRPr="008C26D7">
        <w:rPr>
          <w:rFonts w:hAnsi="標楷體" w:hint="eastAsia"/>
          <w:noProof/>
          <w:sz w:val="24"/>
          <w:szCs w:val="24"/>
        </w:rPr>
        <w:t>公民投票法自108年6月17日修正後，截至113年底止，最近一次全國性公民投票係於110年12月18日辦理之第17至第20案</w:t>
      </w:r>
      <w:r w:rsidRPr="0087471F">
        <w:rPr>
          <w:rFonts w:hAnsi="標楷體" w:hint="eastAsia"/>
          <w:noProof/>
          <w:sz w:val="24"/>
          <w:szCs w:val="24"/>
        </w:rPr>
        <w:t>。</w:t>
      </w:r>
      <w:r>
        <w:rPr>
          <w:rFonts w:hAnsi="標楷體" w:hint="eastAsia"/>
          <w:bCs/>
          <w:sz w:val="24"/>
          <w:szCs w:val="24"/>
        </w:rPr>
        <w:t>中央選舉委員會</w:t>
      </w:r>
      <w:r w:rsidRPr="00416DB5">
        <w:rPr>
          <w:rFonts w:hAnsi="標楷體" w:hint="eastAsia"/>
          <w:bCs/>
          <w:sz w:val="24"/>
          <w:szCs w:val="24"/>
        </w:rPr>
        <w:t>辦理公職人員選舉及全國性公民投票，歷來係以選</w:t>
      </w:r>
      <w:proofErr w:type="gramStart"/>
      <w:r w:rsidRPr="00416DB5">
        <w:rPr>
          <w:rFonts w:hAnsi="標楷體" w:hint="eastAsia"/>
          <w:bCs/>
          <w:sz w:val="24"/>
          <w:szCs w:val="24"/>
        </w:rPr>
        <w:t>務</w:t>
      </w:r>
      <w:proofErr w:type="gramEnd"/>
      <w:r w:rsidRPr="00416DB5">
        <w:rPr>
          <w:rFonts w:hAnsi="標楷體" w:hint="eastAsia"/>
          <w:bCs/>
          <w:sz w:val="24"/>
          <w:szCs w:val="24"/>
        </w:rPr>
        <w:t>工作協調會議之決議，經適時滾動檢討調整後，設定各投（開）票所設置圈票</w:t>
      </w:r>
      <w:proofErr w:type="gramStart"/>
      <w:r w:rsidRPr="00416DB5">
        <w:rPr>
          <w:rFonts w:hAnsi="標楷體" w:hint="eastAsia"/>
          <w:bCs/>
          <w:sz w:val="24"/>
          <w:szCs w:val="24"/>
        </w:rPr>
        <w:t>處遮屏</w:t>
      </w:r>
      <w:proofErr w:type="gramEnd"/>
      <w:r w:rsidRPr="00416DB5">
        <w:rPr>
          <w:rFonts w:hAnsi="標楷體" w:hint="eastAsia"/>
          <w:bCs/>
          <w:sz w:val="24"/>
          <w:szCs w:val="24"/>
        </w:rPr>
        <w:t>（下稱遮屏）數量標準，函請各</w:t>
      </w:r>
      <w:r>
        <w:rPr>
          <w:rFonts w:hAnsi="標楷體" w:hint="eastAsia"/>
          <w:bCs/>
          <w:sz w:val="24"/>
          <w:szCs w:val="24"/>
        </w:rPr>
        <w:t>地方選舉委員會</w:t>
      </w:r>
      <w:r w:rsidRPr="00416DB5">
        <w:rPr>
          <w:rFonts w:hAnsi="標楷體" w:hint="eastAsia"/>
          <w:bCs/>
          <w:sz w:val="24"/>
          <w:szCs w:val="24"/>
        </w:rPr>
        <w:t>據以</w:t>
      </w:r>
      <w:proofErr w:type="gramStart"/>
      <w:r w:rsidRPr="00416DB5">
        <w:rPr>
          <w:rFonts w:hAnsi="標楷體" w:hint="eastAsia"/>
          <w:bCs/>
          <w:sz w:val="24"/>
          <w:szCs w:val="24"/>
        </w:rPr>
        <w:t>提報遮屏採購</w:t>
      </w:r>
      <w:proofErr w:type="gramEnd"/>
      <w:r w:rsidRPr="00416DB5">
        <w:rPr>
          <w:rFonts w:hAnsi="標楷體" w:hint="eastAsia"/>
          <w:bCs/>
          <w:sz w:val="24"/>
          <w:szCs w:val="24"/>
        </w:rPr>
        <w:t>需求數，由</w:t>
      </w:r>
      <w:r>
        <w:rPr>
          <w:rFonts w:hAnsi="標楷體" w:hint="eastAsia"/>
          <w:bCs/>
          <w:sz w:val="24"/>
          <w:szCs w:val="24"/>
        </w:rPr>
        <w:t>中央選舉委員會</w:t>
      </w:r>
      <w:r w:rsidRPr="00416DB5">
        <w:rPr>
          <w:rFonts w:hAnsi="標楷體" w:hint="eastAsia"/>
          <w:bCs/>
          <w:sz w:val="24"/>
          <w:szCs w:val="24"/>
        </w:rPr>
        <w:t>統一辦理採購後配發。</w:t>
      </w:r>
      <w:r>
        <w:rPr>
          <w:rFonts w:hAnsi="標楷體" w:hint="eastAsia"/>
          <w:bCs/>
          <w:sz w:val="24"/>
          <w:szCs w:val="24"/>
        </w:rPr>
        <w:t>中央選舉委員會辦理</w:t>
      </w:r>
      <w:r w:rsidRPr="00416DB5">
        <w:rPr>
          <w:rFonts w:hAnsi="標楷體" w:hint="eastAsia"/>
          <w:bCs/>
          <w:sz w:val="24"/>
          <w:szCs w:val="24"/>
        </w:rPr>
        <w:t>110年全國性公民投票，於109年11月11日召開選</w:t>
      </w:r>
      <w:proofErr w:type="gramStart"/>
      <w:r w:rsidRPr="00416DB5">
        <w:rPr>
          <w:rFonts w:hAnsi="標楷體" w:hint="eastAsia"/>
          <w:bCs/>
          <w:sz w:val="24"/>
          <w:szCs w:val="24"/>
        </w:rPr>
        <w:t>務</w:t>
      </w:r>
      <w:proofErr w:type="gramEnd"/>
      <w:r w:rsidRPr="00416DB5">
        <w:rPr>
          <w:rFonts w:hAnsi="標楷體" w:hint="eastAsia"/>
          <w:bCs/>
          <w:sz w:val="24"/>
          <w:szCs w:val="24"/>
        </w:rPr>
        <w:t>工作協調會議決議</w:t>
      </w:r>
      <w:r w:rsidR="00C733A7">
        <w:rPr>
          <w:rFonts w:hAnsi="標楷體" w:hint="eastAsia"/>
          <w:bCs/>
          <w:sz w:val="24"/>
          <w:szCs w:val="24"/>
        </w:rPr>
        <w:t>，</w:t>
      </w:r>
      <w:r>
        <w:rPr>
          <w:rFonts w:hAnsi="標楷體" w:hint="eastAsia"/>
          <w:bCs/>
          <w:sz w:val="24"/>
          <w:szCs w:val="24"/>
        </w:rPr>
        <w:t>以</w:t>
      </w:r>
      <w:r w:rsidRPr="00416DB5">
        <w:rPr>
          <w:rFonts w:hAnsi="標楷體" w:hint="eastAsia"/>
          <w:bCs/>
          <w:sz w:val="24"/>
          <w:szCs w:val="24"/>
        </w:rPr>
        <w:t>選舉人人數1,200人以下、1,201至1,499人</w:t>
      </w:r>
      <w:r>
        <w:rPr>
          <w:rFonts w:hAnsi="標楷體" w:hint="eastAsia"/>
          <w:bCs/>
          <w:sz w:val="24"/>
          <w:szCs w:val="24"/>
        </w:rPr>
        <w:t>、</w:t>
      </w:r>
      <w:r w:rsidRPr="00416DB5">
        <w:rPr>
          <w:rFonts w:hAnsi="標楷體" w:hint="eastAsia"/>
          <w:bCs/>
          <w:sz w:val="24"/>
          <w:szCs w:val="24"/>
        </w:rPr>
        <w:t>1,500人以上</w:t>
      </w:r>
      <w:r>
        <w:rPr>
          <w:rFonts w:hAnsi="標楷體" w:hint="eastAsia"/>
          <w:bCs/>
          <w:sz w:val="24"/>
          <w:szCs w:val="24"/>
        </w:rPr>
        <w:t>分別</w:t>
      </w:r>
      <w:r w:rsidRPr="00416DB5">
        <w:rPr>
          <w:rFonts w:hAnsi="標楷體" w:hint="eastAsia"/>
          <w:bCs/>
          <w:sz w:val="24"/>
          <w:szCs w:val="24"/>
        </w:rPr>
        <w:t>設</w:t>
      </w:r>
      <w:r>
        <w:rPr>
          <w:rFonts w:hAnsi="標楷體" w:hint="eastAsia"/>
          <w:bCs/>
          <w:sz w:val="24"/>
          <w:szCs w:val="24"/>
        </w:rPr>
        <w:t>置</w:t>
      </w:r>
      <w:r w:rsidRPr="00416DB5">
        <w:rPr>
          <w:rFonts w:hAnsi="標楷體" w:hint="eastAsia"/>
          <w:bCs/>
          <w:sz w:val="24"/>
          <w:szCs w:val="24"/>
        </w:rPr>
        <w:t>5個</w:t>
      </w:r>
      <w:r>
        <w:rPr>
          <w:rFonts w:hAnsi="標楷體" w:hint="eastAsia"/>
          <w:bCs/>
          <w:sz w:val="24"/>
          <w:szCs w:val="24"/>
        </w:rPr>
        <w:t>、</w:t>
      </w:r>
      <w:r w:rsidRPr="00416DB5">
        <w:rPr>
          <w:rFonts w:hAnsi="標楷體" w:hint="eastAsia"/>
          <w:bCs/>
          <w:sz w:val="24"/>
          <w:szCs w:val="24"/>
        </w:rPr>
        <w:t>6個</w:t>
      </w:r>
      <w:r>
        <w:rPr>
          <w:rFonts w:hAnsi="標楷體" w:hint="eastAsia"/>
          <w:bCs/>
          <w:sz w:val="24"/>
          <w:szCs w:val="24"/>
        </w:rPr>
        <w:t>、</w:t>
      </w:r>
      <w:proofErr w:type="gramStart"/>
      <w:r w:rsidRPr="00416DB5">
        <w:rPr>
          <w:rFonts w:hAnsi="標楷體" w:hint="eastAsia"/>
          <w:bCs/>
          <w:sz w:val="24"/>
          <w:szCs w:val="24"/>
        </w:rPr>
        <w:t>7個遮屏</w:t>
      </w:r>
      <w:proofErr w:type="gramEnd"/>
      <w:r w:rsidR="00C733A7">
        <w:rPr>
          <w:rFonts w:hAnsi="標楷體" w:hint="eastAsia"/>
          <w:bCs/>
          <w:sz w:val="24"/>
          <w:szCs w:val="24"/>
        </w:rPr>
        <w:t>（含至少1個防疫遮屏）</w:t>
      </w:r>
      <w:r w:rsidRPr="00416DB5">
        <w:rPr>
          <w:rFonts w:hAnsi="標楷體" w:hint="eastAsia"/>
          <w:bCs/>
          <w:sz w:val="24"/>
          <w:szCs w:val="24"/>
        </w:rPr>
        <w:t>為原則。</w:t>
      </w:r>
      <w:proofErr w:type="gramStart"/>
      <w:r w:rsidRPr="00416DB5">
        <w:rPr>
          <w:rFonts w:hAnsi="標楷體" w:hint="eastAsia"/>
          <w:bCs/>
          <w:sz w:val="24"/>
          <w:szCs w:val="24"/>
        </w:rPr>
        <w:t>嗣</w:t>
      </w:r>
      <w:proofErr w:type="gramEnd"/>
      <w:r w:rsidRPr="00416DB5">
        <w:rPr>
          <w:rFonts w:hAnsi="標楷體" w:hint="eastAsia"/>
          <w:bCs/>
          <w:sz w:val="24"/>
          <w:szCs w:val="24"/>
        </w:rPr>
        <w:t>因</w:t>
      </w:r>
      <w:r>
        <w:rPr>
          <w:rFonts w:hAnsi="標楷體" w:hint="eastAsia"/>
          <w:bCs/>
          <w:sz w:val="24"/>
          <w:szCs w:val="24"/>
        </w:rPr>
        <w:t>中央選舉委員會考</w:t>
      </w:r>
      <w:r w:rsidR="00992F39">
        <w:rPr>
          <w:rFonts w:hAnsi="標楷體" w:hint="eastAsia"/>
          <w:bCs/>
          <w:sz w:val="24"/>
          <w:szCs w:val="24"/>
        </w:rPr>
        <w:t>量新型冠</w:t>
      </w:r>
    </w:p>
    <w:p w14:paraId="46DEEDB6" w14:textId="179BA678" w:rsidR="009F63CA" w:rsidRPr="00753B88" w:rsidRDefault="00992F39" w:rsidP="00AC18A0">
      <w:pPr>
        <w:pStyle w:val="affb"/>
        <w:kinsoku/>
        <w:overflowPunct w:val="0"/>
        <w:adjustRightInd/>
        <w:spacing w:line="450" w:lineRule="exact"/>
        <w:ind w:left="0" w:firstLine="0"/>
        <w:jc w:val="both"/>
        <w:rPr>
          <w:rFonts w:hAnsi="標楷體"/>
          <w:noProof/>
          <w:spacing w:val="-2"/>
          <w:sz w:val="24"/>
          <w:szCs w:val="24"/>
        </w:rPr>
      </w:pPr>
      <w:r>
        <w:rPr>
          <w:rFonts w:hAnsi="標楷體" w:hint="eastAsia"/>
          <w:bCs/>
          <w:sz w:val="24"/>
          <w:szCs w:val="24"/>
        </w:rPr>
        <w:lastRenderedPageBreak/>
        <w:t>狀</w:t>
      </w:r>
      <w:r w:rsidR="00450DF7" w:rsidRPr="00110A89">
        <w:rPr>
          <w:rFonts w:hAnsi="標楷體"/>
          <w:noProof/>
          <w:color w:val="000000" w:themeColor="text1"/>
        </w:rPr>
        <mc:AlternateContent>
          <mc:Choice Requires="wps">
            <w:drawing>
              <wp:anchor distT="45720" distB="45720" distL="114300" distR="114300" simplePos="0" relativeHeight="251697152" behindDoc="0" locked="0" layoutInCell="1" allowOverlap="1" wp14:anchorId="1366DA3A" wp14:editId="496CDDF2">
                <wp:simplePos x="0" y="0"/>
                <wp:positionH relativeFrom="margin">
                  <wp:posOffset>3493135</wp:posOffset>
                </wp:positionH>
                <wp:positionV relativeFrom="paragraph">
                  <wp:posOffset>1583690</wp:posOffset>
                </wp:positionV>
                <wp:extent cx="2800350" cy="2903220"/>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0" cy="2903220"/>
                        </a:xfrm>
                        <a:prstGeom prst="rect">
                          <a:avLst/>
                        </a:prstGeom>
                        <a:solidFill>
                          <a:srgbClr val="FFFFFF"/>
                        </a:solidFill>
                        <a:ln w="9525">
                          <a:noFill/>
                          <a:miter lim="800000"/>
                          <a:headEnd/>
                          <a:tailEnd/>
                        </a:ln>
                      </wps:spPr>
                      <wps:txbx>
                        <w:txbxContent>
                          <w:p w14:paraId="3ED4E11B" w14:textId="281EE637" w:rsidR="00F21CCC" w:rsidRPr="000857D0" w:rsidRDefault="00F21CCC" w:rsidP="007C1514">
                            <w:pPr>
                              <w:spacing w:line="260" w:lineRule="exact"/>
                              <w:ind w:leftChars="20" w:left="709" w:hangingChars="275" w:hanging="661"/>
                              <w:jc w:val="both"/>
                              <w:rPr>
                                <w:rFonts w:ascii="標楷體" w:eastAsia="標楷體" w:hAnsi="標楷體"/>
                                <w:b/>
                              </w:rPr>
                            </w:pPr>
                            <w:r w:rsidRPr="000857D0">
                              <w:rPr>
                                <w:rFonts w:ascii="標楷體" w:eastAsia="標楷體" w:hAnsi="標楷體" w:hint="eastAsia"/>
                                <w:b/>
                              </w:rPr>
                              <w:t>表</w:t>
                            </w:r>
                            <w:r>
                              <w:rPr>
                                <w:rFonts w:ascii="標楷體" w:eastAsia="標楷體" w:hAnsi="標楷體"/>
                                <w:b/>
                              </w:rPr>
                              <w:t>54</w:t>
                            </w:r>
                            <w:r w:rsidRPr="000857D0">
                              <w:rPr>
                                <w:rFonts w:ascii="標楷體" w:eastAsia="標楷體" w:hAnsi="標楷體" w:hint="eastAsia"/>
                                <w:b/>
                              </w:rPr>
                              <w:t xml:space="preserve"> </w:t>
                            </w:r>
                            <w:proofErr w:type="gramStart"/>
                            <w:r w:rsidRPr="000857D0">
                              <w:rPr>
                                <w:rFonts w:ascii="標楷體" w:eastAsia="標楷體" w:hAnsi="標楷體" w:hint="eastAsia"/>
                                <w:b/>
                              </w:rPr>
                              <w:t>110年3月間</w:t>
                            </w:r>
                            <w:r w:rsidR="007C1514" w:rsidRPr="000857D0">
                              <w:rPr>
                                <w:rFonts w:ascii="標楷體" w:eastAsia="標楷體" w:hAnsi="標楷體" w:hint="eastAsia"/>
                                <w:b/>
                              </w:rPr>
                              <w:t>各</w:t>
                            </w:r>
                            <w:r w:rsidR="007C1514">
                              <w:rPr>
                                <w:rFonts w:ascii="標楷體" w:eastAsia="標楷體" w:hAnsi="標楷體" w:hint="eastAsia"/>
                                <w:b/>
                              </w:rPr>
                              <w:t>地方</w:t>
                            </w:r>
                            <w:proofErr w:type="gramEnd"/>
                            <w:r w:rsidR="007C1514">
                              <w:rPr>
                                <w:rFonts w:ascii="標楷體" w:eastAsia="標楷體" w:hAnsi="標楷體" w:hint="eastAsia"/>
                                <w:b/>
                              </w:rPr>
                              <w:t>選舉委員會</w:t>
                            </w:r>
                            <w:r w:rsidRPr="000857D0">
                              <w:rPr>
                                <w:rFonts w:ascii="標楷體" w:eastAsia="標楷體" w:hAnsi="標楷體" w:hint="eastAsia"/>
                                <w:b/>
                              </w:rPr>
                              <w:t>回報各投（開）票所可</w:t>
                            </w:r>
                            <w:proofErr w:type="gramStart"/>
                            <w:r w:rsidRPr="000857D0">
                              <w:rPr>
                                <w:rFonts w:ascii="標楷體" w:eastAsia="標楷體" w:hAnsi="標楷體" w:hint="eastAsia"/>
                                <w:b/>
                              </w:rPr>
                              <w:t>設置遮屏數量</w:t>
                            </w:r>
                            <w:proofErr w:type="gramEnd"/>
                            <w:r w:rsidRPr="000857D0">
                              <w:rPr>
                                <w:rFonts w:ascii="標楷體" w:eastAsia="標楷體" w:hAnsi="標楷體" w:hint="eastAsia"/>
                                <w:b/>
                              </w:rPr>
                              <w:t>情形</w:t>
                            </w:r>
                          </w:p>
                          <w:p w14:paraId="07CC8DBF" w14:textId="77777777" w:rsidR="00F21CCC" w:rsidRDefault="00F21CCC" w:rsidP="00F21CCC">
                            <w:pPr>
                              <w:jc w:val="right"/>
                              <w:rPr>
                                <w:rFonts w:ascii="標楷體" w:eastAsia="標楷體" w:hAnsi="標楷體" w:cs="新細明體"/>
                                <w:color w:val="000000" w:themeColor="text1"/>
                                <w:kern w:val="0"/>
                                <w:sz w:val="20"/>
                              </w:rPr>
                            </w:pPr>
                            <w:r w:rsidRPr="00F16651">
                              <w:rPr>
                                <w:rFonts w:ascii="標楷體" w:eastAsia="標楷體" w:hAnsi="標楷體" w:cs="新細明體" w:hint="eastAsia"/>
                                <w:color w:val="000000" w:themeColor="text1"/>
                                <w:kern w:val="0"/>
                                <w:sz w:val="20"/>
                              </w:rPr>
                              <w:t>單位：</w:t>
                            </w:r>
                            <w:r>
                              <w:rPr>
                                <w:rFonts w:ascii="標楷體" w:eastAsia="標楷體" w:hAnsi="標楷體" w:cs="新細明體" w:hint="eastAsia"/>
                                <w:color w:val="000000" w:themeColor="text1"/>
                                <w:kern w:val="0"/>
                                <w:sz w:val="20"/>
                              </w:rPr>
                              <w:t>所</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w:t>
                            </w:r>
                            <w:proofErr w:type="gramStart"/>
                            <w:r>
                              <w:rPr>
                                <w:rFonts w:ascii="標楷體" w:eastAsia="標楷體" w:hAnsi="標楷體" w:cs="新細明體" w:hint="eastAsia"/>
                                <w:color w:val="000000" w:themeColor="text1"/>
                                <w:kern w:val="0"/>
                                <w:sz w:val="20"/>
                              </w:rPr>
                              <w:t>個</w:t>
                            </w:r>
                            <w:proofErr w:type="gramEnd"/>
                          </w:p>
                          <w:tbl>
                            <w:tblPr>
                              <w:tblOverlap w:val="never"/>
                              <w:tblW w:w="4161" w:type="dxa"/>
                              <w:tblCellMar>
                                <w:left w:w="28" w:type="dxa"/>
                                <w:right w:w="28" w:type="dxa"/>
                              </w:tblCellMar>
                              <w:tblLook w:val="04A0" w:firstRow="1" w:lastRow="0" w:firstColumn="1" w:lastColumn="0" w:noHBand="0" w:noVBand="1"/>
                            </w:tblPr>
                            <w:tblGrid>
                              <w:gridCol w:w="1400"/>
                              <w:gridCol w:w="1023"/>
                              <w:gridCol w:w="658"/>
                              <w:gridCol w:w="1080"/>
                            </w:tblGrid>
                            <w:tr w:rsidR="00F21CCC" w:rsidRPr="000857D0" w14:paraId="1EC7FCFD" w14:textId="77777777" w:rsidTr="006A0DDD">
                              <w:trPr>
                                <w:trHeight w:val="546"/>
                              </w:trPr>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69B86" w14:textId="77777777" w:rsidR="00F21CCC" w:rsidRPr="00AF3143" w:rsidRDefault="00F21CCC" w:rsidP="00B01E49">
                                  <w:pPr>
                                    <w:widowControl/>
                                    <w:snapToGrid w:val="0"/>
                                    <w:spacing w:line="200" w:lineRule="atLeast"/>
                                    <w:suppressOverlap/>
                                    <w:jc w:val="center"/>
                                    <w:rPr>
                                      <w:rFonts w:ascii="標楷體" w:eastAsia="標楷體" w:hAnsi="標楷體" w:cs="新細明體"/>
                                      <w:color w:val="000000"/>
                                      <w:spacing w:val="-10"/>
                                      <w:kern w:val="0"/>
                                      <w:sz w:val="20"/>
                                    </w:rPr>
                                  </w:pPr>
                                  <w:r w:rsidRPr="00AF3143">
                                    <w:rPr>
                                      <w:rFonts w:ascii="標楷體" w:eastAsia="標楷體" w:hAnsi="標楷體" w:cs="新細明體" w:hint="eastAsia"/>
                                      <w:color w:val="000000"/>
                                      <w:spacing w:val="-10"/>
                                      <w:kern w:val="0"/>
                                      <w:sz w:val="20"/>
                                    </w:rPr>
                                    <w:t>每</w:t>
                                  </w:r>
                                  <w:proofErr w:type="gramStart"/>
                                  <w:r w:rsidRPr="00AF3143">
                                    <w:rPr>
                                      <w:rFonts w:ascii="標楷體" w:eastAsia="標楷體" w:hAnsi="標楷體" w:cs="新細明體" w:hint="eastAsia"/>
                                      <w:color w:val="000000"/>
                                      <w:spacing w:val="-10"/>
                                      <w:kern w:val="0"/>
                                      <w:sz w:val="20"/>
                                    </w:rPr>
                                    <w:t>個</w:t>
                                  </w:r>
                                  <w:proofErr w:type="gramEnd"/>
                                  <w:r w:rsidRPr="00AF3143">
                                    <w:rPr>
                                      <w:rFonts w:ascii="標楷體" w:eastAsia="標楷體" w:hAnsi="標楷體" w:cs="新細明體" w:hint="eastAsia"/>
                                      <w:color w:val="000000"/>
                                      <w:spacing w:val="-10"/>
                                      <w:kern w:val="0"/>
                                      <w:sz w:val="20"/>
                                    </w:rPr>
                                    <w:t>投（開）票所可設置</w:t>
                                  </w:r>
                                  <w:proofErr w:type="gramStart"/>
                                  <w:r w:rsidRPr="00AF3143">
                                    <w:rPr>
                                      <w:rFonts w:ascii="標楷體" w:eastAsia="標楷體" w:hAnsi="標楷體" w:cs="新細明體" w:hint="eastAsia"/>
                                      <w:color w:val="000000"/>
                                      <w:spacing w:val="-10"/>
                                      <w:kern w:val="0"/>
                                      <w:sz w:val="20"/>
                                    </w:rPr>
                                    <w:t>遮屏數</w:t>
                                  </w:r>
                                  <w:proofErr w:type="gramEnd"/>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746933ED" w14:textId="77777777" w:rsidR="00F21CCC" w:rsidRPr="000857D0" w:rsidRDefault="00F21CCC" w:rsidP="00B01E49">
                                  <w:pPr>
                                    <w:widowControl/>
                                    <w:snapToGrid w:val="0"/>
                                    <w:spacing w:line="200" w:lineRule="atLeast"/>
                                    <w:suppressOverlap/>
                                    <w:jc w:val="center"/>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投（開）票所數</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14:paraId="02F9F98C" w14:textId="77777777" w:rsidR="00F21CCC" w:rsidRPr="000857D0" w:rsidRDefault="00F21CCC" w:rsidP="00B01E49">
                                  <w:pPr>
                                    <w:widowControl/>
                                    <w:snapToGrid w:val="0"/>
                                    <w:spacing w:line="200" w:lineRule="atLeast"/>
                                    <w:suppressOverlap/>
                                    <w:jc w:val="center"/>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占比</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AE71972" w14:textId="77777777" w:rsidR="00F21CCC" w:rsidRPr="000857D0" w:rsidRDefault="00F21CCC" w:rsidP="00B01E49">
                                  <w:pPr>
                                    <w:widowControl/>
                                    <w:snapToGrid w:val="0"/>
                                    <w:spacing w:line="200" w:lineRule="atLeast"/>
                                    <w:suppressOverlap/>
                                    <w:jc w:val="center"/>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可</w:t>
                                  </w:r>
                                  <w:proofErr w:type="gramStart"/>
                                  <w:r w:rsidRPr="000857D0">
                                    <w:rPr>
                                      <w:rFonts w:ascii="標楷體" w:eastAsia="標楷體" w:hAnsi="標楷體" w:cs="新細明體" w:hint="eastAsia"/>
                                      <w:color w:val="000000"/>
                                      <w:kern w:val="0"/>
                                      <w:sz w:val="20"/>
                                    </w:rPr>
                                    <w:t>設置遮屏總數</w:t>
                                  </w:r>
                                  <w:proofErr w:type="gramEnd"/>
                                  <w:r w:rsidRPr="000857D0">
                                    <w:rPr>
                                      <w:rFonts w:ascii="標楷體" w:eastAsia="標楷體" w:hAnsi="標楷體" w:cs="新細明體" w:hint="eastAsia"/>
                                      <w:color w:val="000000"/>
                                      <w:kern w:val="0"/>
                                      <w:sz w:val="20"/>
                                    </w:rPr>
                                    <w:t>（</w:t>
                                  </w:r>
                                  <w:proofErr w:type="gramStart"/>
                                  <w:r w:rsidRPr="000857D0">
                                    <w:rPr>
                                      <w:rFonts w:ascii="標楷體" w:eastAsia="標楷體" w:hAnsi="標楷體" w:cs="新細明體" w:hint="eastAsia"/>
                                      <w:color w:val="000000"/>
                                      <w:kern w:val="0"/>
                                      <w:sz w:val="20"/>
                                    </w:rPr>
                                    <w:t>註</w:t>
                                  </w:r>
                                  <w:proofErr w:type="gramEnd"/>
                                  <w:r w:rsidRPr="000857D0">
                                    <w:rPr>
                                      <w:rFonts w:ascii="標楷體" w:eastAsia="標楷體" w:hAnsi="標楷體" w:cs="新細明體" w:hint="eastAsia"/>
                                      <w:color w:val="000000"/>
                                      <w:kern w:val="0"/>
                                      <w:sz w:val="20"/>
                                    </w:rPr>
                                    <w:t>1）</w:t>
                                  </w:r>
                                </w:p>
                              </w:tc>
                            </w:tr>
                            <w:tr w:rsidR="00F21CCC" w:rsidRPr="000857D0" w14:paraId="173EF76E"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794146D4" w14:textId="77777777" w:rsidR="00F21CCC" w:rsidRPr="000857D0" w:rsidRDefault="00F21CCC" w:rsidP="00B01E49">
                                  <w:pPr>
                                    <w:widowControl/>
                                    <w:suppressOverlap/>
                                    <w:jc w:val="center"/>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合計</w:t>
                                  </w:r>
                                </w:p>
                              </w:tc>
                              <w:tc>
                                <w:tcPr>
                                  <w:tcW w:w="1023" w:type="dxa"/>
                                  <w:tcBorders>
                                    <w:top w:val="nil"/>
                                    <w:left w:val="nil"/>
                                    <w:bottom w:val="single" w:sz="4" w:space="0" w:color="auto"/>
                                    <w:right w:val="single" w:sz="4" w:space="0" w:color="auto"/>
                                  </w:tcBorders>
                                  <w:shd w:val="clear" w:color="auto" w:fill="auto"/>
                                  <w:noWrap/>
                                  <w:vAlign w:val="center"/>
                                  <w:hideMark/>
                                </w:tcPr>
                                <w:p w14:paraId="584739CF" w14:textId="77777777" w:rsidR="00F21CCC" w:rsidRPr="000857D0" w:rsidRDefault="00F21CCC" w:rsidP="00B01E49">
                                  <w:pPr>
                                    <w:widowControl/>
                                    <w:suppressOverlap/>
                                    <w:jc w:val="right"/>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17,479</w:t>
                                  </w:r>
                                </w:p>
                              </w:tc>
                              <w:tc>
                                <w:tcPr>
                                  <w:tcW w:w="658" w:type="dxa"/>
                                  <w:tcBorders>
                                    <w:top w:val="nil"/>
                                    <w:left w:val="nil"/>
                                    <w:bottom w:val="single" w:sz="4" w:space="0" w:color="auto"/>
                                    <w:right w:val="single" w:sz="4" w:space="0" w:color="auto"/>
                                  </w:tcBorders>
                                  <w:shd w:val="clear" w:color="auto" w:fill="auto"/>
                                  <w:noWrap/>
                                  <w:vAlign w:val="center"/>
                                  <w:hideMark/>
                                </w:tcPr>
                                <w:p w14:paraId="3F81B1B6" w14:textId="77777777" w:rsidR="00F21CCC" w:rsidRPr="000857D0" w:rsidRDefault="00F21CCC" w:rsidP="00B01E49">
                                  <w:pPr>
                                    <w:widowControl/>
                                    <w:suppressOverlap/>
                                    <w:jc w:val="right"/>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 xml:space="preserve">100.00 </w:t>
                                  </w:r>
                                </w:p>
                              </w:tc>
                              <w:tc>
                                <w:tcPr>
                                  <w:tcW w:w="1080" w:type="dxa"/>
                                  <w:tcBorders>
                                    <w:top w:val="nil"/>
                                    <w:left w:val="nil"/>
                                    <w:bottom w:val="single" w:sz="4" w:space="0" w:color="auto"/>
                                    <w:right w:val="single" w:sz="4" w:space="0" w:color="auto"/>
                                  </w:tcBorders>
                                  <w:shd w:val="clear" w:color="auto" w:fill="auto"/>
                                  <w:noWrap/>
                                  <w:vAlign w:val="center"/>
                                  <w:hideMark/>
                                </w:tcPr>
                                <w:p w14:paraId="6D8B6217" w14:textId="77777777" w:rsidR="00F21CCC" w:rsidRPr="000857D0" w:rsidRDefault="00F21CCC" w:rsidP="00B01E49">
                                  <w:pPr>
                                    <w:widowControl/>
                                    <w:suppressOverlap/>
                                    <w:jc w:val="right"/>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 xml:space="preserve">79,016 </w:t>
                                  </w:r>
                                </w:p>
                              </w:tc>
                            </w:tr>
                            <w:tr w:rsidR="00F21CCC" w:rsidRPr="000857D0" w14:paraId="4E20BD25"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65A7002A"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4個以下</w:t>
                                  </w:r>
                                </w:p>
                              </w:tc>
                              <w:tc>
                                <w:tcPr>
                                  <w:tcW w:w="1023" w:type="dxa"/>
                                  <w:tcBorders>
                                    <w:top w:val="nil"/>
                                    <w:left w:val="nil"/>
                                    <w:bottom w:val="single" w:sz="4" w:space="0" w:color="auto"/>
                                    <w:right w:val="single" w:sz="4" w:space="0" w:color="auto"/>
                                  </w:tcBorders>
                                  <w:shd w:val="clear" w:color="auto" w:fill="auto"/>
                                  <w:noWrap/>
                                  <w:vAlign w:val="center"/>
                                  <w:hideMark/>
                                </w:tcPr>
                                <w:p w14:paraId="52BE36DB"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10,393</w:t>
                                  </w:r>
                                </w:p>
                              </w:tc>
                              <w:tc>
                                <w:tcPr>
                                  <w:tcW w:w="658" w:type="dxa"/>
                                  <w:tcBorders>
                                    <w:top w:val="nil"/>
                                    <w:left w:val="nil"/>
                                    <w:bottom w:val="single" w:sz="4" w:space="0" w:color="auto"/>
                                    <w:right w:val="single" w:sz="4" w:space="0" w:color="auto"/>
                                  </w:tcBorders>
                                  <w:shd w:val="clear" w:color="auto" w:fill="auto"/>
                                  <w:noWrap/>
                                  <w:vAlign w:val="center"/>
                                  <w:hideMark/>
                                </w:tcPr>
                                <w:p w14:paraId="664B431A"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59.46 </w:t>
                                  </w:r>
                                </w:p>
                              </w:tc>
                              <w:tc>
                                <w:tcPr>
                                  <w:tcW w:w="1080" w:type="dxa"/>
                                  <w:tcBorders>
                                    <w:top w:val="nil"/>
                                    <w:left w:val="nil"/>
                                    <w:bottom w:val="single" w:sz="4" w:space="0" w:color="auto"/>
                                    <w:right w:val="single" w:sz="4" w:space="0" w:color="auto"/>
                                  </w:tcBorders>
                                  <w:shd w:val="clear" w:color="auto" w:fill="auto"/>
                                  <w:noWrap/>
                                  <w:vAlign w:val="center"/>
                                  <w:hideMark/>
                                </w:tcPr>
                                <w:p w14:paraId="705A2A96"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41,572 </w:t>
                                  </w:r>
                                </w:p>
                              </w:tc>
                            </w:tr>
                            <w:tr w:rsidR="00F21CCC" w:rsidRPr="000857D0" w14:paraId="683FC699"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590509A2"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5個</w:t>
                                  </w:r>
                                </w:p>
                              </w:tc>
                              <w:tc>
                                <w:tcPr>
                                  <w:tcW w:w="1023" w:type="dxa"/>
                                  <w:tcBorders>
                                    <w:top w:val="nil"/>
                                    <w:left w:val="nil"/>
                                    <w:bottom w:val="single" w:sz="4" w:space="0" w:color="auto"/>
                                    <w:right w:val="single" w:sz="4" w:space="0" w:color="auto"/>
                                  </w:tcBorders>
                                  <w:shd w:val="clear" w:color="auto" w:fill="auto"/>
                                  <w:noWrap/>
                                  <w:vAlign w:val="center"/>
                                  <w:hideMark/>
                                </w:tcPr>
                                <w:p w14:paraId="314F79D9"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5,189</w:t>
                                  </w:r>
                                </w:p>
                              </w:tc>
                              <w:tc>
                                <w:tcPr>
                                  <w:tcW w:w="658" w:type="dxa"/>
                                  <w:tcBorders>
                                    <w:top w:val="nil"/>
                                    <w:left w:val="nil"/>
                                    <w:bottom w:val="single" w:sz="4" w:space="0" w:color="auto"/>
                                    <w:right w:val="single" w:sz="4" w:space="0" w:color="auto"/>
                                  </w:tcBorders>
                                  <w:shd w:val="clear" w:color="auto" w:fill="auto"/>
                                  <w:noWrap/>
                                  <w:vAlign w:val="center"/>
                                  <w:hideMark/>
                                </w:tcPr>
                                <w:p w14:paraId="5102462F"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29.69 </w:t>
                                  </w:r>
                                </w:p>
                              </w:tc>
                              <w:tc>
                                <w:tcPr>
                                  <w:tcW w:w="1080" w:type="dxa"/>
                                  <w:tcBorders>
                                    <w:top w:val="nil"/>
                                    <w:left w:val="nil"/>
                                    <w:bottom w:val="single" w:sz="4" w:space="0" w:color="auto"/>
                                    <w:right w:val="single" w:sz="4" w:space="0" w:color="auto"/>
                                  </w:tcBorders>
                                  <w:shd w:val="clear" w:color="auto" w:fill="auto"/>
                                  <w:noWrap/>
                                  <w:vAlign w:val="center"/>
                                  <w:hideMark/>
                                </w:tcPr>
                                <w:p w14:paraId="5F4B566F"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25,945 </w:t>
                                  </w:r>
                                </w:p>
                              </w:tc>
                            </w:tr>
                            <w:tr w:rsidR="00F21CCC" w:rsidRPr="000857D0" w14:paraId="4036D21E"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71B2D975"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6個</w:t>
                                  </w:r>
                                </w:p>
                              </w:tc>
                              <w:tc>
                                <w:tcPr>
                                  <w:tcW w:w="1023" w:type="dxa"/>
                                  <w:tcBorders>
                                    <w:top w:val="nil"/>
                                    <w:left w:val="nil"/>
                                    <w:bottom w:val="single" w:sz="4" w:space="0" w:color="auto"/>
                                    <w:right w:val="single" w:sz="4" w:space="0" w:color="auto"/>
                                  </w:tcBorders>
                                  <w:shd w:val="clear" w:color="auto" w:fill="auto"/>
                                  <w:noWrap/>
                                  <w:vAlign w:val="center"/>
                                  <w:hideMark/>
                                </w:tcPr>
                                <w:p w14:paraId="754D63B3"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1,780</w:t>
                                  </w:r>
                                </w:p>
                              </w:tc>
                              <w:tc>
                                <w:tcPr>
                                  <w:tcW w:w="658" w:type="dxa"/>
                                  <w:tcBorders>
                                    <w:top w:val="nil"/>
                                    <w:left w:val="nil"/>
                                    <w:bottom w:val="single" w:sz="4" w:space="0" w:color="auto"/>
                                    <w:right w:val="single" w:sz="4" w:space="0" w:color="auto"/>
                                  </w:tcBorders>
                                  <w:shd w:val="clear" w:color="auto" w:fill="auto"/>
                                  <w:noWrap/>
                                  <w:vAlign w:val="center"/>
                                  <w:hideMark/>
                                </w:tcPr>
                                <w:p w14:paraId="34F6B028"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10.18 </w:t>
                                  </w:r>
                                </w:p>
                              </w:tc>
                              <w:tc>
                                <w:tcPr>
                                  <w:tcW w:w="1080" w:type="dxa"/>
                                  <w:tcBorders>
                                    <w:top w:val="nil"/>
                                    <w:left w:val="nil"/>
                                    <w:bottom w:val="single" w:sz="4" w:space="0" w:color="auto"/>
                                    <w:right w:val="single" w:sz="4" w:space="0" w:color="auto"/>
                                  </w:tcBorders>
                                  <w:shd w:val="clear" w:color="auto" w:fill="auto"/>
                                  <w:noWrap/>
                                  <w:vAlign w:val="center"/>
                                  <w:hideMark/>
                                </w:tcPr>
                                <w:p w14:paraId="76D0B82F"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10,680 </w:t>
                                  </w:r>
                                </w:p>
                              </w:tc>
                            </w:tr>
                            <w:tr w:rsidR="00F21CCC" w:rsidRPr="000857D0" w14:paraId="6A1E56E5"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1227AA3C"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7個以上</w:t>
                                  </w:r>
                                </w:p>
                              </w:tc>
                              <w:tc>
                                <w:tcPr>
                                  <w:tcW w:w="1023" w:type="dxa"/>
                                  <w:tcBorders>
                                    <w:top w:val="nil"/>
                                    <w:left w:val="nil"/>
                                    <w:bottom w:val="single" w:sz="4" w:space="0" w:color="auto"/>
                                    <w:right w:val="single" w:sz="4" w:space="0" w:color="auto"/>
                                  </w:tcBorders>
                                  <w:shd w:val="clear" w:color="auto" w:fill="auto"/>
                                  <w:noWrap/>
                                  <w:vAlign w:val="center"/>
                                  <w:hideMark/>
                                </w:tcPr>
                                <w:p w14:paraId="16BA7167"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60</w:t>
                                  </w:r>
                                </w:p>
                              </w:tc>
                              <w:tc>
                                <w:tcPr>
                                  <w:tcW w:w="658" w:type="dxa"/>
                                  <w:tcBorders>
                                    <w:top w:val="nil"/>
                                    <w:left w:val="nil"/>
                                    <w:bottom w:val="single" w:sz="4" w:space="0" w:color="auto"/>
                                    <w:right w:val="single" w:sz="4" w:space="0" w:color="auto"/>
                                  </w:tcBorders>
                                  <w:shd w:val="clear" w:color="auto" w:fill="auto"/>
                                  <w:noWrap/>
                                  <w:vAlign w:val="center"/>
                                  <w:hideMark/>
                                </w:tcPr>
                                <w:p w14:paraId="099D3957"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0.34 </w:t>
                                  </w:r>
                                </w:p>
                              </w:tc>
                              <w:tc>
                                <w:tcPr>
                                  <w:tcW w:w="1080" w:type="dxa"/>
                                  <w:tcBorders>
                                    <w:top w:val="nil"/>
                                    <w:left w:val="nil"/>
                                    <w:bottom w:val="single" w:sz="4" w:space="0" w:color="auto"/>
                                    <w:right w:val="single" w:sz="4" w:space="0" w:color="auto"/>
                                  </w:tcBorders>
                                  <w:shd w:val="clear" w:color="auto" w:fill="auto"/>
                                  <w:noWrap/>
                                  <w:vAlign w:val="center"/>
                                  <w:hideMark/>
                                </w:tcPr>
                                <w:p w14:paraId="6FAD6591"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420 </w:t>
                                  </w:r>
                                </w:p>
                              </w:tc>
                            </w:tr>
                            <w:tr w:rsidR="00F21CCC" w:rsidRPr="000857D0" w14:paraId="3D74B9DF"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28F88CB3"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無說明</w:t>
                                  </w:r>
                                </w:p>
                              </w:tc>
                              <w:tc>
                                <w:tcPr>
                                  <w:tcW w:w="1023" w:type="dxa"/>
                                  <w:tcBorders>
                                    <w:top w:val="nil"/>
                                    <w:left w:val="nil"/>
                                    <w:bottom w:val="single" w:sz="4" w:space="0" w:color="auto"/>
                                    <w:right w:val="single" w:sz="4" w:space="0" w:color="auto"/>
                                  </w:tcBorders>
                                  <w:shd w:val="clear" w:color="auto" w:fill="auto"/>
                                  <w:noWrap/>
                                  <w:vAlign w:val="center"/>
                                  <w:hideMark/>
                                </w:tcPr>
                                <w:p w14:paraId="623A6C04"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57</w:t>
                                  </w:r>
                                </w:p>
                              </w:tc>
                              <w:tc>
                                <w:tcPr>
                                  <w:tcW w:w="658" w:type="dxa"/>
                                  <w:tcBorders>
                                    <w:top w:val="nil"/>
                                    <w:left w:val="nil"/>
                                    <w:bottom w:val="single" w:sz="4" w:space="0" w:color="auto"/>
                                    <w:right w:val="single" w:sz="4" w:space="0" w:color="auto"/>
                                  </w:tcBorders>
                                  <w:shd w:val="clear" w:color="auto" w:fill="auto"/>
                                  <w:noWrap/>
                                  <w:vAlign w:val="center"/>
                                  <w:hideMark/>
                                </w:tcPr>
                                <w:p w14:paraId="764ED01C"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0.33 </w:t>
                                  </w:r>
                                </w:p>
                              </w:tc>
                              <w:tc>
                                <w:tcPr>
                                  <w:tcW w:w="1080" w:type="dxa"/>
                                  <w:tcBorders>
                                    <w:top w:val="nil"/>
                                    <w:left w:val="nil"/>
                                    <w:bottom w:val="single" w:sz="4" w:space="0" w:color="auto"/>
                                    <w:right w:val="single" w:sz="4" w:space="0" w:color="auto"/>
                                  </w:tcBorders>
                                  <w:shd w:val="clear" w:color="auto" w:fill="auto"/>
                                  <w:noWrap/>
                                  <w:vAlign w:val="center"/>
                                  <w:hideMark/>
                                </w:tcPr>
                                <w:p w14:paraId="4892A946"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399 </w:t>
                                  </w:r>
                                </w:p>
                              </w:tc>
                            </w:tr>
                          </w:tbl>
                          <w:p w14:paraId="420B78E0" w14:textId="77777777" w:rsidR="00F21CCC" w:rsidRDefault="00F21CCC" w:rsidP="00AF3143">
                            <w:pPr>
                              <w:spacing w:line="220" w:lineRule="exact"/>
                              <w:ind w:left="540" w:hangingChars="300" w:hanging="540"/>
                              <w:jc w:val="both"/>
                              <w:rPr>
                                <w:rFonts w:ascii="標楷體" w:eastAsia="標楷體" w:hAnsi="標楷體" w:cs="新細明體"/>
                                <w:color w:val="000000" w:themeColor="text1"/>
                                <w:kern w:val="0"/>
                                <w:sz w:val="18"/>
                              </w:rPr>
                            </w:pPr>
                            <w:proofErr w:type="gramStart"/>
                            <w:r w:rsidRPr="000857D0">
                              <w:rPr>
                                <w:rFonts w:ascii="標楷體" w:eastAsia="標楷體" w:hAnsi="標楷體" w:cs="新細明體" w:hint="eastAsia"/>
                                <w:color w:val="000000" w:themeColor="text1"/>
                                <w:kern w:val="0"/>
                                <w:sz w:val="18"/>
                              </w:rPr>
                              <w:t>註</w:t>
                            </w:r>
                            <w:proofErr w:type="gramEnd"/>
                            <w:r w:rsidRPr="000857D0">
                              <w:rPr>
                                <w:rFonts w:ascii="標楷體" w:eastAsia="標楷體" w:hAnsi="標楷體" w:cs="新細明體" w:hint="eastAsia"/>
                                <w:color w:val="000000" w:themeColor="text1"/>
                                <w:kern w:val="0"/>
                                <w:sz w:val="18"/>
                              </w:rPr>
                              <w:t>：1.回報可設置</w:t>
                            </w:r>
                            <w:proofErr w:type="gramStart"/>
                            <w:r w:rsidRPr="000857D0">
                              <w:rPr>
                                <w:rFonts w:ascii="標楷體" w:eastAsia="標楷體" w:hAnsi="標楷體" w:cs="新細明體" w:hint="eastAsia"/>
                                <w:color w:val="000000" w:themeColor="text1"/>
                                <w:kern w:val="0"/>
                                <w:sz w:val="18"/>
                              </w:rPr>
                              <w:t>遮屏數</w:t>
                            </w:r>
                            <w:proofErr w:type="gramEnd"/>
                            <w:r w:rsidRPr="000857D0">
                              <w:rPr>
                                <w:rFonts w:ascii="標楷體" w:eastAsia="標楷體" w:hAnsi="標楷體" w:cs="新細明體" w:hint="eastAsia"/>
                                <w:color w:val="000000" w:themeColor="text1"/>
                                <w:kern w:val="0"/>
                                <w:sz w:val="18"/>
                              </w:rPr>
                              <w:t>4個以下者，推算為4個；7個以上者及無說明，推算為7個。</w:t>
                            </w:r>
                          </w:p>
                          <w:p w14:paraId="4D29138C" w14:textId="7DCDCB59" w:rsidR="00F21CCC" w:rsidRPr="000857D0" w:rsidRDefault="00F21CCC" w:rsidP="00AF3143">
                            <w:pPr>
                              <w:spacing w:line="220" w:lineRule="exact"/>
                              <w:ind w:leftChars="150" w:left="720" w:hangingChars="200" w:hanging="360"/>
                              <w:jc w:val="both"/>
                              <w:rPr>
                                <w:rFonts w:ascii="標楷體" w:eastAsia="標楷體" w:hAnsi="標楷體" w:cs="新細明體"/>
                                <w:color w:val="000000" w:themeColor="text1"/>
                                <w:kern w:val="0"/>
                                <w:sz w:val="18"/>
                              </w:rPr>
                            </w:pPr>
                            <w:r>
                              <w:rPr>
                                <w:rFonts w:ascii="標楷體" w:eastAsia="標楷體" w:hAnsi="標楷體" w:cs="新細明體" w:hint="eastAsia"/>
                                <w:color w:val="000000" w:themeColor="text1"/>
                                <w:kern w:val="0"/>
                                <w:sz w:val="18"/>
                              </w:rPr>
                              <w:t>2</w:t>
                            </w:r>
                            <w:r>
                              <w:rPr>
                                <w:rFonts w:ascii="標楷體" w:eastAsia="標楷體" w:hAnsi="標楷體" w:cs="新細明體"/>
                                <w:color w:val="000000" w:themeColor="text1"/>
                                <w:kern w:val="0"/>
                                <w:sz w:val="18"/>
                              </w:rPr>
                              <w:t>.</w:t>
                            </w:r>
                            <w:r w:rsidRPr="003772AA">
                              <w:rPr>
                                <w:rFonts w:ascii="標楷體" w:eastAsia="標楷體" w:hAnsi="標楷體" w:hint="eastAsia"/>
                                <w:sz w:val="18"/>
                              </w:rPr>
                              <w:t>資料來源：</w:t>
                            </w:r>
                            <w:r w:rsidR="00292F50">
                              <w:rPr>
                                <w:rFonts w:ascii="標楷體" w:eastAsia="標楷體" w:hAnsi="標楷體" w:hint="eastAsia"/>
                                <w:sz w:val="18"/>
                              </w:rPr>
                              <w:t>整理自</w:t>
                            </w:r>
                            <w:r>
                              <w:rPr>
                                <w:rFonts w:ascii="標楷體" w:eastAsia="標楷體" w:hAnsi="標楷體" w:cs="新細明體"/>
                                <w:color w:val="000000" w:themeColor="text1"/>
                                <w:kern w:val="0"/>
                                <w:sz w:val="18"/>
                              </w:rPr>
                              <w:t>中央選舉委員會</w:t>
                            </w:r>
                            <w:r>
                              <w:rPr>
                                <w:rFonts w:ascii="標楷體" w:eastAsia="標楷體" w:hAnsi="標楷體" w:cs="新細明體" w:hint="eastAsia"/>
                                <w:color w:val="000000" w:themeColor="text1"/>
                                <w:kern w:val="0"/>
                                <w:sz w:val="18"/>
                              </w:rPr>
                              <w:t>提供</w:t>
                            </w:r>
                            <w:r w:rsidR="00292F50">
                              <w:rPr>
                                <w:rFonts w:ascii="標楷體" w:eastAsia="標楷體" w:hAnsi="標楷體" w:cs="新細明體" w:hint="eastAsia"/>
                                <w:color w:val="000000" w:themeColor="text1"/>
                                <w:kern w:val="0"/>
                                <w:sz w:val="18"/>
                              </w:rPr>
                              <w:t>資料</w:t>
                            </w:r>
                            <w:r>
                              <w:rPr>
                                <w:rFonts w:ascii="標楷體" w:eastAsia="標楷體" w:hAnsi="標楷體" w:cs="新細明體"/>
                                <w:color w:val="000000" w:themeColor="text1"/>
                                <w:kern w:val="0"/>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66DA3A" id="_x0000_s1164" type="#_x0000_t202" style="position:absolute;left:0;text-align:left;margin-left:275.05pt;margin-top:124.7pt;width:220.5pt;height:228.6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" stroked="f">
                <v:textbox>
                  <w:txbxContent>
                    <w:p w14:paraId="3ED4E11B" w14:textId="281EE637" w:rsidR="00F21CCC" w:rsidRPr="000857D0" w:rsidRDefault="00F21CCC" w:rsidP="007C1514">
                      <w:pPr>
                        <w:spacing w:line="260" w:lineRule="exact"/>
                        <w:ind w:leftChars="20" w:left="709" w:hangingChars="275" w:hanging="661"/>
                        <w:jc w:val="both"/>
                        <w:rPr>
                          <w:rFonts w:ascii="標楷體" w:eastAsia="標楷體" w:hAnsi="標楷體"/>
                          <w:b/>
                        </w:rPr>
                      </w:pPr>
                      <w:r w:rsidRPr="000857D0">
                        <w:rPr>
                          <w:rFonts w:ascii="標楷體" w:eastAsia="標楷體" w:hAnsi="標楷體" w:hint="eastAsia"/>
                          <w:b/>
                        </w:rPr>
                        <w:t>表</w:t>
                      </w:r>
                      <w:r>
                        <w:rPr>
                          <w:rFonts w:ascii="標楷體" w:eastAsia="標楷體" w:hAnsi="標楷體"/>
                          <w:b/>
                        </w:rPr>
                        <w:t>54</w:t>
                      </w:r>
                      <w:r w:rsidRPr="000857D0">
                        <w:rPr>
                          <w:rFonts w:ascii="標楷體" w:eastAsia="標楷體" w:hAnsi="標楷體" w:hint="eastAsia"/>
                          <w:b/>
                        </w:rPr>
                        <w:t xml:space="preserve"> </w:t>
                      </w:r>
                      <w:proofErr w:type="gramStart"/>
                      <w:r w:rsidRPr="000857D0">
                        <w:rPr>
                          <w:rFonts w:ascii="標楷體" w:eastAsia="標楷體" w:hAnsi="標楷體" w:hint="eastAsia"/>
                          <w:b/>
                        </w:rPr>
                        <w:t>110年3月間</w:t>
                      </w:r>
                      <w:r w:rsidR="007C1514" w:rsidRPr="000857D0">
                        <w:rPr>
                          <w:rFonts w:ascii="標楷體" w:eastAsia="標楷體" w:hAnsi="標楷體" w:hint="eastAsia"/>
                          <w:b/>
                        </w:rPr>
                        <w:t>各</w:t>
                      </w:r>
                      <w:r w:rsidR="007C1514">
                        <w:rPr>
                          <w:rFonts w:ascii="標楷體" w:eastAsia="標楷體" w:hAnsi="標楷體" w:hint="eastAsia"/>
                          <w:b/>
                        </w:rPr>
                        <w:t>地方</w:t>
                      </w:r>
                      <w:proofErr w:type="gramEnd"/>
                      <w:r w:rsidR="007C1514">
                        <w:rPr>
                          <w:rFonts w:ascii="標楷體" w:eastAsia="標楷體" w:hAnsi="標楷體" w:hint="eastAsia"/>
                          <w:b/>
                        </w:rPr>
                        <w:t>選舉委員會</w:t>
                      </w:r>
                      <w:r w:rsidRPr="000857D0">
                        <w:rPr>
                          <w:rFonts w:ascii="標楷體" w:eastAsia="標楷體" w:hAnsi="標楷體" w:hint="eastAsia"/>
                          <w:b/>
                        </w:rPr>
                        <w:t>回報各投（開）票所可</w:t>
                      </w:r>
                      <w:proofErr w:type="gramStart"/>
                      <w:r w:rsidRPr="000857D0">
                        <w:rPr>
                          <w:rFonts w:ascii="標楷體" w:eastAsia="標楷體" w:hAnsi="標楷體" w:hint="eastAsia"/>
                          <w:b/>
                        </w:rPr>
                        <w:t>設置遮屏數量</w:t>
                      </w:r>
                      <w:proofErr w:type="gramEnd"/>
                      <w:r w:rsidRPr="000857D0">
                        <w:rPr>
                          <w:rFonts w:ascii="標楷體" w:eastAsia="標楷體" w:hAnsi="標楷體" w:hint="eastAsia"/>
                          <w:b/>
                        </w:rPr>
                        <w:t>情形</w:t>
                      </w:r>
                    </w:p>
                    <w:p w14:paraId="07CC8DBF" w14:textId="77777777" w:rsidR="00F21CCC" w:rsidRDefault="00F21CCC" w:rsidP="00F21CCC">
                      <w:pPr>
                        <w:jc w:val="right"/>
                        <w:rPr>
                          <w:rFonts w:ascii="標楷體" w:eastAsia="標楷體" w:hAnsi="標楷體" w:cs="新細明體"/>
                          <w:color w:val="000000" w:themeColor="text1"/>
                          <w:kern w:val="0"/>
                          <w:sz w:val="20"/>
                        </w:rPr>
                      </w:pPr>
                      <w:r w:rsidRPr="00F16651">
                        <w:rPr>
                          <w:rFonts w:ascii="標楷體" w:eastAsia="標楷體" w:hAnsi="標楷體" w:cs="新細明體" w:hint="eastAsia"/>
                          <w:color w:val="000000" w:themeColor="text1"/>
                          <w:kern w:val="0"/>
                          <w:sz w:val="20"/>
                        </w:rPr>
                        <w:t>單位：</w:t>
                      </w:r>
                      <w:r>
                        <w:rPr>
                          <w:rFonts w:ascii="標楷體" w:eastAsia="標楷體" w:hAnsi="標楷體" w:cs="新細明體" w:hint="eastAsia"/>
                          <w:color w:val="000000" w:themeColor="text1"/>
                          <w:kern w:val="0"/>
                          <w:sz w:val="20"/>
                        </w:rPr>
                        <w:t>所</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w:t>
                      </w:r>
                      <w:proofErr w:type="gramStart"/>
                      <w:r>
                        <w:rPr>
                          <w:rFonts w:ascii="標楷體" w:eastAsia="標楷體" w:hAnsi="標楷體" w:cs="新細明體" w:hint="eastAsia"/>
                          <w:color w:val="000000" w:themeColor="text1"/>
                          <w:kern w:val="0"/>
                          <w:sz w:val="20"/>
                        </w:rPr>
                        <w:t>個</w:t>
                      </w:r>
                      <w:proofErr w:type="gramEnd"/>
                    </w:p>
                    <w:tbl>
                      <w:tblPr>
                        <w:tblOverlap w:val="never"/>
                        <w:tblW w:w="4161" w:type="dxa"/>
                        <w:tblCellMar>
                          <w:left w:w="28" w:type="dxa"/>
                          <w:right w:w="28" w:type="dxa"/>
                        </w:tblCellMar>
                        <w:tblLook w:val="04A0" w:firstRow="1" w:lastRow="0" w:firstColumn="1" w:lastColumn="0" w:noHBand="0" w:noVBand="1"/>
                      </w:tblPr>
                      <w:tblGrid>
                        <w:gridCol w:w="1400"/>
                        <w:gridCol w:w="1023"/>
                        <w:gridCol w:w="658"/>
                        <w:gridCol w:w="1080"/>
                      </w:tblGrid>
                      <w:tr w:rsidR="00F21CCC" w:rsidRPr="000857D0" w14:paraId="1EC7FCFD" w14:textId="77777777" w:rsidTr="006A0DDD">
                        <w:trPr>
                          <w:trHeight w:val="546"/>
                        </w:trPr>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69B86" w14:textId="77777777" w:rsidR="00F21CCC" w:rsidRPr="00AF3143" w:rsidRDefault="00F21CCC" w:rsidP="00B01E49">
                            <w:pPr>
                              <w:widowControl/>
                              <w:snapToGrid w:val="0"/>
                              <w:spacing w:line="200" w:lineRule="atLeast"/>
                              <w:suppressOverlap/>
                              <w:jc w:val="center"/>
                              <w:rPr>
                                <w:rFonts w:ascii="標楷體" w:eastAsia="標楷體" w:hAnsi="標楷體" w:cs="新細明體"/>
                                <w:color w:val="000000"/>
                                <w:spacing w:val="-10"/>
                                <w:kern w:val="0"/>
                                <w:sz w:val="20"/>
                              </w:rPr>
                            </w:pPr>
                            <w:r w:rsidRPr="00AF3143">
                              <w:rPr>
                                <w:rFonts w:ascii="標楷體" w:eastAsia="標楷體" w:hAnsi="標楷體" w:cs="新細明體" w:hint="eastAsia"/>
                                <w:color w:val="000000"/>
                                <w:spacing w:val="-10"/>
                                <w:kern w:val="0"/>
                                <w:sz w:val="20"/>
                              </w:rPr>
                              <w:t>每</w:t>
                            </w:r>
                            <w:proofErr w:type="gramStart"/>
                            <w:r w:rsidRPr="00AF3143">
                              <w:rPr>
                                <w:rFonts w:ascii="標楷體" w:eastAsia="標楷體" w:hAnsi="標楷體" w:cs="新細明體" w:hint="eastAsia"/>
                                <w:color w:val="000000"/>
                                <w:spacing w:val="-10"/>
                                <w:kern w:val="0"/>
                                <w:sz w:val="20"/>
                              </w:rPr>
                              <w:t>個</w:t>
                            </w:r>
                            <w:proofErr w:type="gramEnd"/>
                            <w:r w:rsidRPr="00AF3143">
                              <w:rPr>
                                <w:rFonts w:ascii="標楷體" w:eastAsia="標楷體" w:hAnsi="標楷體" w:cs="新細明體" w:hint="eastAsia"/>
                                <w:color w:val="000000"/>
                                <w:spacing w:val="-10"/>
                                <w:kern w:val="0"/>
                                <w:sz w:val="20"/>
                              </w:rPr>
                              <w:t>投（開）票所可設置</w:t>
                            </w:r>
                            <w:proofErr w:type="gramStart"/>
                            <w:r w:rsidRPr="00AF3143">
                              <w:rPr>
                                <w:rFonts w:ascii="標楷體" w:eastAsia="標楷體" w:hAnsi="標楷體" w:cs="新細明體" w:hint="eastAsia"/>
                                <w:color w:val="000000"/>
                                <w:spacing w:val="-10"/>
                                <w:kern w:val="0"/>
                                <w:sz w:val="20"/>
                              </w:rPr>
                              <w:t>遮屏數</w:t>
                            </w:r>
                            <w:proofErr w:type="gramEnd"/>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746933ED" w14:textId="77777777" w:rsidR="00F21CCC" w:rsidRPr="000857D0" w:rsidRDefault="00F21CCC" w:rsidP="00B01E49">
                            <w:pPr>
                              <w:widowControl/>
                              <w:snapToGrid w:val="0"/>
                              <w:spacing w:line="200" w:lineRule="atLeast"/>
                              <w:suppressOverlap/>
                              <w:jc w:val="center"/>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投（開）票所數</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14:paraId="02F9F98C" w14:textId="77777777" w:rsidR="00F21CCC" w:rsidRPr="000857D0" w:rsidRDefault="00F21CCC" w:rsidP="00B01E49">
                            <w:pPr>
                              <w:widowControl/>
                              <w:snapToGrid w:val="0"/>
                              <w:spacing w:line="200" w:lineRule="atLeast"/>
                              <w:suppressOverlap/>
                              <w:jc w:val="center"/>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占比</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AE71972" w14:textId="77777777" w:rsidR="00F21CCC" w:rsidRPr="000857D0" w:rsidRDefault="00F21CCC" w:rsidP="00B01E49">
                            <w:pPr>
                              <w:widowControl/>
                              <w:snapToGrid w:val="0"/>
                              <w:spacing w:line="200" w:lineRule="atLeast"/>
                              <w:suppressOverlap/>
                              <w:jc w:val="center"/>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可</w:t>
                            </w:r>
                            <w:proofErr w:type="gramStart"/>
                            <w:r w:rsidRPr="000857D0">
                              <w:rPr>
                                <w:rFonts w:ascii="標楷體" w:eastAsia="標楷體" w:hAnsi="標楷體" w:cs="新細明體" w:hint="eastAsia"/>
                                <w:color w:val="000000"/>
                                <w:kern w:val="0"/>
                                <w:sz w:val="20"/>
                              </w:rPr>
                              <w:t>設置遮屏總數</w:t>
                            </w:r>
                            <w:proofErr w:type="gramEnd"/>
                            <w:r w:rsidRPr="000857D0">
                              <w:rPr>
                                <w:rFonts w:ascii="標楷體" w:eastAsia="標楷體" w:hAnsi="標楷體" w:cs="新細明體" w:hint="eastAsia"/>
                                <w:color w:val="000000"/>
                                <w:kern w:val="0"/>
                                <w:sz w:val="20"/>
                              </w:rPr>
                              <w:t>（</w:t>
                            </w:r>
                            <w:proofErr w:type="gramStart"/>
                            <w:r w:rsidRPr="000857D0">
                              <w:rPr>
                                <w:rFonts w:ascii="標楷體" w:eastAsia="標楷體" w:hAnsi="標楷體" w:cs="新細明體" w:hint="eastAsia"/>
                                <w:color w:val="000000"/>
                                <w:kern w:val="0"/>
                                <w:sz w:val="20"/>
                              </w:rPr>
                              <w:t>註</w:t>
                            </w:r>
                            <w:proofErr w:type="gramEnd"/>
                            <w:r w:rsidRPr="000857D0">
                              <w:rPr>
                                <w:rFonts w:ascii="標楷體" w:eastAsia="標楷體" w:hAnsi="標楷體" w:cs="新細明體" w:hint="eastAsia"/>
                                <w:color w:val="000000"/>
                                <w:kern w:val="0"/>
                                <w:sz w:val="20"/>
                              </w:rPr>
                              <w:t>1）</w:t>
                            </w:r>
                          </w:p>
                        </w:tc>
                      </w:tr>
                      <w:tr w:rsidR="00F21CCC" w:rsidRPr="000857D0" w14:paraId="173EF76E"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794146D4" w14:textId="77777777" w:rsidR="00F21CCC" w:rsidRPr="000857D0" w:rsidRDefault="00F21CCC" w:rsidP="00B01E49">
                            <w:pPr>
                              <w:widowControl/>
                              <w:suppressOverlap/>
                              <w:jc w:val="center"/>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合計</w:t>
                            </w:r>
                          </w:p>
                        </w:tc>
                        <w:tc>
                          <w:tcPr>
                            <w:tcW w:w="1023" w:type="dxa"/>
                            <w:tcBorders>
                              <w:top w:val="nil"/>
                              <w:left w:val="nil"/>
                              <w:bottom w:val="single" w:sz="4" w:space="0" w:color="auto"/>
                              <w:right w:val="single" w:sz="4" w:space="0" w:color="auto"/>
                            </w:tcBorders>
                            <w:shd w:val="clear" w:color="auto" w:fill="auto"/>
                            <w:noWrap/>
                            <w:vAlign w:val="center"/>
                            <w:hideMark/>
                          </w:tcPr>
                          <w:p w14:paraId="584739CF" w14:textId="77777777" w:rsidR="00F21CCC" w:rsidRPr="000857D0" w:rsidRDefault="00F21CCC" w:rsidP="00B01E49">
                            <w:pPr>
                              <w:widowControl/>
                              <w:suppressOverlap/>
                              <w:jc w:val="right"/>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17,479</w:t>
                            </w:r>
                          </w:p>
                        </w:tc>
                        <w:tc>
                          <w:tcPr>
                            <w:tcW w:w="658" w:type="dxa"/>
                            <w:tcBorders>
                              <w:top w:val="nil"/>
                              <w:left w:val="nil"/>
                              <w:bottom w:val="single" w:sz="4" w:space="0" w:color="auto"/>
                              <w:right w:val="single" w:sz="4" w:space="0" w:color="auto"/>
                            </w:tcBorders>
                            <w:shd w:val="clear" w:color="auto" w:fill="auto"/>
                            <w:noWrap/>
                            <w:vAlign w:val="center"/>
                            <w:hideMark/>
                          </w:tcPr>
                          <w:p w14:paraId="3F81B1B6" w14:textId="77777777" w:rsidR="00F21CCC" w:rsidRPr="000857D0" w:rsidRDefault="00F21CCC" w:rsidP="00B01E49">
                            <w:pPr>
                              <w:widowControl/>
                              <w:suppressOverlap/>
                              <w:jc w:val="right"/>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 xml:space="preserve">100.00 </w:t>
                            </w:r>
                          </w:p>
                        </w:tc>
                        <w:tc>
                          <w:tcPr>
                            <w:tcW w:w="1080" w:type="dxa"/>
                            <w:tcBorders>
                              <w:top w:val="nil"/>
                              <w:left w:val="nil"/>
                              <w:bottom w:val="single" w:sz="4" w:space="0" w:color="auto"/>
                              <w:right w:val="single" w:sz="4" w:space="0" w:color="auto"/>
                            </w:tcBorders>
                            <w:shd w:val="clear" w:color="auto" w:fill="auto"/>
                            <w:noWrap/>
                            <w:vAlign w:val="center"/>
                            <w:hideMark/>
                          </w:tcPr>
                          <w:p w14:paraId="6D8B6217" w14:textId="77777777" w:rsidR="00F21CCC" w:rsidRPr="000857D0" w:rsidRDefault="00F21CCC" w:rsidP="00B01E49">
                            <w:pPr>
                              <w:widowControl/>
                              <w:suppressOverlap/>
                              <w:jc w:val="right"/>
                              <w:rPr>
                                <w:rFonts w:ascii="標楷體" w:eastAsia="標楷體" w:hAnsi="標楷體" w:cs="新細明體"/>
                                <w:b/>
                                <w:bCs/>
                                <w:color w:val="000000"/>
                                <w:kern w:val="0"/>
                                <w:sz w:val="20"/>
                              </w:rPr>
                            </w:pPr>
                            <w:r w:rsidRPr="000857D0">
                              <w:rPr>
                                <w:rFonts w:ascii="標楷體" w:eastAsia="標楷體" w:hAnsi="標楷體" w:cs="新細明體" w:hint="eastAsia"/>
                                <w:b/>
                                <w:bCs/>
                                <w:color w:val="000000"/>
                                <w:kern w:val="0"/>
                                <w:sz w:val="20"/>
                              </w:rPr>
                              <w:t xml:space="preserve">79,016 </w:t>
                            </w:r>
                          </w:p>
                        </w:tc>
                      </w:tr>
                      <w:tr w:rsidR="00F21CCC" w:rsidRPr="000857D0" w14:paraId="4E20BD25"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65A7002A"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4個以下</w:t>
                            </w:r>
                          </w:p>
                        </w:tc>
                        <w:tc>
                          <w:tcPr>
                            <w:tcW w:w="1023" w:type="dxa"/>
                            <w:tcBorders>
                              <w:top w:val="nil"/>
                              <w:left w:val="nil"/>
                              <w:bottom w:val="single" w:sz="4" w:space="0" w:color="auto"/>
                              <w:right w:val="single" w:sz="4" w:space="0" w:color="auto"/>
                            </w:tcBorders>
                            <w:shd w:val="clear" w:color="auto" w:fill="auto"/>
                            <w:noWrap/>
                            <w:vAlign w:val="center"/>
                            <w:hideMark/>
                          </w:tcPr>
                          <w:p w14:paraId="52BE36DB"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10,393</w:t>
                            </w:r>
                          </w:p>
                        </w:tc>
                        <w:tc>
                          <w:tcPr>
                            <w:tcW w:w="658" w:type="dxa"/>
                            <w:tcBorders>
                              <w:top w:val="nil"/>
                              <w:left w:val="nil"/>
                              <w:bottom w:val="single" w:sz="4" w:space="0" w:color="auto"/>
                              <w:right w:val="single" w:sz="4" w:space="0" w:color="auto"/>
                            </w:tcBorders>
                            <w:shd w:val="clear" w:color="auto" w:fill="auto"/>
                            <w:noWrap/>
                            <w:vAlign w:val="center"/>
                            <w:hideMark/>
                          </w:tcPr>
                          <w:p w14:paraId="664B431A"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59.46 </w:t>
                            </w:r>
                          </w:p>
                        </w:tc>
                        <w:tc>
                          <w:tcPr>
                            <w:tcW w:w="1080" w:type="dxa"/>
                            <w:tcBorders>
                              <w:top w:val="nil"/>
                              <w:left w:val="nil"/>
                              <w:bottom w:val="single" w:sz="4" w:space="0" w:color="auto"/>
                              <w:right w:val="single" w:sz="4" w:space="0" w:color="auto"/>
                            </w:tcBorders>
                            <w:shd w:val="clear" w:color="auto" w:fill="auto"/>
                            <w:noWrap/>
                            <w:vAlign w:val="center"/>
                            <w:hideMark/>
                          </w:tcPr>
                          <w:p w14:paraId="705A2A96"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41,572 </w:t>
                            </w:r>
                          </w:p>
                        </w:tc>
                      </w:tr>
                      <w:tr w:rsidR="00F21CCC" w:rsidRPr="000857D0" w14:paraId="683FC699"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590509A2"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5個</w:t>
                            </w:r>
                          </w:p>
                        </w:tc>
                        <w:tc>
                          <w:tcPr>
                            <w:tcW w:w="1023" w:type="dxa"/>
                            <w:tcBorders>
                              <w:top w:val="nil"/>
                              <w:left w:val="nil"/>
                              <w:bottom w:val="single" w:sz="4" w:space="0" w:color="auto"/>
                              <w:right w:val="single" w:sz="4" w:space="0" w:color="auto"/>
                            </w:tcBorders>
                            <w:shd w:val="clear" w:color="auto" w:fill="auto"/>
                            <w:noWrap/>
                            <w:vAlign w:val="center"/>
                            <w:hideMark/>
                          </w:tcPr>
                          <w:p w14:paraId="314F79D9"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5,189</w:t>
                            </w:r>
                          </w:p>
                        </w:tc>
                        <w:tc>
                          <w:tcPr>
                            <w:tcW w:w="658" w:type="dxa"/>
                            <w:tcBorders>
                              <w:top w:val="nil"/>
                              <w:left w:val="nil"/>
                              <w:bottom w:val="single" w:sz="4" w:space="0" w:color="auto"/>
                              <w:right w:val="single" w:sz="4" w:space="0" w:color="auto"/>
                            </w:tcBorders>
                            <w:shd w:val="clear" w:color="auto" w:fill="auto"/>
                            <w:noWrap/>
                            <w:vAlign w:val="center"/>
                            <w:hideMark/>
                          </w:tcPr>
                          <w:p w14:paraId="5102462F"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29.69 </w:t>
                            </w:r>
                          </w:p>
                        </w:tc>
                        <w:tc>
                          <w:tcPr>
                            <w:tcW w:w="1080" w:type="dxa"/>
                            <w:tcBorders>
                              <w:top w:val="nil"/>
                              <w:left w:val="nil"/>
                              <w:bottom w:val="single" w:sz="4" w:space="0" w:color="auto"/>
                              <w:right w:val="single" w:sz="4" w:space="0" w:color="auto"/>
                            </w:tcBorders>
                            <w:shd w:val="clear" w:color="auto" w:fill="auto"/>
                            <w:noWrap/>
                            <w:vAlign w:val="center"/>
                            <w:hideMark/>
                          </w:tcPr>
                          <w:p w14:paraId="5F4B566F"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25,945 </w:t>
                            </w:r>
                          </w:p>
                        </w:tc>
                      </w:tr>
                      <w:tr w:rsidR="00F21CCC" w:rsidRPr="000857D0" w14:paraId="4036D21E"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71B2D975"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6個</w:t>
                            </w:r>
                          </w:p>
                        </w:tc>
                        <w:tc>
                          <w:tcPr>
                            <w:tcW w:w="1023" w:type="dxa"/>
                            <w:tcBorders>
                              <w:top w:val="nil"/>
                              <w:left w:val="nil"/>
                              <w:bottom w:val="single" w:sz="4" w:space="0" w:color="auto"/>
                              <w:right w:val="single" w:sz="4" w:space="0" w:color="auto"/>
                            </w:tcBorders>
                            <w:shd w:val="clear" w:color="auto" w:fill="auto"/>
                            <w:noWrap/>
                            <w:vAlign w:val="center"/>
                            <w:hideMark/>
                          </w:tcPr>
                          <w:p w14:paraId="754D63B3"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1,780</w:t>
                            </w:r>
                          </w:p>
                        </w:tc>
                        <w:tc>
                          <w:tcPr>
                            <w:tcW w:w="658" w:type="dxa"/>
                            <w:tcBorders>
                              <w:top w:val="nil"/>
                              <w:left w:val="nil"/>
                              <w:bottom w:val="single" w:sz="4" w:space="0" w:color="auto"/>
                              <w:right w:val="single" w:sz="4" w:space="0" w:color="auto"/>
                            </w:tcBorders>
                            <w:shd w:val="clear" w:color="auto" w:fill="auto"/>
                            <w:noWrap/>
                            <w:vAlign w:val="center"/>
                            <w:hideMark/>
                          </w:tcPr>
                          <w:p w14:paraId="34F6B028"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10.18 </w:t>
                            </w:r>
                          </w:p>
                        </w:tc>
                        <w:tc>
                          <w:tcPr>
                            <w:tcW w:w="1080" w:type="dxa"/>
                            <w:tcBorders>
                              <w:top w:val="nil"/>
                              <w:left w:val="nil"/>
                              <w:bottom w:val="single" w:sz="4" w:space="0" w:color="auto"/>
                              <w:right w:val="single" w:sz="4" w:space="0" w:color="auto"/>
                            </w:tcBorders>
                            <w:shd w:val="clear" w:color="auto" w:fill="auto"/>
                            <w:noWrap/>
                            <w:vAlign w:val="center"/>
                            <w:hideMark/>
                          </w:tcPr>
                          <w:p w14:paraId="76D0B82F"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10,680 </w:t>
                            </w:r>
                          </w:p>
                        </w:tc>
                      </w:tr>
                      <w:tr w:rsidR="00F21CCC" w:rsidRPr="000857D0" w14:paraId="6A1E56E5"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1227AA3C"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7個以上</w:t>
                            </w:r>
                          </w:p>
                        </w:tc>
                        <w:tc>
                          <w:tcPr>
                            <w:tcW w:w="1023" w:type="dxa"/>
                            <w:tcBorders>
                              <w:top w:val="nil"/>
                              <w:left w:val="nil"/>
                              <w:bottom w:val="single" w:sz="4" w:space="0" w:color="auto"/>
                              <w:right w:val="single" w:sz="4" w:space="0" w:color="auto"/>
                            </w:tcBorders>
                            <w:shd w:val="clear" w:color="auto" w:fill="auto"/>
                            <w:noWrap/>
                            <w:vAlign w:val="center"/>
                            <w:hideMark/>
                          </w:tcPr>
                          <w:p w14:paraId="16BA7167"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60</w:t>
                            </w:r>
                          </w:p>
                        </w:tc>
                        <w:tc>
                          <w:tcPr>
                            <w:tcW w:w="658" w:type="dxa"/>
                            <w:tcBorders>
                              <w:top w:val="nil"/>
                              <w:left w:val="nil"/>
                              <w:bottom w:val="single" w:sz="4" w:space="0" w:color="auto"/>
                              <w:right w:val="single" w:sz="4" w:space="0" w:color="auto"/>
                            </w:tcBorders>
                            <w:shd w:val="clear" w:color="auto" w:fill="auto"/>
                            <w:noWrap/>
                            <w:vAlign w:val="center"/>
                            <w:hideMark/>
                          </w:tcPr>
                          <w:p w14:paraId="099D3957"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0.34 </w:t>
                            </w:r>
                          </w:p>
                        </w:tc>
                        <w:tc>
                          <w:tcPr>
                            <w:tcW w:w="1080" w:type="dxa"/>
                            <w:tcBorders>
                              <w:top w:val="nil"/>
                              <w:left w:val="nil"/>
                              <w:bottom w:val="single" w:sz="4" w:space="0" w:color="auto"/>
                              <w:right w:val="single" w:sz="4" w:space="0" w:color="auto"/>
                            </w:tcBorders>
                            <w:shd w:val="clear" w:color="auto" w:fill="auto"/>
                            <w:noWrap/>
                            <w:vAlign w:val="center"/>
                            <w:hideMark/>
                          </w:tcPr>
                          <w:p w14:paraId="6FAD6591"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420 </w:t>
                            </w:r>
                          </w:p>
                        </w:tc>
                      </w:tr>
                      <w:tr w:rsidR="00F21CCC" w:rsidRPr="000857D0" w14:paraId="3D74B9DF" w14:textId="77777777" w:rsidTr="00AF3143">
                        <w:trPr>
                          <w:trHeight w:val="330"/>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28F88CB3" w14:textId="77777777" w:rsidR="00F21CCC" w:rsidRPr="000857D0" w:rsidRDefault="00F21CCC" w:rsidP="00B01E49">
                            <w:pPr>
                              <w:widowControl/>
                              <w:suppressOverlap/>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無說明</w:t>
                            </w:r>
                          </w:p>
                        </w:tc>
                        <w:tc>
                          <w:tcPr>
                            <w:tcW w:w="1023" w:type="dxa"/>
                            <w:tcBorders>
                              <w:top w:val="nil"/>
                              <w:left w:val="nil"/>
                              <w:bottom w:val="single" w:sz="4" w:space="0" w:color="auto"/>
                              <w:right w:val="single" w:sz="4" w:space="0" w:color="auto"/>
                            </w:tcBorders>
                            <w:shd w:val="clear" w:color="auto" w:fill="auto"/>
                            <w:noWrap/>
                            <w:vAlign w:val="center"/>
                            <w:hideMark/>
                          </w:tcPr>
                          <w:p w14:paraId="623A6C04"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57</w:t>
                            </w:r>
                          </w:p>
                        </w:tc>
                        <w:tc>
                          <w:tcPr>
                            <w:tcW w:w="658" w:type="dxa"/>
                            <w:tcBorders>
                              <w:top w:val="nil"/>
                              <w:left w:val="nil"/>
                              <w:bottom w:val="single" w:sz="4" w:space="0" w:color="auto"/>
                              <w:right w:val="single" w:sz="4" w:space="0" w:color="auto"/>
                            </w:tcBorders>
                            <w:shd w:val="clear" w:color="auto" w:fill="auto"/>
                            <w:noWrap/>
                            <w:vAlign w:val="center"/>
                            <w:hideMark/>
                          </w:tcPr>
                          <w:p w14:paraId="764ED01C"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0.33 </w:t>
                            </w:r>
                          </w:p>
                        </w:tc>
                        <w:tc>
                          <w:tcPr>
                            <w:tcW w:w="1080" w:type="dxa"/>
                            <w:tcBorders>
                              <w:top w:val="nil"/>
                              <w:left w:val="nil"/>
                              <w:bottom w:val="single" w:sz="4" w:space="0" w:color="auto"/>
                              <w:right w:val="single" w:sz="4" w:space="0" w:color="auto"/>
                            </w:tcBorders>
                            <w:shd w:val="clear" w:color="auto" w:fill="auto"/>
                            <w:noWrap/>
                            <w:vAlign w:val="center"/>
                            <w:hideMark/>
                          </w:tcPr>
                          <w:p w14:paraId="4892A946" w14:textId="77777777" w:rsidR="00F21CCC" w:rsidRPr="000857D0" w:rsidRDefault="00F21CCC" w:rsidP="00B01E49">
                            <w:pPr>
                              <w:widowControl/>
                              <w:suppressOverlap/>
                              <w:jc w:val="right"/>
                              <w:rPr>
                                <w:rFonts w:ascii="標楷體" w:eastAsia="標楷體" w:hAnsi="標楷體" w:cs="新細明體"/>
                                <w:color w:val="000000"/>
                                <w:kern w:val="0"/>
                                <w:sz w:val="20"/>
                              </w:rPr>
                            </w:pPr>
                            <w:r w:rsidRPr="000857D0">
                              <w:rPr>
                                <w:rFonts w:ascii="標楷體" w:eastAsia="標楷體" w:hAnsi="標楷體" w:cs="新細明體" w:hint="eastAsia"/>
                                <w:color w:val="000000"/>
                                <w:kern w:val="0"/>
                                <w:sz w:val="20"/>
                              </w:rPr>
                              <w:t xml:space="preserve">399 </w:t>
                            </w:r>
                          </w:p>
                        </w:tc>
                      </w:tr>
                    </w:tbl>
                    <w:p w14:paraId="420B78E0" w14:textId="77777777" w:rsidR="00F21CCC" w:rsidRDefault="00F21CCC" w:rsidP="00AF3143">
                      <w:pPr>
                        <w:spacing w:line="220" w:lineRule="exact"/>
                        <w:ind w:left="540" w:hangingChars="300" w:hanging="540"/>
                        <w:jc w:val="both"/>
                        <w:rPr>
                          <w:rFonts w:ascii="標楷體" w:eastAsia="標楷體" w:hAnsi="標楷體" w:cs="新細明體"/>
                          <w:color w:val="000000" w:themeColor="text1"/>
                          <w:kern w:val="0"/>
                          <w:sz w:val="18"/>
                        </w:rPr>
                      </w:pPr>
                      <w:proofErr w:type="gramStart"/>
                      <w:r w:rsidRPr="000857D0">
                        <w:rPr>
                          <w:rFonts w:ascii="標楷體" w:eastAsia="標楷體" w:hAnsi="標楷體" w:cs="新細明體" w:hint="eastAsia"/>
                          <w:color w:val="000000" w:themeColor="text1"/>
                          <w:kern w:val="0"/>
                          <w:sz w:val="18"/>
                        </w:rPr>
                        <w:t>註</w:t>
                      </w:r>
                      <w:proofErr w:type="gramEnd"/>
                      <w:r w:rsidRPr="000857D0">
                        <w:rPr>
                          <w:rFonts w:ascii="標楷體" w:eastAsia="標楷體" w:hAnsi="標楷體" w:cs="新細明體" w:hint="eastAsia"/>
                          <w:color w:val="000000" w:themeColor="text1"/>
                          <w:kern w:val="0"/>
                          <w:sz w:val="18"/>
                        </w:rPr>
                        <w:t>：1.回報可設置</w:t>
                      </w:r>
                      <w:proofErr w:type="gramStart"/>
                      <w:r w:rsidRPr="000857D0">
                        <w:rPr>
                          <w:rFonts w:ascii="標楷體" w:eastAsia="標楷體" w:hAnsi="標楷體" w:cs="新細明體" w:hint="eastAsia"/>
                          <w:color w:val="000000" w:themeColor="text1"/>
                          <w:kern w:val="0"/>
                          <w:sz w:val="18"/>
                        </w:rPr>
                        <w:t>遮屏數</w:t>
                      </w:r>
                      <w:proofErr w:type="gramEnd"/>
                      <w:r w:rsidRPr="000857D0">
                        <w:rPr>
                          <w:rFonts w:ascii="標楷體" w:eastAsia="標楷體" w:hAnsi="標楷體" w:cs="新細明體" w:hint="eastAsia"/>
                          <w:color w:val="000000" w:themeColor="text1"/>
                          <w:kern w:val="0"/>
                          <w:sz w:val="18"/>
                        </w:rPr>
                        <w:t>4個以下者，推算為4個；7個以上者及無說明，推算為7個。</w:t>
                      </w:r>
                    </w:p>
                    <w:p w14:paraId="4D29138C" w14:textId="7DCDCB59" w:rsidR="00F21CCC" w:rsidRPr="000857D0" w:rsidRDefault="00F21CCC" w:rsidP="00AF3143">
                      <w:pPr>
                        <w:spacing w:line="220" w:lineRule="exact"/>
                        <w:ind w:leftChars="150" w:left="720" w:hangingChars="200" w:hanging="360"/>
                        <w:jc w:val="both"/>
                        <w:rPr>
                          <w:rFonts w:ascii="標楷體" w:eastAsia="標楷體" w:hAnsi="標楷體" w:cs="新細明體"/>
                          <w:color w:val="000000" w:themeColor="text1"/>
                          <w:kern w:val="0"/>
                          <w:sz w:val="18"/>
                        </w:rPr>
                      </w:pPr>
                      <w:r>
                        <w:rPr>
                          <w:rFonts w:ascii="標楷體" w:eastAsia="標楷體" w:hAnsi="標楷體" w:cs="新細明體" w:hint="eastAsia"/>
                          <w:color w:val="000000" w:themeColor="text1"/>
                          <w:kern w:val="0"/>
                          <w:sz w:val="18"/>
                        </w:rPr>
                        <w:t>2</w:t>
                      </w:r>
                      <w:r>
                        <w:rPr>
                          <w:rFonts w:ascii="標楷體" w:eastAsia="標楷體" w:hAnsi="標楷體" w:cs="新細明體"/>
                          <w:color w:val="000000" w:themeColor="text1"/>
                          <w:kern w:val="0"/>
                          <w:sz w:val="18"/>
                        </w:rPr>
                        <w:t>.</w:t>
                      </w:r>
                      <w:r w:rsidRPr="003772AA">
                        <w:rPr>
                          <w:rFonts w:ascii="標楷體" w:eastAsia="標楷體" w:hAnsi="標楷體" w:hint="eastAsia"/>
                          <w:sz w:val="18"/>
                        </w:rPr>
                        <w:t>資料來源：</w:t>
                      </w:r>
                      <w:r w:rsidR="00292F50">
                        <w:rPr>
                          <w:rFonts w:ascii="標楷體" w:eastAsia="標楷體" w:hAnsi="標楷體" w:hint="eastAsia"/>
                          <w:sz w:val="18"/>
                        </w:rPr>
                        <w:t>整理自</w:t>
                      </w:r>
                      <w:r>
                        <w:rPr>
                          <w:rFonts w:ascii="標楷體" w:eastAsia="標楷體" w:hAnsi="標楷體" w:cs="新細明體"/>
                          <w:color w:val="000000" w:themeColor="text1"/>
                          <w:kern w:val="0"/>
                          <w:sz w:val="18"/>
                        </w:rPr>
                        <w:t>中央選舉委員會</w:t>
                      </w:r>
                      <w:r>
                        <w:rPr>
                          <w:rFonts w:ascii="標楷體" w:eastAsia="標楷體" w:hAnsi="標楷體" w:cs="新細明體" w:hint="eastAsia"/>
                          <w:color w:val="000000" w:themeColor="text1"/>
                          <w:kern w:val="0"/>
                          <w:sz w:val="18"/>
                        </w:rPr>
                        <w:t>提供</w:t>
                      </w:r>
                      <w:r w:rsidR="00292F50">
                        <w:rPr>
                          <w:rFonts w:ascii="標楷體" w:eastAsia="標楷體" w:hAnsi="標楷體" w:cs="新細明體" w:hint="eastAsia"/>
                          <w:color w:val="000000" w:themeColor="text1"/>
                          <w:kern w:val="0"/>
                          <w:sz w:val="18"/>
                        </w:rPr>
                        <w:t>資料</w:t>
                      </w:r>
                      <w:r>
                        <w:rPr>
                          <w:rFonts w:ascii="標楷體" w:eastAsia="標楷體" w:hAnsi="標楷體" w:cs="新細明體"/>
                          <w:color w:val="000000" w:themeColor="text1"/>
                          <w:kern w:val="0"/>
                          <w:sz w:val="18"/>
                        </w:rPr>
                        <w:t>。</w:t>
                      </w:r>
                    </w:p>
                  </w:txbxContent>
                </v:textbox>
                <w10:wrap type="square" anchorx="margin"/>
              </v:shape>
            </w:pict>
          </mc:Fallback>
        </mc:AlternateContent>
      </w:r>
      <w:r w:rsidR="00C733A7">
        <w:rPr>
          <w:rFonts w:hAnsi="標楷體" w:hint="eastAsia"/>
          <w:bCs/>
          <w:sz w:val="24"/>
          <w:szCs w:val="24"/>
        </w:rPr>
        <w:t>病毒肺炎（</w:t>
      </w:r>
      <w:r w:rsidR="006D4ADA" w:rsidRPr="00416DB5">
        <w:rPr>
          <w:rFonts w:hAnsi="標楷體" w:hint="eastAsia"/>
          <w:bCs/>
          <w:sz w:val="24"/>
          <w:szCs w:val="24"/>
        </w:rPr>
        <w:t>COVID-19</w:t>
      </w:r>
      <w:r w:rsidR="00C733A7">
        <w:rPr>
          <w:rFonts w:hAnsi="標楷體" w:hint="eastAsia"/>
          <w:bCs/>
          <w:sz w:val="24"/>
          <w:szCs w:val="24"/>
        </w:rPr>
        <w:t>）</w:t>
      </w:r>
      <w:proofErr w:type="gramStart"/>
      <w:r w:rsidR="006D4ADA" w:rsidRPr="00416DB5">
        <w:rPr>
          <w:rFonts w:hAnsi="標楷體" w:hint="eastAsia"/>
          <w:bCs/>
          <w:sz w:val="24"/>
          <w:szCs w:val="24"/>
        </w:rPr>
        <w:t>疫</w:t>
      </w:r>
      <w:proofErr w:type="gramEnd"/>
      <w:r w:rsidR="006D4ADA" w:rsidRPr="00416DB5">
        <w:rPr>
          <w:rFonts w:hAnsi="標楷體" w:hint="eastAsia"/>
          <w:bCs/>
          <w:sz w:val="24"/>
          <w:szCs w:val="24"/>
        </w:rPr>
        <w:t>情</w:t>
      </w:r>
      <w:r w:rsidR="006D4ADA">
        <w:rPr>
          <w:rFonts w:hAnsi="標楷體" w:hint="eastAsia"/>
          <w:bCs/>
          <w:sz w:val="24"/>
          <w:szCs w:val="24"/>
        </w:rPr>
        <w:t>，</w:t>
      </w:r>
      <w:r w:rsidR="006D4ADA" w:rsidRPr="00416DB5">
        <w:rPr>
          <w:rFonts w:hAnsi="標楷體" w:hint="eastAsia"/>
          <w:bCs/>
          <w:sz w:val="24"/>
          <w:szCs w:val="24"/>
        </w:rPr>
        <w:t>將公</w:t>
      </w:r>
      <w:r w:rsidR="006D4ADA">
        <w:rPr>
          <w:rFonts w:hAnsi="標楷體" w:hint="eastAsia"/>
          <w:bCs/>
          <w:sz w:val="24"/>
          <w:szCs w:val="24"/>
        </w:rPr>
        <w:t>民</w:t>
      </w:r>
      <w:r w:rsidR="006D4ADA" w:rsidRPr="00416DB5">
        <w:rPr>
          <w:rFonts w:hAnsi="標楷體" w:hint="eastAsia"/>
          <w:bCs/>
          <w:sz w:val="24"/>
          <w:szCs w:val="24"/>
        </w:rPr>
        <w:t>投票日</w:t>
      </w:r>
      <w:r w:rsidR="006D4ADA">
        <w:rPr>
          <w:rFonts w:hAnsi="標楷體" w:hint="eastAsia"/>
          <w:bCs/>
          <w:sz w:val="24"/>
          <w:szCs w:val="24"/>
        </w:rPr>
        <w:t>自原訂</w:t>
      </w:r>
      <w:r w:rsidR="006D4ADA" w:rsidRPr="00416DB5">
        <w:rPr>
          <w:rFonts w:hAnsi="標楷體" w:hint="eastAsia"/>
          <w:bCs/>
          <w:sz w:val="24"/>
          <w:szCs w:val="24"/>
        </w:rPr>
        <w:t>110年8月28日展延至</w:t>
      </w:r>
      <w:r w:rsidR="006D4ADA">
        <w:rPr>
          <w:rFonts w:hAnsi="標楷體" w:hint="eastAsia"/>
          <w:bCs/>
          <w:sz w:val="24"/>
          <w:szCs w:val="24"/>
        </w:rPr>
        <w:t>同</w:t>
      </w:r>
      <w:r w:rsidR="006D4ADA" w:rsidRPr="00416DB5">
        <w:rPr>
          <w:rFonts w:hAnsi="標楷體" w:hint="eastAsia"/>
          <w:bCs/>
          <w:sz w:val="24"/>
          <w:szCs w:val="24"/>
        </w:rPr>
        <w:t>年12月18日</w:t>
      </w:r>
      <w:r w:rsidR="006D4ADA">
        <w:rPr>
          <w:rFonts w:hAnsi="標楷體" w:hint="eastAsia"/>
          <w:bCs/>
          <w:sz w:val="24"/>
          <w:szCs w:val="24"/>
        </w:rPr>
        <w:t>，行政院評估投票日</w:t>
      </w:r>
      <w:r w:rsidR="006D4ADA" w:rsidRPr="00416DB5">
        <w:rPr>
          <w:rFonts w:hAnsi="標楷體" w:hint="eastAsia"/>
          <w:bCs/>
          <w:sz w:val="24"/>
          <w:szCs w:val="24"/>
        </w:rPr>
        <w:t>展期</w:t>
      </w:r>
      <w:r w:rsidR="006D4ADA">
        <w:rPr>
          <w:rFonts w:hAnsi="標楷體" w:hint="eastAsia"/>
          <w:bCs/>
          <w:sz w:val="24"/>
          <w:szCs w:val="24"/>
        </w:rPr>
        <w:t>且</w:t>
      </w:r>
      <w:proofErr w:type="gramStart"/>
      <w:r w:rsidR="006D4ADA">
        <w:rPr>
          <w:rFonts w:hAnsi="標楷體" w:hint="eastAsia"/>
          <w:bCs/>
          <w:sz w:val="24"/>
          <w:szCs w:val="24"/>
        </w:rPr>
        <w:t>疫情趨</w:t>
      </w:r>
      <w:proofErr w:type="gramEnd"/>
      <w:r w:rsidR="006D4ADA">
        <w:rPr>
          <w:rFonts w:hAnsi="標楷體" w:hint="eastAsia"/>
          <w:bCs/>
          <w:sz w:val="24"/>
          <w:szCs w:val="24"/>
        </w:rPr>
        <w:t>緩</w:t>
      </w:r>
      <w:r w:rsidR="006D4ADA" w:rsidRPr="00416DB5">
        <w:rPr>
          <w:rFonts w:hAnsi="標楷體" w:hint="eastAsia"/>
          <w:bCs/>
          <w:sz w:val="24"/>
          <w:szCs w:val="24"/>
        </w:rPr>
        <w:t>，預料投票率將大幅提升，為期投票過程順暢，於</w:t>
      </w:r>
      <w:r w:rsidR="006D4ADA">
        <w:rPr>
          <w:rFonts w:hAnsi="標楷體" w:hint="eastAsia"/>
          <w:bCs/>
          <w:sz w:val="24"/>
          <w:szCs w:val="24"/>
        </w:rPr>
        <w:t>同</w:t>
      </w:r>
      <w:r w:rsidR="006D4ADA" w:rsidRPr="00416DB5">
        <w:rPr>
          <w:rFonts w:hAnsi="標楷體" w:hint="eastAsia"/>
          <w:bCs/>
          <w:sz w:val="24"/>
          <w:szCs w:val="24"/>
        </w:rPr>
        <w:t>年11月8日指示</w:t>
      </w:r>
      <w:r w:rsidR="006D4ADA">
        <w:rPr>
          <w:rFonts w:hAnsi="標楷體" w:hint="eastAsia"/>
          <w:bCs/>
          <w:sz w:val="24"/>
          <w:szCs w:val="24"/>
        </w:rPr>
        <w:t>中央選舉委員會</w:t>
      </w:r>
      <w:r w:rsidR="006D4ADA" w:rsidRPr="00416DB5">
        <w:rPr>
          <w:rFonts w:hAnsi="標楷體" w:hint="eastAsia"/>
          <w:bCs/>
          <w:sz w:val="24"/>
          <w:szCs w:val="24"/>
        </w:rPr>
        <w:t>重行</w:t>
      </w:r>
      <w:proofErr w:type="gramStart"/>
      <w:r w:rsidR="006D4ADA" w:rsidRPr="00416DB5">
        <w:rPr>
          <w:rFonts w:hAnsi="標楷體" w:hint="eastAsia"/>
          <w:bCs/>
          <w:sz w:val="24"/>
          <w:szCs w:val="24"/>
        </w:rPr>
        <w:t>檢討遮屏設置</w:t>
      </w:r>
      <w:proofErr w:type="gramEnd"/>
      <w:r w:rsidR="006D4ADA" w:rsidRPr="00416DB5">
        <w:rPr>
          <w:rFonts w:hAnsi="標楷體" w:hint="eastAsia"/>
          <w:bCs/>
          <w:sz w:val="24"/>
          <w:szCs w:val="24"/>
        </w:rPr>
        <w:t>標準，以每投（開）票所均設置</w:t>
      </w:r>
      <w:proofErr w:type="gramStart"/>
      <w:r w:rsidR="006D4ADA" w:rsidRPr="00416DB5">
        <w:rPr>
          <w:rFonts w:hAnsi="標楷體" w:hint="eastAsia"/>
          <w:bCs/>
          <w:sz w:val="24"/>
          <w:szCs w:val="24"/>
        </w:rPr>
        <w:t>6個遮屏</w:t>
      </w:r>
      <w:proofErr w:type="gramEnd"/>
      <w:r w:rsidR="006D4ADA" w:rsidRPr="00416DB5">
        <w:rPr>
          <w:rFonts w:hAnsi="標楷體" w:hint="eastAsia"/>
          <w:bCs/>
          <w:sz w:val="24"/>
          <w:szCs w:val="24"/>
        </w:rPr>
        <w:t>，外加1個</w:t>
      </w:r>
      <w:proofErr w:type="gramStart"/>
      <w:r w:rsidR="006D4ADA" w:rsidRPr="00416DB5">
        <w:rPr>
          <w:rFonts w:hAnsi="標楷體" w:hint="eastAsia"/>
          <w:bCs/>
          <w:sz w:val="24"/>
          <w:szCs w:val="24"/>
        </w:rPr>
        <w:t>防疫遮屏</w:t>
      </w:r>
      <w:proofErr w:type="gramEnd"/>
      <w:r w:rsidR="006D4ADA" w:rsidRPr="00416DB5">
        <w:rPr>
          <w:rFonts w:hAnsi="標楷體" w:hint="eastAsia"/>
          <w:bCs/>
          <w:sz w:val="24"/>
          <w:szCs w:val="24"/>
        </w:rPr>
        <w:t>，</w:t>
      </w:r>
      <w:r w:rsidR="00C733A7">
        <w:rPr>
          <w:rFonts w:hAnsi="標楷體" w:hint="eastAsia"/>
          <w:bCs/>
          <w:sz w:val="24"/>
          <w:szCs w:val="24"/>
        </w:rPr>
        <w:t>共</w:t>
      </w:r>
      <w:proofErr w:type="gramStart"/>
      <w:r w:rsidR="00C733A7">
        <w:rPr>
          <w:rFonts w:hAnsi="標楷體" w:hint="eastAsia"/>
          <w:bCs/>
          <w:sz w:val="24"/>
          <w:szCs w:val="24"/>
        </w:rPr>
        <w:t>7個遮屏</w:t>
      </w:r>
      <w:proofErr w:type="gramEnd"/>
      <w:r w:rsidR="00C733A7">
        <w:rPr>
          <w:rFonts w:hAnsi="標楷體" w:hint="eastAsia"/>
          <w:bCs/>
          <w:sz w:val="24"/>
          <w:szCs w:val="24"/>
        </w:rPr>
        <w:t>，</w:t>
      </w:r>
      <w:r w:rsidR="006D4ADA" w:rsidRPr="00416DB5">
        <w:rPr>
          <w:rFonts w:hAnsi="標楷體" w:hint="eastAsia"/>
          <w:bCs/>
          <w:sz w:val="24"/>
          <w:szCs w:val="24"/>
        </w:rPr>
        <w:t>並預留備用</w:t>
      </w:r>
      <w:proofErr w:type="gramStart"/>
      <w:r w:rsidR="006D4ADA" w:rsidRPr="00416DB5">
        <w:rPr>
          <w:rFonts w:hAnsi="標楷體" w:hint="eastAsia"/>
          <w:bCs/>
          <w:sz w:val="24"/>
          <w:szCs w:val="24"/>
        </w:rPr>
        <w:t>遮屏為</w:t>
      </w:r>
      <w:proofErr w:type="gramEnd"/>
      <w:r w:rsidR="006D4ADA" w:rsidRPr="00416DB5">
        <w:rPr>
          <w:rFonts w:hAnsi="標楷體" w:hint="eastAsia"/>
          <w:bCs/>
          <w:sz w:val="24"/>
          <w:szCs w:val="24"/>
        </w:rPr>
        <w:t>原則。經查</w:t>
      </w:r>
      <w:r w:rsidR="007C1514">
        <w:rPr>
          <w:rFonts w:hAnsi="標楷體" w:hint="eastAsia"/>
          <w:bCs/>
          <w:sz w:val="24"/>
          <w:szCs w:val="24"/>
        </w:rPr>
        <w:t>，</w:t>
      </w:r>
      <w:r w:rsidR="006D4ADA">
        <w:rPr>
          <w:rFonts w:hAnsi="標楷體" w:hint="eastAsia"/>
          <w:bCs/>
          <w:sz w:val="24"/>
          <w:szCs w:val="24"/>
        </w:rPr>
        <w:t>中央選舉委員會</w:t>
      </w:r>
      <w:r w:rsidR="006D4ADA" w:rsidRPr="00416DB5">
        <w:rPr>
          <w:rFonts w:hAnsi="標楷體" w:hint="eastAsia"/>
          <w:bCs/>
          <w:sz w:val="24"/>
          <w:szCs w:val="24"/>
        </w:rPr>
        <w:t>辦理110年全國性公民投票</w:t>
      </w:r>
      <w:r w:rsidR="007C1514">
        <w:rPr>
          <w:rFonts w:hAnsi="標楷體" w:hint="eastAsia"/>
          <w:bCs/>
          <w:sz w:val="24"/>
          <w:szCs w:val="24"/>
        </w:rPr>
        <w:t>，</w:t>
      </w:r>
      <w:r w:rsidR="006D4ADA" w:rsidRPr="00416DB5">
        <w:rPr>
          <w:rFonts w:hAnsi="標楷體" w:hint="eastAsia"/>
          <w:bCs/>
          <w:sz w:val="24"/>
          <w:szCs w:val="24"/>
        </w:rPr>
        <w:t>於110年3月請各</w:t>
      </w:r>
      <w:r w:rsidR="006D4ADA">
        <w:rPr>
          <w:rFonts w:hAnsi="標楷體" w:hint="eastAsia"/>
          <w:bCs/>
          <w:sz w:val="24"/>
          <w:szCs w:val="24"/>
        </w:rPr>
        <w:t>地方選舉委員會</w:t>
      </w:r>
      <w:r w:rsidR="006D4ADA" w:rsidRPr="00416DB5">
        <w:rPr>
          <w:rFonts w:hAnsi="標楷體" w:hint="eastAsia"/>
          <w:bCs/>
          <w:sz w:val="24"/>
          <w:szCs w:val="24"/>
        </w:rPr>
        <w:t>回報各投（開）票所之預計設置地點、面積、可</w:t>
      </w:r>
      <w:proofErr w:type="gramStart"/>
      <w:r w:rsidR="006D4ADA" w:rsidRPr="00416DB5">
        <w:rPr>
          <w:rFonts w:hAnsi="標楷體" w:hint="eastAsia"/>
          <w:bCs/>
          <w:sz w:val="24"/>
          <w:szCs w:val="24"/>
        </w:rPr>
        <w:t>設置遮屏數量</w:t>
      </w:r>
      <w:proofErr w:type="gramEnd"/>
      <w:r w:rsidR="006D4ADA" w:rsidRPr="00416DB5">
        <w:rPr>
          <w:rFonts w:hAnsi="標楷體" w:hint="eastAsia"/>
          <w:bCs/>
          <w:sz w:val="24"/>
          <w:szCs w:val="24"/>
        </w:rPr>
        <w:t>結果</w:t>
      </w:r>
      <w:r w:rsidR="006D4ADA" w:rsidRPr="006D4ADA">
        <w:rPr>
          <w:rFonts w:hAnsi="標楷體" w:hint="eastAsia"/>
          <w:bCs/>
          <w:sz w:val="24"/>
          <w:szCs w:val="24"/>
        </w:rPr>
        <w:t>（表5</w:t>
      </w:r>
      <w:r w:rsidR="00827968">
        <w:rPr>
          <w:rFonts w:hAnsi="標楷體" w:hint="eastAsia"/>
          <w:bCs/>
          <w:sz w:val="24"/>
          <w:szCs w:val="24"/>
        </w:rPr>
        <w:t>4</w:t>
      </w:r>
      <w:r w:rsidR="006D4ADA" w:rsidRPr="006D4ADA">
        <w:rPr>
          <w:rFonts w:hAnsi="標楷體" w:hint="eastAsia"/>
          <w:bCs/>
          <w:sz w:val="24"/>
          <w:szCs w:val="24"/>
        </w:rPr>
        <w:t>）</w:t>
      </w:r>
      <w:r w:rsidR="006D4ADA" w:rsidRPr="00416DB5">
        <w:rPr>
          <w:rFonts w:hAnsi="標楷體" w:hint="eastAsia"/>
          <w:bCs/>
          <w:sz w:val="24"/>
          <w:szCs w:val="24"/>
        </w:rPr>
        <w:t>，在17,479個投（開）票所</w:t>
      </w:r>
      <w:r w:rsidR="006D4ADA">
        <w:rPr>
          <w:rFonts w:hAnsi="標楷體" w:hint="eastAsia"/>
          <w:bCs/>
          <w:sz w:val="24"/>
          <w:szCs w:val="24"/>
        </w:rPr>
        <w:t>中</w:t>
      </w:r>
      <w:r w:rsidR="006D4ADA" w:rsidRPr="00416DB5">
        <w:rPr>
          <w:rFonts w:hAnsi="標楷體" w:hint="eastAsia"/>
          <w:bCs/>
          <w:sz w:val="24"/>
          <w:szCs w:val="24"/>
        </w:rPr>
        <w:t>僅60所（占0.34％）因空間相對寬裕，回報可設置</w:t>
      </w:r>
      <w:proofErr w:type="gramStart"/>
      <w:r w:rsidR="006D4ADA" w:rsidRPr="00416DB5">
        <w:rPr>
          <w:rFonts w:hAnsi="標楷體" w:hint="eastAsia"/>
          <w:bCs/>
          <w:sz w:val="24"/>
          <w:szCs w:val="24"/>
        </w:rPr>
        <w:t>遮屏數</w:t>
      </w:r>
      <w:proofErr w:type="gramEnd"/>
      <w:r w:rsidR="006D4ADA" w:rsidRPr="00416DB5">
        <w:rPr>
          <w:rFonts w:hAnsi="標楷體" w:hint="eastAsia"/>
          <w:bCs/>
          <w:sz w:val="24"/>
          <w:szCs w:val="24"/>
        </w:rPr>
        <w:t>為7個以上</w:t>
      </w:r>
      <w:r w:rsidR="006D4ADA">
        <w:rPr>
          <w:rFonts w:hAnsi="標楷體" w:hint="eastAsia"/>
          <w:bCs/>
          <w:sz w:val="24"/>
          <w:szCs w:val="24"/>
        </w:rPr>
        <w:t>；</w:t>
      </w:r>
      <w:proofErr w:type="gramStart"/>
      <w:r w:rsidR="006D4ADA">
        <w:rPr>
          <w:rFonts w:hAnsi="標楷體" w:hint="eastAsia"/>
          <w:bCs/>
          <w:sz w:val="24"/>
          <w:szCs w:val="24"/>
        </w:rPr>
        <w:t>嗣</w:t>
      </w:r>
      <w:proofErr w:type="gramEnd"/>
      <w:r w:rsidR="006D4ADA">
        <w:rPr>
          <w:rFonts w:hAnsi="標楷體" w:hint="eastAsia"/>
          <w:bCs/>
          <w:sz w:val="24"/>
          <w:szCs w:val="24"/>
        </w:rPr>
        <w:t>該會</w:t>
      </w:r>
      <w:r w:rsidR="006D4ADA" w:rsidRPr="00416DB5">
        <w:rPr>
          <w:rFonts w:hAnsi="標楷體" w:hint="eastAsia"/>
          <w:bCs/>
          <w:sz w:val="24"/>
          <w:szCs w:val="24"/>
        </w:rPr>
        <w:t>110年</w:t>
      </w:r>
      <w:r w:rsidR="006D4ADA">
        <w:rPr>
          <w:rFonts w:hAnsi="標楷體" w:hint="eastAsia"/>
          <w:bCs/>
          <w:sz w:val="24"/>
          <w:szCs w:val="24"/>
        </w:rPr>
        <w:t>6</w:t>
      </w:r>
      <w:r w:rsidR="006D4ADA" w:rsidRPr="00416DB5">
        <w:rPr>
          <w:rFonts w:hAnsi="標楷體" w:hint="eastAsia"/>
          <w:bCs/>
          <w:sz w:val="24"/>
          <w:szCs w:val="24"/>
        </w:rPr>
        <w:t>月</w:t>
      </w:r>
      <w:r w:rsidR="006D4ADA">
        <w:rPr>
          <w:rFonts w:hAnsi="標楷體" w:hint="eastAsia"/>
          <w:bCs/>
          <w:sz w:val="24"/>
          <w:szCs w:val="24"/>
        </w:rPr>
        <w:t>辦理</w:t>
      </w:r>
      <w:r w:rsidR="006D4ADA" w:rsidRPr="005B166B">
        <w:rPr>
          <w:rFonts w:hAnsi="標楷體" w:hint="eastAsia"/>
          <w:bCs/>
          <w:sz w:val="24"/>
          <w:szCs w:val="24"/>
        </w:rPr>
        <w:t>「110年全國性公民投票圈票</w:t>
      </w:r>
      <w:proofErr w:type="gramStart"/>
      <w:r w:rsidR="006D4ADA" w:rsidRPr="005B166B">
        <w:rPr>
          <w:rFonts w:hAnsi="標楷體" w:hint="eastAsia"/>
          <w:bCs/>
          <w:sz w:val="24"/>
          <w:szCs w:val="24"/>
        </w:rPr>
        <w:t>處遮屏</w:t>
      </w:r>
      <w:proofErr w:type="gramEnd"/>
      <w:r w:rsidR="006D4ADA" w:rsidRPr="005B166B">
        <w:rPr>
          <w:rFonts w:hAnsi="標楷體" w:hint="eastAsia"/>
          <w:bCs/>
          <w:sz w:val="24"/>
          <w:szCs w:val="24"/>
        </w:rPr>
        <w:t>採購案」</w:t>
      </w:r>
      <w:r w:rsidR="006D4ADA" w:rsidRPr="00416DB5">
        <w:rPr>
          <w:rFonts w:hAnsi="標楷體" w:hint="eastAsia"/>
          <w:bCs/>
          <w:sz w:val="24"/>
          <w:szCs w:val="24"/>
        </w:rPr>
        <w:t>（</w:t>
      </w:r>
      <w:r w:rsidR="006D4ADA" w:rsidRPr="005B166B">
        <w:rPr>
          <w:rFonts w:hAnsi="標楷體" w:hint="eastAsia"/>
          <w:bCs/>
          <w:sz w:val="24"/>
          <w:szCs w:val="24"/>
        </w:rPr>
        <w:t>總價5,670萬餘元</w:t>
      </w:r>
      <w:r w:rsidR="006D4ADA">
        <w:rPr>
          <w:rFonts w:hAnsi="標楷體" w:hint="eastAsia"/>
          <w:bCs/>
          <w:sz w:val="24"/>
          <w:szCs w:val="24"/>
        </w:rPr>
        <w:t>，採購25,</w:t>
      </w:r>
      <w:proofErr w:type="gramStart"/>
      <w:r w:rsidR="006D4ADA">
        <w:rPr>
          <w:rFonts w:hAnsi="標楷體" w:hint="eastAsia"/>
          <w:bCs/>
          <w:sz w:val="24"/>
          <w:szCs w:val="24"/>
        </w:rPr>
        <w:t>292個遮屏</w:t>
      </w:r>
      <w:proofErr w:type="gramEnd"/>
      <w:r w:rsidR="006D4ADA" w:rsidRPr="005B166B">
        <w:rPr>
          <w:rFonts w:hAnsi="標楷體" w:hint="eastAsia"/>
          <w:bCs/>
          <w:sz w:val="24"/>
          <w:szCs w:val="24"/>
        </w:rPr>
        <w:t>，平均單價2,242元</w:t>
      </w:r>
      <w:r w:rsidR="006D4ADA" w:rsidRPr="00416DB5">
        <w:rPr>
          <w:rFonts w:hAnsi="標楷體" w:hint="eastAsia"/>
          <w:bCs/>
          <w:sz w:val="24"/>
          <w:szCs w:val="24"/>
        </w:rPr>
        <w:t>）</w:t>
      </w:r>
      <w:r w:rsidR="006D4ADA">
        <w:rPr>
          <w:rFonts w:hAnsi="標楷體" w:hint="eastAsia"/>
          <w:bCs/>
          <w:sz w:val="24"/>
          <w:szCs w:val="24"/>
        </w:rPr>
        <w:t>，</w:t>
      </w:r>
      <w:r w:rsidR="00C733A7">
        <w:rPr>
          <w:rFonts w:hAnsi="標楷體" w:hint="eastAsia"/>
          <w:bCs/>
          <w:sz w:val="24"/>
          <w:szCs w:val="24"/>
        </w:rPr>
        <w:t>採購</w:t>
      </w:r>
      <w:r w:rsidR="006D4ADA" w:rsidRPr="00416DB5">
        <w:rPr>
          <w:rFonts w:hAnsi="標楷體" w:hint="eastAsia"/>
          <w:bCs/>
          <w:sz w:val="24"/>
          <w:szCs w:val="24"/>
        </w:rPr>
        <w:t>數量除依各</w:t>
      </w:r>
      <w:r w:rsidR="006D4ADA">
        <w:rPr>
          <w:rFonts w:hAnsi="標楷體" w:hint="eastAsia"/>
          <w:bCs/>
          <w:sz w:val="24"/>
          <w:szCs w:val="24"/>
        </w:rPr>
        <w:t>地方選舉委員會</w:t>
      </w:r>
      <w:r w:rsidR="006D4ADA" w:rsidRPr="00416DB5">
        <w:rPr>
          <w:rFonts w:hAnsi="標楷體" w:hint="eastAsia"/>
          <w:bCs/>
          <w:sz w:val="24"/>
          <w:szCs w:val="24"/>
        </w:rPr>
        <w:t>回報實際之增購需求外，已全面依17,479個投（開）票所各再增加1個</w:t>
      </w:r>
      <w:proofErr w:type="gramStart"/>
      <w:r w:rsidR="006D4ADA" w:rsidRPr="00416DB5">
        <w:rPr>
          <w:rFonts w:hAnsi="標楷體" w:hint="eastAsia"/>
          <w:bCs/>
          <w:sz w:val="24"/>
          <w:szCs w:val="24"/>
        </w:rPr>
        <w:t>防疫遮屏</w:t>
      </w:r>
      <w:proofErr w:type="gramEnd"/>
      <w:r w:rsidR="006D4ADA" w:rsidRPr="00416DB5">
        <w:rPr>
          <w:rFonts w:hAnsi="標楷體" w:hint="eastAsia"/>
          <w:bCs/>
          <w:sz w:val="24"/>
          <w:szCs w:val="24"/>
        </w:rPr>
        <w:t>，然</w:t>
      </w:r>
      <w:r w:rsidR="006D4ADA">
        <w:rPr>
          <w:rFonts w:hAnsi="標楷體" w:hint="eastAsia"/>
          <w:bCs/>
          <w:sz w:val="24"/>
          <w:szCs w:val="24"/>
        </w:rPr>
        <w:t>該會</w:t>
      </w:r>
      <w:r w:rsidR="006D4ADA" w:rsidRPr="00416DB5">
        <w:rPr>
          <w:rFonts w:hAnsi="標楷體" w:hint="eastAsia"/>
          <w:bCs/>
          <w:sz w:val="24"/>
          <w:szCs w:val="24"/>
        </w:rPr>
        <w:t>於110年11月8日接獲</w:t>
      </w:r>
      <w:r w:rsidR="006D4ADA">
        <w:rPr>
          <w:rFonts w:hAnsi="標楷體" w:hint="eastAsia"/>
          <w:bCs/>
          <w:sz w:val="24"/>
          <w:szCs w:val="24"/>
        </w:rPr>
        <w:t>行政院指示</w:t>
      </w:r>
      <w:proofErr w:type="gramStart"/>
      <w:r w:rsidR="006D4ADA" w:rsidRPr="00416DB5">
        <w:rPr>
          <w:rFonts w:hAnsi="標楷體" w:hint="eastAsia"/>
          <w:bCs/>
          <w:sz w:val="24"/>
          <w:szCs w:val="24"/>
        </w:rPr>
        <w:t>調增投</w:t>
      </w:r>
      <w:proofErr w:type="gramEnd"/>
      <w:r w:rsidR="006D4ADA" w:rsidRPr="00416DB5">
        <w:rPr>
          <w:rFonts w:hAnsi="標楷體" w:hint="eastAsia"/>
          <w:bCs/>
          <w:sz w:val="24"/>
          <w:szCs w:val="24"/>
        </w:rPr>
        <w:t>（開）票</w:t>
      </w:r>
      <w:proofErr w:type="gramStart"/>
      <w:r w:rsidR="006D4ADA" w:rsidRPr="00416DB5">
        <w:rPr>
          <w:rFonts w:hAnsi="標楷體" w:hint="eastAsia"/>
          <w:bCs/>
          <w:sz w:val="24"/>
          <w:szCs w:val="24"/>
        </w:rPr>
        <w:t>所遮屏</w:t>
      </w:r>
      <w:proofErr w:type="gramEnd"/>
      <w:r w:rsidR="006D4ADA" w:rsidRPr="00416DB5">
        <w:rPr>
          <w:rFonts w:hAnsi="標楷體" w:hint="eastAsia"/>
          <w:bCs/>
          <w:sz w:val="24"/>
          <w:szCs w:val="24"/>
        </w:rPr>
        <w:t>設置標準，卻未考量投（開）票所</w:t>
      </w:r>
      <w:r w:rsidR="006D4ADA">
        <w:rPr>
          <w:rFonts w:hAnsi="標楷體" w:hint="eastAsia"/>
          <w:bCs/>
          <w:sz w:val="24"/>
          <w:szCs w:val="24"/>
        </w:rPr>
        <w:t>受場地限制，</w:t>
      </w:r>
      <w:r w:rsidR="006D4ADA" w:rsidRPr="00416DB5">
        <w:rPr>
          <w:rFonts w:hAnsi="標楷體" w:hint="eastAsia"/>
          <w:bCs/>
          <w:sz w:val="24"/>
          <w:szCs w:val="24"/>
        </w:rPr>
        <w:t>近</w:t>
      </w:r>
      <w:proofErr w:type="gramStart"/>
      <w:r w:rsidR="006D4ADA" w:rsidRPr="00416DB5">
        <w:rPr>
          <w:rFonts w:hAnsi="標楷體" w:hint="eastAsia"/>
          <w:bCs/>
          <w:sz w:val="24"/>
          <w:szCs w:val="24"/>
        </w:rPr>
        <w:t>6成</w:t>
      </w:r>
      <w:proofErr w:type="gramEnd"/>
      <w:r w:rsidR="006D4ADA">
        <w:rPr>
          <w:rFonts w:hAnsi="標楷體" w:hint="eastAsia"/>
          <w:bCs/>
          <w:sz w:val="24"/>
          <w:szCs w:val="24"/>
        </w:rPr>
        <w:t>實際</w:t>
      </w:r>
      <w:r w:rsidR="006D4ADA" w:rsidRPr="00416DB5">
        <w:rPr>
          <w:rFonts w:hAnsi="標楷體" w:hint="eastAsia"/>
          <w:bCs/>
          <w:sz w:val="24"/>
          <w:szCs w:val="24"/>
        </w:rPr>
        <w:t>僅可設置4個</w:t>
      </w:r>
      <w:proofErr w:type="gramStart"/>
      <w:r w:rsidR="006D4ADA" w:rsidRPr="00416DB5">
        <w:rPr>
          <w:rFonts w:hAnsi="標楷體" w:hint="eastAsia"/>
          <w:bCs/>
          <w:sz w:val="24"/>
          <w:szCs w:val="24"/>
        </w:rPr>
        <w:t>以下</w:t>
      </w:r>
      <w:r w:rsidR="006D4ADA">
        <w:rPr>
          <w:rFonts w:hAnsi="標楷體" w:hint="eastAsia"/>
          <w:bCs/>
          <w:sz w:val="24"/>
          <w:szCs w:val="24"/>
        </w:rPr>
        <w:t>遮屏</w:t>
      </w:r>
      <w:proofErr w:type="gramEnd"/>
      <w:r w:rsidR="006D4ADA" w:rsidRPr="00AB5CE5">
        <w:rPr>
          <w:rFonts w:hAnsi="標楷體" w:hint="eastAsia"/>
          <w:bCs/>
          <w:sz w:val="24"/>
          <w:szCs w:val="24"/>
        </w:rPr>
        <w:t>（表</w:t>
      </w:r>
      <w:r w:rsidR="00AB5CE5" w:rsidRPr="00AB5CE5">
        <w:rPr>
          <w:rFonts w:hAnsi="標楷體" w:hint="eastAsia"/>
          <w:bCs/>
          <w:sz w:val="24"/>
          <w:szCs w:val="24"/>
        </w:rPr>
        <w:t>5</w:t>
      </w:r>
      <w:r w:rsidR="00462216">
        <w:rPr>
          <w:rFonts w:hAnsi="標楷體" w:hint="eastAsia"/>
          <w:bCs/>
          <w:sz w:val="24"/>
          <w:szCs w:val="24"/>
        </w:rPr>
        <w:t>4</w:t>
      </w:r>
      <w:r w:rsidR="006D4ADA" w:rsidRPr="00AB5CE5">
        <w:rPr>
          <w:rFonts w:hAnsi="標楷體" w:hint="eastAsia"/>
          <w:bCs/>
          <w:sz w:val="24"/>
          <w:szCs w:val="24"/>
        </w:rPr>
        <w:t>）</w:t>
      </w:r>
      <w:r w:rsidR="006D4ADA" w:rsidRPr="00416DB5">
        <w:rPr>
          <w:rFonts w:hAnsi="標楷體" w:hint="eastAsia"/>
          <w:bCs/>
          <w:sz w:val="24"/>
          <w:szCs w:val="24"/>
        </w:rPr>
        <w:t>，</w:t>
      </w:r>
      <w:r w:rsidR="006D4ADA">
        <w:rPr>
          <w:rFonts w:hAnsi="標楷體" w:hint="eastAsia"/>
          <w:bCs/>
          <w:sz w:val="24"/>
          <w:szCs w:val="24"/>
        </w:rPr>
        <w:t>以較符合經驗法則及基於資料科學之專業判斷，</w:t>
      </w:r>
      <w:r w:rsidR="006D4ADA" w:rsidRPr="00416DB5">
        <w:rPr>
          <w:rFonts w:hAnsi="標楷體" w:hint="eastAsia"/>
          <w:bCs/>
          <w:sz w:val="24"/>
          <w:szCs w:val="24"/>
        </w:rPr>
        <w:t>建請</w:t>
      </w:r>
      <w:r w:rsidR="006D4ADA">
        <w:rPr>
          <w:rFonts w:hAnsi="標楷體" w:hint="eastAsia"/>
          <w:bCs/>
          <w:sz w:val="24"/>
          <w:szCs w:val="24"/>
        </w:rPr>
        <w:t>行政院</w:t>
      </w:r>
      <w:r w:rsidR="006D4ADA" w:rsidRPr="00416DB5">
        <w:rPr>
          <w:rFonts w:hAnsi="標楷體" w:hint="eastAsia"/>
          <w:bCs/>
          <w:sz w:val="24"/>
          <w:szCs w:val="24"/>
        </w:rPr>
        <w:t>重行審</w:t>
      </w:r>
      <w:proofErr w:type="gramStart"/>
      <w:r w:rsidR="006D4ADA" w:rsidRPr="00416DB5">
        <w:rPr>
          <w:rFonts w:hAnsi="標楷體" w:hint="eastAsia"/>
          <w:bCs/>
          <w:sz w:val="24"/>
          <w:szCs w:val="24"/>
        </w:rPr>
        <w:t>酌遮屏</w:t>
      </w:r>
      <w:proofErr w:type="gramEnd"/>
      <w:r w:rsidR="006D4ADA" w:rsidRPr="00416DB5">
        <w:rPr>
          <w:rFonts w:hAnsi="標楷體" w:hint="eastAsia"/>
          <w:bCs/>
          <w:sz w:val="24"/>
          <w:szCs w:val="24"/>
        </w:rPr>
        <w:t>設置標準為7個之可行性，</w:t>
      </w:r>
      <w:r w:rsidR="00284460">
        <w:rPr>
          <w:rFonts w:hAnsi="標楷體" w:hint="eastAsia"/>
          <w:bCs/>
          <w:sz w:val="24"/>
          <w:szCs w:val="24"/>
        </w:rPr>
        <w:t>並</w:t>
      </w:r>
      <w:r w:rsidR="00284460" w:rsidRPr="0029102D">
        <w:rPr>
          <w:rFonts w:hAnsi="標楷體" w:hint="eastAsia"/>
          <w:bCs/>
          <w:sz w:val="24"/>
          <w:szCs w:val="24"/>
        </w:rPr>
        <w:t>妥為設算</w:t>
      </w:r>
      <w:proofErr w:type="gramStart"/>
      <w:r w:rsidR="00284460" w:rsidRPr="0029102D">
        <w:rPr>
          <w:rFonts w:hAnsi="標楷體" w:hint="eastAsia"/>
          <w:bCs/>
          <w:sz w:val="24"/>
          <w:szCs w:val="24"/>
        </w:rPr>
        <w:t>最</w:t>
      </w:r>
      <w:proofErr w:type="gramEnd"/>
      <w:r w:rsidR="00284460" w:rsidRPr="0029102D">
        <w:rPr>
          <w:rFonts w:hAnsi="標楷體" w:hint="eastAsia"/>
          <w:bCs/>
          <w:sz w:val="24"/>
          <w:szCs w:val="24"/>
        </w:rPr>
        <w:t>適購置數量</w:t>
      </w:r>
      <w:r w:rsidR="00284460">
        <w:rPr>
          <w:rFonts w:hAnsi="標楷體" w:hint="eastAsia"/>
          <w:bCs/>
          <w:sz w:val="24"/>
          <w:szCs w:val="24"/>
        </w:rPr>
        <w:t>，</w:t>
      </w:r>
      <w:r w:rsidR="006D4ADA">
        <w:rPr>
          <w:rFonts w:hAnsi="標楷體" w:hint="eastAsia"/>
          <w:bCs/>
          <w:sz w:val="24"/>
          <w:szCs w:val="24"/>
        </w:rPr>
        <w:t>而</w:t>
      </w:r>
      <w:proofErr w:type="gramStart"/>
      <w:r w:rsidR="006D4ADA" w:rsidRPr="00416DB5">
        <w:rPr>
          <w:rFonts w:hAnsi="標楷體" w:hint="eastAsia"/>
          <w:bCs/>
          <w:sz w:val="24"/>
          <w:szCs w:val="24"/>
        </w:rPr>
        <w:t>逕</w:t>
      </w:r>
      <w:proofErr w:type="gramEnd"/>
      <w:r w:rsidR="006D4ADA" w:rsidRPr="00416DB5">
        <w:rPr>
          <w:rFonts w:hAnsi="標楷體" w:hint="eastAsia"/>
          <w:bCs/>
          <w:sz w:val="24"/>
          <w:szCs w:val="24"/>
        </w:rPr>
        <w:t>以設算補足至</w:t>
      </w:r>
      <w:proofErr w:type="gramStart"/>
      <w:r w:rsidR="006D4ADA" w:rsidRPr="00416DB5">
        <w:rPr>
          <w:rFonts w:hAnsi="標楷體" w:hint="eastAsia"/>
          <w:bCs/>
          <w:sz w:val="24"/>
          <w:szCs w:val="24"/>
        </w:rPr>
        <w:t>7個遮屏之</w:t>
      </w:r>
      <w:proofErr w:type="gramEnd"/>
      <w:r w:rsidR="006D4ADA" w:rsidRPr="00416DB5">
        <w:rPr>
          <w:rFonts w:hAnsi="標楷體" w:hint="eastAsia"/>
          <w:bCs/>
          <w:sz w:val="24"/>
          <w:szCs w:val="24"/>
        </w:rPr>
        <w:t>差額，兼以</w:t>
      </w:r>
      <w:r w:rsidR="006D4ADA">
        <w:rPr>
          <w:rFonts w:hAnsi="標楷體" w:hint="eastAsia"/>
          <w:bCs/>
          <w:sz w:val="24"/>
          <w:szCs w:val="24"/>
        </w:rPr>
        <w:t>考量</w:t>
      </w:r>
      <w:r w:rsidR="006D4ADA" w:rsidRPr="00416DB5">
        <w:rPr>
          <w:rFonts w:hAnsi="標楷體" w:hint="eastAsia"/>
          <w:bCs/>
          <w:sz w:val="24"/>
          <w:szCs w:val="24"/>
        </w:rPr>
        <w:t>投票日在即、採購量大且期</w:t>
      </w:r>
      <w:proofErr w:type="gramStart"/>
      <w:r w:rsidR="006D4ADA" w:rsidRPr="00416DB5">
        <w:rPr>
          <w:rFonts w:hAnsi="標楷體" w:hint="eastAsia"/>
          <w:bCs/>
          <w:sz w:val="24"/>
          <w:szCs w:val="24"/>
        </w:rPr>
        <w:t>程迫促</w:t>
      </w:r>
      <w:proofErr w:type="gramEnd"/>
      <w:r w:rsidR="006D4ADA" w:rsidRPr="00416DB5">
        <w:rPr>
          <w:rFonts w:hAnsi="標楷體" w:hint="eastAsia"/>
          <w:bCs/>
          <w:sz w:val="24"/>
          <w:szCs w:val="24"/>
        </w:rPr>
        <w:t>等，即依政府採購法第22條第1項第3款規定，簽報</w:t>
      </w:r>
      <w:r w:rsidR="006D4ADA">
        <w:rPr>
          <w:rFonts w:hAnsi="標楷體" w:hint="eastAsia"/>
          <w:bCs/>
          <w:sz w:val="24"/>
          <w:szCs w:val="24"/>
        </w:rPr>
        <w:t>行政院</w:t>
      </w:r>
      <w:r w:rsidR="006D4ADA" w:rsidRPr="00416DB5">
        <w:rPr>
          <w:rFonts w:hAnsi="標楷體" w:hint="eastAsia"/>
          <w:bCs/>
          <w:sz w:val="24"/>
          <w:szCs w:val="24"/>
        </w:rPr>
        <w:t>同意以限制性招標緊急採購26,</w:t>
      </w:r>
      <w:proofErr w:type="gramStart"/>
      <w:r w:rsidR="006D4ADA" w:rsidRPr="00416DB5">
        <w:rPr>
          <w:rFonts w:hAnsi="標楷體" w:hint="eastAsia"/>
          <w:bCs/>
          <w:sz w:val="24"/>
          <w:szCs w:val="24"/>
        </w:rPr>
        <w:t>000個遮屏</w:t>
      </w:r>
      <w:proofErr w:type="gramEnd"/>
      <w:r w:rsidR="006D4ADA" w:rsidRPr="00416DB5">
        <w:rPr>
          <w:rFonts w:hAnsi="標楷體" w:hint="eastAsia"/>
          <w:bCs/>
          <w:sz w:val="24"/>
          <w:szCs w:val="24"/>
        </w:rPr>
        <w:t>（總價1億613萬餘元，</w:t>
      </w:r>
      <w:r w:rsidR="006D4ADA">
        <w:rPr>
          <w:rFonts w:hAnsi="標楷體" w:hint="eastAsia"/>
          <w:bCs/>
          <w:sz w:val="24"/>
          <w:szCs w:val="24"/>
        </w:rPr>
        <w:t>平均</w:t>
      </w:r>
      <w:r w:rsidR="006D4ADA" w:rsidRPr="00416DB5">
        <w:rPr>
          <w:rFonts w:hAnsi="標楷體" w:hint="eastAsia"/>
          <w:bCs/>
          <w:sz w:val="24"/>
          <w:szCs w:val="24"/>
        </w:rPr>
        <w:t>單價4,082元），加發至各</w:t>
      </w:r>
      <w:r w:rsidR="006D4ADA">
        <w:rPr>
          <w:rFonts w:hAnsi="標楷體" w:hint="eastAsia"/>
          <w:bCs/>
          <w:sz w:val="24"/>
          <w:szCs w:val="24"/>
        </w:rPr>
        <w:t>地方選舉委員會</w:t>
      </w:r>
      <w:r w:rsidR="006D4ADA" w:rsidRPr="00416DB5">
        <w:rPr>
          <w:rFonts w:hAnsi="標楷體" w:hint="eastAsia"/>
          <w:bCs/>
          <w:sz w:val="24"/>
          <w:szCs w:val="24"/>
        </w:rPr>
        <w:t>轄</w:t>
      </w:r>
      <w:r w:rsidR="006D4ADA">
        <w:rPr>
          <w:rFonts w:hAnsi="標楷體" w:hint="eastAsia"/>
          <w:bCs/>
          <w:sz w:val="24"/>
          <w:szCs w:val="24"/>
        </w:rPr>
        <w:t>內</w:t>
      </w:r>
      <w:r w:rsidR="006D4ADA" w:rsidRPr="00416DB5">
        <w:rPr>
          <w:rFonts w:hAnsi="標楷體" w:hint="eastAsia"/>
          <w:bCs/>
          <w:sz w:val="24"/>
          <w:szCs w:val="24"/>
        </w:rPr>
        <w:t>鄉（鎮、市、區）公所，肇致110年12月18日辦理公</w:t>
      </w:r>
      <w:r w:rsidR="006D4ADA">
        <w:rPr>
          <w:rFonts w:hAnsi="標楷體" w:hint="eastAsia"/>
          <w:bCs/>
          <w:sz w:val="24"/>
          <w:szCs w:val="24"/>
        </w:rPr>
        <w:t>民</w:t>
      </w:r>
      <w:r w:rsidR="006D4ADA" w:rsidRPr="00416DB5">
        <w:rPr>
          <w:rFonts w:hAnsi="標楷體" w:hint="eastAsia"/>
          <w:bCs/>
          <w:sz w:val="24"/>
          <w:szCs w:val="24"/>
        </w:rPr>
        <w:t>投</w:t>
      </w:r>
      <w:r w:rsidR="006D4ADA">
        <w:rPr>
          <w:rFonts w:hAnsi="標楷體" w:hint="eastAsia"/>
          <w:bCs/>
          <w:sz w:val="24"/>
          <w:szCs w:val="24"/>
        </w:rPr>
        <w:t>票</w:t>
      </w:r>
      <w:r w:rsidR="006D4ADA" w:rsidRPr="00416DB5">
        <w:rPr>
          <w:rFonts w:hAnsi="標楷體" w:hint="eastAsia"/>
          <w:bCs/>
          <w:sz w:val="24"/>
          <w:szCs w:val="24"/>
        </w:rPr>
        <w:t>時，據各</w:t>
      </w:r>
      <w:r w:rsidR="006D4ADA">
        <w:rPr>
          <w:rFonts w:hAnsi="標楷體" w:hint="eastAsia"/>
          <w:bCs/>
          <w:sz w:val="24"/>
          <w:szCs w:val="24"/>
        </w:rPr>
        <w:t>地方選舉委員會</w:t>
      </w:r>
      <w:r w:rsidR="006D4ADA" w:rsidRPr="00416DB5">
        <w:rPr>
          <w:rFonts w:hAnsi="標楷體" w:hint="eastAsia"/>
          <w:bCs/>
          <w:sz w:val="24"/>
          <w:szCs w:val="24"/>
        </w:rPr>
        <w:t>盤點結存表，</w:t>
      </w:r>
      <w:proofErr w:type="gramStart"/>
      <w:r w:rsidR="006D4ADA" w:rsidRPr="00416DB5">
        <w:rPr>
          <w:rFonts w:hAnsi="標楷體" w:hint="eastAsia"/>
          <w:bCs/>
          <w:sz w:val="24"/>
          <w:szCs w:val="24"/>
        </w:rPr>
        <w:t>遮屏庫存</w:t>
      </w:r>
      <w:proofErr w:type="gramEnd"/>
      <w:r w:rsidR="006D4ADA" w:rsidRPr="00416DB5">
        <w:rPr>
          <w:rFonts w:hAnsi="標楷體" w:hint="eastAsia"/>
          <w:bCs/>
          <w:sz w:val="24"/>
          <w:szCs w:val="24"/>
        </w:rPr>
        <w:t>總量達13</w:t>
      </w:r>
      <w:r w:rsidR="006D4ADA">
        <w:rPr>
          <w:rFonts w:hAnsi="標楷體" w:hint="eastAsia"/>
          <w:bCs/>
          <w:sz w:val="24"/>
          <w:szCs w:val="24"/>
        </w:rPr>
        <w:t>萬</w:t>
      </w:r>
      <w:r w:rsidR="006D4ADA" w:rsidRPr="00416DB5">
        <w:rPr>
          <w:rFonts w:hAnsi="標楷體" w:hint="eastAsia"/>
          <w:bCs/>
          <w:sz w:val="24"/>
          <w:szCs w:val="24"/>
        </w:rPr>
        <w:t>2,405個，較110年3月調查</w:t>
      </w:r>
      <w:r w:rsidR="006D4ADA">
        <w:rPr>
          <w:rFonts w:hAnsi="標楷體" w:hint="eastAsia"/>
          <w:bCs/>
          <w:sz w:val="24"/>
          <w:szCs w:val="24"/>
        </w:rPr>
        <w:t>各</w:t>
      </w:r>
      <w:r w:rsidR="006D4ADA" w:rsidRPr="00416DB5">
        <w:rPr>
          <w:rFonts w:hAnsi="標楷體" w:hint="eastAsia"/>
          <w:bCs/>
          <w:sz w:val="24"/>
          <w:szCs w:val="24"/>
        </w:rPr>
        <w:t>投（開）票所可</w:t>
      </w:r>
      <w:proofErr w:type="gramStart"/>
      <w:r w:rsidR="006D4ADA" w:rsidRPr="00416DB5">
        <w:rPr>
          <w:rFonts w:hAnsi="標楷體" w:hint="eastAsia"/>
          <w:bCs/>
          <w:sz w:val="24"/>
          <w:szCs w:val="24"/>
        </w:rPr>
        <w:t>設置遮屏總數</w:t>
      </w:r>
      <w:proofErr w:type="gramEnd"/>
      <w:r w:rsidR="006D4ADA" w:rsidRPr="00416DB5">
        <w:rPr>
          <w:rFonts w:hAnsi="標楷體" w:hint="eastAsia"/>
          <w:bCs/>
          <w:sz w:val="24"/>
          <w:szCs w:val="24"/>
        </w:rPr>
        <w:t>多出5</w:t>
      </w:r>
      <w:r w:rsidR="006D4ADA">
        <w:rPr>
          <w:rFonts w:hAnsi="標楷體" w:hint="eastAsia"/>
          <w:bCs/>
          <w:sz w:val="24"/>
          <w:szCs w:val="24"/>
        </w:rPr>
        <w:t>萬</w:t>
      </w:r>
      <w:r w:rsidR="006D4ADA" w:rsidRPr="00416DB5">
        <w:rPr>
          <w:rFonts w:hAnsi="標楷體" w:hint="eastAsia"/>
          <w:bCs/>
          <w:sz w:val="24"/>
          <w:szCs w:val="24"/>
        </w:rPr>
        <w:t>3,389個，</w:t>
      </w:r>
      <w:r w:rsidR="006D4ADA">
        <w:rPr>
          <w:rFonts w:hAnsi="標楷體" w:hint="eastAsia"/>
          <w:bCs/>
          <w:sz w:val="24"/>
          <w:szCs w:val="24"/>
        </w:rPr>
        <w:t>恐超出合理備用範圍；</w:t>
      </w:r>
      <w:r w:rsidR="006D4ADA" w:rsidRPr="00CB4D71">
        <w:rPr>
          <w:rFonts w:hAnsi="標楷體" w:hint="eastAsia"/>
          <w:bCs/>
          <w:sz w:val="24"/>
          <w:szCs w:val="24"/>
        </w:rPr>
        <w:t>又本部實地抽查及書面調查新北市等7個地方選舉委員會及轄內32個鄉（鎮、市、區）公所辦理110年公</w:t>
      </w:r>
      <w:r w:rsidR="006D4ADA">
        <w:rPr>
          <w:rFonts w:hAnsi="標楷體" w:hint="eastAsia"/>
          <w:bCs/>
          <w:sz w:val="24"/>
          <w:szCs w:val="24"/>
        </w:rPr>
        <w:t>民</w:t>
      </w:r>
      <w:proofErr w:type="gramStart"/>
      <w:r w:rsidR="006D4ADA" w:rsidRPr="00CB4D71">
        <w:rPr>
          <w:rFonts w:hAnsi="標楷體" w:hint="eastAsia"/>
          <w:bCs/>
          <w:sz w:val="24"/>
          <w:szCs w:val="24"/>
        </w:rPr>
        <w:t>投</w:t>
      </w:r>
      <w:r w:rsidR="006D4ADA">
        <w:rPr>
          <w:rFonts w:hAnsi="標楷體" w:hint="eastAsia"/>
          <w:bCs/>
          <w:sz w:val="24"/>
          <w:szCs w:val="24"/>
        </w:rPr>
        <w:t>票</w:t>
      </w:r>
      <w:r w:rsidR="006D4ADA" w:rsidRPr="00CB4D71">
        <w:rPr>
          <w:rFonts w:hAnsi="標楷體" w:hint="eastAsia"/>
          <w:bCs/>
          <w:sz w:val="24"/>
          <w:szCs w:val="24"/>
        </w:rPr>
        <w:t>遮屏配置</w:t>
      </w:r>
      <w:proofErr w:type="gramEnd"/>
      <w:r w:rsidR="006D4ADA" w:rsidRPr="00CB4D71">
        <w:rPr>
          <w:rFonts w:hAnsi="標楷體" w:hint="eastAsia"/>
          <w:bCs/>
          <w:sz w:val="24"/>
          <w:szCs w:val="24"/>
        </w:rPr>
        <w:t>情形，除未留存書面統計資料之9個公所外，餘23個公所中，13個公所（56.52％）考量投票權人數及投（開）票所空間有限等，實際配發每</w:t>
      </w:r>
      <w:proofErr w:type="gramStart"/>
      <w:r w:rsidR="006D4ADA" w:rsidRPr="00CB4D71">
        <w:rPr>
          <w:rFonts w:hAnsi="標楷體" w:hint="eastAsia"/>
          <w:bCs/>
          <w:sz w:val="24"/>
          <w:szCs w:val="24"/>
        </w:rPr>
        <w:t>個</w:t>
      </w:r>
      <w:proofErr w:type="gramEnd"/>
      <w:r w:rsidR="006D4ADA" w:rsidRPr="00CB4D71">
        <w:rPr>
          <w:rFonts w:hAnsi="標楷體" w:hint="eastAsia"/>
          <w:bCs/>
          <w:sz w:val="24"/>
          <w:szCs w:val="24"/>
        </w:rPr>
        <w:t>投（開）票所</w:t>
      </w:r>
      <w:proofErr w:type="gramStart"/>
      <w:r w:rsidR="006D4ADA" w:rsidRPr="00CB4D71">
        <w:rPr>
          <w:rFonts w:hAnsi="標楷體" w:hint="eastAsia"/>
          <w:bCs/>
          <w:sz w:val="24"/>
          <w:szCs w:val="24"/>
        </w:rPr>
        <w:t>4至6個遮屏</w:t>
      </w:r>
      <w:proofErr w:type="gramEnd"/>
      <w:r w:rsidR="006D4ADA" w:rsidRPr="00CB4D71">
        <w:rPr>
          <w:rFonts w:hAnsi="標楷體" w:hint="eastAsia"/>
          <w:bCs/>
          <w:sz w:val="24"/>
          <w:szCs w:val="24"/>
        </w:rPr>
        <w:t>（含現場備用），多餘數量置於倉庫未予配送；另實地抽查上開7個地方選</w:t>
      </w:r>
      <w:r w:rsidR="00C733A7">
        <w:rPr>
          <w:rFonts w:hAnsi="標楷體" w:hint="eastAsia"/>
          <w:bCs/>
          <w:sz w:val="24"/>
          <w:szCs w:val="24"/>
        </w:rPr>
        <w:t>舉</w:t>
      </w:r>
      <w:r w:rsidR="006D4ADA" w:rsidRPr="00CB4D71">
        <w:rPr>
          <w:rFonts w:hAnsi="標楷體" w:hint="eastAsia"/>
          <w:bCs/>
          <w:sz w:val="24"/>
          <w:szCs w:val="24"/>
        </w:rPr>
        <w:t>委</w:t>
      </w:r>
      <w:r w:rsidR="00C733A7">
        <w:rPr>
          <w:rFonts w:hAnsi="標楷體" w:hint="eastAsia"/>
          <w:bCs/>
          <w:sz w:val="24"/>
          <w:szCs w:val="24"/>
        </w:rPr>
        <w:t>員</w:t>
      </w:r>
      <w:r w:rsidR="006D4ADA" w:rsidRPr="00CB4D71">
        <w:rPr>
          <w:rFonts w:hAnsi="標楷體" w:hint="eastAsia"/>
          <w:bCs/>
          <w:sz w:val="24"/>
          <w:szCs w:val="24"/>
        </w:rPr>
        <w:t>會轄內18個鄉（鎮、市、區）</w:t>
      </w:r>
      <w:proofErr w:type="gramStart"/>
      <w:r w:rsidR="006D4ADA" w:rsidRPr="00CB4D71">
        <w:rPr>
          <w:rFonts w:hAnsi="標楷體" w:hint="eastAsia"/>
          <w:bCs/>
          <w:sz w:val="24"/>
          <w:szCs w:val="24"/>
        </w:rPr>
        <w:t>公所遮屏庫存</w:t>
      </w:r>
      <w:proofErr w:type="gramEnd"/>
      <w:r w:rsidR="006D4ADA" w:rsidRPr="00CB4D71">
        <w:rPr>
          <w:rFonts w:hAnsi="標楷體" w:hint="eastAsia"/>
          <w:bCs/>
          <w:sz w:val="24"/>
          <w:szCs w:val="24"/>
        </w:rPr>
        <w:t>情形結果，6個公所存有110年（含）以前購置截至113年10月底止仍未拆封使用</w:t>
      </w:r>
      <w:proofErr w:type="gramStart"/>
      <w:r w:rsidR="006D4ADA" w:rsidRPr="00CB4D71">
        <w:rPr>
          <w:rFonts w:hAnsi="標楷體" w:hint="eastAsia"/>
          <w:bCs/>
          <w:sz w:val="24"/>
          <w:szCs w:val="24"/>
        </w:rPr>
        <w:t>之遮屏等</w:t>
      </w:r>
      <w:proofErr w:type="gramEnd"/>
      <w:r w:rsidR="006D4ADA" w:rsidRPr="005C6122">
        <w:rPr>
          <w:rFonts w:hAnsi="標楷體" w:hint="eastAsia"/>
          <w:bCs/>
          <w:sz w:val="24"/>
          <w:szCs w:val="24"/>
        </w:rPr>
        <w:t>，顯示</w:t>
      </w:r>
      <w:r w:rsidR="006D4ADA">
        <w:rPr>
          <w:rFonts w:hAnsi="標楷體" w:hint="eastAsia"/>
          <w:bCs/>
          <w:sz w:val="24"/>
          <w:szCs w:val="24"/>
        </w:rPr>
        <w:t>中央選舉委員會</w:t>
      </w:r>
      <w:r w:rsidR="006D4ADA" w:rsidRPr="005C6122">
        <w:rPr>
          <w:rFonts w:hAnsi="標楷體" w:hint="eastAsia"/>
          <w:bCs/>
          <w:sz w:val="24"/>
          <w:szCs w:val="24"/>
        </w:rPr>
        <w:t>110年12月以高出原採購單價</w:t>
      </w:r>
      <w:proofErr w:type="gramStart"/>
      <w:r w:rsidR="006D4ADA" w:rsidRPr="005C6122">
        <w:rPr>
          <w:rFonts w:hAnsi="標楷體" w:hint="eastAsia"/>
          <w:bCs/>
          <w:sz w:val="24"/>
          <w:szCs w:val="24"/>
        </w:rPr>
        <w:t>8成</w:t>
      </w:r>
      <w:proofErr w:type="gramEnd"/>
      <w:r w:rsidR="006D4ADA" w:rsidRPr="005C6122">
        <w:rPr>
          <w:rFonts w:hAnsi="標楷體" w:hint="eastAsia"/>
          <w:bCs/>
          <w:sz w:val="24"/>
          <w:szCs w:val="24"/>
        </w:rPr>
        <w:t>購置</w:t>
      </w:r>
      <w:proofErr w:type="gramStart"/>
      <w:r w:rsidR="006D4ADA" w:rsidRPr="005C6122">
        <w:rPr>
          <w:rFonts w:hAnsi="標楷體" w:hint="eastAsia"/>
          <w:bCs/>
          <w:sz w:val="24"/>
          <w:szCs w:val="24"/>
        </w:rPr>
        <w:t>之遮屏</w:t>
      </w:r>
      <w:proofErr w:type="gramEnd"/>
      <w:r w:rsidR="006D4ADA" w:rsidRPr="005C6122">
        <w:rPr>
          <w:rFonts w:hAnsi="標楷體" w:hint="eastAsia"/>
          <w:bCs/>
          <w:sz w:val="24"/>
          <w:szCs w:val="24"/>
        </w:rPr>
        <w:t>，未</w:t>
      </w:r>
      <w:r w:rsidR="00C733A7">
        <w:rPr>
          <w:rFonts w:hAnsi="標楷體" w:hint="eastAsia"/>
          <w:bCs/>
          <w:sz w:val="24"/>
          <w:szCs w:val="24"/>
        </w:rPr>
        <w:t>盡</w:t>
      </w:r>
      <w:r w:rsidR="006D4ADA" w:rsidRPr="005C6122">
        <w:rPr>
          <w:rFonts w:hAnsi="標楷體" w:hint="eastAsia"/>
          <w:bCs/>
          <w:sz w:val="24"/>
          <w:szCs w:val="24"/>
        </w:rPr>
        <w:t>發揮緊急採購應有效益。</w:t>
      </w:r>
      <w:r w:rsidR="006D4ADA" w:rsidRPr="00753B88">
        <w:rPr>
          <w:rFonts w:hAnsi="標楷體" w:hint="eastAsia"/>
          <w:bCs/>
          <w:spacing w:val="-2"/>
          <w:sz w:val="24"/>
        </w:rPr>
        <w:t>又查，中央選舉委員會為提升選</w:t>
      </w:r>
      <w:proofErr w:type="gramStart"/>
      <w:r w:rsidR="006D4ADA" w:rsidRPr="00753B88">
        <w:rPr>
          <w:rFonts w:hAnsi="標楷體" w:hint="eastAsia"/>
          <w:bCs/>
          <w:spacing w:val="-2"/>
          <w:sz w:val="24"/>
        </w:rPr>
        <w:t>務</w:t>
      </w:r>
      <w:proofErr w:type="gramEnd"/>
      <w:r w:rsidR="006D4ADA" w:rsidRPr="00753B88">
        <w:rPr>
          <w:rFonts w:hAnsi="標楷體" w:hint="eastAsia"/>
          <w:bCs/>
          <w:spacing w:val="-2"/>
          <w:sz w:val="24"/>
        </w:rPr>
        <w:t>工作效率，於106年建置新版選</w:t>
      </w:r>
      <w:proofErr w:type="gramStart"/>
      <w:r w:rsidR="006D4ADA" w:rsidRPr="00753B88">
        <w:rPr>
          <w:rFonts w:hAnsi="標楷體" w:hint="eastAsia"/>
          <w:bCs/>
          <w:spacing w:val="-2"/>
          <w:sz w:val="24"/>
        </w:rPr>
        <w:t>務</w:t>
      </w:r>
      <w:proofErr w:type="gramEnd"/>
      <w:r w:rsidR="006D4ADA" w:rsidRPr="00753B88">
        <w:rPr>
          <w:rFonts w:hAnsi="標楷體" w:hint="eastAsia"/>
          <w:bCs/>
          <w:spacing w:val="-2"/>
          <w:sz w:val="24"/>
        </w:rPr>
        <w:t>作業</w:t>
      </w:r>
      <w:r w:rsidR="00C733A7" w:rsidRPr="00753B88">
        <w:rPr>
          <w:rFonts w:hAnsi="標楷體" w:hint="eastAsia"/>
          <w:bCs/>
          <w:spacing w:val="-2"/>
          <w:sz w:val="24"/>
        </w:rPr>
        <w:t>管理</w:t>
      </w:r>
      <w:r w:rsidR="006D4ADA" w:rsidRPr="00753B88">
        <w:rPr>
          <w:rFonts w:hAnsi="標楷體" w:hint="eastAsia"/>
          <w:bCs/>
          <w:spacing w:val="-2"/>
          <w:sz w:val="24"/>
        </w:rPr>
        <w:t>系統，其中「投（開）票所維護」功能，由各鄉（鎮、市、區）公所登載投（開）票所場所種類、面積、預估選舉人數等資料，惟尚</w:t>
      </w:r>
      <w:proofErr w:type="gramStart"/>
      <w:r w:rsidR="006D4ADA" w:rsidRPr="00753B88">
        <w:rPr>
          <w:rFonts w:hAnsi="標楷體" w:hint="eastAsia"/>
          <w:bCs/>
          <w:spacing w:val="-2"/>
          <w:sz w:val="24"/>
        </w:rPr>
        <w:t>乏可</w:t>
      </w:r>
      <w:r w:rsidR="006D4ADA" w:rsidRPr="00753B88">
        <w:rPr>
          <w:rFonts w:hAnsi="標楷體" w:hint="eastAsia"/>
          <w:bCs/>
          <w:spacing w:val="-2"/>
          <w:sz w:val="24"/>
        </w:rPr>
        <w:lastRenderedPageBreak/>
        <w:t>容納遮屏數、遮屏</w:t>
      </w:r>
      <w:proofErr w:type="gramEnd"/>
      <w:r w:rsidR="006D4ADA" w:rsidRPr="00753B88">
        <w:rPr>
          <w:rFonts w:hAnsi="標楷體" w:hint="eastAsia"/>
          <w:bCs/>
          <w:spacing w:val="-2"/>
          <w:sz w:val="24"/>
        </w:rPr>
        <w:t>庫存、</w:t>
      </w:r>
      <w:proofErr w:type="gramStart"/>
      <w:r w:rsidR="006D4ADA" w:rsidRPr="00753B88">
        <w:rPr>
          <w:rFonts w:hAnsi="標楷體" w:hint="eastAsia"/>
          <w:bCs/>
          <w:spacing w:val="-2"/>
          <w:sz w:val="24"/>
        </w:rPr>
        <w:t>遮屏實際</w:t>
      </w:r>
      <w:proofErr w:type="gramEnd"/>
      <w:r w:rsidR="006D4ADA" w:rsidRPr="00753B88">
        <w:rPr>
          <w:rFonts w:hAnsi="標楷體" w:hint="eastAsia"/>
          <w:bCs/>
          <w:spacing w:val="-2"/>
          <w:sz w:val="24"/>
        </w:rPr>
        <w:t>設置數等輔助採購決策欄位，不利完整累積各投（開）票所過往辦理各項選舉實際數據，加值應用作為督導各地方選舉委員會設置投（開）票所及場地布置</w:t>
      </w:r>
      <w:proofErr w:type="gramStart"/>
      <w:r w:rsidR="006D4ADA" w:rsidRPr="00753B88">
        <w:rPr>
          <w:rFonts w:hAnsi="標楷體" w:hint="eastAsia"/>
          <w:bCs/>
          <w:spacing w:val="-2"/>
          <w:sz w:val="24"/>
        </w:rPr>
        <w:t>之參據</w:t>
      </w:r>
      <w:proofErr w:type="gramEnd"/>
      <w:r w:rsidR="006D4ADA" w:rsidRPr="00753B88">
        <w:rPr>
          <w:rFonts w:hAnsi="標楷體" w:hint="eastAsia"/>
          <w:bCs/>
          <w:spacing w:val="-2"/>
          <w:sz w:val="24"/>
        </w:rPr>
        <w:t>。</w:t>
      </w:r>
      <w:r w:rsidR="006D4ADA" w:rsidRPr="00753B88">
        <w:rPr>
          <w:rFonts w:hAnsi="標楷體" w:hint="eastAsia"/>
          <w:bCs/>
          <w:spacing w:val="-2"/>
          <w:sz w:val="24"/>
          <w:szCs w:val="24"/>
        </w:rPr>
        <w:t>經函請</w:t>
      </w:r>
      <w:r w:rsidR="0029102D" w:rsidRPr="00753B88">
        <w:rPr>
          <w:rFonts w:hAnsi="標楷體" w:hint="eastAsia"/>
          <w:bCs/>
          <w:spacing w:val="-2"/>
          <w:sz w:val="24"/>
          <w:szCs w:val="24"/>
        </w:rPr>
        <w:t>行政院督促</w:t>
      </w:r>
      <w:r w:rsidR="006D4ADA" w:rsidRPr="00753B88">
        <w:rPr>
          <w:rFonts w:hAnsi="標楷體" w:hint="eastAsia"/>
          <w:bCs/>
          <w:spacing w:val="-2"/>
          <w:sz w:val="24"/>
          <w:szCs w:val="24"/>
        </w:rPr>
        <w:t>中央選舉委員會</w:t>
      </w:r>
      <w:proofErr w:type="gramStart"/>
      <w:r w:rsidR="006D4ADA" w:rsidRPr="00753B88">
        <w:rPr>
          <w:rFonts w:hAnsi="標楷體" w:hint="eastAsia"/>
          <w:bCs/>
          <w:spacing w:val="-2"/>
          <w:sz w:val="24"/>
          <w:szCs w:val="24"/>
        </w:rPr>
        <w:t>研</w:t>
      </w:r>
      <w:proofErr w:type="gramEnd"/>
      <w:r w:rsidR="006D4ADA" w:rsidRPr="00753B88">
        <w:rPr>
          <w:rFonts w:hAnsi="標楷體" w:hint="eastAsia"/>
          <w:bCs/>
          <w:spacing w:val="-2"/>
          <w:sz w:val="24"/>
          <w:szCs w:val="24"/>
        </w:rPr>
        <w:t>議</w:t>
      </w:r>
      <w:proofErr w:type="gramStart"/>
      <w:r w:rsidR="006D4ADA" w:rsidRPr="00753B88">
        <w:rPr>
          <w:rFonts w:hAnsi="標楷體" w:hint="eastAsia"/>
          <w:bCs/>
          <w:spacing w:val="-2"/>
          <w:sz w:val="24"/>
          <w:szCs w:val="24"/>
        </w:rPr>
        <w:t>完備遮屏</w:t>
      </w:r>
      <w:proofErr w:type="gramEnd"/>
      <w:r w:rsidR="006D4ADA" w:rsidRPr="00753B88">
        <w:rPr>
          <w:rFonts w:hAnsi="標楷體" w:hint="eastAsia"/>
          <w:bCs/>
          <w:spacing w:val="-2"/>
          <w:sz w:val="24"/>
          <w:szCs w:val="24"/>
        </w:rPr>
        <w:t>設置標準設算方式及合理備用數量，</w:t>
      </w:r>
      <w:r w:rsidR="006D4ADA" w:rsidRPr="00753B88">
        <w:rPr>
          <w:rFonts w:hAnsi="標楷體" w:hint="eastAsia"/>
          <w:bCs/>
          <w:spacing w:val="-2"/>
          <w:sz w:val="24"/>
        </w:rPr>
        <w:t>優化選</w:t>
      </w:r>
      <w:proofErr w:type="gramStart"/>
      <w:r w:rsidR="006D4ADA" w:rsidRPr="00753B88">
        <w:rPr>
          <w:rFonts w:hAnsi="標楷體" w:hint="eastAsia"/>
          <w:bCs/>
          <w:spacing w:val="-2"/>
          <w:sz w:val="24"/>
        </w:rPr>
        <w:t>務</w:t>
      </w:r>
      <w:proofErr w:type="gramEnd"/>
      <w:r w:rsidR="006D4ADA" w:rsidRPr="00753B88">
        <w:rPr>
          <w:rFonts w:hAnsi="標楷體" w:hint="eastAsia"/>
          <w:bCs/>
          <w:spacing w:val="-2"/>
          <w:sz w:val="24"/>
        </w:rPr>
        <w:t>作業</w:t>
      </w:r>
      <w:r w:rsidR="00C733A7" w:rsidRPr="00753B88">
        <w:rPr>
          <w:rFonts w:hAnsi="標楷體" w:hint="eastAsia"/>
          <w:bCs/>
          <w:spacing w:val="-2"/>
          <w:sz w:val="24"/>
        </w:rPr>
        <w:t>管理</w:t>
      </w:r>
      <w:r w:rsidR="006D4ADA" w:rsidRPr="00753B88">
        <w:rPr>
          <w:rFonts w:hAnsi="標楷體" w:hint="eastAsia"/>
          <w:bCs/>
          <w:spacing w:val="-2"/>
          <w:sz w:val="24"/>
        </w:rPr>
        <w:t>系統資料架構及輔助決策功能</w:t>
      </w:r>
      <w:r w:rsidR="006D4ADA" w:rsidRPr="00753B88">
        <w:rPr>
          <w:rFonts w:hAnsi="標楷體" w:hint="eastAsia"/>
          <w:bCs/>
          <w:spacing w:val="-2"/>
          <w:sz w:val="24"/>
          <w:szCs w:val="24"/>
        </w:rPr>
        <w:t>，確實掌握各地方選舉</w:t>
      </w:r>
      <w:proofErr w:type="gramStart"/>
      <w:r w:rsidR="006D4ADA" w:rsidRPr="00753B88">
        <w:rPr>
          <w:rFonts w:hAnsi="標楷體" w:hint="eastAsia"/>
          <w:bCs/>
          <w:spacing w:val="-2"/>
          <w:sz w:val="24"/>
          <w:szCs w:val="24"/>
        </w:rPr>
        <w:t>委員會遮屏存量</w:t>
      </w:r>
      <w:proofErr w:type="gramEnd"/>
      <w:r w:rsidR="006D4ADA" w:rsidRPr="00753B88">
        <w:rPr>
          <w:rFonts w:hAnsi="標楷體" w:hint="eastAsia"/>
          <w:bCs/>
          <w:spacing w:val="-2"/>
          <w:sz w:val="24"/>
          <w:szCs w:val="24"/>
        </w:rPr>
        <w:t>及使用情形，並建立庫存資訊共享及跨區調撥機制，以創造最大財務效益。</w:t>
      </w:r>
      <w:r w:rsidR="006D4ADA" w:rsidRPr="00753B88">
        <w:rPr>
          <w:rFonts w:hAnsi="標楷體" w:hint="eastAsia"/>
          <w:noProof/>
          <w:spacing w:val="-2"/>
          <w:sz w:val="24"/>
          <w:szCs w:val="24"/>
        </w:rPr>
        <w:t>據復：嗣後規劃辦理各該次選舉、公民投票時</w:t>
      </w:r>
      <w:r w:rsidR="006D4ADA" w:rsidRPr="00753B88">
        <w:rPr>
          <w:rFonts w:hAnsi="標楷體" w:hint="eastAsia"/>
          <w:spacing w:val="-2"/>
          <w:sz w:val="24"/>
          <w:szCs w:val="24"/>
        </w:rPr>
        <w:t>投</w:t>
      </w:r>
      <w:r w:rsidR="006D4ADA" w:rsidRPr="00753B88">
        <w:rPr>
          <w:rFonts w:hAnsi="標楷體" w:hint="eastAsia"/>
          <w:bCs/>
          <w:spacing w:val="-2"/>
          <w:sz w:val="24"/>
          <w:szCs w:val="24"/>
        </w:rPr>
        <w:t>（開）</w:t>
      </w:r>
      <w:r w:rsidR="006D4ADA" w:rsidRPr="00753B88">
        <w:rPr>
          <w:rFonts w:hAnsi="標楷體" w:hint="eastAsia"/>
          <w:spacing w:val="-2"/>
          <w:sz w:val="24"/>
          <w:szCs w:val="24"/>
        </w:rPr>
        <w:t>票</w:t>
      </w:r>
      <w:proofErr w:type="gramStart"/>
      <w:r w:rsidR="006D4ADA" w:rsidRPr="00753B88">
        <w:rPr>
          <w:rFonts w:hAnsi="標楷體" w:hint="eastAsia"/>
          <w:spacing w:val="-2"/>
          <w:sz w:val="24"/>
          <w:szCs w:val="24"/>
        </w:rPr>
        <w:t>所遮屏如</w:t>
      </w:r>
      <w:proofErr w:type="gramEnd"/>
      <w:r w:rsidR="006D4ADA" w:rsidRPr="00753B88">
        <w:rPr>
          <w:rFonts w:hAnsi="標楷體" w:hint="eastAsia"/>
          <w:spacing w:val="-2"/>
          <w:sz w:val="24"/>
          <w:szCs w:val="24"/>
        </w:rPr>
        <w:t>有不足，將</w:t>
      </w:r>
      <w:proofErr w:type="gramStart"/>
      <w:r w:rsidR="006D4ADA" w:rsidRPr="00753B88">
        <w:rPr>
          <w:rFonts w:hAnsi="標楷體" w:hint="eastAsia"/>
          <w:spacing w:val="-2"/>
          <w:sz w:val="24"/>
          <w:szCs w:val="24"/>
        </w:rPr>
        <w:t>併</w:t>
      </w:r>
      <w:proofErr w:type="gramEnd"/>
      <w:r w:rsidR="006D4ADA" w:rsidRPr="00753B88">
        <w:rPr>
          <w:rFonts w:hAnsi="標楷體" w:hint="eastAsia"/>
          <w:spacing w:val="-2"/>
          <w:sz w:val="24"/>
          <w:szCs w:val="24"/>
        </w:rPr>
        <w:t>請各地方選舉委員會以備用</w:t>
      </w:r>
      <w:proofErr w:type="gramStart"/>
      <w:r w:rsidR="006D4ADA" w:rsidRPr="00753B88">
        <w:rPr>
          <w:rFonts w:hAnsi="標楷體" w:hint="eastAsia"/>
          <w:spacing w:val="-2"/>
          <w:sz w:val="24"/>
          <w:szCs w:val="24"/>
        </w:rPr>
        <w:t>或堪用遮屏數</w:t>
      </w:r>
      <w:proofErr w:type="gramEnd"/>
      <w:r w:rsidR="006D4ADA" w:rsidRPr="00753B88">
        <w:rPr>
          <w:rFonts w:hAnsi="標楷體" w:hint="eastAsia"/>
          <w:spacing w:val="-2"/>
          <w:sz w:val="24"/>
          <w:szCs w:val="24"/>
        </w:rPr>
        <w:t>補足不足數，或利用</w:t>
      </w:r>
      <w:proofErr w:type="gramStart"/>
      <w:r w:rsidR="006D4ADA" w:rsidRPr="00753B88">
        <w:rPr>
          <w:rFonts w:hAnsi="標楷體" w:hint="eastAsia"/>
          <w:spacing w:val="-2"/>
          <w:sz w:val="24"/>
          <w:szCs w:val="24"/>
        </w:rPr>
        <w:t>現有遮屏設備</w:t>
      </w:r>
      <w:proofErr w:type="gramEnd"/>
      <w:r w:rsidR="006D4ADA" w:rsidRPr="00753B88">
        <w:rPr>
          <w:rFonts w:hAnsi="標楷體" w:hint="eastAsia"/>
          <w:spacing w:val="-2"/>
          <w:sz w:val="24"/>
          <w:szCs w:val="24"/>
        </w:rPr>
        <w:t>，於同一直轄市、縣（市）範圍內彈性調度為原則</w:t>
      </w:r>
      <w:r w:rsidR="00C733A7" w:rsidRPr="00753B88">
        <w:rPr>
          <w:rFonts w:hAnsi="標楷體" w:hint="eastAsia"/>
          <w:spacing w:val="-2"/>
          <w:sz w:val="24"/>
          <w:szCs w:val="24"/>
        </w:rPr>
        <w:t>，未來規劃辦理各該次選舉、公民投票時納入參</w:t>
      </w:r>
      <w:proofErr w:type="gramStart"/>
      <w:r w:rsidR="00C733A7" w:rsidRPr="00753B88">
        <w:rPr>
          <w:rFonts w:hAnsi="標楷體" w:hint="eastAsia"/>
          <w:spacing w:val="-2"/>
          <w:sz w:val="24"/>
          <w:szCs w:val="24"/>
        </w:rPr>
        <w:t>採</w:t>
      </w:r>
      <w:proofErr w:type="gramEnd"/>
      <w:r w:rsidR="0029102D" w:rsidRPr="00753B88">
        <w:rPr>
          <w:rFonts w:hAnsi="標楷體" w:hint="eastAsia"/>
          <w:spacing w:val="-2"/>
          <w:sz w:val="24"/>
          <w:szCs w:val="24"/>
        </w:rPr>
        <w:t>相關建議</w:t>
      </w:r>
      <w:r w:rsidR="00C733A7" w:rsidRPr="00753B88">
        <w:rPr>
          <w:rFonts w:hAnsi="標楷體" w:hint="eastAsia"/>
          <w:spacing w:val="-2"/>
          <w:sz w:val="24"/>
          <w:szCs w:val="24"/>
        </w:rPr>
        <w:t>，並將持續督導各地方選舉委員會確實</w:t>
      </w:r>
      <w:proofErr w:type="gramStart"/>
      <w:r w:rsidR="00C733A7" w:rsidRPr="00753B88">
        <w:rPr>
          <w:rFonts w:hAnsi="標楷體" w:hint="eastAsia"/>
          <w:spacing w:val="-2"/>
          <w:sz w:val="24"/>
          <w:szCs w:val="24"/>
        </w:rPr>
        <w:t>依遮屏</w:t>
      </w:r>
      <w:proofErr w:type="gramEnd"/>
      <w:r w:rsidR="00C733A7" w:rsidRPr="00753B88">
        <w:rPr>
          <w:rFonts w:hAnsi="標楷體" w:hint="eastAsia"/>
          <w:spacing w:val="-2"/>
          <w:sz w:val="24"/>
          <w:szCs w:val="24"/>
        </w:rPr>
        <w:t>設置原則辦理</w:t>
      </w:r>
      <w:r w:rsidR="006D4ADA" w:rsidRPr="00753B88">
        <w:rPr>
          <w:rFonts w:hAnsi="標楷體" w:hint="eastAsia"/>
          <w:spacing w:val="-2"/>
          <w:sz w:val="24"/>
          <w:szCs w:val="24"/>
        </w:rPr>
        <w:t>；另</w:t>
      </w:r>
      <w:r w:rsidR="0099607E" w:rsidRPr="00753B88">
        <w:rPr>
          <w:rFonts w:hAnsi="標楷體" w:hint="eastAsia"/>
          <w:spacing w:val="-2"/>
          <w:sz w:val="24"/>
          <w:szCs w:val="24"/>
        </w:rPr>
        <w:t>為精</w:t>
      </w:r>
      <w:proofErr w:type="gramStart"/>
      <w:r w:rsidR="0099607E" w:rsidRPr="00753B88">
        <w:rPr>
          <w:rFonts w:hAnsi="標楷體" w:hint="eastAsia"/>
          <w:spacing w:val="-2"/>
          <w:sz w:val="24"/>
          <w:szCs w:val="24"/>
        </w:rPr>
        <w:t>進遮屏</w:t>
      </w:r>
      <w:proofErr w:type="gramEnd"/>
      <w:r w:rsidR="0099607E" w:rsidRPr="00753B88">
        <w:rPr>
          <w:rFonts w:hAnsi="標楷體" w:hint="eastAsia"/>
          <w:spacing w:val="-2"/>
          <w:sz w:val="24"/>
          <w:szCs w:val="24"/>
        </w:rPr>
        <w:t>管理措施，於選</w:t>
      </w:r>
      <w:proofErr w:type="gramStart"/>
      <w:r w:rsidR="0099607E" w:rsidRPr="00753B88">
        <w:rPr>
          <w:rFonts w:hAnsi="標楷體" w:hint="eastAsia"/>
          <w:spacing w:val="-2"/>
          <w:sz w:val="24"/>
          <w:szCs w:val="24"/>
        </w:rPr>
        <w:t>務</w:t>
      </w:r>
      <w:proofErr w:type="gramEnd"/>
      <w:r w:rsidR="0099607E" w:rsidRPr="00753B88">
        <w:rPr>
          <w:rFonts w:hAnsi="標楷體" w:hint="eastAsia"/>
          <w:spacing w:val="-2"/>
          <w:sz w:val="24"/>
          <w:szCs w:val="24"/>
        </w:rPr>
        <w:t>作業管理系統增列相關管理功能應屬可行，</w:t>
      </w:r>
      <w:r w:rsidR="006D4ADA" w:rsidRPr="00753B88">
        <w:rPr>
          <w:rFonts w:hAnsi="標楷體" w:hint="eastAsia"/>
          <w:bCs/>
          <w:spacing w:val="-2"/>
          <w:sz w:val="24"/>
        </w:rPr>
        <w:t>將徵詢地方選舉委員會意見，以建置全國</w:t>
      </w:r>
      <w:proofErr w:type="gramStart"/>
      <w:r w:rsidR="006D4ADA" w:rsidRPr="00753B88">
        <w:rPr>
          <w:rFonts w:hAnsi="標楷體" w:hint="eastAsia"/>
          <w:bCs/>
          <w:spacing w:val="-2"/>
          <w:sz w:val="24"/>
        </w:rPr>
        <w:t>遮屏之</w:t>
      </w:r>
      <w:proofErr w:type="gramEnd"/>
      <w:r w:rsidR="006D4ADA" w:rsidRPr="00753B88">
        <w:rPr>
          <w:rFonts w:hAnsi="標楷體" w:hint="eastAsia"/>
          <w:bCs/>
          <w:spacing w:val="-2"/>
          <w:sz w:val="24"/>
        </w:rPr>
        <w:t>數位化統計資料為初期目標，</w:t>
      </w:r>
      <w:proofErr w:type="gramStart"/>
      <w:r w:rsidR="006D4ADA" w:rsidRPr="00753B88">
        <w:rPr>
          <w:rFonts w:hAnsi="標楷體" w:hint="eastAsia"/>
          <w:bCs/>
          <w:spacing w:val="-2"/>
          <w:sz w:val="24"/>
        </w:rPr>
        <w:t>就遮屏</w:t>
      </w:r>
      <w:proofErr w:type="gramEnd"/>
      <w:r w:rsidR="006D4ADA" w:rsidRPr="00753B88">
        <w:rPr>
          <w:rFonts w:hAnsi="標楷體" w:hint="eastAsia"/>
          <w:bCs/>
          <w:spacing w:val="-2"/>
          <w:sz w:val="24"/>
        </w:rPr>
        <w:t>類別、現有庫存、增減數量、使用年限、目前保管單位、詳細存放地點、</w:t>
      </w:r>
      <w:proofErr w:type="gramStart"/>
      <w:r w:rsidR="006D4ADA" w:rsidRPr="00753B88">
        <w:rPr>
          <w:rFonts w:hAnsi="標楷體" w:hint="eastAsia"/>
          <w:bCs/>
          <w:spacing w:val="-2"/>
          <w:sz w:val="24"/>
        </w:rPr>
        <w:t>遮屏狀態</w:t>
      </w:r>
      <w:proofErr w:type="gramEnd"/>
      <w:r w:rsidR="006D4ADA" w:rsidRPr="00753B88">
        <w:rPr>
          <w:rFonts w:hAnsi="標楷體" w:hint="eastAsia"/>
          <w:bCs/>
          <w:spacing w:val="-2"/>
          <w:sz w:val="24"/>
        </w:rPr>
        <w:t>等資料予以建檔並與系統維護廠商共同</w:t>
      </w:r>
      <w:proofErr w:type="gramStart"/>
      <w:r w:rsidR="006D4ADA" w:rsidRPr="00753B88">
        <w:rPr>
          <w:rFonts w:hAnsi="標楷體" w:hint="eastAsia"/>
          <w:bCs/>
          <w:spacing w:val="-2"/>
          <w:sz w:val="24"/>
        </w:rPr>
        <w:t>研</w:t>
      </w:r>
      <w:proofErr w:type="gramEnd"/>
      <w:r w:rsidR="006D4ADA" w:rsidRPr="00753B88">
        <w:rPr>
          <w:rFonts w:hAnsi="標楷體" w:hint="eastAsia"/>
          <w:bCs/>
          <w:spacing w:val="-2"/>
          <w:sz w:val="24"/>
        </w:rPr>
        <w:t>議規劃後，供各鄉（鎮、市、區）</w:t>
      </w:r>
      <w:proofErr w:type="gramStart"/>
      <w:r w:rsidR="006D4ADA" w:rsidRPr="00753B88">
        <w:rPr>
          <w:rFonts w:hAnsi="標楷體" w:hint="eastAsia"/>
          <w:bCs/>
          <w:spacing w:val="-2"/>
          <w:sz w:val="24"/>
        </w:rPr>
        <w:t>公所查填</w:t>
      </w:r>
      <w:proofErr w:type="gramEnd"/>
      <w:r w:rsidR="006D4ADA" w:rsidRPr="00753B88">
        <w:rPr>
          <w:rFonts w:hAnsi="標楷體" w:hint="eastAsia"/>
          <w:bCs/>
          <w:spacing w:val="-2"/>
          <w:sz w:val="24"/>
        </w:rPr>
        <w:t>，由系統自動產製統計報表，以及時掌握設備資訊。</w:t>
      </w:r>
    </w:p>
    <w:p w14:paraId="715235E2" w14:textId="3885D597" w:rsidR="009F63CA" w:rsidRPr="006F289E" w:rsidRDefault="009F63CA" w:rsidP="006C46A6">
      <w:pPr>
        <w:pStyle w:val="affffff1"/>
        <w:spacing w:beforeLines="20" w:before="72"/>
        <w:ind w:firstLineChars="200" w:firstLine="561"/>
        <w:outlineLvl w:val="1"/>
      </w:pPr>
      <w:r w:rsidRPr="006F289E">
        <w:rPr>
          <w:rFonts w:hint="eastAsia"/>
        </w:rPr>
        <w:t>（</w:t>
      </w:r>
      <w:r w:rsidR="006127CB">
        <w:rPr>
          <w:rFonts w:hint="eastAsia"/>
        </w:rPr>
        <w:t>四十</w:t>
      </w:r>
      <w:r w:rsidR="00D21E63">
        <w:rPr>
          <w:rFonts w:hint="eastAsia"/>
        </w:rPr>
        <w:t>一</w:t>
      </w:r>
      <w:r w:rsidRPr="006F289E">
        <w:rPr>
          <w:rFonts w:hint="eastAsia"/>
        </w:rPr>
        <w:t xml:space="preserve">）　</w:t>
      </w:r>
      <w:r w:rsidR="00D21E63" w:rsidRPr="00D21E63">
        <w:rPr>
          <w:rFonts w:hint="eastAsia"/>
        </w:rPr>
        <w:t>核</w:t>
      </w:r>
      <w:r w:rsidR="0053713A">
        <w:rPr>
          <w:rFonts w:hint="eastAsia"/>
        </w:rPr>
        <w:t>能</w:t>
      </w:r>
      <w:r w:rsidR="00D21E63" w:rsidRPr="00D21E63">
        <w:rPr>
          <w:rFonts w:hint="eastAsia"/>
        </w:rPr>
        <w:t>安</w:t>
      </w:r>
      <w:r w:rsidR="0053713A">
        <w:rPr>
          <w:rFonts w:hint="eastAsia"/>
        </w:rPr>
        <w:t>全委員</w:t>
      </w:r>
      <w:r w:rsidR="00D21E63" w:rsidRPr="00D21E63">
        <w:rPr>
          <w:rFonts w:hint="eastAsia"/>
        </w:rPr>
        <w:t>會為確保輻射應用安全，執行放射線照相檢驗業輻射作業之管制與稽查，並委託研發高風險輻射源科技監控模組，惟現行放射線照相檢驗作業事前通報機制缺乏強制力，另監控模組亦待持續研發測試，允宜</w:t>
      </w:r>
      <w:proofErr w:type="gramStart"/>
      <w:r w:rsidR="00D21E63" w:rsidRPr="00D21E63">
        <w:rPr>
          <w:rFonts w:hint="eastAsia"/>
        </w:rPr>
        <w:t>研</w:t>
      </w:r>
      <w:proofErr w:type="gramEnd"/>
      <w:r w:rsidR="00D21E63" w:rsidRPr="00D21E63">
        <w:rPr>
          <w:rFonts w:hint="eastAsia"/>
        </w:rPr>
        <w:t>謀強化事前通報機制之落實遵循，並督促</w:t>
      </w:r>
      <w:r w:rsidR="00C26A32">
        <w:rPr>
          <w:rFonts w:hint="eastAsia"/>
        </w:rPr>
        <w:t>受託機構</w:t>
      </w:r>
      <w:r w:rsidR="00D21E63" w:rsidRPr="00D21E63">
        <w:rPr>
          <w:rFonts w:hint="eastAsia"/>
        </w:rPr>
        <w:t>妥適規劃期程積極辦理，以提升高風險輻射源管制效能，維護作業場域及從業人員輻射安全。</w:t>
      </w:r>
    </w:p>
    <w:p w14:paraId="73658D87" w14:textId="5EEA41EB" w:rsidR="00AA20DC" w:rsidRPr="006C46A6" w:rsidRDefault="00AF3143" w:rsidP="006C46A6">
      <w:pPr>
        <w:overflowPunct w:val="0"/>
        <w:spacing w:line="400" w:lineRule="exact"/>
        <w:ind w:firstLineChars="200" w:firstLine="480"/>
        <w:jc w:val="both"/>
        <w:rPr>
          <w:rFonts w:ascii="標楷體" w:eastAsia="標楷體" w:hAnsi="標楷體"/>
          <w:spacing w:val="-1"/>
          <w:szCs w:val="24"/>
        </w:rPr>
      </w:pPr>
      <w:r w:rsidRPr="006C46A6">
        <w:rPr>
          <w:rFonts w:ascii="標楷體" w:eastAsia="標楷體" w:hAnsi="標楷體"/>
          <w:noProof/>
          <w:spacing w:val="-1"/>
          <w:szCs w:val="24"/>
        </w:rPr>
        <mc:AlternateContent>
          <mc:Choice Requires="wps">
            <w:drawing>
              <wp:anchor distT="45720" distB="45720" distL="114300" distR="114300" simplePos="0" relativeHeight="251643904" behindDoc="0" locked="0" layoutInCell="1" allowOverlap="1" wp14:anchorId="464EDE0F" wp14:editId="708B7762">
                <wp:simplePos x="0" y="0"/>
                <wp:positionH relativeFrom="margin">
                  <wp:posOffset>2301240</wp:posOffset>
                </wp:positionH>
                <wp:positionV relativeFrom="paragraph">
                  <wp:posOffset>2609215</wp:posOffset>
                </wp:positionV>
                <wp:extent cx="4003675" cy="1482090"/>
                <wp:effectExtent l="0" t="0" r="0" b="381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3675" cy="1482090"/>
                        </a:xfrm>
                        <a:prstGeom prst="rect">
                          <a:avLst/>
                        </a:prstGeom>
                        <a:solidFill>
                          <a:srgbClr val="FFFFFF"/>
                        </a:solidFill>
                        <a:ln w="9525">
                          <a:noFill/>
                          <a:miter lim="800000"/>
                          <a:headEnd/>
                          <a:tailEnd/>
                        </a:ln>
                      </wps:spPr>
                      <wps:txbx>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9"/>
                              <w:gridCol w:w="850"/>
                              <w:gridCol w:w="992"/>
                              <w:gridCol w:w="1134"/>
                              <w:gridCol w:w="851"/>
                              <w:gridCol w:w="850"/>
                              <w:gridCol w:w="781"/>
                            </w:tblGrid>
                            <w:tr w:rsidR="00AF3143" w:rsidRPr="00EF714F" w14:paraId="4CA8B957" w14:textId="77777777" w:rsidTr="002530DA">
                              <w:trPr>
                                <w:jc w:val="center"/>
                              </w:trPr>
                              <w:tc>
                                <w:tcPr>
                                  <w:tcW w:w="6167" w:type="dxa"/>
                                  <w:gridSpan w:val="7"/>
                                  <w:tcBorders>
                                    <w:top w:val="nil"/>
                                    <w:left w:val="nil"/>
                                    <w:right w:val="nil"/>
                                  </w:tcBorders>
                                  <w:shd w:val="clear" w:color="auto" w:fill="auto"/>
                                </w:tcPr>
                                <w:p w14:paraId="75EC5CFE" w14:textId="77777777" w:rsidR="00AF3143" w:rsidRPr="00EF714F" w:rsidRDefault="00AF3143" w:rsidP="002530DA">
                                  <w:pPr>
                                    <w:overflowPunct w:val="0"/>
                                    <w:spacing w:line="280" w:lineRule="exact"/>
                                    <w:suppressOverlap/>
                                    <w:jc w:val="center"/>
                                    <w:textAlignment w:val="center"/>
                                    <w:rPr>
                                      <w:rFonts w:ascii="標楷體" w:eastAsia="標楷體" w:hAnsi="標楷體" w:cs="BiauKaiTC Regular"/>
                                      <w:b/>
                                      <w:color w:val="000000"/>
                                      <w:kern w:val="0"/>
                                      <w:szCs w:val="24"/>
                                    </w:rPr>
                                  </w:pPr>
                                  <w:r w:rsidRPr="00EF714F">
                                    <w:rPr>
                                      <w:rFonts w:ascii="標楷體" w:eastAsia="標楷體" w:hAnsi="標楷體" w:cs="BiauKaiTC Regular" w:hint="eastAsia"/>
                                      <w:b/>
                                      <w:color w:val="000000"/>
                                      <w:kern w:val="0"/>
                                      <w:szCs w:val="24"/>
                                    </w:rPr>
                                    <w:t>表</w:t>
                                  </w:r>
                                  <w:r>
                                    <w:rPr>
                                      <w:rFonts w:ascii="標楷體" w:eastAsia="標楷體" w:hAnsi="標楷體" w:cs="BiauKaiTC Regular" w:hint="eastAsia"/>
                                      <w:b/>
                                      <w:color w:val="000000"/>
                                      <w:kern w:val="0"/>
                                      <w:szCs w:val="24"/>
                                    </w:rPr>
                                    <w:t>5</w:t>
                                  </w:r>
                                  <w:r>
                                    <w:rPr>
                                      <w:rFonts w:ascii="標楷體" w:eastAsia="標楷體" w:hAnsi="標楷體" w:cs="BiauKaiTC Regular"/>
                                      <w:b/>
                                      <w:color w:val="000000"/>
                                      <w:kern w:val="0"/>
                                      <w:szCs w:val="24"/>
                                    </w:rPr>
                                    <w:t>5</w:t>
                                  </w:r>
                                  <w:r>
                                    <w:rPr>
                                      <w:rFonts w:ascii="標楷體" w:eastAsia="標楷體" w:hAnsi="標楷體" w:cs="BiauKaiTC Regular" w:hint="eastAsia"/>
                                      <w:b/>
                                      <w:color w:val="000000"/>
                                      <w:kern w:val="0"/>
                                      <w:szCs w:val="24"/>
                                    </w:rPr>
                                    <w:t xml:space="preserve">　</w:t>
                                  </w:r>
                                  <w:r w:rsidRPr="00EF714F">
                                    <w:rPr>
                                      <w:rFonts w:ascii="標楷體" w:eastAsia="標楷體" w:hAnsi="標楷體" w:cs="BiauKaiTC Regular" w:hint="eastAsia"/>
                                      <w:b/>
                                      <w:color w:val="000000"/>
                                      <w:kern w:val="0"/>
                                      <w:szCs w:val="24"/>
                                    </w:rPr>
                                    <w:t>放射線照相檢驗作業通報及檢查情形</w:t>
                                  </w:r>
                                </w:p>
                                <w:p w14:paraId="07B883E6"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單位：件</w:t>
                                  </w:r>
                                </w:p>
                              </w:tc>
                            </w:tr>
                            <w:tr w:rsidR="00AF3143" w:rsidRPr="00EF714F" w14:paraId="204D384C" w14:textId="77777777" w:rsidTr="002530DA">
                              <w:trPr>
                                <w:jc w:val="center"/>
                              </w:trPr>
                              <w:tc>
                                <w:tcPr>
                                  <w:tcW w:w="709" w:type="dxa"/>
                                  <w:vMerge w:val="restart"/>
                                  <w:shd w:val="clear" w:color="auto" w:fill="auto"/>
                                  <w:vAlign w:val="center"/>
                                </w:tcPr>
                                <w:p w14:paraId="7FDB0D94"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年度</w:t>
                                  </w:r>
                                </w:p>
                              </w:tc>
                              <w:tc>
                                <w:tcPr>
                                  <w:tcW w:w="2976" w:type="dxa"/>
                                  <w:gridSpan w:val="3"/>
                                  <w:tcBorders>
                                    <w:bottom w:val="nil"/>
                                  </w:tcBorders>
                                  <w:shd w:val="clear" w:color="auto" w:fill="auto"/>
                                  <w:vAlign w:val="center"/>
                                </w:tcPr>
                                <w:p w14:paraId="11A4D1D7"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檢驗作業通報情形</w:t>
                                  </w:r>
                                </w:p>
                              </w:tc>
                              <w:tc>
                                <w:tcPr>
                                  <w:tcW w:w="2482" w:type="dxa"/>
                                  <w:gridSpan w:val="3"/>
                                  <w:tcBorders>
                                    <w:bottom w:val="nil"/>
                                  </w:tcBorders>
                                  <w:shd w:val="clear" w:color="auto" w:fill="auto"/>
                                  <w:vAlign w:val="center"/>
                                </w:tcPr>
                                <w:p w14:paraId="7B12EE4F"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核</w:t>
                                  </w:r>
                                  <w:r>
                                    <w:rPr>
                                      <w:rFonts w:ascii="標楷體" w:eastAsia="標楷體" w:hAnsi="標楷體" w:cs="BiauKaiTC Regular" w:hint="eastAsia"/>
                                      <w:color w:val="000000"/>
                                      <w:kern w:val="0"/>
                                      <w:sz w:val="20"/>
                                    </w:rPr>
                                    <w:t>能</w:t>
                                  </w:r>
                                  <w:r w:rsidRPr="00EF714F">
                                    <w:rPr>
                                      <w:rFonts w:ascii="標楷體" w:eastAsia="標楷體" w:hAnsi="標楷體" w:cs="BiauKaiTC Regular" w:hint="eastAsia"/>
                                      <w:color w:val="000000"/>
                                      <w:kern w:val="0"/>
                                      <w:sz w:val="20"/>
                                    </w:rPr>
                                    <w:t>安</w:t>
                                  </w:r>
                                  <w:r>
                                    <w:rPr>
                                      <w:rFonts w:ascii="標楷體" w:eastAsia="標楷體" w:hAnsi="標楷體" w:cs="BiauKaiTC Regular" w:hint="eastAsia"/>
                                      <w:color w:val="000000"/>
                                      <w:kern w:val="0"/>
                                      <w:sz w:val="20"/>
                                    </w:rPr>
                                    <w:t>全委員</w:t>
                                  </w:r>
                                  <w:r w:rsidRPr="00EF714F">
                                    <w:rPr>
                                      <w:rFonts w:ascii="標楷體" w:eastAsia="標楷體" w:hAnsi="標楷體" w:cs="BiauKaiTC Regular" w:hint="eastAsia"/>
                                      <w:color w:val="000000"/>
                                      <w:kern w:val="0"/>
                                      <w:sz w:val="20"/>
                                    </w:rPr>
                                    <w:t>會檢查情形</w:t>
                                  </w:r>
                                </w:p>
                              </w:tc>
                            </w:tr>
                            <w:tr w:rsidR="00AF3143" w:rsidRPr="00EF714F" w14:paraId="3E99429A" w14:textId="77777777" w:rsidTr="002530DA">
                              <w:trPr>
                                <w:jc w:val="center"/>
                              </w:trPr>
                              <w:tc>
                                <w:tcPr>
                                  <w:tcW w:w="709" w:type="dxa"/>
                                  <w:vMerge/>
                                  <w:tcBorders>
                                    <w:right w:val="single" w:sz="4" w:space="0" w:color="auto"/>
                                  </w:tcBorders>
                                  <w:shd w:val="clear" w:color="auto" w:fill="auto"/>
                                  <w:vAlign w:val="center"/>
                                </w:tcPr>
                                <w:p w14:paraId="4D758F27"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201B950"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
                              </w:tc>
                              <w:tc>
                                <w:tcPr>
                                  <w:tcW w:w="992" w:type="dxa"/>
                                  <w:tcBorders>
                                    <w:left w:val="single" w:sz="4" w:space="0" w:color="auto"/>
                                  </w:tcBorders>
                                  <w:shd w:val="clear" w:color="auto" w:fill="auto"/>
                                  <w:vAlign w:val="center"/>
                                </w:tcPr>
                                <w:p w14:paraId="072F0C5B" w14:textId="77777777" w:rsidR="00AF3143"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放射性</w:t>
                                  </w:r>
                                </w:p>
                                <w:p w14:paraId="32F9ADD1"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物質</w:t>
                                  </w:r>
                                </w:p>
                              </w:tc>
                              <w:tc>
                                <w:tcPr>
                                  <w:tcW w:w="1134" w:type="dxa"/>
                                  <w:tcBorders>
                                    <w:right w:val="single" w:sz="4" w:space="0" w:color="auto"/>
                                  </w:tcBorders>
                                  <w:shd w:val="clear" w:color="auto" w:fill="auto"/>
                                  <w:vAlign w:val="center"/>
                                </w:tcPr>
                                <w:p w14:paraId="2F8DEB97"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spacing w:val="-6"/>
                                      <w:kern w:val="0"/>
                                      <w:sz w:val="20"/>
                                    </w:rPr>
                                  </w:pPr>
                                  <w:r w:rsidRPr="00EF714F">
                                    <w:rPr>
                                      <w:rFonts w:ascii="標楷體" w:eastAsia="標楷體" w:hAnsi="標楷體" w:cs="BiauKaiTC Regular" w:hint="eastAsia"/>
                                      <w:color w:val="000000"/>
                                      <w:spacing w:val="-6"/>
                                      <w:kern w:val="0"/>
                                      <w:sz w:val="20"/>
                                    </w:rPr>
                                    <w:t>可發生游離輻射設備</w:t>
                                  </w:r>
                                </w:p>
                              </w:tc>
                              <w:tc>
                                <w:tcPr>
                                  <w:tcW w:w="851" w:type="dxa"/>
                                  <w:tcBorders>
                                    <w:top w:val="nil"/>
                                    <w:left w:val="single" w:sz="4" w:space="0" w:color="auto"/>
                                    <w:bottom w:val="single" w:sz="4" w:space="0" w:color="auto"/>
                                    <w:right w:val="single" w:sz="4" w:space="0" w:color="auto"/>
                                  </w:tcBorders>
                                  <w:shd w:val="clear" w:color="auto" w:fill="auto"/>
                                  <w:vAlign w:val="center"/>
                                </w:tcPr>
                                <w:p w14:paraId="7293D053"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BAC0381"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例行性</w:t>
                                  </w:r>
                                </w:p>
                              </w:tc>
                              <w:tc>
                                <w:tcPr>
                                  <w:tcW w:w="781" w:type="dxa"/>
                                  <w:tcBorders>
                                    <w:top w:val="single" w:sz="4" w:space="0" w:color="auto"/>
                                    <w:left w:val="single" w:sz="4" w:space="0" w:color="auto"/>
                                    <w:bottom w:val="single" w:sz="4" w:space="0" w:color="auto"/>
                                  </w:tcBorders>
                                  <w:shd w:val="clear" w:color="auto" w:fill="auto"/>
                                  <w:vAlign w:val="center"/>
                                </w:tcPr>
                                <w:p w14:paraId="010F2F61"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roofErr w:type="gramStart"/>
                                  <w:r w:rsidRPr="00EF714F">
                                    <w:rPr>
                                      <w:rFonts w:ascii="標楷體" w:eastAsia="標楷體" w:hAnsi="標楷體" w:cs="BiauKaiTC Regular" w:hint="eastAsia"/>
                                      <w:color w:val="000000"/>
                                      <w:kern w:val="0"/>
                                      <w:sz w:val="20"/>
                                    </w:rPr>
                                    <w:t>不</w:t>
                                  </w:r>
                                  <w:proofErr w:type="gramEnd"/>
                                  <w:r w:rsidRPr="00EF714F">
                                    <w:rPr>
                                      <w:rFonts w:ascii="標楷體" w:eastAsia="標楷體" w:hAnsi="標楷體" w:cs="BiauKaiTC Regular" w:hint="eastAsia"/>
                                      <w:color w:val="000000"/>
                                      <w:kern w:val="0"/>
                                      <w:sz w:val="20"/>
                                    </w:rPr>
                                    <w:t>預警</w:t>
                                  </w:r>
                                </w:p>
                              </w:tc>
                            </w:tr>
                            <w:tr w:rsidR="00AF3143" w:rsidRPr="00EF714F" w14:paraId="6F3D0F86" w14:textId="77777777" w:rsidTr="002530DA">
                              <w:trPr>
                                <w:jc w:val="center"/>
                              </w:trPr>
                              <w:tc>
                                <w:tcPr>
                                  <w:tcW w:w="709" w:type="dxa"/>
                                  <w:shd w:val="clear" w:color="auto" w:fill="auto"/>
                                  <w:vAlign w:val="center"/>
                                </w:tcPr>
                                <w:p w14:paraId="189CE7CA"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w:t>
                                  </w:r>
                                  <w:r w:rsidRPr="00EF714F">
                                    <w:rPr>
                                      <w:rFonts w:ascii="標楷體" w:eastAsia="標楷體" w:hAnsi="標楷體" w:cs="BiauKaiTC Regular"/>
                                      <w:color w:val="000000"/>
                                      <w:kern w:val="0"/>
                                      <w:sz w:val="20"/>
                                    </w:rPr>
                                    <w:t>11</w:t>
                                  </w:r>
                                </w:p>
                              </w:tc>
                              <w:tc>
                                <w:tcPr>
                                  <w:tcW w:w="850" w:type="dxa"/>
                                  <w:tcBorders>
                                    <w:top w:val="single" w:sz="4" w:space="0" w:color="auto"/>
                                  </w:tcBorders>
                                  <w:shd w:val="clear" w:color="auto" w:fill="auto"/>
                                  <w:vAlign w:val="center"/>
                                </w:tcPr>
                                <w:p w14:paraId="5674E728"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w:t>
                                  </w:r>
                                  <w:r w:rsidRPr="00EF714F">
                                    <w:rPr>
                                      <w:rFonts w:ascii="標楷體" w:eastAsia="標楷體" w:hAnsi="標楷體" w:cs="BiauKaiTC Regular"/>
                                      <w:color w:val="000000"/>
                                      <w:kern w:val="0"/>
                                      <w:sz w:val="20"/>
                                    </w:rPr>
                                    <w:t>,259</w:t>
                                  </w:r>
                                </w:p>
                              </w:tc>
                              <w:tc>
                                <w:tcPr>
                                  <w:tcW w:w="992" w:type="dxa"/>
                                  <w:tcBorders>
                                    <w:top w:val="single" w:sz="4" w:space="0" w:color="auto"/>
                                  </w:tcBorders>
                                  <w:shd w:val="clear" w:color="auto" w:fill="auto"/>
                                  <w:vAlign w:val="center"/>
                                </w:tcPr>
                                <w:p w14:paraId="5DD4BAE7"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8</w:t>
                                  </w:r>
                                  <w:r w:rsidRPr="00EF714F">
                                    <w:rPr>
                                      <w:rFonts w:ascii="標楷體" w:eastAsia="標楷體" w:hAnsi="標楷體" w:cs="BiauKaiTC Regular"/>
                                      <w:color w:val="000000"/>
                                      <w:kern w:val="0"/>
                                      <w:sz w:val="20"/>
                                    </w:rPr>
                                    <w:t>,875</w:t>
                                  </w:r>
                                </w:p>
                              </w:tc>
                              <w:tc>
                                <w:tcPr>
                                  <w:tcW w:w="1134" w:type="dxa"/>
                                  <w:tcBorders>
                                    <w:top w:val="single" w:sz="4" w:space="0" w:color="auto"/>
                                  </w:tcBorders>
                                  <w:shd w:val="clear" w:color="auto" w:fill="auto"/>
                                  <w:vAlign w:val="center"/>
                                </w:tcPr>
                                <w:p w14:paraId="451313CC"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3</w:t>
                                  </w:r>
                                  <w:r w:rsidRPr="00EF714F">
                                    <w:rPr>
                                      <w:rFonts w:ascii="標楷體" w:eastAsia="標楷體" w:hAnsi="標楷體" w:cs="BiauKaiTC Regular"/>
                                      <w:color w:val="000000"/>
                                      <w:kern w:val="0"/>
                                      <w:sz w:val="20"/>
                                    </w:rPr>
                                    <w:t>84</w:t>
                                  </w:r>
                                </w:p>
                              </w:tc>
                              <w:tc>
                                <w:tcPr>
                                  <w:tcW w:w="851" w:type="dxa"/>
                                  <w:tcBorders>
                                    <w:top w:val="single" w:sz="4" w:space="0" w:color="auto"/>
                                  </w:tcBorders>
                                  <w:shd w:val="clear" w:color="auto" w:fill="auto"/>
                                </w:tcPr>
                                <w:p w14:paraId="07EB57D3"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220</w:t>
                                  </w:r>
                                </w:p>
                              </w:tc>
                              <w:tc>
                                <w:tcPr>
                                  <w:tcW w:w="850" w:type="dxa"/>
                                  <w:tcBorders>
                                    <w:top w:val="single" w:sz="4" w:space="0" w:color="auto"/>
                                  </w:tcBorders>
                                  <w:shd w:val="clear" w:color="auto" w:fill="auto"/>
                                </w:tcPr>
                                <w:p w14:paraId="6A94DD8A"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99</w:t>
                                  </w:r>
                                </w:p>
                              </w:tc>
                              <w:tc>
                                <w:tcPr>
                                  <w:tcW w:w="781" w:type="dxa"/>
                                  <w:tcBorders>
                                    <w:top w:val="single" w:sz="4" w:space="0" w:color="auto"/>
                                  </w:tcBorders>
                                  <w:shd w:val="clear" w:color="auto" w:fill="auto"/>
                                </w:tcPr>
                                <w:p w14:paraId="6C03F78F"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121</w:t>
                                  </w:r>
                                </w:p>
                              </w:tc>
                            </w:tr>
                            <w:tr w:rsidR="00AF3143" w:rsidRPr="00EF714F" w14:paraId="3FD5DC0B" w14:textId="77777777" w:rsidTr="002530DA">
                              <w:trPr>
                                <w:jc w:val="center"/>
                              </w:trPr>
                              <w:tc>
                                <w:tcPr>
                                  <w:tcW w:w="709" w:type="dxa"/>
                                  <w:shd w:val="clear" w:color="auto" w:fill="auto"/>
                                  <w:vAlign w:val="center"/>
                                </w:tcPr>
                                <w:p w14:paraId="14897B26"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w:t>
                                  </w:r>
                                  <w:r w:rsidRPr="00EF714F">
                                    <w:rPr>
                                      <w:rFonts w:ascii="標楷體" w:eastAsia="標楷體" w:hAnsi="標楷體" w:cs="BiauKaiTC Regular"/>
                                      <w:color w:val="000000"/>
                                      <w:kern w:val="0"/>
                                      <w:sz w:val="20"/>
                                    </w:rPr>
                                    <w:t>12</w:t>
                                  </w:r>
                                </w:p>
                              </w:tc>
                              <w:tc>
                                <w:tcPr>
                                  <w:tcW w:w="850" w:type="dxa"/>
                                  <w:shd w:val="clear" w:color="auto" w:fill="auto"/>
                                  <w:vAlign w:val="center"/>
                                </w:tcPr>
                                <w:p w14:paraId="794610D5"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w:t>
                                  </w:r>
                                  <w:r w:rsidRPr="00EF714F">
                                    <w:rPr>
                                      <w:rFonts w:ascii="標楷體" w:eastAsia="標楷體" w:hAnsi="標楷體" w:cs="BiauKaiTC Regular"/>
                                      <w:color w:val="000000"/>
                                      <w:kern w:val="0"/>
                                      <w:sz w:val="20"/>
                                    </w:rPr>
                                    <w:t>,096</w:t>
                                  </w:r>
                                </w:p>
                              </w:tc>
                              <w:tc>
                                <w:tcPr>
                                  <w:tcW w:w="992" w:type="dxa"/>
                                  <w:shd w:val="clear" w:color="auto" w:fill="auto"/>
                                  <w:vAlign w:val="center"/>
                                </w:tcPr>
                                <w:p w14:paraId="1000A5C8"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8</w:t>
                                  </w:r>
                                  <w:r w:rsidRPr="00EF714F">
                                    <w:rPr>
                                      <w:rFonts w:ascii="標楷體" w:eastAsia="標楷體" w:hAnsi="標楷體" w:cs="BiauKaiTC Regular"/>
                                      <w:color w:val="000000"/>
                                      <w:kern w:val="0"/>
                                      <w:sz w:val="20"/>
                                    </w:rPr>
                                    <w:t>,679</w:t>
                                  </w:r>
                                </w:p>
                              </w:tc>
                              <w:tc>
                                <w:tcPr>
                                  <w:tcW w:w="1134" w:type="dxa"/>
                                  <w:shd w:val="clear" w:color="auto" w:fill="auto"/>
                                  <w:vAlign w:val="center"/>
                                </w:tcPr>
                                <w:p w14:paraId="03E49A70"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4</w:t>
                                  </w:r>
                                  <w:r w:rsidRPr="00EF714F">
                                    <w:rPr>
                                      <w:rFonts w:ascii="標楷體" w:eastAsia="標楷體" w:hAnsi="標楷體" w:cs="BiauKaiTC Regular"/>
                                      <w:color w:val="000000"/>
                                      <w:kern w:val="0"/>
                                      <w:sz w:val="20"/>
                                    </w:rPr>
                                    <w:t>17</w:t>
                                  </w:r>
                                </w:p>
                              </w:tc>
                              <w:tc>
                                <w:tcPr>
                                  <w:tcW w:w="851" w:type="dxa"/>
                                  <w:shd w:val="clear" w:color="auto" w:fill="auto"/>
                                </w:tcPr>
                                <w:p w14:paraId="740577AD"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241</w:t>
                                  </w:r>
                                </w:p>
                              </w:tc>
                              <w:tc>
                                <w:tcPr>
                                  <w:tcW w:w="850" w:type="dxa"/>
                                  <w:shd w:val="clear" w:color="auto" w:fill="auto"/>
                                </w:tcPr>
                                <w:p w14:paraId="10CD2282"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93</w:t>
                                  </w:r>
                                </w:p>
                              </w:tc>
                              <w:tc>
                                <w:tcPr>
                                  <w:tcW w:w="781" w:type="dxa"/>
                                  <w:shd w:val="clear" w:color="auto" w:fill="auto"/>
                                </w:tcPr>
                                <w:p w14:paraId="28B1960B"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148</w:t>
                                  </w:r>
                                </w:p>
                              </w:tc>
                            </w:tr>
                            <w:tr w:rsidR="00AF3143" w:rsidRPr="00EF714F" w14:paraId="5F8EE0EE" w14:textId="77777777" w:rsidTr="002530DA">
                              <w:trPr>
                                <w:jc w:val="center"/>
                              </w:trPr>
                              <w:tc>
                                <w:tcPr>
                                  <w:tcW w:w="709" w:type="dxa"/>
                                  <w:tcBorders>
                                    <w:bottom w:val="single" w:sz="4" w:space="0" w:color="auto"/>
                                  </w:tcBorders>
                                  <w:shd w:val="clear" w:color="auto" w:fill="auto"/>
                                  <w:vAlign w:val="center"/>
                                </w:tcPr>
                                <w:p w14:paraId="0A6766BE"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w:t>
                                  </w:r>
                                  <w:r w:rsidRPr="00EF714F">
                                    <w:rPr>
                                      <w:rFonts w:ascii="標楷體" w:eastAsia="標楷體" w:hAnsi="標楷體" w:cs="BiauKaiTC Regular"/>
                                      <w:color w:val="000000"/>
                                      <w:kern w:val="0"/>
                                      <w:sz w:val="20"/>
                                    </w:rPr>
                                    <w:t>13</w:t>
                                  </w:r>
                                </w:p>
                              </w:tc>
                              <w:tc>
                                <w:tcPr>
                                  <w:tcW w:w="850" w:type="dxa"/>
                                  <w:tcBorders>
                                    <w:bottom w:val="single" w:sz="4" w:space="0" w:color="auto"/>
                                  </w:tcBorders>
                                  <w:shd w:val="clear" w:color="auto" w:fill="auto"/>
                                  <w:vAlign w:val="center"/>
                                </w:tcPr>
                                <w:p w14:paraId="3BDD4B35"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color w:val="000000"/>
                                      <w:kern w:val="0"/>
                                      <w:sz w:val="20"/>
                                    </w:rPr>
                                    <w:t>9,029</w:t>
                                  </w:r>
                                </w:p>
                              </w:tc>
                              <w:tc>
                                <w:tcPr>
                                  <w:tcW w:w="992" w:type="dxa"/>
                                  <w:tcBorders>
                                    <w:bottom w:val="single" w:sz="4" w:space="0" w:color="auto"/>
                                  </w:tcBorders>
                                  <w:shd w:val="clear" w:color="auto" w:fill="auto"/>
                                  <w:vAlign w:val="center"/>
                                </w:tcPr>
                                <w:p w14:paraId="339B1555"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8</w:t>
                                  </w:r>
                                  <w:r w:rsidRPr="00EF714F">
                                    <w:rPr>
                                      <w:rFonts w:ascii="標楷體" w:eastAsia="標楷體" w:hAnsi="標楷體" w:cs="BiauKaiTC Regular"/>
                                      <w:color w:val="000000"/>
                                      <w:kern w:val="0"/>
                                      <w:sz w:val="20"/>
                                    </w:rPr>
                                    <w:t>,617</w:t>
                                  </w:r>
                                </w:p>
                              </w:tc>
                              <w:tc>
                                <w:tcPr>
                                  <w:tcW w:w="1134" w:type="dxa"/>
                                  <w:tcBorders>
                                    <w:bottom w:val="single" w:sz="4" w:space="0" w:color="auto"/>
                                  </w:tcBorders>
                                  <w:shd w:val="clear" w:color="auto" w:fill="auto"/>
                                  <w:vAlign w:val="center"/>
                                </w:tcPr>
                                <w:p w14:paraId="5F8E38FD"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4</w:t>
                                  </w:r>
                                  <w:r w:rsidRPr="00EF714F">
                                    <w:rPr>
                                      <w:rFonts w:ascii="標楷體" w:eastAsia="標楷體" w:hAnsi="標楷體" w:cs="BiauKaiTC Regular"/>
                                      <w:color w:val="000000"/>
                                      <w:kern w:val="0"/>
                                      <w:sz w:val="20"/>
                                    </w:rPr>
                                    <w:t>12</w:t>
                                  </w:r>
                                </w:p>
                              </w:tc>
                              <w:tc>
                                <w:tcPr>
                                  <w:tcW w:w="851" w:type="dxa"/>
                                  <w:tcBorders>
                                    <w:bottom w:val="single" w:sz="4" w:space="0" w:color="auto"/>
                                  </w:tcBorders>
                                  <w:shd w:val="clear" w:color="auto" w:fill="auto"/>
                                </w:tcPr>
                                <w:p w14:paraId="6E2D3D51"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226</w:t>
                                  </w:r>
                                </w:p>
                              </w:tc>
                              <w:tc>
                                <w:tcPr>
                                  <w:tcW w:w="850" w:type="dxa"/>
                                  <w:tcBorders>
                                    <w:bottom w:val="single" w:sz="4" w:space="0" w:color="auto"/>
                                  </w:tcBorders>
                                  <w:shd w:val="clear" w:color="auto" w:fill="auto"/>
                                </w:tcPr>
                                <w:p w14:paraId="58962C7C"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96</w:t>
                                  </w:r>
                                </w:p>
                              </w:tc>
                              <w:tc>
                                <w:tcPr>
                                  <w:tcW w:w="781" w:type="dxa"/>
                                  <w:tcBorders>
                                    <w:bottom w:val="single" w:sz="4" w:space="0" w:color="auto"/>
                                  </w:tcBorders>
                                  <w:shd w:val="clear" w:color="auto" w:fill="auto"/>
                                </w:tcPr>
                                <w:p w14:paraId="143565CB"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130</w:t>
                                  </w:r>
                                </w:p>
                              </w:tc>
                            </w:tr>
                            <w:tr w:rsidR="00AF3143" w:rsidRPr="00EF714F" w14:paraId="538D5C3F" w14:textId="77777777" w:rsidTr="002530DA">
                              <w:trPr>
                                <w:jc w:val="center"/>
                              </w:trPr>
                              <w:tc>
                                <w:tcPr>
                                  <w:tcW w:w="6167" w:type="dxa"/>
                                  <w:gridSpan w:val="7"/>
                                  <w:tcBorders>
                                    <w:left w:val="nil"/>
                                    <w:bottom w:val="nil"/>
                                    <w:right w:val="nil"/>
                                  </w:tcBorders>
                                  <w:shd w:val="clear" w:color="auto" w:fill="auto"/>
                                </w:tcPr>
                                <w:p w14:paraId="0757EF8B" w14:textId="77777777" w:rsidR="00AF3143" w:rsidRPr="00EF714F" w:rsidRDefault="00AF3143" w:rsidP="002530DA">
                                  <w:pPr>
                                    <w:overflowPunct w:val="0"/>
                                    <w:spacing w:line="240" w:lineRule="exact"/>
                                    <w:suppressOverlap/>
                                    <w:textAlignment w:val="center"/>
                                    <w:rPr>
                                      <w:rFonts w:ascii="標楷體" w:eastAsia="標楷體" w:hAnsi="標楷體" w:cs="BiauKaiTC Regular"/>
                                      <w:color w:val="000000"/>
                                      <w:kern w:val="0"/>
                                      <w:sz w:val="18"/>
                                      <w:szCs w:val="18"/>
                                    </w:rPr>
                                  </w:pPr>
                                  <w:r w:rsidRPr="00EF714F">
                                    <w:rPr>
                                      <w:rFonts w:ascii="標楷體" w:eastAsia="標楷體" w:hAnsi="標楷體" w:cs="BiauKaiTC Regular" w:hint="eastAsia"/>
                                      <w:color w:val="000000"/>
                                      <w:kern w:val="0"/>
                                      <w:sz w:val="18"/>
                                      <w:szCs w:val="18"/>
                                    </w:rPr>
                                    <w:t>資料來源：整理自核能安全委員會提供資料。</w:t>
                                  </w:r>
                                </w:p>
                              </w:tc>
                            </w:tr>
                          </w:tbl>
                          <w:p w14:paraId="7118B1ED" w14:textId="77777777" w:rsidR="00AF3143" w:rsidRPr="002530DA" w:rsidRDefault="00AF3143" w:rsidP="00AF314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EDE0F" id="_x0000_s1165" type="#_x0000_t202" style="position:absolute;left:0;text-align:left;margin-left:181.2pt;margin-top:205.45pt;width:315.25pt;height:116.7pt;z-index:251643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" stroked="f">
                <v:textbox inset="0,0,0,0">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9"/>
                        <w:gridCol w:w="850"/>
                        <w:gridCol w:w="992"/>
                        <w:gridCol w:w="1134"/>
                        <w:gridCol w:w="851"/>
                        <w:gridCol w:w="850"/>
                        <w:gridCol w:w="781"/>
                      </w:tblGrid>
                      <w:tr w:rsidR="00AF3143" w:rsidRPr="00EF714F" w14:paraId="4CA8B957" w14:textId="77777777" w:rsidTr="002530DA">
                        <w:trPr>
                          <w:jc w:val="center"/>
                        </w:trPr>
                        <w:tc>
                          <w:tcPr>
                            <w:tcW w:w="6167" w:type="dxa"/>
                            <w:gridSpan w:val="7"/>
                            <w:tcBorders>
                              <w:top w:val="nil"/>
                              <w:left w:val="nil"/>
                              <w:right w:val="nil"/>
                            </w:tcBorders>
                            <w:shd w:val="clear" w:color="auto" w:fill="auto"/>
                          </w:tcPr>
                          <w:p w14:paraId="75EC5CFE" w14:textId="77777777" w:rsidR="00AF3143" w:rsidRPr="00EF714F" w:rsidRDefault="00AF3143" w:rsidP="002530DA">
                            <w:pPr>
                              <w:overflowPunct w:val="0"/>
                              <w:spacing w:line="280" w:lineRule="exact"/>
                              <w:suppressOverlap/>
                              <w:jc w:val="center"/>
                              <w:textAlignment w:val="center"/>
                              <w:rPr>
                                <w:rFonts w:ascii="標楷體" w:eastAsia="標楷體" w:hAnsi="標楷體" w:cs="BiauKaiTC Regular"/>
                                <w:b/>
                                <w:color w:val="000000"/>
                                <w:kern w:val="0"/>
                                <w:szCs w:val="24"/>
                              </w:rPr>
                            </w:pPr>
                            <w:r w:rsidRPr="00EF714F">
                              <w:rPr>
                                <w:rFonts w:ascii="標楷體" w:eastAsia="標楷體" w:hAnsi="標楷體" w:cs="BiauKaiTC Regular" w:hint="eastAsia"/>
                                <w:b/>
                                <w:color w:val="000000"/>
                                <w:kern w:val="0"/>
                                <w:szCs w:val="24"/>
                              </w:rPr>
                              <w:t>表</w:t>
                            </w:r>
                            <w:r>
                              <w:rPr>
                                <w:rFonts w:ascii="標楷體" w:eastAsia="標楷體" w:hAnsi="標楷體" w:cs="BiauKaiTC Regular" w:hint="eastAsia"/>
                                <w:b/>
                                <w:color w:val="000000"/>
                                <w:kern w:val="0"/>
                                <w:szCs w:val="24"/>
                              </w:rPr>
                              <w:t>5</w:t>
                            </w:r>
                            <w:r>
                              <w:rPr>
                                <w:rFonts w:ascii="標楷體" w:eastAsia="標楷體" w:hAnsi="標楷體" w:cs="BiauKaiTC Regular"/>
                                <w:b/>
                                <w:color w:val="000000"/>
                                <w:kern w:val="0"/>
                                <w:szCs w:val="24"/>
                              </w:rPr>
                              <w:t>5</w:t>
                            </w:r>
                            <w:r>
                              <w:rPr>
                                <w:rFonts w:ascii="標楷體" w:eastAsia="標楷體" w:hAnsi="標楷體" w:cs="BiauKaiTC Regular" w:hint="eastAsia"/>
                                <w:b/>
                                <w:color w:val="000000"/>
                                <w:kern w:val="0"/>
                                <w:szCs w:val="24"/>
                              </w:rPr>
                              <w:t xml:space="preserve">　</w:t>
                            </w:r>
                            <w:r w:rsidRPr="00EF714F">
                              <w:rPr>
                                <w:rFonts w:ascii="標楷體" w:eastAsia="標楷體" w:hAnsi="標楷體" w:cs="BiauKaiTC Regular" w:hint="eastAsia"/>
                                <w:b/>
                                <w:color w:val="000000"/>
                                <w:kern w:val="0"/>
                                <w:szCs w:val="24"/>
                              </w:rPr>
                              <w:t>放射線照相檢驗作業通報及檢查情形</w:t>
                            </w:r>
                          </w:p>
                          <w:p w14:paraId="07B883E6"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單位：件</w:t>
                            </w:r>
                          </w:p>
                        </w:tc>
                      </w:tr>
                      <w:tr w:rsidR="00AF3143" w:rsidRPr="00EF714F" w14:paraId="204D384C" w14:textId="77777777" w:rsidTr="002530DA">
                        <w:trPr>
                          <w:jc w:val="center"/>
                        </w:trPr>
                        <w:tc>
                          <w:tcPr>
                            <w:tcW w:w="709" w:type="dxa"/>
                            <w:vMerge w:val="restart"/>
                            <w:shd w:val="clear" w:color="auto" w:fill="auto"/>
                            <w:vAlign w:val="center"/>
                          </w:tcPr>
                          <w:p w14:paraId="7FDB0D94"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年度</w:t>
                            </w:r>
                          </w:p>
                        </w:tc>
                        <w:tc>
                          <w:tcPr>
                            <w:tcW w:w="2976" w:type="dxa"/>
                            <w:gridSpan w:val="3"/>
                            <w:tcBorders>
                              <w:bottom w:val="nil"/>
                            </w:tcBorders>
                            <w:shd w:val="clear" w:color="auto" w:fill="auto"/>
                            <w:vAlign w:val="center"/>
                          </w:tcPr>
                          <w:p w14:paraId="11A4D1D7"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檢驗作業通報情形</w:t>
                            </w:r>
                          </w:p>
                        </w:tc>
                        <w:tc>
                          <w:tcPr>
                            <w:tcW w:w="2482" w:type="dxa"/>
                            <w:gridSpan w:val="3"/>
                            <w:tcBorders>
                              <w:bottom w:val="nil"/>
                            </w:tcBorders>
                            <w:shd w:val="clear" w:color="auto" w:fill="auto"/>
                            <w:vAlign w:val="center"/>
                          </w:tcPr>
                          <w:p w14:paraId="7B12EE4F"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核</w:t>
                            </w:r>
                            <w:r>
                              <w:rPr>
                                <w:rFonts w:ascii="標楷體" w:eastAsia="標楷體" w:hAnsi="標楷體" w:cs="BiauKaiTC Regular" w:hint="eastAsia"/>
                                <w:color w:val="000000"/>
                                <w:kern w:val="0"/>
                                <w:sz w:val="20"/>
                              </w:rPr>
                              <w:t>能</w:t>
                            </w:r>
                            <w:r w:rsidRPr="00EF714F">
                              <w:rPr>
                                <w:rFonts w:ascii="標楷體" w:eastAsia="標楷體" w:hAnsi="標楷體" w:cs="BiauKaiTC Regular" w:hint="eastAsia"/>
                                <w:color w:val="000000"/>
                                <w:kern w:val="0"/>
                                <w:sz w:val="20"/>
                              </w:rPr>
                              <w:t>安</w:t>
                            </w:r>
                            <w:r>
                              <w:rPr>
                                <w:rFonts w:ascii="標楷體" w:eastAsia="標楷體" w:hAnsi="標楷體" w:cs="BiauKaiTC Regular" w:hint="eastAsia"/>
                                <w:color w:val="000000"/>
                                <w:kern w:val="0"/>
                                <w:sz w:val="20"/>
                              </w:rPr>
                              <w:t>全委員</w:t>
                            </w:r>
                            <w:r w:rsidRPr="00EF714F">
                              <w:rPr>
                                <w:rFonts w:ascii="標楷體" w:eastAsia="標楷體" w:hAnsi="標楷體" w:cs="BiauKaiTC Regular" w:hint="eastAsia"/>
                                <w:color w:val="000000"/>
                                <w:kern w:val="0"/>
                                <w:sz w:val="20"/>
                              </w:rPr>
                              <w:t>會檢查情形</w:t>
                            </w:r>
                          </w:p>
                        </w:tc>
                      </w:tr>
                      <w:tr w:rsidR="00AF3143" w:rsidRPr="00EF714F" w14:paraId="3E99429A" w14:textId="77777777" w:rsidTr="002530DA">
                        <w:trPr>
                          <w:jc w:val="center"/>
                        </w:trPr>
                        <w:tc>
                          <w:tcPr>
                            <w:tcW w:w="709" w:type="dxa"/>
                            <w:vMerge/>
                            <w:tcBorders>
                              <w:right w:val="single" w:sz="4" w:space="0" w:color="auto"/>
                            </w:tcBorders>
                            <w:shd w:val="clear" w:color="auto" w:fill="auto"/>
                            <w:vAlign w:val="center"/>
                          </w:tcPr>
                          <w:p w14:paraId="4D758F27"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201B950"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
                        </w:tc>
                        <w:tc>
                          <w:tcPr>
                            <w:tcW w:w="992" w:type="dxa"/>
                            <w:tcBorders>
                              <w:left w:val="single" w:sz="4" w:space="0" w:color="auto"/>
                            </w:tcBorders>
                            <w:shd w:val="clear" w:color="auto" w:fill="auto"/>
                            <w:vAlign w:val="center"/>
                          </w:tcPr>
                          <w:p w14:paraId="072F0C5B" w14:textId="77777777" w:rsidR="00AF3143"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放射性</w:t>
                            </w:r>
                          </w:p>
                          <w:p w14:paraId="32F9ADD1"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物質</w:t>
                            </w:r>
                          </w:p>
                        </w:tc>
                        <w:tc>
                          <w:tcPr>
                            <w:tcW w:w="1134" w:type="dxa"/>
                            <w:tcBorders>
                              <w:right w:val="single" w:sz="4" w:space="0" w:color="auto"/>
                            </w:tcBorders>
                            <w:shd w:val="clear" w:color="auto" w:fill="auto"/>
                            <w:vAlign w:val="center"/>
                          </w:tcPr>
                          <w:p w14:paraId="2F8DEB97"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spacing w:val="-6"/>
                                <w:kern w:val="0"/>
                                <w:sz w:val="20"/>
                              </w:rPr>
                            </w:pPr>
                            <w:r w:rsidRPr="00EF714F">
                              <w:rPr>
                                <w:rFonts w:ascii="標楷體" w:eastAsia="標楷體" w:hAnsi="標楷體" w:cs="BiauKaiTC Regular" w:hint="eastAsia"/>
                                <w:color w:val="000000"/>
                                <w:spacing w:val="-6"/>
                                <w:kern w:val="0"/>
                                <w:sz w:val="20"/>
                              </w:rPr>
                              <w:t>可發生游離輻射設備</w:t>
                            </w:r>
                          </w:p>
                        </w:tc>
                        <w:tc>
                          <w:tcPr>
                            <w:tcW w:w="851" w:type="dxa"/>
                            <w:tcBorders>
                              <w:top w:val="nil"/>
                              <w:left w:val="single" w:sz="4" w:space="0" w:color="auto"/>
                              <w:bottom w:val="single" w:sz="4" w:space="0" w:color="auto"/>
                              <w:right w:val="single" w:sz="4" w:space="0" w:color="auto"/>
                            </w:tcBorders>
                            <w:shd w:val="clear" w:color="auto" w:fill="auto"/>
                            <w:vAlign w:val="center"/>
                          </w:tcPr>
                          <w:p w14:paraId="7293D053"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BAC0381"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例行性</w:t>
                            </w:r>
                          </w:p>
                        </w:tc>
                        <w:tc>
                          <w:tcPr>
                            <w:tcW w:w="781" w:type="dxa"/>
                            <w:tcBorders>
                              <w:top w:val="single" w:sz="4" w:space="0" w:color="auto"/>
                              <w:left w:val="single" w:sz="4" w:space="0" w:color="auto"/>
                              <w:bottom w:val="single" w:sz="4" w:space="0" w:color="auto"/>
                            </w:tcBorders>
                            <w:shd w:val="clear" w:color="auto" w:fill="auto"/>
                            <w:vAlign w:val="center"/>
                          </w:tcPr>
                          <w:p w14:paraId="010F2F61"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proofErr w:type="gramStart"/>
                            <w:r w:rsidRPr="00EF714F">
                              <w:rPr>
                                <w:rFonts w:ascii="標楷體" w:eastAsia="標楷體" w:hAnsi="標楷體" w:cs="BiauKaiTC Regular" w:hint="eastAsia"/>
                                <w:color w:val="000000"/>
                                <w:kern w:val="0"/>
                                <w:sz w:val="20"/>
                              </w:rPr>
                              <w:t>不</w:t>
                            </w:r>
                            <w:proofErr w:type="gramEnd"/>
                            <w:r w:rsidRPr="00EF714F">
                              <w:rPr>
                                <w:rFonts w:ascii="標楷體" w:eastAsia="標楷體" w:hAnsi="標楷體" w:cs="BiauKaiTC Regular" w:hint="eastAsia"/>
                                <w:color w:val="000000"/>
                                <w:kern w:val="0"/>
                                <w:sz w:val="20"/>
                              </w:rPr>
                              <w:t>預警</w:t>
                            </w:r>
                          </w:p>
                        </w:tc>
                      </w:tr>
                      <w:tr w:rsidR="00AF3143" w:rsidRPr="00EF714F" w14:paraId="6F3D0F86" w14:textId="77777777" w:rsidTr="002530DA">
                        <w:trPr>
                          <w:jc w:val="center"/>
                        </w:trPr>
                        <w:tc>
                          <w:tcPr>
                            <w:tcW w:w="709" w:type="dxa"/>
                            <w:shd w:val="clear" w:color="auto" w:fill="auto"/>
                            <w:vAlign w:val="center"/>
                          </w:tcPr>
                          <w:p w14:paraId="189CE7CA"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w:t>
                            </w:r>
                            <w:r w:rsidRPr="00EF714F">
                              <w:rPr>
                                <w:rFonts w:ascii="標楷體" w:eastAsia="標楷體" w:hAnsi="標楷體" w:cs="BiauKaiTC Regular"/>
                                <w:color w:val="000000"/>
                                <w:kern w:val="0"/>
                                <w:sz w:val="20"/>
                              </w:rPr>
                              <w:t>11</w:t>
                            </w:r>
                          </w:p>
                        </w:tc>
                        <w:tc>
                          <w:tcPr>
                            <w:tcW w:w="850" w:type="dxa"/>
                            <w:tcBorders>
                              <w:top w:val="single" w:sz="4" w:space="0" w:color="auto"/>
                            </w:tcBorders>
                            <w:shd w:val="clear" w:color="auto" w:fill="auto"/>
                            <w:vAlign w:val="center"/>
                          </w:tcPr>
                          <w:p w14:paraId="5674E728"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w:t>
                            </w:r>
                            <w:r w:rsidRPr="00EF714F">
                              <w:rPr>
                                <w:rFonts w:ascii="標楷體" w:eastAsia="標楷體" w:hAnsi="標楷體" w:cs="BiauKaiTC Regular"/>
                                <w:color w:val="000000"/>
                                <w:kern w:val="0"/>
                                <w:sz w:val="20"/>
                              </w:rPr>
                              <w:t>,259</w:t>
                            </w:r>
                          </w:p>
                        </w:tc>
                        <w:tc>
                          <w:tcPr>
                            <w:tcW w:w="992" w:type="dxa"/>
                            <w:tcBorders>
                              <w:top w:val="single" w:sz="4" w:space="0" w:color="auto"/>
                            </w:tcBorders>
                            <w:shd w:val="clear" w:color="auto" w:fill="auto"/>
                            <w:vAlign w:val="center"/>
                          </w:tcPr>
                          <w:p w14:paraId="5DD4BAE7"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8</w:t>
                            </w:r>
                            <w:r w:rsidRPr="00EF714F">
                              <w:rPr>
                                <w:rFonts w:ascii="標楷體" w:eastAsia="標楷體" w:hAnsi="標楷體" w:cs="BiauKaiTC Regular"/>
                                <w:color w:val="000000"/>
                                <w:kern w:val="0"/>
                                <w:sz w:val="20"/>
                              </w:rPr>
                              <w:t>,875</w:t>
                            </w:r>
                          </w:p>
                        </w:tc>
                        <w:tc>
                          <w:tcPr>
                            <w:tcW w:w="1134" w:type="dxa"/>
                            <w:tcBorders>
                              <w:top w:val="single" w:sz="4" w:space="0" w:color="auto"/>
                            </w:tcBorders>
                            <w:shd w:val="clear" w:color="auto" w:fill="auto"/>
                            <w:vAlign w:val="center"/>
                          </w:tcPr>
                          <w:p w14:paraId="451313CC"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3</w:t>
                            </w:r>
                            <w:r w:rsidRPr="00EF714F">
                              <w:rPr>
                                <w:rFonts w:ascii="標楷體" w:eastAsia="標楷體" w:hAnsi="標楷體" w:cs="BiauKaiTC Regular"/>
                                <w:color w:val="000000"/>
                                <w:kern w:val="0"/>
                                <w:sz w:val="20"/>
                              </w:rPr>
                              <w:t>84</w:t>
                            </w:r>
                          </w:p>
                        </w:tc>
                        <w:tc>
                          <w:tcPr>
                            <w:tcW w:w="851" w:type="dxa"/>
                            <w:tcBorders>
                              <w:top w:val="single" w:sz="4" w:space="0" w:color="auto"/>
                            </w:tcBorders>
                            <w:shd w:val="clear" w:color="auto" w:fill="auto"/>
                          </w:tcPr>
                          <w:p w14:paraId="07EB57D3"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220</w:t>
                            </w:r>
                          </w:p>
                        </w:tc>
                        <w:tc>
                          <w:tcPr>
                            <w:tcW w:w="850" w:type="dxa"/>
                            <w:tcBorders>
                              <w:top w:val="single" w:sz="4" w:space="0" w:color="auto"/>
                            </w:tcBorders>
                            <w:shd w:val="clear" w:color="auto" w:fill="auto"/>
                          </w:tcPr>
                          <w:p w14:paraId="6A94DD8A"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99</w:t>
                            </w:r>
                          </w:p>
                        </w:tc>
                        <w:tc>
                          <w:tcPr>
                            <w:tcW w:w="781" w:type="dxa"/>
                            <w:tcBorders>
                              <w:top w:val="single" w:sz="4" w:space="0" w:color="auto"/>
                            </w:tcBorders>
                            <w:shd w:val="clear" w:color="auto" w:fill="auto"/>
                          </w:tcPr>
                          <w:p w14:paraId="6C03F78F"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121</w:t>
                            </w:r>
                          </w:p>
                        </w:tc>
                      </w:tr>
                      <w:tr w:rsidR="00AF3143" w:rsidRPr="00EF714F" w14:paraId="3FD5DC0B" w14:textId="77777777" w:rsidTr="002530DA">
                        <w:trPr>
                          <w:jc w:val="center"/>
                        </w:trPr>
                        <w:tc>
                          <w:tcPr>
                            <w:tcW w:w="709" w:type="dxa"/>
                            <w:shd w:val="clear" w:color="auto" w:fill="auto"/>
                            <w:vAlign w:val="center"/>
                          </w:tcPr>
                          <w:p w14:paraId="14897B26"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w:t>
                            </w:r>
                            <w:r w:rsidRPr="00EF714F">
                              <w:rPr>
                                <w:rFonts w:ascii="標楷體" w:eastAsia="標楷體" w:hAnsi="標楷體" w:cs="BiauKaiTC Regular"/>
                                <w:color w:val="000000"/>
                                <w:kern w:val="0"/>
                                <w:sz w:val="20"/>
                              </w:rPr>
                              <w:t>12</w:t>
                            </w:r>
                          </w:p>
                        </w:tc>
                        <w:tc>
                          <w:tcPr>
                            <w:tcW w:w="850" w:type="dxa"/>
                            <w:shd w:val="clear" w:color="auto" w:fill="auto"/>
                            <w:vAlign w:val="center"/>
                          </w:tcPr>
                          <w:p w14:paraId="794610D5"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w:t>
                            </w:r>
                            <w:r w:rsidRPr="00EF714F">
                              <w:rPr>
                                <w:rFonts w:ascii="標楷體" w:eastAsia="標楷體" w:hAnsi="標楷體" w:cs="BiauKaiTC Regular"/>
                                <w:color w:val="000000"/>
                                <w:kern w:val="0"/>
                                <w:sz w:val="20"/>
                              </w:rPr>
                              <w:t>,096</w:t>
                            </w:r>
                          </w:p>
                        </w:tc>
                        <w:tc>
                          <w:tcPr>
                            <w:tcW w:w="992" w:type="dxa"/>
                            <w:shd w:val="clear" w:color="auto" w:fill="auto"/>
                            <w:vAlign w:val="center"/>
                          </w:tcPr>
                          <w:p w14:paraId="1000A5C8"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8</w:t>
                            </w:r>
                            <w:r w:rsidRPr="00EF714F">
                              <w:rPr>
                                <w:rFonts w:ascii="標楷體" w:eastAsia="標楷體" w:hAnsi="標楷體" w:cs="BiauKaiTC Regular"/>
                                <w:color w:val="000000"/>
                                <w:kern w:val="0"/>
                                <w:sz w:val="20"/>
                              </w:rPr>
                              <w:t>,679</w:t>
                            </w:r>
                          </w:p>
                        </w:tc>
                        <w:tc>
                          <w:tcPr>
                            <w:tcW w:w="1134" w:type="dxa"/>
                            <w:shd w:val="clear" w:color="auto" w:fill="auto"/>
                            <w:vAlign w:val="center"/>
                          </w:tcPr>
                          <w:p w14:paraId="03E49A70"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4</w:t>
                            </w:r>
                            <w:r w:rsidRPr="00EF714F">
                              <w:rPr>
                                <w:rFonts w:ascii="標楷體" w:eastAsia="標楷體" w:hAnsi="標楷體" w:cs="BiauKaiTC Regular"/>
                                <w:color w:val="000000"/>
                                <w:kern w:val="0"/>
                                <w:sz w:val="20"/>
                              </w:rPr>
                              <w:t>17</w:t>
                            </w:r>
                          </w:p>
                        </w:tc>
                        <w:tc>
                          <w:tcPr>
                            <w:tcW w:w="851" w:type="dxa"/>
                            <w:shd w:val="clear" w:color="auto" w:fill="auto"/>
                          </w:tcPr>
                          <w:p w14:paraId="740577AD"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241</w:t>
                            </w:r>
                          </w:p>
                        </w:tc>
                        <w:tc>
                          <w:tcPr>
                            <w:tcW w:w="850" w:type="dxa"/>
                            <w:shd w:val="clear" w:color="auto" w:fill="auto"/>
                          </w:tcPr>
                          <w:p w14:paraId="10CD2282"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93</w:t>
                            </w:r>
                          </w:p>
                        </w:tc>
                        <w:tc>
                          <w:tcPr>
                            <w:tcW w:w="781" w:type="dxa"/>
                            <w:shd w:val="clear" w:color="auto" w:fill="auto"/>
                          </w:tcPr>
                          <w:p w14:paraId="28B1960B"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148</w:t>
                            </w:r>
                          </w:p>
                        </w:tc>
                      </w:tr>
                      <w:tr w:rsidR="00AF3143" w:rsidRPr="00EF714F" w14:paraId="5F8EE0EE" w14:textId="77777777" w:rsidTr="002530DA">
                        <w:trPr>
                          <w:jc w:val="center"/>
                        </w:trPr>
                        <w:tc>
                          <w:tcPr>
                            <w:tcW w:w="709" w:type="dxa"/>
                            <w:tcBorders>
                              <w:bottom w:val="single" w:sz="4" w:space="0" w:color="auto"/>
                            </w:tcBorders>
                            <w:shd w:val="clear" w:color="auto" w:fill="auto"/>
                            <w:vAlign w:val="center"/>
                          </w:tcPr>
                          <w:p w14:paraId="0A6766BE" w14:textId="77777777" w:rsidR="00AF3143" w:rsidRPr="00EF714F" w:rsidRDefault="00AF3143" w:rsidP="002530DA">
                            <w:pPr>
                              <w:overflowPunct w:val="0"/>
                              <w:spacing w:line="240" w:lineRule="exact"/>
                              <w:suppressOverlap/>
                              <w:jc w:val="center"/>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w:t>
                            </w:r>
                            <w:r w:rsidRPr="00EF714F">
                              <w:rPr>
                                <w:rFonts w:ascii="標楷體" w:eastAsia="標楷體" w:hAnsi="標楷體" w:cs="BiauKaiTC Regular"/>
                                <w:color w:val="000000"/>
                                <w:kern w:val="0"/>
                                <w:sz w:val="20"/>
                              </w:rPr>
                              <w:t>13</w:t>
                            </w:r>
                          </w:p>
                        </w:tc>
                        <w:tc>
                          <w:tcPr>
                            <w:tcW w:w="850" w:type="dxa"/>
                            <w:tcBorders>
                              <w:bottom w:val="single" w:sz="4" w:space="0" w:color="auto"/>
                            </w:tcBorders>
                            <w:shd w:val="clear" w:color="auto" w:fill="auto"/>
                            <w:vAlign w:val="center"/>
                          </w:tcPr>
                          <w:p w14:paraId="3BDD4B35"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color w:val="000000"/>
                                <w:kern w:val="0"/>
                                <w:sz w:val="20"/>
                              </w:rPr>
                              <w:t>9,029</w:t>
                            </w:r>
                          </w:p>
                        </w:tc>
                        <w:tc>
                          <w:tcPr>
                            <w:tcW w:w="992" w:type="dxa"/>
                            <w:tcBorders>
                              <w:bottom w:val="single" w:sz="4" w:space="0" w:color="auto"/>
                            </w:tcBorders>
                            <w:shd w:val="clear" w:color="auto" w:fill="auto"/>
                            <w:vAlign w:val="center"/>
                          </w:tcPr>
                          <w:p w14:paraId="339B1555"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8</w:t>
                            </w:r>
                            <w:r w:rsidRPr="00EF714F">
                              <w:rPr>
                                <w:rFonts w:ascii="標楷體" w:eastAsia="標楷體" w:hAnsi="標楷體" w:cs="BiauKaiTC Regular"/>
                                <w:color w:val="000000"/>
                                <w:kern w:val="0"/>
                                <w:sz w:val="20"/>
                              </w:rPr>
                              <w:t>,617</w:t>
                            </w:r>
                          </w:p>
                        </w:tc>
                        <w:tc>
                          <w:tcPr>
                            <w:tcW w:w="1134" w:type="dxa"/>
                            <w:tcBorders>
                              <w:bottom w:val="single" w:sz="4" w:space="0" w:color="auto"/>
                            </w:tcBorders>
                            <w:shd w:val="clear" w:color="auto" w:fill="auto"/>
                            <w:vAlign w:val="center"/>
                          </w:tcPr>
                          <w:p w14:paraId="5F8E38FD"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4</w:t>
                            </w:r>
                            <w:r w:rsidRPr="00EF714F">
                              <w:rPr>
                                <w:rFonts w:ascii="標楷體" w:eastAsia="標楷體" w:hAnsi="標楷體" w:cs="BiauKaiTC Regular"/>
                                <w:color w:val="000000"/>
                                <w:kern w:val="0"/>
                                <w:sz w:val="20"/>
                              </w:rPr>
                              <w:t>12</w:t>
                            </w:r>
                          </w:p>
                        </w:tc>
                        <w:tc>
                          <w:tcPr>
                            <w:tcW w:w="851" w:type="dxa"/>
                            <w:tcBorders>
                              <w:bottom w:val="single" w:sz="4" w:space="0" w:color="auto"/>
                            </w:tcBorders>
                            <w:shd w:val="clear" w:color="auto" w:fill="auto"/>
                          </w:tcPr>
                          <w:p w14:paraId="6E2D3D51"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226</w:t>
                            </w:r>
                          </w:p>
                        </w:tc>
                        <w:tc>
                          <w:tcPr>
                            <w:tcW w:w="850" w:type="dxa"/>
                            <w:tcBorders>
                              <w:bottom w:val="single" w:sz="4" w:space="0" w:color="auto"/>
                            </w:tcBorders>
                            <w:shd w:val="clear" w:color="auto" w:fill="auto"/>
                          </w:tcPr>
                          <w:p w14:paraId="58962C7C"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96</w:t>
                            </w:r>
                          </w:p>
                        </w:tc>
                        <w:tc>
                          <w:tcPr>
                            <w:tcW w:w="781" w:type="dxa"/>
                            <w:tcBorders>
                              <w:bottom w:val="single" w:sz="4" w:space="0" w:color="auto"/>
                            </w:tcBorders>
                            <w:shd w:val="clear" w:color="auto" w:fill="auto"/>
                          </w:tcPr>
                          <w:p w14:paraId="143565CB" w14:textId="77777777" w:rsidR="00AF3143" w:rsidRPr="00EF714F" w:rsidRDefault="00AF3143" w:rsidP="002530DA">
                            <w:pPr>
                              <w:overflowPunct w:val="0"/>
                              <w:spacing w:line="240" w:lineRule="exact"/>
                              <w:suppressOverlap/>
                              <w:jc w:val="right"/>
                              <w:textAlignment w:val="center"/>
                              <w:rPr>
                                <w:rFonts w:ascii="標楷體" w:eastAsia="標楷體" w:hAnsi="標楷體" w:cs="BiauKaiTC Regular"/>
                                <w:color w:val="000000"/>
                                <w:kern w:val="0"/>
                                <w:sz w:val="20"/>
                              </w:rPr>
                            </w:pPr>
                            <w:r w:rsidRPr="00EF714F">
                              <w:rPr>
                                <w:rFonts w:ascii="標楷體" w:eastAsia="標楷體" w:hAnsi="標楷體" w:cs="BiauKaiTC Regular" w:hint="eastAsia"/>
                                <w:color w:val="000000"/>
                                <w:kern w:val="0"/>
                                <w:sz w:val="20"/>
                              </w:rPr>
                              <w:t>130</w:t>
                            </w:r>
                          </w:p>
                        </w:tc>
                      </w:tr>
                      <w:tr w:rsidR="00AF3143" w:rsidRPr="00EF714F" w14:paraId="538D5C3F" w14:textId="77777777" w:rsidTr="002530DA">
                        <w:trPr>
                          <w:jc w:val="center"/>
                        </w:trPr>
                        <w:tc>
                          <w:tcPr>
                            <w:tcW w:w="6167" w:type="dxa"/>
                            <w:gridSpan w:val="7"/>
                            <w:tcBorders>
                              <w:left w:val="nil"/>
                              <w:bottom w:val="nil"/>
                              <w:right w:val="nil"/>
                            </w:tcBorders>
                            <w:shd w:val="clear" w:color="auto" w:fill="auto"/>
                          </w:tcPr>
                          <w:p w14:paraId="0757EF8B" w14:textId="77777777" w:rsidR="00AF3143" w:rsidRPr="00EF714F" w:rsidRDefault="00AF3143" w:rsidP="002530DA">
                            <w:pPr>
                              <w:overflowPunct w:val="0"/>
                              <w:spacing w:line="240" w:lineRule="exact"/>
                              <w:suppressOverlap/>
                              <w:textAlignment w:val="center"/>
                              <w:rPr>
                                <w:rFonts w:ascii="標楷體" w:eastAsia="標楷體" w:hAnsi="標楷體" w:cs="BiauKaiTC Regular"/>
                                <w:color w:val="000000"/>
                                <w:kern w:val="0"/>
                                <w:sz w:val="18"/>
                                <w:szCs w:val="18"/>
                              </w:rPr>
                            </w:pPr>
                            <w:r w:rsidRPr="00EF714F">
                              <w:rPr>
                                <w:rFonts w:ascii="標楷體" w:eastAsia="標楷體" w:hAnsi="標楷體" w:cs="BiauKaiTC Regular" w:hint="eastAsia"/>
                                <w:color w:val="000000"/>
                                <w:kern w:val="0"/>
                                <w:sz w:val="18"/>
                                <w:szCs w:val="18"/>
                              </w:rPr>
                              <w:t>資料來源：整理自核能安全委員會提供資料。</w:t>
                            </w:r>
                          </w:p>
                        </w:tc>
                      </w:tr>
                    </w:tbl>
                    <w:p w14:paraId="7118B1ED" w14:textId="77777777" w:rsidR="00AF3143" w:rsidRPr="002530DA" w:rsidRDefault="00AF3143" w:rsidP="00AF3143"/>
                  </w:txbxContent>
                </v:textbox>
                <w10:wrap type="square" anchorx="margin"/>
              </v:shape>
            </w:pict>
          </mc:Fallback>
        </mc:AlternateContent>
      </w:r>
      <w:r w:rsidR="00AA20DC" w:rsidRPr="006C46A6">
        <w:rPr>
          <w:rFonts w:ascii="標楷體" w:eastAsia="標楷體" w:hAnsi="標楷體" w:hint="eastAsia"/>
          <w:spacing w:val="-1"/>
          <w:szCs w:val="24"/>
        </w:rPr>
        <w:t>政府為防制游離輻射危害、確保輻射應用安全，於游離輻射防護法（下稱</w:t>
      </w:r>
      <w:proofErr w:type="gramStart"/>
      <w:r w:rsidR="00AA20DC" w:rsidRPr="006C46A6">
        <w:rPr>
          <w:rFonts w:ascii="標楷體" w:eastAsia="標楷體" w:hAnsi="標楷體" w:hint="eastAsia"/>
          <w:spacing w:val="-1"/>
          <w:szCs w:val="24"/>
        </w:rPr>
        <w:t>輻</w:t>
      </w:r>
      <w:proofErr w:type="gramEnd"/>
      <w:r w:rsidR="00AA20DC" w:rsidRPr="006C46A6">
        <w:rPr>
          <w:rFonts w:ascii="標楷體" w:eastAsia="標楷體" w:hAnsi="標楷體" w:hint="eastAsia"/>
          <w:spacing w:val="-1"/>
          <w:szCs w:val="24"/>
        </w:rPr>
        <w:t>防法）第7條第1項及第2項、第29條第1項及第2項、放射性物質與可發生游離輻射設備及輻射作業管理辦法第18條規定，設施經營者（經營輻射作業相關業務者）應依其輻射作業規模及性質，實施輻射防護作業，並擬定輻射防護計畫，報請主管機關（核能安全委員會，下稱核安會）核准後實施；使用應申請許可之密封放射性物質或可發生游離輻射設備者，應向核安會申請審查，經許可或發給許可證後，始得進行輻射作業。按「放射線照相檢驗」為非破壞檢測方法，於工業應用範圍廣泛，其檢驗方式得以移動式高風險輻射源（下稱高風險輻射源或放射性物質）或可發生游離輻射設備2種方式進行，屬上開法令規範之輻射作業，應依規定申請許可，並實施輻射防護作業。</w:t>
      </w:r>
      <w:proofErr w:type="gramStart"/>
      <w:r w:rsidR="00AA20DC" w:rsidRPr="006C46A6">
        <w:rPr>
          <w:rFonts w:ascii="標楷體" w:eastAsia="標楷體" w:hAnsi="標楷體" w:hint="eastAsia"/>
          <w:spacing w:val="-1"/>
          <w:szCs w:val="24"/>
        </w:rPr>
        <w:t>據核安</w:t>
      </w:r>
      <w:proofErr w:type="gramEnd"/>
      <w:r w:rsidR="00AA20DC" w:rsidRPr="006C46A6">
        <w:rPr>
          <w:rFonts w:ascii="標楷體" w:eastAsia="標楷體" w:hAnsi="標楷體" w:hint="eastAsia"/>
          <w:spacing w:val="-1"/>
          <w:szCs w:val="24"/>
        </w:rPr>
        <w:t>會統計，截至113年底止，國內從事放射線照相檢驗業者共計43家，經該會認可並核發使用許可證，分別為放射性物質173張、可發生游離輻射設備74張，近</w:t>
      </w:r>
      <w:proofErr w:type="gramStart"/>
      <w:r w:rsidR="00AA20DC" w:rsidRPr="006C46A6">
        <w:rPr>
          <w:rFonts w:ascii="標楷體" w:eastAsia="標楷體" w:hAnsi="標楷體" w:hint="eastAsia"/>
          <w:spacing w:val="-1"/>
          <w:szCs w:val="24"/>
        </w:rPr>
        <w:t>3</w:t>
      </w:r>
      <w:proofErr w:type="gramEnd"/>
      <w:r w:rsidR="00AA20DC" w:rsidRPr="006C46A6">
        <w:rPr>
          <w:rFonts w:ascii="標楷體" w:eastAsia="標楷體" w:hAnsi="標楷體" w:hint="eastAsia"/>
          <w:spacing w:val="-1"/>
          <w:szCs w:val="24"/>
        </w:rPr>
        <w:t>年</w:t>
      </w:r>
      <w:r w:rsidR="00523ACB">
        <w:rPr>
          <w:rFonts w:ascii="標楷體" w:eastAsia="標楷體" w:hAnsi="標楷體" w:hint="eastAsia"/>
          <w:spacing w:val="-1"/>
          <w:szCs w:val="24"/>
        </w:rPr>
        <w:t>度</w:t>
      </w:r>
      <w:r w:rsidR="00AA20DC" w:rsidRPr="006C46A6">
        <w:rPr>
          <w:rFonts w:ascii="標楷體" w:eastAsia="標楷體" w:hAnsi="標楷體" w:hint="eastAsia"/>
          <w:spacing w:val="-1"/>
          <w:szCs w:val="24"/>
        </w:rPr>
        <w:t>（111至113年</w:t>
      </w:r>
      <w:r w:rsidR="00523ACB">
        <w:rPr>
          <w:rFonts w:ascii="標楷體" w:eastAsia="標楷體" w:hAnsi="標楷體" w:hint="eastAsia"/>
          <w:spacing w:val="-1"/>
          <w:szCs w:val="24"/>
        </w:rPr>
        <w:t>度</w:t>
      </w:r>
      <w:r w:rsidR="00AA20DC" w:rsidRPr="006C46A6">
        <w:rPr>
          <w:rFonts w:ascii="標楷體" w:eastAsia="標楷體" w:hAnsi="標楷體" w:hint="eastAsia"/>
          <w:spacing w:val="-1"/>
          <w:szCs w:val="24"/>
        </w:rPr>
        <w:t>）每年執行放射線照相檢驗作業約9千餘件（表5</w:t>
      </w:r>
      <w:r w:rsidR="006E141C" w:rsidRPr="006C46A6">
        <w:rPr>
          <w:rFonts w:ascii="標楷體" w:eastAsia="標楷體" w:hAnsi="標楷體" w:hint="eastAsia"/>
          <w:spacing w:val="-1"/>
          <w:szCs w:val="24"/>
        </w:rPr>
        <w:t>5</w:t>
      </w:r>
      <w:r w:rsidR="00AA20DC" w:rsidRPr="006C46A6">
        <w:rPr>
          <w:rFonts w:ascii="標楷體" w:eastAsia="標楷體" w:hAnsi="標楷體" w:hint="eastAsia"/>
          <w:spacing w:val="-1"/>
          <w:szCs w:val="24"/>
        </w:rPr>
        <w:t>）。經查核安會執行放射線照相檢驗業輻射作業之管制與稽查，暨推動高風險輻射源科技監控模組之研發情形，核有下列事項：</w:t>
      </w:r>
    </w:p>
    <w:p w14:paraId="72D9C6B2" w14:textId="617235EB" w:rsidR="001F2BF2" w:rsidRDefault="00AA20DC" w:rsidP="00EE10A2">
      <w:pPr>
        <w:overflowPunct w:val="0"/>
        <w:spacing w:line="400" w:lineRule="exact"/>
        <w:ind w:firstLineChars="450" w:firstLine="1081"/>
        <w:jc w:val="both"/>
        <w:rPr>
          <w:rFonts w:ascii="標楷體" w:eastAsia="標楷體" w:hAnsi="標楷體"/>
          <w:szCs w:val="24"/>
        </w:rPr>
      </w:pPr>
      <w:r w:rsidRPr="00EE4FDC">
        <w:rPr>
          <w:rFonts w:ascii="標楷體" w:eastAsia="標楷體" w:hAnsi="標楷體" w:hint="eastAsia"/>
          <w:b/>
          <w:szCs w:val="24"/>
        </w:rPr>
        <w:lastRenderedPageBreak/>
        <w:t xml:space="preserve">1.　</w:t>
      </w:r>
      <w:r w:rsidRPr="00D37D41">
        <w:rPr>
          <w:rFonts w:ascii="標楷體" w:eastAsia="標楷體" w:hAnsi="標楷體" w:hint="eastAsia"/>
          <w:b/>
          <w:szCs w:val="24"/>
        </w:rPr>
        <w:t>現行放射線照相檢驗作業事前通報機制缺乏強制力，核安會執行放射線照相檢驗作業之稽查量能亦有提升空間</w:t>
      </w:r>
      <w:r w:rsidRPr="00EE4FDC">
        <w:rPr>
          <w:rFonts w:ascii="標楷體" w:eastAsia="標楷體" w:hAnsi="標楷體" w:hint="eastAsia"/>
          <w:b/>
          <w:szCs w:val="24"/>
        </w:rPr>
        <w:t>：</w:t>
      </w:r>
      <w:r w:rsidRPr="00FE0088">
        <w:rPr>
          <w:rFonts w:ascii="標楷體" w:eastAsia="標楷體" w:hAnsi="標楷體" w:hint="eastAsia"/>
          <w:szCs w:val="24"/>
        </w:rPr>
        <w:t>核安會為確保放射線照相檢驗作業安全，除規範放射線照相檢驗業者應依規定申請許可，並實施輻射防護作業外，另為協助事業單位招人承攬放射線照相檢驗業務時，維護事業單位及承攬操作人員與環境之輻射安全，於99年訂定「事業單位招人承攬放射線照相檢驗業務注意事項」，建議事業單位應執行自主管理措施，並得視作業狀況，向核安會通報施工資訊。</w:t>
      </w:r>
      <w:proofErr w:type="gramStart"/>
      <w:r w:rsidRPr="00FE0088">
        <w:rPr>
          <w:rFonts w:ascii="標楷體" w:eastAsia="標楷體" w:hAnsi="標楷體" w:hint="eastAsia"/>
          <w:szCs w:val="24"/>
        </w:rPr>
        <w:t>嗣</w:t>
      </w:r>
      <w:proofErr w:type="gramEnd"/>
      <w:r w:rsidRPr="00FE0088">
        <w:rPr>
          <w:rFonts w:ascii="標楷體" w:eastAsia="標楷體" w:hAnsi="標楷體" w:hint="eastAsia"/>
          <w:szCs w:val="24"/>
        </w:rPr>
        <w:t>108年媒體報導某非破壞檢測公司3名從事放射線照相檢驗作業人員，疑似因長期曝露高劑量輻射作業環境，導致</w:t>
      </w:r>
      <w:proofErr w:type="gramStart"/>
      <w:r w:rsidRPr="00FE0088">
        <w:rPr>
          <w:rFonts w:ascii="標楷體" w:eastAsia="標楷體" w:hAnsi="標楷體" w:hint="eastAsia"/>
          <w:szCs w:val="24"/>
        </w:rPr>
        <w:t>罹</w:t>
      </w:r>
      <w:proofErr w:type="gramEnd"/>
      <w:r w:rsidRPr="00FE0088">
        <w:rPr>
          <w:rFonts w:ascii="標楷體" w:eastAsia="標楷體" w:hAnsi="標楷體" w:hint="eastAsia"/>
          <w:szCs w:val="24"/>
        </w:rPr>
        <w:t>癌病逝之事件後，核安會為強化放射線照相檢驗作業之監管，於109年啟用輻射</w:t>
      </w:r>
      <w:proofErr w:type="gramStart"/>
      <w:r w:rsidRPr="00FE0088">
        <w:rPr>
          <w:rFonts w:ascii="標楷體" w:eastAsia="標楷體" w:hAnsi="標楷體" w:hint="eastAsia"/>
          <w:szCs w:val="24"/>
        </w:rPr>
        <w:t>防護雲化服務</w:t>
      </w:r>
      <w:proofErr w:type="gramEnd"/>
      <w:r w:rsidRPr="00FE0088">
        <w:rPr>
          <w:rFonts w:ascii="標楷體" w:eastAsia="標楷體" w:hAnsi="標楷體" w:hint="eastAsia"/>
          <w:szCs w:val="24"/>
        </w:rPr>
        <w:t>系統之施工通報平台，輔導放射線照相檢驗業者於執行放射線照相檢驗作業前，自主通報施工資訊，以掌握輻射作業概況，並不預警派員現場訪查。經查</w:t>
      </w:r>
      <w:r>
        <w:rPr>
          <w:rFonts w:ascii="標楷體" w:eastAsia="標楷體" w:hAnsi="標楷體" w:hint="eastAsia"/>
          <w:szCs w:val="24"/>
        </w:rPr>
        <w:t>，</w:t>
      </w:r>
      <w:r w:rsidRPr="00FE0088">
        <w:rPr>
          <w:rFonts w:ascii="標楷體" w:eastAsia="標楷體" w:hAnsi="標楷體" w:hint="eastAsia"/>
          <w:szCs w:val="24"/>
        </w:rPr>
        <w:t>核安會雖已推動上開2項通報機制，由事業單位（</w:t>
      </w:r>
      <w:proofErr w:type="gramStart"/>
      <w:r w:rsidRPr="00FE0088">
        <w:rPr>
          <w:rFonts w:ascii="標楷體" w:eastAsia="標楷體" w:hAnsi="標楷體" w:hint="eastAsia"/>
          <w:szCs w:val="24"/>
        </w:rPr>
        <w:t>定作</w:t>
      </w:r>
      <w:proofErr w:type="gramEnd"/>
      <w:r w:rsidRPr="00FE0088">
        <w:rPr>
          <w:rFonts w:ascii="標楷體" w:eastAsia="標楷體" w:hAnsi="標楷體" w:hint="eastAsia"/>
          <w:szCs w:val="24"/>
        </w:rPr>
        <w:t>人，即業主）及放射線照相檢驗業者（承攬人）自主通報，惟因通報機制屬行政指導性質，缺乏強制力，致無法約束事業單位及放射線照相檢驗業者確實通報</w:t>
      </w:r>
      <w:r>
        <w:rPr>
          <w:rFonts w:ascii="標楷體" w:eastAsia="標楷體" w:hAnsi="標楷體" w:hint="eastAsia"/>
          <w:szCs w:val="24"/>
        </w:rPr>
        <w:t>檢驗</w:t>
      </w:r>
      <w:r w:rsidRPr="00FE0088">
        <w:rPr>
          <w:rFonts w:ascii="標楷體" w:eastAsia="標楷體" w:hAnsi="標楷體" w:hint="eastAsia"/>
          <w:szCs w:val="24"/>
        </w:rPr>
        <w:t>作業資訊。復查</w:t>
      </w:r>
      <w:r>
        <w:rPr>
          <w:rFonts w:ascii="標楷體" w:eastAsia="標楷體" w:hAnsi="標楷體" w:hint="eastAsia"/>
          <w:szCs w:val="24"/>
        </w:rPr>
        <w:t>，</w:t>
      </w:r>
      <w:r w:rsidRPr="00FE0088">
        <w:rPr>
          <w:rFonts w:ascii="標楷體" w:eastAsia="標楷體" w:hAnsi="標楷體" w:hint="eastAsia"/>
          <w:szCs w:val="24"/>
        </w:rPr>
        <w:t>108年爆發放射線照相檢驗作業人員</w:t>
      </w:r>
      <w:proofErr w:type="gramStart"/>
      <w:r w:rsidRPr="00FE0088">
        <w:rPr>
          <w:rFonts w:ascii="標楷體" w:eastAsia="標楷體" w:hAnsi="標楷體" w:hint="eastAsia"/>
          <w:szCs w:val="24"/>
        </w:rPr>
        <w:t>罹</w:t>
      </w:r>
      <w:proofErr w:type="gramEnd"/>
      <w:r w:rsidRPr="00FE0088">
        <w:rPr>
          <w:rFonts w:ascii="標楷體" w:eastAsia="標楷體" w:hAnsi="標楷體" w:hint="eastAsia"/>
          <w:szCs w:val="24"/>
        </w:rPr>
        <w:t>癌病逝事件後，核安會為強化放射線照相檢驗作業之安全管制，依據</w:t>
      </w:r>
      <w:proofErr w:type="gramStart"/>
      <w:r w:rsidRPr="00FE0088">
        <w:rPr>
          <w:rFonts w:ascii="標楷體" w:eastAsia="標楷體" w:hAnsi="標楷體" w:hint="eastAsia"/>
          <w:szCs w:val="24"/>
        </w:rPr>
        <w:t>輻</w:t>
      </w:r>
      <w:proofErr w:type="gramEnd"/>
      <w:r w:rsidRPr="00FE0088">
        <w:rPr>
          <w:rFonts w:ascii="標楷體" w:eastAsia="標楷體" w:hAnsi="標楷體" w:hint="eastAsia"/>
          <w:szCs w:val="24"/>
        </w:rPr>
        <w:t>防法第11條第1項規定，擴大執行放射線照相檢驗</w:t>
      </w:r>
      <w:r>
        <w:rPr>
          <w:rFonts w:ascii="標楷體" w:eastAsia="標楷體" w:hAnsi="標楷體" w:hint="eastAsia"/>
          <w:szCs w:val="24"/>
        </w:rPr>
        <w:t>作</w:t>
      </w:r>
      <w:r w:rsidRPr="00FE0088">
        <w:rPr>
          <w:rFonts w:ascii="標楷體" w:eastAsia="標楷體" w:hAnsi="標楷體" w:hint="eastAsia"/>
          <w:szCs w:val="24"/>
        </w:rPr>
        <w:t>業之例行性及</w:t>
      </w:r>
      <w:proofErr w:type="gramStart"/>
      <w:r w:rsidRPr="00FE0088">
        <w:rPr>
          <w:rFonts w:ascii="標楷體" w:eastAsia="標楷體" w:hAnsi="標楷體" w:hint="eastAsia"/>
          <w:szCs w:val="24"/>
        </w:rPr>
        <w:t>不</w:t>
      </w:r>
      <w:proofErr w:type="gramEnd"/>
      <w:r w:rsidRPr="00FE0088">
        <w:rPr>
          <w:rFonts w:ascii="標楷體" w:eastAsia="標楷體" w:hAnsi="標楷體" w:hint="eastAsia"/>
          <w:szCs w:val="24"/>
        </w:rPr>
        <w:t>預警檢查【部分不預警檢查作業係委託行政法人國家原子能科技研究院（下稱國原院）辦理】，惟由於核安會及國原院檢查人力有限，以</w:t>
      </w:r>
      <w:proofErr w:type="gramStart"/>
      <w:r w:rsidRPr="00FE0088">
        <w:rPr>
          <w:rFonts w:ascii="標楷體" w:eastAsia="標楷體" w:hAnsi="標楷體" w:hint="eastAsia"/>
          <w:szCs w:val="24"/>
        </w:rPr>
        <w:t>113</w:t>
      </w:r>
      <w:proofErr w:type="gramEnd"/>
      <w:r w:rsidRPr="00FE0088">
        <w:rPr>
          <w:rFonts w:ascii="標楷體" w:eastAsia="標楷體" w:hAnsi="標楷體" w:hint="eastAsia"/>
          <w:szCs w:val="24"/>
        </w:rPr>
        <w:t>年度為例，該會及國原院執行檢查業務人員共計24人（核安會4人、國原院20人），僅核安會1人為專責檢查人員，其餘人員尚須兼辦其他業務，致各年度檢查案量</w:t>
      </w:r>
      <w:r>
        <w:rPr>
          <w:rFonts w:ascii="標楷體" w:eastAsia="標楷體" w:hAnsi="標楷體" w:hint="eastAsia"/>
          <w:szCs w:val="24"/>
        </w:rPr>
        <w:t>有限</w:t>
      </w:r>
      <w:r w:rsidRPr="00FE0088">
        <w:rPr>
          <w:rFonts w:ascii="標楷體" w:eastAsia="標楷體" w:hAnsi="標楷體" w:hint="eastAsia"/>
          <w:szCs w:val="24"/>
        </w:rPr>
        <w:t>，</w:t>
      </w:r>
      <w:proofErr w:type="gramStart"/>
      <w:r w:rsidRPr="00FE0088">
        <w:rPr>
          <w:rFonts w:ascii="標楷體" w:eastAsia="標楷體" w:hAnsi="標楷體" w:hint="eastAsia"/>
          <w:szCs w:val="24"/>
        </w:rPr>
        <w:t>據核安</w:t>
      </w:r>
      <w:proofErr w:type="gramEnd"/>
      <w:r w:rsidRPr="00FE0088">
        <w:rPr>
          <w:rFonts w:ascii="標楷體" w:eastAsia="標楷體" w:hAnsi="標楷體" w:hint="eastAsia"/>
          <w:szCs w:val="24"/>
        </w:rPr>
        <w:t>會統計，111至113年度該會及國原院執行檢查件數分別僅220件、241件、226件，其中針對通報案件執行之</w:t>
      </w:r>
      <w:proofErr w:type="gramStart"/>
      <w:r w:rsidRPr="00FE0088">
        <w:rPr>
          <w:rFonts w:ascii="標楷體" w:eastAsia="標楷體" w:hAnsi="標楷體" w:hint="eastAsia"/>
          <w:szCs w:val="24"/>
        </w:rPr>
        <w:t>不</w:t>
      </w:r>
      <w:proofErr w:type="gramEnd"/>
      <w:r w:rsidRPr="00FE0088">
        <w:rPr>
          <w:rFonts w:ascii="標楷體" w:eastAsia="標楷體" w:hAnsi="標楷體" w:hint="eastAsia"/>
          <w:szCs w:val="24"/>
        </w:rPr>
        <w:t>預警檢查件數分別為121件、148件、130件（表</w:t>
      </w:r>
      <w:r w:rsidR="004E0EC8">
        <w:rPr>
          <w:rFonts w:ascii="標楷體" w:eastAsia="標楷體" w:hAnsi="標楷體" w:hint="eastAsia"/>
          <w:szCs w:val="24"/>
        </w:rPr>
        <w:t>55</w:t>
      </w:r>
      <w:r w:rsidRPr="00FE0088">
        <w:rPr>
          <w:rFonts w:ascii="標楷體" w:eastAsia="標楷體" w:hAnsi="標楷體" w:hint="eastAsia"/>
          <w:szCs w:val="24"/>
        </w:rPr>
        <w:t>），占各年度通報案</w:t>
      </w:r>
      <w:proofErr w:type="gramStart"/>
      <w:r w:rsidRPr="00FE0088">
        <w:rPr>
          <w:rFonts w:ascii="標楷體" w:eastAsia="標楷體" w:hAnsi="標楷體" w:hint="eastAsia"/>
          <w:szCs w:val="24"/>
        </w:rPr>
        <w:t>量均未及1成</w:t>
      </w:r>
      <w:proofErr w:type="gramEnd"/>
      <w:r w:rsidRPr="00FE0088">
        <w:rPr>
          <w:rFonts w:ascii="標楷體" w:eastAsia="標楷體" w:hAnsi="標楷體" w:hint="eastAsia"/>
          <w:szCs w:val="24"/>
        </w:rPr>
        <w:t>（1.31％、1.63％、1.44％），</w:t>
      </w:r>
      <w:r>
        <w:rPr>
          <w:rFonts w:ascii="標楷體" w:eastAsia="標楷體" w:hAnsi="標楷體" w:hint="eastAsia"/>
          <w:szCs w:val="24"/>
        </w:rPr>
        <w:t>恐</w:t>
      </w:r>
      <w:r w:rsidRPr="00FE0088">
        <w:rPr>
          <w:rFonts w:ascii="標楷體" w:eastAsia="標楷體" w:hAnsi="標楷體" w:hint="eastAsia"/>
          <w:szCs w:val="24"/>
        </w:rPr>
        <w:t>不易落實對放射線照相檢驗作業之監</w:t>
      </w:r>
      <w:r>
        <w:rPr>
          <w:rFonts w:ascii="標楷體" w:eastAsia="標楷體" w:hAnsi="標楷體" w:hint="eastAsia"/>
          <w:szCs w:val="24"/>
        </w:rPr>
        <w:t>管</w:t>
      </w:r>
      <w:r w:rsidRPr="00FE0088">
        <w:rPr>
          <w:rFonts w:ascii="標楷體" w:eastAsia="標楷體" w:hAnsi="標楷體" w:hint="eastAsia"/>
          <w:szCs w:val="24"/>
        </w:rPr>
        <w:t>。</w:t>
      </w:r>
      <w:r w:rsidRPr="00B12BA7">
        <w:rPr>
          <w:rFonts w:ascii="標楷體" w:eastAsia="標楷體" w:hAnsi="標楷體" w:hint="eastAsia"/>
          <w:szCs w:val="24"/>
        </w:rPr>
        <w:t>按放射線照相檢驗作業潛在輻射安全風險，依據</w:t>
      </w:r>
      <w:proofErr w:type="gramStart"/>
      <w:r w:rsidRPr="00B12BA7">
        <w:rPr>
          <w:rFonts w:ascii="標楷體" w:eastAsia="標楷體" w:hAnsi="標楷體" w:hint="eastAsia"/>
          <w:szCs w:val="24"/>
        </w:rPr>
        <w:t>112</w:t>
      </w:r>
      <w:proofErr w:type="gramEnd"/>
      <w:r w:rsidRPr="00B12BA7">
        <w:rPr>
          <w:rFonts w:ascii="標楷體" w:eastAsia="標楷體" w:hAnsi="標楷體" w:hint="eastAsia"/>
          <w:szCs w:val="24"/>
        </w:rPr>
        <w:t>年度全國輻射工作人員劑量資料統計年報，國內</w:t>
      </w:r>
      <w:proofErr w:type="gramStart"/>
      <w:r w:rsidRPr="00B12BA7">
        <w:rPr>
          <w:rFonts w:ascii="標楷體" w:eastAsia="標楷體" w:hAnsi="標楷體" w:hint="eastAsia"/>
          <w:szCs w:val="24"/>
        </w:rPr>
        <w:t>112</w:t>
      </w:r>
      <w:proofErr w:type="gramEnd"/>
      <w:r w:rsidRPr="00B12BA7">
        <w:rPr>
          <w:rFonts w:ascii="標楷體" w:eastAsia="標楷體" w:hAnsi="標楷體" w:hint="eastAsia"/>
          <w:szCs w:val="24"/>
        </w:rPr>
        <w:t>年度工業用類輻射從業人員計24,639人，有</w:t>
      </w:r>
      <w:proofErr w:type="gramStart"/>
      <w:r w:rsidRPr="00B12BA7">
        <w:rPr>
          <w:rFonts w:ascii="標楷體" w:eastAsia="標楷體" w:hAnsi="標楷體" w:hint="eastAsia"/>
          <w:szCs w:val="24"/>
        </w:rPr>
        <w:t>劑量值者</w:t>
      </w:r>
      <w:proofErr w:type="gramEnd"/>
      <w:r w:rsidRPr="00B12BA7">
        <w:rPr>
          <w:rFonts w:ascii="標楷體" w:eastAsia="標楷體" w:hAnsi="標楷體" w:hint="eastAsia"/>
          <w:szCs w:val="24"/>
        </w:rPr>
        <w:t>525人（平均劑量值1.26毫西</w:t>
      </w:r>
      <w:proofErr w:type="gramStart"/>
      <w:r w:rsidRPr="00B12BA7">
        <w:rPr>
          <w:rFonts w:ascii="標楷體" w:eastAsia="標楷體" w:hAnsi="標楷體" w:hint="eastAsia"/>
          <w:szCs w:val="24"/>
        </w:rPr>
        <w:t>弗</w:t>
      </w:r>
      <w:proofErr w:type="gramEnd"/>
      <w:r w:rsidRPr="00B12BA7">
        <w:rPr>
          <w:rFonts w:ascii="標楷體" w:eastAsia="標楷體" w:hAnsi="標楷體" w:hint="eastAsia"/>
          <w:szCs w:val="24"/>
        </w:rPr>
        <w:t>），其中工業放射照相從業人員計1,059人，有</w:t>
      </w:r>
      <w:proofErr w:type="gramStart"/>
      <w:r w:rsidRPr="00B12BA7">
        <w:rPr>
          <w:rFonts w:ascii="標楷體" w:eastAsia="標楷體" w:hAnsi="標楷體" w:hint="eastAsia"/>
          <w:szCs w:val="24"/>
        </w:rPr>
        <w:t>劑量值者達</w:t>
      </w:r>
      <w:proofErr w:type="gramEnd"/>
      <w:r w:rsidRPr="00B12BA7">
        <w:rPr>
          <w:rFonts w:ascii="標楷體" w:eastAsia="標楷體" w:hAnsi="標楷體" w:hint="eastAsia"/>
          <w:szCs w:val="24"/>
        </w:rPr>
        <w:t>237人（平均劑量2.15毫西</w:t>
      </w:r>
      <w:proofErr w:type="gramStart"/>
      <w:r w:rsidRPr="00B12BA7">
        <w:rPr>
          <w:rFonts w:ascii="標楷體" w:eastAsia="標楷體" w:hAnsi="標楷體" w:hint="eastAsia"/>
          <w:szCs w:val="24"/>
        </w:rPr>
        <w:t>弗</w:t>
      </w:r>
      <w:proofErr w:type="gramEnd"/>
      <w:r w:rsidRPr="00B12BA7">
        <w:rPr>
          <w:rFonts w:ascii="標楷體" w:eastAsia="標楷體" w:hAnsi="標楷體" w:hint="eastAsia"/>
          <w:szCs w:val="24"/>
        </w:rPr>
        <w:t>），占工業用類輻射全體從業人員有劑量值人數之45.14％，且該等人員平均劑量值（2.15毫西</w:t>
      </w:r>
      <w:proofErr w:type="gramStart"/>
      <w:r w:rsidRPr="00B12BA7">
        <w:rPr>
          <w:rFonts w:ascii="標楷體" w:eastAsia="標楷體" w:hAnsi="標楷體" w:hint="eastAsia"/>
          <w:szCs w:val="24"/>
        </w:rPr>
        <w:t>弗</w:t>
      </w:r>
      <w:proofErr w:type="gramEnd"/>
      <w:r w:rsidRPr="00B12BA7">
        <w:rPr>
          <w:rFonts w:ascii="標楷體" w:eastAsia="標楷體" w:hAnsi="標楷體" w:hint="eastAsia"/>
          <w:szCs w:val="24"/>
        </w:rPr>
        <w:t>）居工業用類各產業第二，僅低於工業照射從業人員，顯示該等產業勞工為輻射曝露之高風險族群。為落實高風險輻射源作業場域之輻射安全管制，</w:t>
      </w:r>
      <w:r>
        <w:rPr>
          <w:rFonts w:ascii="標楷體" w:eastAsia="標楷體" w:hAnsi="標楷體" w:hint="eastAsia"/>
          <w:szCs w:val="24"/>
        </w:rPr>
        <w:t>經</w:t>
      </w:r>
      <w:proofErr w:type="gramStart"/>
      <w:r>
        <w:rPr>
          <w:rFonts w:ascii="標楷體" w:eastAsia="標楷體" w:hAnsi="標楷體" w:hint="eastAsia"/>
          <w:szCs w:val="24"/>
        </w:rPr>
        <w:t>函請核安</w:t>
      </w:r>
      <w:proofErr w:type="gramEnd"/>
      <w:r>
        <w:rPr>
          <w:rFonts w:ascii="標楷體" w:eastAsia="標楷體" w:hAnsi="標楷體" w:hint="eastAsia"/>
          <w:szCs w:val="24"/>
        </w:rPr>
        <w:t>會</w:t>
      </w:r>
      <w:proofErr w:type="gramStart"/>
      <w:r w:rsidRPr="00B12BA7">
        <w:rPr>
          <w:rFonts w:ascii="標楷體" w:eastAsia="標楷體" w:hAnsi="標楷體" w:hint="eastAsia"/>
          <w:szCs w:val="24"/>
        </w:rPr>
        <w:t>研</w:t>
      </w:r>
      <w:proofErr w:type="gramEnd"/>
      <w:r>
        <w:rPr>
          <w:rFonts w:ascii="標楷體" w:eastAsia="標楷體" w:hAnsi="標楷體" w:hint="eastAsia"/>
          <w:szCs w:val="24"/>
        </w:rPr>
        <w:t>謀</w:t>
      </w:r>
      <w:r w:rsidRPr="00B12BA7">
        <w:rPr>
          <w:rFonts w:ascii="標楷體" w:eastAsia="標楷體" w:hAnsi="標楷體" w:hint="eastAsia"/>
          <w:szCs w:val="24"/>
        </w:rPr>
        <w:t>強化放射線照相檢驗作業事前通報機制之強制力，並</w:t>
      </w:r>
      <w:proofErr w:type="gramStart"/>
      <w:r w:rsidRPr="00B12BA7">
        <w:rPr>
          <w:rFonts w:ascii="標楷體" w:eastAsia="標楷體" w:hAnsi="標楷體" w:hint="eastAsia"/>
          <w:szCs w:val="24"/>
        </w:rPr>
        <w:t>研</w:t>
      </w:r>
      <w:proofErr w:type="gramEnd"/>
      <w:r w:rsidRPr="00B12BA7">
        <w:rPr>
          <w:rFonts w:ascii="標楷體" w:eastAsia="標楷體" w:hAnsi="標楷體" w:hint="eastAsia"/>
          <w:szCs w:val="24"/>
        </w:rPr>
        <w:t>議擴大檢查量能之可行性，以確保作業場域及從業人員之輻射安全。</w:t>
      </w:r>
      <w:r w:rsidRPr="00EE4FDC">
        <w:rPr>
          <w:rFonts w:ascii="標楷體" w:eastAsia="標楷體" w:hAnsi="標楷體" w:hint="eastAsia"/>
          <w:szCs w:val="24"/>
        </w:rPr>
        <w:t>據復：</w:t>
      </w:r>
      <w:r w:rsidRPr="00B12BA7">
        <w:rPr>
          <w:rFonts w:ascii="標楷體" w:eastAsia="標楷體" w:hAnsi="標楷體" w:hint="eastAsia"/>
          <w:szCs w:val="24"/>
        </w:rPr>
        <w:t>1.為強化放射線照相檢驗業者之輻射安全管制，將</w:t>
      </w:r>
      <w:proofErr w:type="gramStart"/>
      <w:r w:rsidRPr="00B12BA7">
        <w:rPr>
          <w:rFonts w:ascii="標楷體" w:eastAsia="標楷體" w:hAnsi="標楷體" w:hint="eastAsia"/>
          <w:szCs w:val="24"/>
        </w:rPr>
        <w:t>研</w:t>
      </w:r>
      <w:proofErr w:type="gramEnd"/>
      <w:r w:rsidRPr="00B12BA7">
        <w:rPr>
          <w:rFonts w:ascii="標楷體" w:eastAsia="標楷體" w:hAnsi="標楷體" w:hint="eastAsia"/>
          <w:szCs w:val="24"/>
        </w:rPr>
        <w:t>議強化事前通報機制之規劃事宜，</w:t>
      </w:r>
      <w:r>
        <w:rPr>
          <w:rFonts w:ascii="標楷體" w:eastAsia="標楷體" w:hAnsi="標楷體" w:hint="eastAsia"/>
          <w:szCs w:val="24"/>
        </w:rPr>
        <w:t>以</w:t>
      </w:r>
      <w:r w:rsidRPr="00B12BA7">
        <w:rPr>
          <w:rFonts w:ascii="標楷體" w:eastAsia="標楷體" w:hAnsi="標楷體" w:hint="eastAsia"/>
          <w:szCs w:val="24"/>
        </w:rPr>
        <w:t>督促業者落實遵循</w:t>
      </w:r>
      <w:r>
        <w:rPr>
          <w:rFonts w:ascii="標楷體" w:eastAsia="標楷體" w:hAnsi="標楷體" w:hint="eastAsia"/>
          <w:szCs w:val="24"/>
        </w:rPr>
        <w:t>；2.該</w:t>
      </w:r>
      <w:r w:rsidRPr="00B12BA7">
        <w:rPr>
          <w:rFonts w:ascii="標楷體" w:eastAsia="標楷體" w:hAnsi="標楷體" w:hint="eastAsia"/>
          <w:szCs w:val="24"/>
        </w:rPr>
        <w:t>會每年均針對現有43家業者辦理年度輻射安全檢查，並自108年起辦理放射線照相檢驗作業現場</w:t>
      </w:r>
      <w:proofErr w:type="gramStart"/>
      <w:r w:rsidRPr="00B12BA7">
        <w:rPr>
          <w:rFonts w:ascii="標楷體" w:eastAsia="標楷體" w:hAnsi="標楷體" w:hint="eastAsia"/>
          <w:szCs w:val="24"/>
        </w:rPr>
        <w:t>不</w:t>
      </w:r>
      <w:proofErr w:type="gramEnd"/>
      <w:r w:rsidRPr="00B12BA7">
        <w:rPr>
          <w:rFonts w:ascii="標楷體" w:eastAsia="標楷體" w:hAnsi="標楷體" w:hint="eastAsia"/>
          <w:szCs w:val="24"/>
        </w:rPr>
        <w:t>預警檢查，每年檢查業者之涵蓋率已達</w:t>
      </w:r>
      <w:proofErr w:type="gramStart"/>
      <w:r w:rsidRPr="00B12BA7">
        <w:rPr>
          <w:rFonts w:ascii="標楷體" w:eastAsia="標楷體" w:hAnsi="標楷體" w:hint="eastAsia"/>
          <w:szCs w:val="24"/>
        </w:rPr>
        <w:t>9成</w:t>
      </w:r>
      <w:proofErr w:type="gramEnd"/>
      <w:r w:rsidRPr="00B12BA7">
        <w:rPr>
          <w:rFonts w:ascii="標楷體" w:eastAsia="標楷體" w:hAnsi="標楷體" w:hint="eastAsia"/>
          <w:szCs w:val="24"/>
        </w:rPr>
        <w:t>以上，考量整體輻</w:t>
      </w:r>
      <w:r>
        <w:rPr>
          <w:rFonts w:ascii="標楷體" w:eastAsia="標楷體" w:hAnsi="標楷體" w:hint="eastAsia"/>
          <w:szCs w:val="24"/>
        </w:rPr>
        <w:t>射</w:t>
      </w:r>
      <w:r w:rsidRPr="00B12BA7">
        <w:rPr>
          <w:rFonts w:ascii="標楷體" w:eastAsia="標楷體" w:hAnsi="標楷體" w:hint="eastAsia"/>
          <w:szCs w:val="24"/>
        </w:rPr>
        <w:t>安</w:t>
      </w:r>
      <w:r>
        <w:rPr>
          <w:rFonts w:ascii="標楷體" w:eastAsia="標楷體" w:hAnsi="標楷體" w:hint="eastAsia"/>
          <w:szCs w:val="24"/>
        </w:rPr>
        <w:t>全</w:t>
      </w:r>
      <w:r w:rsidRPr="00B12BA7">
        <w:rPr>
          <w:rFonts w:ascii="標楷體" w:eastAsia="標楷體" w:hAnsi="標楷體" w:hint="eastAsia"/>
          <w:szCs w:val="24"/>
        </w:rPr>
        <w:t>管制資源有限，將持續推動高風險輻射源科技監控相關計畫，並積極爭取預算，期透過科技輔助稽查提升管制效能</w:t>
      </w:r>
      <w:r w:rsidRPr="00EE4FDC">
        <w:rPr>
          <w:rFonts w:ascii="標楷體" w:eastAsia="標楷體" w:hAnsi="標楷體" w:hint="eastAsia"/>
          <w:szCs w:val="24"/>
        </w:rPr>
        <w:t>。</w:t>
      </w:r>
    </w:p>
    <w:p w14:paraId="20DB0AD4" w14:textId="4AA20576" w:rsidR="009F63CA" w:rsidRPr="001F2BF2" w:rsidRDefault="00AA20DC" w:rsidP="00EE10A2">
      <w:pPr>
        <w:overflowPunct w:val="0"/>
        <w:spacing w:line="400" w:lineRule="exact"/>
        <w:ind w:firstLineChars="450" w:firstLine="1081"/>
        <w:jc w:val="both"/>
        <w:rPr>
          <w:rFonts w:ascii="標楷體" w:eastAsia="標楷體" w:hAnsi="標楷體"/>
          <w:szCs w:val="24"/>
        </w:rPr>
      </w:pPr>
      <w:r w:rsidRPr="00EE4FDC">
        <w:rPr>
          <w:rFonts w:ascii="標楷體" w:eastAsia="標楷體" w:hAnsi="標楷體" w:hint="eastAsia"/>
          <w:b/>
          <w:szCs w:val="24"/>
        </w:rPr>
        <w:t xml:space="preserve">2.　</w:t>
      </w:r>
      <w:r w:rsidRPr="00D37D41">
        <w:rPr>
          <w:rFonts w:ascii="標楷體" w:eastAsia="標楷體" w:hAnsi="標楷體" w:hint="eastAsia"/>
          <w:b/>
          <w:szCs w:val="24"/>
        </w:rPr>
        <w:t>核安會委託國原院研發高風險輻射源科技監控模組，預計115年起陸續試辦小規模及區域性</w:t>
      </w:r>
      <w:proofErr w:type="gramStart"/>
      <w:r w:rsidRPr="00D37D41">
        <w:rPr>
          <w:rFonts w:ascii="標楷體" w:eastAsia="標楷體" w:hAnsi="標楷體" w:hint="eastAsia"/>
          <w:b/>
          <w:szCs w:val="24"/>
        </w:rPr>
        <w:t>場域高風險</w:t>
      </w:r>
      <w:proofErr w:type="gramEnd"/>
      <w:r w:rsidRPr="00D37D41">
        <w:rPr>
          <w:rFonts w:ascii="標楷體" w:eastAsia="標楷體" w:hAnsi="標楷體" w:hint="eastAsia"/>
          <w:b/>
          <w:szCs w:val="24"/>
        </w:rPr>
        <w:t>輻射源即時監控作業，惟</w:t>
      </w:r>
      <w:r w:rsidR="00E64388">
        <w:rPr>
          <w:rFonts w:ascii="標楷體" w:eastAsia="標楷體" w:hAnsi="標楷體" w:hint="eastAsia"/>
          <w:b/>
          <w:szCs w:val="24"/>
        </w:rPr>
        <w:t>尚待持續</w:t>
      </w:r>
      <w:r w:rsidRPr="00D37D41">
        <w:rPr>
          <w:rFonts w:ascii="標楷體" w:eastAsia="標楷體" w:hAnsi="標楷體" w:hint="eastAsia"/>
          <w:b/>
          <w:szCs w:val="24"/>
        </w:rPr>
        <w:t>研發</w:t>
      </w:r>
      <w:r w:rsidR="00E64388">
        <w:rPr>
          <w:rFonts w:ascii="標楷體" w:eastAsia="標楷體" w:hAnsi="標楷體" w:hint="eastAsia"/>
          <w:b/>
          <w:szCs w:val="24"/>
        </w:rPr>
        <w:t>測試及完備科技監控法制</w:t>
      </w:r>
      <w:r w:rsidRPr="00EE4FDC">
        <w:rPr>
          <w:rFonts w:ascii="標楷體" w:eastAsia="標楷體" w:hAnsi="標楷體" w:hint="eastAsia"/>
          <w:b/>
          <w:szCs w:val="24"/>
        </w:rPr>
        <w:t>：</w:t>
      </w:r>
      <w:r w:rsidRPr="00B12BA7">
        <w:rPr>
          <w:rFonts w:ascii="標楷體" w:eastAsia="標楷體" w:hAnsi="標楷體" w:hint="eastAsia"/>
          <w:szCs w:val="24"/>
        </w:rPr>
        <w:t>核安會為確保輻射應用安全，雖已依</w:t>
      </w:r>
      <w:proofErr w:type="gramStart"/>
      <w:r w:rsidRPr="00B12BA7">
        <w:rPr>
          <w:rFonts w:ascii="標楷體" w:eastAsia="標楷體" w:hAnsi="標楷體" w:hint="eastAsia"/>
          <w:szCs w:val="24"/>
        </w:rPr>
        <w:t>輻</w:t>
      </w:r>
      <w:proofErr w:type="gramEnd"/>
      <w:r w:rsidRPr="00B12BA7">
        <w:rPr>
          <w:rFonts w:ascii="標楷體" w:eastAsia="標楷體" w:hAnsi="標楷體" w:hint="eastAsia"/>
          <w:szCs w:val="24"/>
        </w:rPr>
        <w:t>防法相關規定，針對放射線照相檢驗作業</w:t>
      </w:r>
      <w:r>
        <w:rPr>
          <w:rFonts w:ascii="標楷體" w:eastAsia="標楷體" w:hAnsi="標楷體" w:hint="eastAsia"/>
          <w:szCs w:val="24"/>
        </w:rPr>
        <w:t>施</w:t>
      </w:r>
      <w:r w:rsidRPr="00B12BA7">
        <w:rPr>
          <w:rFonts w:ascii="標楷體" w:eastAsia="標楷體" w:hAnsi="標楷體" w:hint="eastAsia"/>
          <w:szCs w:val="24"/>
        </w:rPr>
        <w:t>以管制</w:t>
      </w:r>
      <w:r>
        <w:rPr>
          <w:rFonts w:ascii="標楷體" w:eastAsia="標楷體" w:hAnsi="標楷體" w:hint="eastAsia"/>
          <w:szCs w:val="24"/>
        </w:rPr>
        <w:t>與</w:t>
      </w:r>
      <w:r w:rsidRPr="00B12BA7">
        <w:rPr>
          <w:rFonts w:ascii="標楷體" w:eastAsia="標楷體" w:hAnsi="標楷體" w:hint="eastAsia"/>
          <w:szCs w:val="24"/>
        </w:rPr>
        <w:t>稽查，</w:t>
      </w:r>
      <w:r w:rsidRPr="00B12BA7">
        <w:rPr>
          <w:rFonts w:ascii="標楷體" w:eastAsia="標楷體" w:hAnsi="標楷體" w:hint="eastAsia"/>
          <w:szCs w:val="24"/>
        </w:rPr>
        <w:lastRenderedPageBreak/>
        <w:t>惟考量</w:t>
      </w:r>
      <w:r>
        <w:rPr>
          <w:rFonts w:ascii="標楷體" w:eastAsia="標楷體" w:hAnsi="標楷體" w:hint="eastAsia"/>
          <w:szCs w:val="24"/>
        </w:rPr>
        <w:t>目前</w:t>
      </w:r>
      <w:r w:rsidRPr="00B12BA7">
        <w:rPr>
          <w:rFonts w:ascii="標楷體" w:eastAsia="標楷體" w:hAnsi="標楷體" w:hint="eastAsia"/>
          <w:szCs w:val="24"/>
        </w:rPr>
        <w:t>放射線照相檢驗作業，主要</w:t>
      </w:r>
      <w:proofErr w:type="gramStart"/>
      <w:r w:rsidRPr="00B12BA7">
        <w:rPr>
          <w:rFonts w:ascii="標楷體" w:eastAsia="標楷體" w:hAnsi="標楷體" w:hint="eastAsia"/>
          <w:szCs w:val="24"/>
        </w:rPr>
        <w:t>採</w:t>
      </w:r>
      <w:proofErr w:type="gramEnd"/>
      <w:r w:rsidRPr="00B12BA7">
        <w:rPr>
          <w:rFonts w:ascii="標楷體" w:eastAsia="標楷體" w:hAnsi="標楷體" w:hint="eastAsia"/>
          <w:szCs w:val="24"/>
        </w:rPr>
        <w:t>機動性較高之高風險輻射源（即放射性物質）檢驗方式（</w:t>
      </w:r>
      <w:r w:rsidRPr="00B12BA7">
        <w:rPr>
          <w:rFonts w:ascii="標楷體" w:eastAsia="標楷體" w:hAnsi="標楷體"/>
          <w:szCs w:val="24"/>
        </w:rPr>
        <w:t>111</w:t>
      </w:r>
      <w:r w:rsidRPr="00B12BA7">
        <w:rPr>
          <w:rFonts w:ascii="標楷體" w:eastAsia="標楷體" w:hAnsi="標楷體" w:hint="eastAsia"/>
          <w:szCs w:val="24"/>
        </w:rPr>
        <w:t>至</w:t>
      </w:r>
      <w:r w:rsidRPr="00B12BA7">
        <w:rPr>
          <w:rFonts w:ascii="標楷體" w:eastAsia="標楷體" w:hAnsi="標楷體"/>
          <w:szCs w:val="24"/>
        </w:rPr>
        <w:t>113</w:t>
      </w:r>
      <w:r w:rsidRPr="00B12BA7">
        <w:rPr>
          <w:rFonts w:ascii="標楷體" w:eastAsia="標楷體" w:hAnsi="標楷體" w:hint="eastAsia"/>
          <w:szCs w:val="24"/>
        </w:rPr>
        <w:t>年度逾</w:t>
      </w:r>
      <w:proofErr w:type="gramStart"/>
      <w:r w:rsidRPr="00B12BA7">
        <w:rPr>
          <w:rFonts w:ascii="標楷體" w:eastAsia="標楷體" w:hAnsi="標楷體"/>
          <w:szCs w:val="24"/>
        </w:rPr>
        <w:t>9</w:t>
      </w:r>
      <w:r w:rsidRPr="00B12BA7">
        <w:rPr>
          <w:rFonts w:ascii="標楷體" w:eastAsia="標楷體" w:hAnsi="標楷體" w:hint="eastAsia"/>
          <w:szCs w:val="24"/>
        </w:rPr>
        <w:t>成</w:t>
      </w:r>
      <w:proofErr w:type="gramEnd"/>
      <w:r w:rsidRPr="00B12BA7">
        <w:rPr>
          <w:rFonts w:ascii="標楷體" w:eastAsia="標楷體" w:hAnsi="標楷體" w:hint="eastAsia"/>
          <w:szCs w:val="24"/>
        </w:rPr>
        <w:t>作業係</w:t>
      </w:r>
      <w:proofErr w:type="gramStart"/>
      <w:r w:rsidRPr="00B12BA7">
        <w:rPr>
          <w:rFonts w:ascii="標楷體" w:eastAsia="標楷體" w:hAnsi="標楷體" w:hint="eastAsia"/>
          <w:szCs w:val="24"/>
        </w:rPr>
        <w:t>採</w:t>
      </w:r>
      <w:proofErr w:type="gramEnd"/>
      <w:r w:rsidRPr="00B12BA7">
        <w:rPr>
          <w:rFonts w:ascii="標楷體" w:eastAsia="標楷體" w:hAnsi="標楷體" w:hint="eastAsia"/>
          <w:szCs w:val="24"/>
        </w:rPr>
        <w:t>放射性物質檢驗方式，表</w:t>
      </w:r>
      <w:r w:rsidR="0045034E">
        <w:rPr>
          <w:rFonts w:ascii="標楷體" w:eastAsia="標楷體" w:hAnsi="標楷體" w:hint="eastAsia"/>
          <w:szCs w:val="24"/>
        </w:rPr>
        <w:t>55</w:t>
      </w:r>
      <w:r w:rsidRPr="00B12BA7">
        <w:rPr>
          <w:rFonts w:ascii="標楷體" w:eastAsia="標楷體" w:hAnsi="標楷體" w:hint="eastAsia"/>
          <w:szCs w:val="24"/>
        </w:rPr>
        <w:t>），潛在輻射安全風險高，且該等作業多於夜間進行，施作場域及施作形式多元，較不易落實作業場域之監管與稽查，</w:t>
      </w:r>
      <w:proofErr w:type="gramStart"/>
      <w:r w:rsidRPr="00B12BA7">
        <w:rPr>
          <w:rFonts w:ascii="標楷體" w:eastAsia="標楷體" w:hAnsi="標楷體" w:hint="eastAsia"/>
          <w:szCs w:val="24"/>
        </w:rPr>
        <w:t>爰</w:t>
      </w:r>
      <w:proofErr w:type="gramEnd"/>
      <w:r w:rsidRPr="00B12BA7">
        <w:rPr>
          <w:rFonts w:ascii="標楷體" w:eastAsia="標楷體" w:hAnsi="標楷體" w:hint="eastAsia"/>
          <w:szCs w:val="24"/>
        </w:rPr>
        <w:t>參考美國及韓國對於高風險輻射源即時監管機制之推動經驗，</w:t>
      </w:r>
      <w:proofErr w:type="gramStart"/>
      <w:r w:rsidRPr="00B12BA7">
        <w:rPr>
          <w:rFonts w:ascii="標楷體" w:eastAsia="標楷體" w:hAnsi="標楷體" w:hint="eastAsia"/>
          <w:szCs w:val="24"/>
        </w:rPr>
        <w:t>研</w:t>
      </w:r>
      <w:proofErr w:type="gramEnd"/>
      <w:r w:rsidRPr="00B12BA7">
        <w:rPr>
          <w:rFonts w:ascii="標楷體" w:eastAsia="標楷體" w:hAnsi="標楷體" w:hint="eastAsia"/>
          <w:szCs w:val="24"/>
        </w:rPr>
        <w:t>擬</w:t>
      </w:r>
      <w:proofErr w:type="gramStart"/>
      <w:r w:rsidRPr="00B12BA7">
        <w:rPr>
          <w:rFonts w:ascii="標楷體" w:eastAsia="標楷體" w:hAnsi="標楷體" w:hint="eastAsia"/>
          <w:szCs w:val="24"/>
        </w:rPr>
        <w:t>輻</w:t>
      </w:r>
      <w:proofErr w:type="gramEnd"/>
      <w:r w:rsidRPr="00B12BA7">
        <w:rPr>
          <w:rFonts w:ascii="標楷體" w:eastAsia="標楷體" w:hAnsi="標楷體" w:hint="eastAsia"/>
          <w:szCs w:val="24"/>
        </w:rPr>
        <w:t>防法部分條文修正草案，立法規範高風險輻射源之追蹤管理，於</w:t>
      </w:r>
      <w:r w:rsidRPr="00B12BA7">
        <w:rPr>
          <w:rFonts w:ascii="標楷體" w:eastAsia="標楷體" w:hAnsi="標楷體"/>
          <w:szCs w:val="24"/>
        </w:rPr>
        <w:t>111</w:t>
      </w:r>
      <w:r w:rsidRPr="00B12BA7">
        <w:rPr>
          <w:rFonts w:ascii="標楷體" w:eastAsia="標楷體" w:hAnsi="標楷體" w:hint="eastAsia"/>
          <w:szCs w:val="24"/>
        </w:rPr>
        <w:t>年</w:t>
      </w:r>
      <w:r w:rsidRPr="00B12BA7">
        <w:rPr>
          <w:rFonts w:ascii="標楷體" w:eastAsia="標楷體" w:hAnsi="標楷體"/>
          <w:szCs w:val="24"/>
        </w:rPr>
        <w:t>12</w:t>
      </w:r>
      <w:r w:rsidRPr="00B12BA7">
        <w:rPr>
          <w:rFonts w:ascii="標楷體" w:eastAsia="標楷體" w:hAnsi="標楷體" w:hint="eastAsia"/>
          <w:szCs w:val="24"/>
        </w:rPr>
        <w:t>月函報行政院審查，另</w:t>
      </w:r>
      <w:r>
        <w:rPr>
          <w:rFonts w:ascii="標楷體" w:eastAsia="標楷體" w:hAnsi="標楷體" w:hint="eastAsia"/>
          <w:szCs w:val="24"/>
        </w:rPr>
        <w:t>由於</w:t>
      </w:r>
      <w:r w:rsidRPr="00B12BA7">
        <w:rPr>
          <w:rFonts w:ascii="標楷體" w:eastAsia="標楷體" w:hAnsi="標楷體" w:hint="eastAsia"/>
          <w:szCs w:val="24"/>
        </w:rPr>
        <w:t>目前國內外尚無商用放射性物質科技監控設備，</w:t>
      </w:r>
      <w:r>
        <w:rPr>
          <w:rFonts w:ascii="標楷體" w:eastAsia="標楷體" w:hAnsi="標楷體" w:hint="eastAsia"/>
          <w:szCs w:val="24"/>
        </w:rPr>
        <w:t>該會</w:t>
      </w:r>
      <w:proofErr w:type="gramStart"/>
      <w:r w:rsidRPr="00B12BA7">
        <w:rPr>
          <w:rFonts w:ascii="標楷體" w:eastAsia="標楷體" w:hAnsi="標楷體" w:hint="eastAsia"/>
          <w:szCs w:val="24"/>
        </w:rPr>
        <w:t>爰</w:t>
      </w:r>
      <w:proofErr w:type="gramEnd"/>
      <w:r w:rsidRPr="00B12BA7">
        <w:rPr>
          <w:rFonts w:ascii="標楷體" w:eastAsia="標楷體" w:hAnsi="標楷體" w:hint="eastAsia"/>
          <w:szCs w:val="24"/>
        </w:rPr>
        <w:t>於「原子能民生應用輻射安全管理躍</w:t>
      </w:r>
      <w:proofErr w:type="gramStart"/>
      <w:r w:rsidRPr="00B12BA7">
        <w:rPr>
          <w:rFonts w:ascii="標楷體" w:eastAsia="標楷體" w:hAnsi="標楷體" w:hint="eastAsia"/>
          <w:szCs w:val="24"/>
        </w:rPr>
        <w:t>昇</w:t>
      </w:r>
      <w:proofErr w:type="gramEnd"/>
      <w:r w:rsidRPr="00B12BA7">
        <w:rPr>
          <w:rFonts w:ascii="標楷體" w:eastAsia="標楷體" w:hAnsi="標楷體" w:hint="eastAsia"/>
          <w:szCs w:val="24"/>
        </w:rPr>
        <w:t>計畫</w:t>
      </w:r>
      <w:r w:rsidR="00EE5005" w:rsidRPr="00B12BA7">
        <w:rPr>
          <w:rFonts w:ascii="標楷體" w:eastAsia="標楷體" w:hAnsi="標楷體" w:hint="eastAsia"/>
          <w:szCs w:val="24"/>
        </w:rPr>
        <w:t>」</w:t>
      </w:r>
      <w:r w:rsidRPr="00B12BA7">
        <w:rPr>
          <w:rFonts w:ascii="標楷體" w:eastAsia="標楷體" w:hAnsi="標楷體" w:hint="eastAsia"/>
          <w:szCs w:val="24"/>
        </w:rPr>
        <w:t>（下稱躍</w:t>
      </w:r>
      <w:proofErr w:type="gramStart"/>
      <w:r w:rsidRPr="00B12BA7">
        <w:rPr>
          <w:rFonts w:ascii="標楷體" w:eastAsia="標楷體" w:hAnsi="標楷體" w:hint="eastAsia"/>
          <w:szCs w:val="24"/>
        </w:rPr>
        <w:t>昇</w:t>
      </w:r>
      <w:proofErr w:type="gramEnd"/>
      <w:r w:rsidRPr="00B12BA7">
        <w:rPr>
          <w:rFonts w:ascii="標楷體" w:eastAsia="標楷體" w:hAnsi="標楷體" w:hint="eastAsia"/>
          <w:szCs w:val="24"/>
        </w:rPr>
        <w:t>計畫）項下，推動高風險輻射源即時監控之前期整備作業，預</w:t>
      </w:r>
      <w:r>
        <w:rPr>
          <w:rFonts w:ascii="標楷體" w:eastAsia="標楷體" w:hAnsi="標楷體" w:hint="eastAsia"/>
          <w:szCs w:val="24"/>
        </w:rPr>
        <w:t>計</w:t>
      </w:r>
      <w:r w:rsidRPr="00B12BA7">
        <w:rPr>
          <w:rFonts w:ascii="標楷體" w:eastAsia="標楷體" w:hAnsi="標楷體" w:hint="eastAsia"/>
          <w:szCs w:val="24"/>
        </w:rPr>
        <w:t>投入經費8,690萬元，辦理包括：開發應用於高風險輻射源即時</w:t>
      </w:r>
      <w:proofErr w:type="gramStart"/>
      <w:r w:rsidRPr="00B12BA7">
        <w:rPr>
          <w:rFonts w:ascii="標楷體" w:eastAsia="標楷體" w:hAnsi="標楷體" w:hint="eastAsia"/>
          <w:szCs w:val="24"/>
        </w:rPr>
        <w:t>監控物聯網</w:t>
      </w:r>
      <w:proofErr w:type="gramEnd"/>
      <w:r w:rsidRPr="00B12BA7">
        <w:rPr>
          <w:rFonts w:ascii="標楷體" w:eastAsia="標楷體" w:hAnsi="標楷體" w:hint="eastAsia"/>
          <w:szCs w:val="24"/>
        </w:rPr>
        <w:t>原型機元件（下稱高風險輻射源科技監控模組），並完成實際場域運作測試，</w:t>
      </w:r>
      <w:proofErr w:type="gramStart"/>
      <w:r w:rsidRPr="00B12BA7">
        <w:rPr>
          <w:rFonts w:ascii="標楷體" w:eastAsia="標楷體" w:hAnsi="標楷體" w:hint="eastAsia"/>
          <w:szCs w:val="24"/>
        </w:rPr>
        <w:t>暨精進</w:t>
      </w:r>
      <w:proofErr w:type="gramEnd"/>
      <w:r w:rsidRPr="00B12BA7">
        <w:rPr>
          <w:rFonts w:ascii="標楷體" w:eastAsia="標楷體" w:hAnsi="標楷體" w:hint="eastAsia"/>
          <w:szCs w:val="24"/>
        </w:rPr>
        <w:t>放射線照相檢驗作業通報管理平台等。經查</w:t>
      </w:r>
      <w:r>
        <w:rPr>
          <w:rFonts w:ascii="標楷體" w:eastAsia="標楷體" w:hAnsi="標楷體" w:hint="eastAsia"/>
          <w:szCs w:val="24"/>
        </w:rPr>
        <w:t>，核安會於</w:t>
      </w:r>
      <w:r w:rsidRPr="00B12BA7">
        <w:rPr>
          <w:rFonts w:ascii="標楷體" w:eastAsia="標楷體" w:hAnsi="標楷體" w:hint="eastAsia"/>
          <w:szCs w:val="24"/>
        </w:rPr>
        <w:t>躍</w:t>
      </w:r>
      <w:proofErr w:type="gramStart"/>
      <w:r w:rsidRPr="00B12BA7">
        <w:rPr>
          <w:rFonts w:ascii="標楷體" w:eastAsia="標楷體" w:hAnsi="標楷體" w:hint="eastAsia"/>
          <w:szCs w:val="24"/>
        </w:rPr>
        <w:t>昇</w:t>
      </w:r>
      <w:proofErr w:type="gramEnd"/>
      <w:r w:rsidRPr="00B12BA7">
        <w:rPr>
          <w:rFonts w:ascii="標楷體" w:eastAsia="標楷體" w:hAnsi="標楷體" w:hint="eastAsia"/>
          <w:szCs w:val="24"/>
        </w:rPr>
        <w:t>計畫</w:t>
      </w:r>
      <w:r>
        <w:rPr>
          <w:rFonts w:ascii="標楷體" w:eastAsia="標楷體" w:hAnsi="標楷體" w:hint="eastAsia"/>
          <w:szCs w:val="24"/>
        </w:rPr>
        <w:t>委託國原院辦理</w:t>
      </w:r>
      <w:r w:rsidRPr="00B12BA7">
        <w:rPr>
          <w:rFonts w:ascii="標楷體" w:eastAsia="標楷體" w:hAnsi="標楷體" w:hint="eastAsia"/>
          <w:szCs w:val="24"/>
        </w:rPr>
        <w:t>高風險輻射源科技監控模組之研發，係運用3D掃描技術製作高風險輻射源之</w:t>
      </w:r>
      <w:proofErr w:type="gramStart"/>
      <w:r w:rsidRPr="00B12BA7">
        <w:rPr>
          <w:rFonts w:ascii="標楷體" w:eastAsia="標楷體" w:hAnsi="標楷體" w:hint="eastAsia"/>
          <w:szCs w:val="24"/>
        </w:rPr>
        <w:t>射源罐樣品</w:t>
      </w:r>
      <w:proofErr w:type="gramEnd"/>
      <w:r w:rsidRPr="00B12BA7">
        <w:rPr>
          <w:rFonts w:ascii="標楷體" w:eastAsia="標楷體" w:hAnsi="標楷體" w:hint="eastAsia"/>
          <w:szCs w:val="24"/>
        </w:rPr>
        <w:t>，依其</w:t>
      </w:r>
      <w:proofErr w:type="gramStart"/>
      <w:r w:rsidRPr="00B12BA7">
        <w:rPr>
          <w:rFonts w:ascii="標楷體" w:eastAsia="標楷體" w:hAnsi="標楷體" w:hint="eastAsia"/>
          <w:szCs w:val="24"/>
        </w:rPr>
        <w:t>射源罐樣品設計薄型化</w:t>
      </w:r>
      <w:proofErr w:type="gramEnd"/>
      <w:r w:rsidRPr="00B12BA7">
        <w:rPr>
          <w:rFonts w:ascii="標楷體" w:eastAsia="標楷體" w:hAnsi="標楷體" w:hint="eastAsia"/>
          <w:szCs w:val="24"/>
        </w:rPr>
        <w:t>GPS模組，並進行輻射耐受度測試，截至113年底止，已完成監控模組之設計及輻射影響評估。</w:t>
      </w:r>
      <w:proofErr w:type="gramStart"/>
      <w:r w:rsidRPr="00B12BA7">
        <w:rPr>
          <w:rFonts w:ascii="標楷體" w:eastAsia="標楷體" w:hAnsi="標楷體" w:hint="eastAsia"/>
          <w:szCs w:val="24"/>
        </w:rPr>
        <w:t>惟據核安</w:t>
      </w:r>
      <w:proofErr w:type="gramEnd"/>
      <w:r w:rsidRPr="00B12BA7">
        <w:rPr>
          <w:rFonts w:ascii="標楷體" w:eastAsia="標楷體" w:hAnsi="標楷體" w:hint="eastAsia"/>
          <w:szCs w:val="24"/>
        </w:rPr>
        <w:t>會113年參訪韓國輻射源科技監控技術之出國報告載述，</w:t>
      </w:r>
      <w:r>
        <w:rPr>
          <w:rFonts w:ascii="標楷體" w:eastAsia="標楷體" w:hAnsi="標楷體" w:hint="eastAsia"/>
          <w:szCs w:val="24"/>
        </w:rPr>
        <w:t>依</w:t>
      </w:r>
      <w:r w:rsidRPr="00B12BA7">
        <w:rPr>
          <w:rFonts w:ascii="標楷體" w:eastAsia="標楷體" w:hAnsi="標楷體" w:hint="eastAsia"/>
          <w:szCs w:val="24"/>
        </w:rPr>
        <w:t>韓國推動輻射源動態監控系統十餘年</w:t>
      </w:r>
      <w:r>
        <w:rPr>
          <w:rFonts w:ascii="標楷體" w:eastAsia="標楷體" w:hAnsi="標楷體" w:hint="eastAsia"/>
          <w:szCs w:val="24"/>
        </w:rPr>
        <w:t>之</w:t>
      </w:r>
      <w:r w:rsidRPr="00B12BA7">
        <w:rPr>
          <w:rFonts w:ascii="標楷體" w:eastAsia="標楷體" w:hAnsi="標楷體" w:hint="eastAsia"/>
          <w:szCs w:val="24"/>
        </w:rPr>
        <w:t>實作</w:t>
      </w:r>
      <w:r>
        <w:rPr>
          <w:rFonts w:ascii="標楷體" w:eastAsia="標楷體" w:hAnsi="標楷體" w:hint="eastAsia"/>
          <w:szCs w:val="24"/>
        </w:rPr>
        <w:t>經驗</w:t>
      </w:r>
      <w:r w:rsidRPr="00B12BA7">
        <w:rPr>
          <w:rFonts w:ascii="標楷體" w:eastAsia="標楷體" w:hAnsi="標楷體" w:hint="eastAsia"/>
          <w:szCs w:val="24"/>
        </w:rPr>
        <w:t>，發現追蹤器故障失效主因，包括：定位/狀態資訊異常、外殼損壞、螺絲及配件損壞等，另追蹤器之電池效能亦為關鍵議題；復據國原院「114年高風險輻射源科技監控技術</w:t>
      </w:r>
      <w:proofErr w:type="gramStart"/>
      <w:r w:rsidRPr="00B12BA7">
        <w:rPr>
          <w:rFonts w:ascii="標楷體" w:eastAsia="標楷體" w:hAnsi="標楷體" w:hint="eastAsia"/>
          <w:szCs w:val="24"/>
        </w:rPr>
        <w:t>研析及</w:t>
      </w:r>
      <w:proofErr w:type="gramEnd"/>
      <w:r w:rsidRPr="00B12BA7">
        <w:rPr>
          <w:rFonts w:ascii="標楷體" w:eastAsia="標楷體" w:hAnsi="標楷體" w:hint="eastAsia"/>
          <w:szCs w:val="24"/>
        </w:rPr>
        <w:t>放射線照相檢驗業之訪查與輔導」服務建議書載述，為提升系統可靠性，尚須針對系統薄弱環節進行測試與評估，包含：電源效能評估、監控模組震動評估、監控模組故障分析等，顯示國原院開發之高風險輻射源科技監控模組，尚有多處環節仍待持續分析測試，諸如：GPS定位通訊傳輸、追蹤器外殼及配件耐用度、電池效能與電源供應對於即時監控作業之影響等</w:t>
      </w:r>
      <w:r w:rsidRPr="00EE4FDC">
        <w:rPr>
          <w:rFonts w:ascii="標楷體" w:eastAsia="標楷體" w:hAnsi="標楷體" w:hint="eastAsia"/>
          <w:szCs w:val="24"/>
        </w:rPr>
        <w:t>。</w:t>
      </w:r>
      <w:r w:rsidRPr="00B12BA7">
        <w:rPr>
          <w:rFonts w:ascii="標楷體" w:eastAsia="標楷體" w:hAnsi="標楷體" w:hint="eastAsia"/>
          <w:szCs w:val="24"/>
        </w:rPr>
        <w:t>按</w:t>
      </w:r>
      <w:proofErr w:type="gramStart"/>
      <w:r w:rsidRPr="00B12BA7">
        <w:rPr>
          <w:rFonts w:ascii="標楷體" w:eastAsia="標楷體" w:hAnsi="標楷體" w:hint="eastAsia"/>
          <w:szCs w:val="24"/>
        </w:rPr>
        <w:t>輻</w:t>
      </w:r>
      <w:proofErr w:type="gramEnd"/>
      <w:r w:rsidRPr="00B12BA7">
        <w:rPr>
          <w:rFonts w:ascii="標楷體" w:eastAsia="標楷體" w:hAnsi="標楷體" w:hint="eastAsia"/>
          <w:szCs w:val="24"/>
        </w:rPr>
        <w:t>防法部分條文修正草案已將高風險輻射源導入科技監控追蹤管制等機制入法，另</w:t>
      </w:r>
      <w:r>
        <w:rPr>
          <w:rFonts w:ascii="標楷體" w:eastAsia="標楷體" w:hAnsi="標楷體" w:hint="eastAsia"/>
          <w:szCs w:val="24"/>
        </w:rPr>
        <w:t>躍</w:t>
      </w:r>
      <w:proofErr w:type="gramStart"/>
      <w:r>
        <w:rPr>
          <w:rFonts w:ascii="標楷體" w:eastAsia="標楷體" w:hAnsi="標楷體" w:hint="eastAsia"/>
          <w:szCs w:val="24"/>
        </w:rPr>
        <w:t>昇</w:t>
      </w:r>
      <w:proofErr w:type="gramEnd"/>
      <w:r>
        <w:rPr>
          <w:rFonts w:ascii="標楷體" w:eastAsia="標楷體" w:hAnsi="標楷體" w:hint="eastAsia"/>
          <w:szCs w:val="24"/>
        </w:rPr>
        <w:t>計畫推動</w:t>
      </w:r>
      <w:r w:rsidRPr="00B12BA7">
        <w:rPr>
          <w:rFonts w:ascii="標楷體" w:eastAsia="標楷體" w:hAnsi="標楷體" w:hint="eastAsia"/>
          <w:szCs w:val="24"/>
        </w:rPr>
        <w:t>建置高風險輻射源科技監控模組之期程，預計於</w:t>
      </w:r>
      <w:r w:rsidRPr="00B12BA7">
        <w:rPr>
          <w:rFonts w:ascii="標楷體" w:eastAsia="標楷體" w:hAnsi="標楷體"/>
          <w:szCs w:val="24"/>
        </w:rPr>
        <w:t>114</w:t>
      </w:r>
      <w:r w:rsidRPr="00B12BA7">
        <w:rPr>
          <w:rFonts w:ascii="標楷體" w:eastAsia="標楷體" w:hAnsi="標楷體" w:hint="eastAsia"/>
          <w:szCs w:val="24"/>
        </w:rPr>
        <w:t>年底完成先期研發，並自</w:t>
      </w:r>
      <w:r w:rsidRPr="00B12BA7">
        <w:rPr>
          <w:rFonts w:ascii="標楷體" w:eastAsia="標楷體" w:hAnsi="標楷體"/>
          <w:szCs w:val="24"/>
        </w:rPr>
        <w:t>115</w:t>
      </w:r>
      <w:r w:rsidRPr="00B12BA7">
        <w:rPr>
          <w:rFonts w:ascii="標楷體" w:eastAsia="標楷體" w:hAnsi="標楷體" w:hint="eastAsia"/>
          <w:szCs w:val="24"/>
        </w:rPr>
        <w:t>年起陸續試辦小規模及區域性場域輻射源即時監控作業</w:t>
      </w:r>
      <w:r>
        <w:rPr>
          <w:rFonts w:ascii="標楷體" w:eastAsia="標楷體" w:hAnsi="標楷體" w:hint="eastAsia"/>
          <w:szCs w:val="24"/>
        </w:rPr>
        <w:t>，</w:t>
      </w:r>
      <w:r w:rsidRPr="00B12BA7">
        <w:rPr>
          <w:rFonts w:ascii="標楷體" w:eastAsia="標楷體" w:hAnsi="標楷體" w:hint="eastAsia"/>
          <w:szCs w:val="24"/>
        </w:rPr>
        <w:t>為如期完成模組之開發測試與試辦作業，</w:t>
      </w:r>
      <w:r>
        <w:rPr>
          <w:rFonts w:ascii="標楷體" w:eastAsia="標楷體" w:hAnsi="標楷體" w:hint="eastAsia"/>
          <w:szCs w:val="24"/>
        </w:rPr>
        <w:t>並</w:t>
      </w:r>
      <w:r w:rsidRPr="00DE1D2B">
        <w:rPr>
          <w:rFonts w:ascii="標楷體" w:eastAsia="標楷體" w:hAnsi="標楷體" w:hint="eastAsia"/>
          <w:szCs w:val="24"/>
        </w:rPr>
        <w:t>配合</w:t>
      </w:r>
      <w:proofErr w:type="gramStart"/>
      <w:r w:rsidRPr="00DE1D2B">
        <w:rPr>
          <w:rFonts w:ascii="標楷體" w:eastAsia="標楷體" w:hAnsi="標楷體" w:hint="eastAsia"/>
          <w:szCs w:val="24"/>
        </w:rPr>
        <w:t>輻</w:t>
      </w:r>
      <w:proofErr w:type="gramEnd"/>
      <w:r w:rsidRPr="00DE1D2B">
        <w:rPr>
          <w:rFonts w:ascii="標楷體" w:eastAsia="標楷體" w:hAnsi="標楷體" w:hint="eastAsia"/>
          <w:szCs w:val="24"/>
        </w:rPr>
        <w:t>防法修法進程導入正式實施</w:t>
      </w:r>
      <w:r>
        <w:rPr>
          <w:rFonts w:ascii="標楷體" w:eastAsia="標楷體" w:hAnsi="標楷體" w:hint="eastAsia"/>
          <w:szCs w:val="24"/>
        </w:rPr>
        <w:t>，</w:t>
      </w:r>
      <w:r w:rsidRPr="00EE4FDC">
        <w:rPr>
          <w:rFonts w:ascii="標楷體" w:eastAsia="標楷體" w:hAnsi="標楷體" w:hint="eastAsia"/>
          <w:szCs w:val="24"/>
        </w:rPr>
        <w:t>經</w:t>
      </w:r>
      <w:proofErr w:type="gramStart"/>
      <w:r w:rsidRPr="00EE4FDC">
        <w:rPr>
          <w:rFonts w:ascii="標楷體" w:eastAsia="標楷體" w:hAnsi="標楷體" w:hint="eastAsia"/>
          <w:szCs w:val="24"/>
        </w:rPr>
        <w:t>函請</w:t>
      </w:r>
      <w:r>
        <w:rPr>
          <w:rFonts w:ascii="標楷體" w:eastAsia="標楷體" w:hAnsi="標楷體" w:hint="eastAsia"/>
          <w:szCs w:val="24"/>
        </w:rPr>
        <w:t>核安</w:t>
      </w:r>
      <w:proofErr w:type="gramEnd"/>
      <w:r w:rsidRPr="00EE4FDC">
        <w:rPr>
          <w:rFonts w:ascii="標楷體" w:eastAsia="標楷體" w:hAnsi="標楷體" w:hint="eastAsia"/>
          <w:szCs w:val="24"/>
        </w:rPr>
        <w:t>會</w:t>
      </w:r>
      <w:r w:rsidRPr="00B12BA7">
        <w:rPr>
          <w:rFonts w:ascii="標楷體" w:eastAsia="標楷體" w:hAnsi="標楷體" w:hint="eastAsia"/>
          <w:szCs w:val="24"/>
        </w:rPr>
        <w:t>加速推動修法，並督促國原院妥適規劃期程積極辦理，</w:t>
      </w:r>
      <w:proofErr w:type="gramStart"/>
      <w:r w:rsidRPr="00B12BA7">
        <w:rPr>
          <w:rFonts w:ascii="標楷體" w:eastAsia="標楷體" w:hAnsi="標楷體" w:hint="eastAsia"/>
          <w:szCs w:val="24"/>
        </w:rPr>
        <w:t>俾</w:t>
      </w:r>
      <w:proofErr w:type="gramEnd"/>
      <w:r w:rsidRPr="00B12BA7">
        <w:rPr>
          <w:rFonts w:ascii="標楷體" w:eastAsia="標楷體" w:hAnsi="標楷體" w:hint="eastAsia"/>
          <w:szCs w:val="24"/>
        </w:rPr>
        <w:t>順利研發適切我國放射線照相檢驗實務作業之監控原型機，有效提升高風險輻射源之管制效能</w:t>
      </w:r>
      <w:r w:rsidRPr="00EE4FDC">
        <w:rPr>
          <w:rFonts w:ascii="標楷體" w:eastAsia="標楷體" w:hAnsi="標楷體" w:hint="eastAsia"/>
          <w:szCs w:val="24"/>
        </w:rPr>
        <w:t>。據復：</w:t>
      </w:r>
      <w:r w:rsidRPr="00B12BA7">
        <w:rPr>
          <w:rFonts w:ascii="標楷體" w:eastAsia="標楷體" w:hAnsi="標楷體" w:hint="eastAsia"/>
          <w:szCs w:val="24"/>
        </w:rPr>
        <w:t>1.已於114年1月函請行政院將</w:t>
      </w:r>
      <w:proofErr w:type="gramStart"/>
      <w:r w:rsidRPr="00B12BA7">
        <w:rPr>
          <w:rFonts w:ascii="標楷體" w:eastAsia="標楷體" w:hAnsi="標楷體" w:hint="eastAsia"/>
          <w:szCs w:val="24"/>
        </w:rPr>
        <w:t>輻</w:t>
      </w:r>
      <w:proofErr w:type="gramEnd"/>
      <w:r w:rsidRPr="00B12BA7">
        <w:rPr>
          <w:rFonts w:ascii="標楷體" w:eastAsia="標楷體" w:hAnsi="標楷體" w:hint="eastAsia"/>
          <w:szCs w:val="24"/>
        </w:rPr>
        <w:t>防法部分條文修正草案列為本會期優先法案，並將積極辦理相關事宜，以加速推動修法進程</w:t>
      </w:r>
      <w:r>
        <w:rPr>
          <w:rFonts w:ascii="標楷體" w:eastAsia="標楷體" w:hAnsi="標楷體" w:hint="eastAsia"/>
          <w:szCs w:val="24"/>
        </w:rPr>
        <w:t>；2.</w:t>
      </w:r>
      <w:r w:rsidRPr="00CE13E1">
        <w:rPr>
          <w:rFonts w:ascii="標楷體" w:eastAsia="標楷體" w:hAnsi="標楷體" w:hint="eastAsia"/>
          <w:szCs w:val="24"/>
        </w:rPr>
        <w:t>將</w:t>
      </w:r>
      <w:r>
        <w:rPr>
          <w:rFonts w:ascii="標楷體" w:eastAsia="標楷體" w:hAnsi="標楷體" w:hint="eastAsia"/>
          <w:szCs w:val="24"/>
        </w:rPr>
        <w:t>督促國原院</w:t>
      </w:r>
      <w:r w:rsidRPr="00CE13E1">
        <w:rPr>
          <w:rFonts w:ascii="標楷體" w:eastAsia="標楷體" w:hAnsi="標楷體" w:hint="eastAsia"/>
          <w:szCs w:val="24"/>
        </w:rPr>
        <w:t>依躍</w:t>
      </w:r>
      <w:proofErr w:type="gramStart"/>
      <w:r w:rsidRPr="00CE13E1">
        <w:rPr>
          <w:rFonts w:ascii="標楷體" w:eastAsia="標楷體" w:hAnsi="標楷體" w:hint="eastAsia"/>
          <w:szCs w:val="24"/>
        </w:rPr>
        <w:t>昇</w:t>
      </w:r>
      <w:proofErr w:type="gramEnd"/>
      <w:r w:rsidRPr="00CE13E1">
        <w:rPr>
          <w:rFonts w:ascii="標楷體" w:eastAsia="標楷體" w:hAnsi="標楷體" w:hint="eastAsia"/>
          <w:szCs w:val="24"/>
        </w:rPr>
        <w:t>計畫規劃期程，完成監控裝置及平台建置、輻射耐受度測試、平台訊號接收測試、實務作業試行等前期整備作業，並按實際執行成效滾動檢討，以逐步推動輻射源科技監控及運送監管機制，提升輻射源保安及應變效能</w:t>
      </w:r>
      <w:r w:rsidRPr="00EE4FDC">
        <w:rPr>
          <w:rFonts w:ascii="標楷體" w:eastAsia="標楷體" w:hAnsi="標楷體" w:hint="eastAsia"/>
          <w:szCs w:val="24"/>
        </w:rPr>
        <w:t>。</w:t>
      </w:r>
    </w:p>
    <w:p w14:paraId="0E3B1E51" w14:textId="5403DAB0" w:rsidR="009F63CA" w:rsidRPr="006F289E" w:rsidRDefault="009F63CA" w:rsidP="00715CC2">
      <w:pPr>
        <w:pStyle w:val="affffff1"/>
        <w:spacing w:beforeLines="20" w:before="72" w:line="440" w:lineRule="exact"/>
        <w:ind w:firstLineChars="200" w:firstLine="561"/>
        <w:outlineLvl w:val="1"/>
      </w:pPr>
      <w:r w:rsidRPr="006F289E">
        <w:rPr>
          <w:rFonts w:hint="eastAsia"/>
        </w:rPr>
        <w:t>（</w:t>
      </w:r>
      <w:r w:rsidR="001F2BF2">
        <w:rPr>
          <w:rFonts w:hint="eastAsia"/>
        </w:rPr>
        <w:t>四十二</w:t>
      </w:r>
      <w:r w:rsidRPr="006F289E">
        <w:rPr>
          <w:rFonts w:hint="eastAsia"/>
        </w:rPr>
        <w:t xml:space="preserve">）　</w:t>
      </w:r>
      <w:r w:rsidR="00053DFC" w:rsidRPr="00053DFC">
        <w:rPr>
          <w:rFonts w:hint="eastAsia"/>
        </w:rPr>
        <w:t>國家運輸安全調查委員會為提升重大運輸事故調查時效，已增補調查人力並建置事故綜合管理系統，惟仍有調查報告逾期發布，影響後續改善措施執行進度，且部分改善建議事項列管多年仍未結案，允宜妥謀改善，</w:t>
      </w:r>
      <w:proofErr w:type="gramStart"/>
      <w:r w:rsidR="00053DFC" w:rsidRPr="00053DFC">
        <w:rPr>
          <w:rFonts w:hint="eastAsia"/>
        </w:rPr>
        <w:t>俾</w:t>
      </w:r>
      <w:proofErr w:type="gramEnd"/>
      <w:r w:rsidR="00053DFC" w:rsidRPr="00053DFC">
        <w:rPr>
          <w:rFonts w:hint="eastAsia"/>
        </w:rPr>
        <w:t>強化運輸安全機制，保障民眾交通安全。</w:t>
      </w:r>
    </w:p>
    <w:p w14:paraId="1582BFAF" w14:textId="3ABEE03D" w:rsidR="00225B8B" w:rsidRPr="00C55A72" w:rsidRDefault="00225B8B" w:rsidP="00225B8B">
      <w:pPr>
        <w:overflowPunct w:val="0"/>
        <w:spacing w:line="440" w:lineRule="exact"/>
        <w:ind w:firstLineChars="200" w:firstLine="480"/>
        <w:jc w:val="both"/>
        <w:rPr>
          <w:rFonts w:ascii="標楷體" w:eastAsia="標楷體" w:hAnsi="標楷體"/>
          <w:bCs/>
          <w:noProof/>
          <w:color w:val="0D0D0D"/>
        </w:rPr>
      </w:pPr>
      <w:r w:rsidRPr="00C55A72">
        <w:rPr>
          <w:rFonts w:ascii="標楷體" w:eastAsia="標楷體" w:hAnsi="標楷體" w:hint="eastAsia"/>
          <w:bCs/>
          <w:noProof/>
          <w:color w:val="0D0D0D"/>
        </w:rPr>
        <w:t>國家運輸安全調查委員會</w:t>
      </w:r>
      <w:r>
        <w:rPr>
          <w:rFonts w:ascii="標楷體" w:eastAsia="標楷體" w:hAnsi="標楷體" w:hint="eastAsia"/>
          <w:bCs/>
          <w:noProof/>
          <w:color w:val="0D0D0D"/>
        </w:rPr>
        <w:t>（</w:t>
      </w:r>
      <w:r w:rsidRPr="00C55A72">
        <w:rPr>
          <w:rFonts w:ascii="標楷體" w:eastAsia="標楷體" w:hAnsi="標楷體" w:hint="eastAsia"/>
          <w:bCs/>
          <w:noProof/>
          <w:color w:val="0D0D0D"/>
        </w:rPr>
        <w:t>下稱運安會</w:t>
      </w:r>
      <w:r>
        <w:rPr>
          <w:rFonts w:ascii="標楷體" w:eastAsia="標楷體" w:hAnsi="標楷體" w:hint="eastAsia"/>
          <w:bCs/>
          <w:noProof/>
          <w:color w:val="0D0D0D"/>
        </w:rPr>
        <w:t>）</w:t>
      </w:r>
      <w:r w:rsidRPr="00C55A72">
        <w:rPr>
          <w:rFonts w:ascii="標楷體" w:eastAsia="標楷體" w:hAnsi="標楷體" w:hint="eastAsia"/>
          <w:bCs/>
          <w:noProof/>
          <w:color w:val="0D0D0D"/>
        </w:rPr>
        <w:t>負責重大運輸事故通報處理、調查、肇因鑑定及分析工作，調查範圍由航空擴及鐵道、水路、公路之重大運輸事故，並依據國際民航公約第13</w:t>
      </w:r>
      <w:r w:rsidRPr="00C55A72">
        <w:rPr>
          <w:rFonts w:ascii="標楷體" w:eastAsia="標楷體" w:hAnsi="標楷體" w:hint="eastAsia"/>
          <w:bCs/>
          <w:noProof/>
          <w:color w:val="0D0D0D"/>
        </w:rPr>
        <w:lastRenderedPageBreak/>
        <w:t>號附約、國際海事組織海事調查章程、運輸事故調查法、交通部監理機關頒布之相關法規，執行運輸事故調查程序，提出運輸安全改善建議及追蹤後續改善情形等。經查運安會調查業務辦理情形，核有下列事項：</w:t>
      </w:r>
    </w:p>
    <w:p w14:paraId="336FBD3A" w14:textId="5CB19923" w:rsidR="00225B8B" w:rsidRDefault="00225B8B" w:rsidP="00715CC2">
      <w:pPr>
        <w:overflowPunct w:val="0"/>
        <w:spacing w:line="460" w:lineRule="exact"/>
        <w:ind w:firstLineChars="450" w:firstLine="1081"/>
        <w:jc w:val="both"/>
        <w:rPr>
          <w:rFonts w:ascii="標楷體" w:eastAsia="標楷體" w:hAnsi="標楷體"/>
        </w:rPr>
      </w:pPr>
      <w:r w:rsidRPr="009D11AD">
        <w:rPr>
          <w:rFonts w:ascii="標楷體" w:eastAsia="標楷體" w:hAnsi="標楷體" w:hint="eastAsia"/>
          <w:b/>
        </w:rPr>
        <w:t>1</w:t>
      </w:r>
      <w:r w:rsidRPr="009D11AD">
        <w:rPr>
          <w:rFonts w:ascii="標楷體" w:eastAsia="標楷體" w:hAnsi="標楷體"/>
          <w:b/>
        </w:rPr>
        <w:t>.</w:t>
      </w:r>
      <w:r w:rsidRPr="009D11AD">
        <w:rPr>
          <w:rFonts w:ascii="標楷體" w:eastAsia="標楷體" w:hAnsi="標楷體" w:hint="eastAsia"/>
          <w:b/>
        </w:rPr>
        <w:t xml:space="preserve">　</w:t>
      </w:r>
      <w:r w:rsidRPr="00C35FBD">
        <w:rPr>
          <w:rFonts w:ascii="標楷體" w:eastAsia="標楷體" w:hAnsi="標楷體" w:hint="eastAsia"/>
          <w:b/>
        </w:rPr>
        <w:t>運安會陸續增補調查人力及建立事故綜合管理系統，惟仍有調查案件報告逾期發布，影響改善措施執行進度情形</w:t>
      </w:r>
      <w:r w:rsidRPr="00C30430">
        <w:rPr>
          <w:rFonts w:ascii="標楷體" w:eastAsia="標楷體" w:hAnsi="標楷體" w:hint="eastAsia"/>
          <w:b/>
        </w:rPr>
        <w:t>：</w:t>
      </w:r>
      <w:r w:rsidRPr="00C35FBD">
        <w:rPr>
          <w:rFonts w:ascii="標楷體" w:eastAsia="標楷體" w:hAnsi="標楷體" w:hint="eastAsia"/>
          <w:bCs/>
        </w:rPr>
        <w:t>依據運輸事故調查法第2條規定，重大運輸事故指造成一定數量人員傷害、死亡或財物損害，或造成社會關注且經運安會認定之重大飛航、鐵道、水路及公路等事故。</w:t>
      </w:r>
      <w:proofErr w:type="gramStart"/>
      <w:r w:rsidRPr="00C35FBD">
        <w:rPr>
          <w:rFonts w:ascii="標楷體" w:eastAsia="標楷體" w:hAnsi="標楷體" w:hint="eastAsia"/>
          <w:bCs/>
        </w:rPr>
        <w:t>另依運安</w:t>
      </w:r>
      <w:proofErr w:type="gramEnd"/>
      <w:r w:rsidRPr="00C35FBD">
        <w:rPr>
          <w:rFonts w:ascii="標楷體" w:eastAsia="標楷體" w:hAnsi="標楷體" w:hint="eastAsia"/>
          <w:bCs/>
        </w:rPr>
        <w:t>會訂定之「風險管理及內部控制作業手冊」所揭「調查運輸事故各階段報告分級及辦理期限」，針對各類重大運輸事故類型、調查分級規範調查報告</w:t>
      </w:r>
      <w:r w:rsidR="009D443A">
        <w:rPr>
          <w:rFonts w:ascii="標楷體" w:eastAsia="標楷體" w:hAnsi="標楷體" w:hint="eastAsia"/>
          <w:bCs/>
        </w:rPr>
        <w:t>訂有</w:t>
      </w:r>
      <w:r w:rsidRPr="00C35FBD">
        <w:rPr>
          <w:rFonts w:ascii="標楷體" w:eastAsia="標楷體" w:hAnsi="標楷體" w:hint="eastAsia"/>
          <w:bCs/>
        </w:rPr>
        <w:t>辦理期限。</w:t>
      </w:r>
      <w:proofErr w:type="gramStart"/>
      <w:r w:rsidRPr="00C35FBD">
        <w:rPr>
          <w:rFonts w:ascii="標楷體" w:eastAsia="標楷體" w:hAnsi="標楷體" w:hint="eastAsia"/>
          <w:bCs/>
        </w:rPr>
        <w:t>經查運安</w:t>
      </w:r>
      <w:proofErr w:type="gramEnd"/>
      <w:r w:rsidRPr="00C35FBD">
        <w:rPr>
          <w:rFonts w:ascii="標楷體" w:eastAsia="標楷體" w:hAnsi="標楷體" w:hint="eastAsia"/>
          <w:bCs/>
        </w:rPr>
        <w:t>會已陸續增補各類重大運輸事故調查人力，並建置事故調查綜合管理系統，惟</w:t>
      </w:r>
      <w:proofErr w:type="gramStart"/>
      <w:r w:rsidRPr="00C35FBD">
        <w:rPr>
          <w:rFonts w:ascii="標楷體" w:eastAsia="標楷體" w:hAnsi="標楷體" w:hint="eastAsia"/>
          <w:bCs/>
        </w:rPr>
        <w:t>113</w:t>
      </w:r>
      <w:proofErr w:type="gramEnd"/>
      <w:r w:rsidRPr="00C35FBD">
        <w:rPr>
          <w:rFonts w:ascii="標楷體" w:eastAsia="標楷體" w:hAnsi="標楷體" w:hint="eastAsia"/>
          <w:bCs/>
        </w:rPr>
        <w:t>年度辦理結案者計25案，其中逾前揭規範辦理期限者計10案，顯示運安會針對重大運輸事故調查之相關內部控制執行仍未</w:t>
      </w:r>
      <w:proofErr w:type="gramStart"/>
      <w:r w:rsidRPr="00C35FBD">
        <w:rPr>
          <w:rFonts w:ascii="標楷體" w:eastAsia="標楷體" w:hAnsi="標楷體" w:hint="eastAsia"/>
          <w:bCs/>
        </w:rPr>
        <w:t>臻</w:t>
      </w:r>
      <w:proofErr w:type="gramEnd"/>
      <w:r w:rsidRPr="00C35FBD">
        <w:rPr>
          <w:rFonts w:ascii="標楷體" w:eastAsia="標楷體" w:hAnsi="標楷體" w:hint="eastAsia"/>
          <w:bCs/>
        </w:rPr>
        <w:t>確實，且近年雖增補調查人力及建置事故管理系統，逾期提出調查報告情形並未見有效改善。另我國電動車輛漸趨</w:t>
      </w:r>
      <w:proofErr w:type="gramStart"/>
      <w:r w:rsidRPr="00C35FBD">
        <w:rPr>
          <w:rFonts w:ascii="標楷體" w:eastAsia="標楷體" w:hAnsi="標楷體" w:hint="eastAsia"/>
          <w:bCs/>
        </w:rPr>
        <w:t>普及，</w:t>
      </w:r>
      <w:proofErr w:type="gramEnd"/>
      <w:r w:rsidRPr="00C35FBD">
        <w:rPr>
          <w:rFonts w:ascii="標楷體" w:eastAsia="標楷體" w:hAnsi="標楷體" w:hint="eastAsia"/>
          <w:bCs/>
        </w:rPr>
        <w:t>運安會雖已將新興運具事故納入調查範圍，惟相關重大事故調查案件尚未</w:t>
      </w:r>
      <w:proofErr w:type="gramStart"/>
      <w:r w:rsidRPr="00C35FBD">
        <w:rPr>
          <w:rFonts w:ascii="標楷體" w:eastAsia="標楷體" w:hAnsi="標楷體" w:hint="eastAsia"/>
          <w:bCs/>
        </w:rPr>
        <w:t>研</w:t>
      </w:r>
      <w:proofErr w:type="gramEnd"/>
      <w:r w:rsidRPr="00C35FBD">
        <w:rPr>
          <w:rFonts w:ascii="標楷體" w:eastAsia="標楷體" w:hAnsi="標楷體" w:hint="eastAsia"/>
          <w:bCs/>
        </w:rPr>
        <w:t>提改善計畫或仍處調查階段，為避免類同新興運具事故重複發生，經</w:t>
      </w:r>
      <w:proofErr w:type="gramStart"/>
      <w:r w:rsidRPr="00C35FBD">
        <w:rPr>
          <w:rFonts w:ascii="標楷體" w:eastAsia="標楷體" w:hAnsi="標楷體" w:hint="eastAsia"/>
          <w:bCs/>
        </w:rPr>
        <w:t>函請運安</w:t>
      </w:r>
      <w:proofErr w:type="gramEnd"/>
      <w:r w:rsidRPr="00C35FBD">
        <w:rPr>
          <w:rFonts w:ascii="標楷體" w:eastAsia="標楷體" w:hAnsi="標楷體" w:hint="eastAsia"/>
          <w:bCs/>
        </w:rPr>
        <w:t>會妥善調查事故肇因及風險因子，並善用調查期間運輸安全通告機制，適時建請權責機關針對高風險事項</w:t>
      </w:r>
      <w:proofErr w:type="gramStart"/>
      <w:r w:rsidRPr="00C35FBD">
        <w:rPr>
          <w:rFonts w:ascii="標楷體" w:eastAsia="標楷體" w:hAnsi="標楷體" w:hint="eastAsia"/>
          <w:bCs/>
        </w:rPr>
        <w:t>研</w:t>
      </w:r>
      <w:proofErr w:type="gramEnd"/>
      <w:r w:rsidRPr="00C35FBD">
        <w:rPr>
          <w:rFonts w:ascii="標楷體" w:eastAsia="標楷體" w:hAnsi="標楷體" w:hint="eastAsia"/>
          <w:bCs/>
        </w:rPr>
        <w:t>提因應措施。據復：已完成調查人員主次專長及各組支援需求之盤點，並成立跨組報告檢視支援小組，協助初稿審閱與修訂建議。另持續每月召開主任調查官會議，掌握案件進度與遭遇問題，並優化調查資訊系統，以強化掌握調查進度之效能</w:t>
      </w:r>
      <w:r w:rsidRPr="00CE57F9">
        <w:rPr>
          <w:rFonts w:ascii="標楷體" w:eastAsia="標楷體" w:hAnsi="標楷體" w:hint="eastAsia"/>
        </w:rPr>
        <w:t>。</w:t>
      </w:r>
    </w:p>
    <w:p w14:paraId="0D06BEDA" w14:textId="38E030E0" w:rsidR="009F63CA" w:rsidRPr="00225B8B" w:rsidRDefault="00225B8B" w:rsidP="00715CC2">
      <w:pPr>
        <w:overflowPunct w:val="0"/>
        <w:spacing w:line="444" w:lineRule="exact"/>
        <w:ind w:firstLineChars="450" w:firstLine="1081"/>
        <w:jc w:val="both"/>
        <w:rPr>
          <w:rFonts w:ascii="標楷體" w:eastAsia="標楷體" w:hAnsi="標楷體"/>
        </w:rPr>
      </w:pPr>
      <w:r w:rsidRPr="008E4AAF">
        <w:rPr>
          <w:rFonts w:ascii="標楷體" w:eastAsia="標楷體" w:hAnsi="標楷體" w:hint="eastAsia"/>
          <w:b/>
        </w:rPr>
        <w:t>2.　部分改善建議事項經列管多年遲未結案，有待妥為建立聯繫溝通機制，積極檢討癥結原因</w:t>
      </w:r>
      <w:proofErr w:type="gramStart"/>
      <w:r w:rsidRPr="008E4AAF">
        <w:rPr>
          <w:rFonts w:ascii="標楷體" w:eastAsia="標楷體" w:hAnsi="標楷體" w:hint="eastAsia"/>
          <w:b/>
        </w:rPr>
        <w:t>研謀善策</w:t>
      </w:r>
      <w:proofErr w:type="gramEnd"/>
      <w:r w:rsidRPr="008E4AAF">
        <w:rPr>
          <w:rFonts w:ascii="標楷體" w:eastAsia="標楷體" w:hAnsi="標楷體" w:hint="eastAsia"/>
          <w:b/>
        </w:rPr>
        <w:t>：</w:t>
      </w:r>
      <w:r w:rsidRPr="008E4AAF">
        <w:rPr>
          <w:rFonts w:ascii="標楷體" w:eastAsia="標楷體" w:hAnsi="標楷體" w:hint="eastAsia"/>
          <w:bCs/>
        </w:rPr>
        <w:t>依據運輸事故調查法第27條規定，政府有關機關（構）於收到運輸事故調查報告後90日內應向行政院提出處理報告，並</w:t>
      </w:r>
      <w:proofErr w:type="gramStart"/>
      <w:r w:rsidRPr="008E4AAF">
        <w:rPr>
          <w:rFonts w:ascii="標楷體" w:eastAsia="標楷體" w:hAnsi="標楷體" w:hint="eastAsia"/>
          <w:bCs/>
        </w:rPr>
        <w:t>副知運安</w:t>
      </w:r>
      <w:proofErr w:type="gramEnd"/>
      <w:r w:rsidRPr="008E4AAF">
        <w:rPr>
          <w:rFonts w:ascii="標楷體" w:eastAsia="標楷體" w:hAnsi="標楷體" w:hint="eastAsia"/>
          <w:bCs/>
        </w:rPr>
        <w:t>會；其中就運輸事故調查報告之運輸安全改善建議事項，認為可行者，</w:t>
      </w:r>
      <w:proofErr w:type="gramStart"/>
      <w:r w:rsidRPr="008E4AAF">
        <w:rPr>
          <w:rFonts w:ascii="標楷體" w:eastAsia="標楷體" w:hAnsi="標楷體" w:hint="eastAsia"/>
          <w:bCs/>
        </w:rPr>
        <w:t>應詳提具體</w:t>
      </w:r>
      <w:proofErr w:type="gramEnd"/>
      <w:r w:rsidRPr="008E4AAF">
        <w:rPr>
          <w:rFonts w:ascii="標楷體" w:eastAsia="標楷體" w:hAnsi="標楷體" w:hint="eastAsia"/>
          <w:bCs/>
        </w:rPr>
        <w:t>之分項執行計畫；認有窒礙難行者，亦應敘明理由。又依運輸事故調查處理報告分項執行計畫列管作業規定，各分項執行計畫之主協辦機關（構）應定期於每年1月及</w:t>
      </w:r>
      <w:proofErr w:type="gramStart"/>
      <w:r w:rsidRPr="008E4AAF">
        <w:rPr>
          <w:rFonts w:ascii="標楷體" w:eastAsia="標楷體" w:hAnsi="標楷體" w:hint="eastAsia"/>
          <w:bCs/>
        </w:rPr>
        <w:t>7月間將前6個月</w:t>
      </w:r>
      <w:proofErr w:type="gramEnd"/>
      <w:r w:rsidRPr="008E4AAF">
        <w:rPr>
          <w:rFonts w:ascii="標楷體" w:eastAsia="標楷體" w:hAnsi="標楷體" w:hint="eastAsia"/>
          <w:bCs/>
        </w:rPr>
        <w:t>執行</w:t>
      </w:r>
      <w:proofErr w:type="gramStart"/>
      <w:r w:rsidRPr="008E4AAF">
        <w:rPr>
          <w:rFonts w:ascii="標楷體" w:eastAsia="標楷體" w:hAnsi="標楷體" w:hint="eastAsia"/>
          <w:bCs/>
        </w:rPr>
        <w:t>情形送運安</w:t>
      </w:r>
      <w:proofErr w:type="gramEnd"/>
      <w:r w:rsidRPr="008E4AAF">
        <w:rPr>
          <w:rFonts w:ascii="標楷體" w:eastAsia="標楷體" w:hAnsi="標楷體" w:hint="eastAsia"/>
          <w:bCs/>
        </w:rPr>
        <w:t>會；運安會檢討分析各列管事項之執行情形，並填列管考建議提報行政院。經查</w:t>
      </w:r>
      <w:r w:rsidR="00226469">
        <w:rPr>
          <w:rFonts w:ascii="標楷體" w:eastAsia="標楷體" w:hAnsi="標楷體" w:hint="eastAsia"/>
          <w:bCs/>
        </w:rPr>
        <w:t>，</w:t>
      </w:r>
      <w:r w:rsidRPr="008E4AAF">
        <w:rPr>
          <w:rFonts w:ascii="標楷體" w:eastAsia="標楷體" w:hAnsi="標楷體" w:hint="eastAsia"/>
          <w:bCs/>
        </w:rPr>
        <w:t>截至113年底止，運安會列管航空、鐵道、水路及公路改善建議事項未結案者分別有6項、37項、61項及16項，合計120項，其中未結案項數以交通部航港局</w:t>
      </w:r>
      <w:r w:rsidR="003629FB" w:rsidRPr="008E4AAF">
        <w:rPr>
          <w:rFonts w:ascii="標楷體" w:eastAsia="標楷體" w:hAnsi="標楷體" w:hint="eastAsia"/>
          <w:bCs/>
        </w:rPr>
        <w:t>（</w:t>
      </w:r>
      <w:r w:rsidRPr="008E4AAF">
        <w:rPr>
          <w:rFonts w:ascii="標楷體" w:eastAsia="標楷體" w:hAnsi="標楷體" w:hint="eastAsia"/>
          <w:bCs/>
        </w:rPr>
        <w:t>下稱航港局</w:t>
      </w:r>
      <w:r w:rsidR="003629FB" w:rsidRPr="008E4AAF">
        <w:rPr>
          <w:rFonts w:ascii="標楷體" w:eastAsia="標楷體" w:hAnsi="標楷體" w:hint="eastAsia"/>
          <w:bCs/>
        </w:rPr>
        <w:t>）</w:t>
      </w:r>
      <w:r w:rsidRPr="008E4AAF">
        <w:rPr>
          <w:rFonts w:ascii="標楷體" w:eastAsia="標楷體" w:hAnsi="標楷體" w:hint="eastAsia"/>
          <w:bCs/>
        </w:rPr>
        <w:t>30項最多，國營臺灣鐵路股份有限公司21項次之，交通部16項再次之；又經分析上開120項未結事項，辦理時間未滿1年者計有38項、1年以上未滿2年者計有42項、2年以上者計有40項，甚有逾</w:t>
      </w:r>
      <w:proofErr w:type="gramStart"/>
      <w:r w:rsidRPr="008E4AAF">
        <w:rPr>
          <w:rFonts w:ascii="標楷體" w:eastAsia="標楷體" w:hAnsi="標楷體" w:hint="eastAsia"/>
          <w:bCs/>
        </w:rPr>
        <w:t>2成</w:t>
      </w:r>
      <w:proofErr w:type="gramEnd"/>
      <w:r w:rsidRPr="008E4AAF">
        <w:rPr>
          <w:rFonts w:ascii="標楷體" w:eastAsia="標楷體" w:hAnsi="標楷體" w:hint="eastAsia"/>
          <w:bCs/>
        </w:rPr>
        <w:t>案件列管已逾3年仍未能完成改善及解除列管</w:t>
      </w:r>
      <w:r w:rsidR="003629FB" w:rsidRPr="008E4AAF">
        <w:rPr>
          <w:rFonts w:ascii="標楷體" w:eastAsia="標楷體" w:hAnsi="標楷體" w:hint="eastAsia"/>
          <w:bCs/>
        </w:rPr>
        <w:t>（</w:t>
      </w:r>
      <w:r w:rsidRPr="008E4AAF">
        <w:rPr>
          <w:rFonts w:ascii="標楷體" w:eastAsia="標楷體" w:hAnsi="標楷體" w:hint="eastAsia"/>
          <w:bCs/>
        </w:rPr>
        <w:t>表</w:t>
      </w:r>
      <w:r w:rsidR="0005064A" w:rsidRPr="008E4AAF">
        <w:rPr>
          <w:rFonts w:ascii="標楷體" w:eastAsia="標楷體" w:hAnsi="標楷體" w:hint="eastAsia"/>
          <w:bCs/>
        </w:rPr>
        <w:t>5</w:t>
      </w:r>
      <w:r w:rsidR="000E2D58" w:rsidRPr="008E4AAF">
        <w:rPr>
          <w:rFonts w:ascii="標楷體" w:eastAsia="標楷體" w:hAnsi="標楷體" w:hint="eastAsia"/>
          <w:bCs/>
        </w:rPr>
        <w:t>6</w:t>
      </w:r>
      <w:r w:rsidR="003629FB" w:rsidRPr="008E4AAF">
        <w:rPr>
          <w:rFonts w:ascii="標楷體" w:eastAsia="標楷體" w:hAnsi="標楷體" w:hint="eastAsia"/>
          <w:bCs/>
        </w:rPr>
        <w:t>）</w:t>
      </w:r>
      <w:r w:rsidRPr="008E4AAF">
        <w:rPr>
          <w:rFonts w:ascii="標楷體" w:eastAsia="標楷體" w:hAnsi="標楷體" w:hint="eastAsia"/>
          <w:bCs/>
        </w:rPr>
        <w:t>。</w:t>
      </w:r>
      <w:proofErr w:type="gramStart"/>
      <w:r w:rsidRPr="00C35FBD">
        <w:rPr>
          <w:rFonts w:ascii="標楷體" w:eastAsia="標楷體" w:hAnsi="標楷體" w:hint="eastAsia"/>
          <w:bCs/>
        </w:rPr>
        <w:t>另上開</w:t>
      </w:r>
      <w:proofErr w:type="gramEnd"/>
      <w:r w:rsidRPr="00C35FBD">
        <w:rPr>
          <w:rFonts w:ascii="標楷體" w:eastAsia="標楷體" w:hAnsi="標楷體" w:hint="eastAsia"/>
          <w:bCs/>
        </w:rPr>
        <w:t>改善建議未結案件，核有重複發生類似事故，且涉及相同應改善事項等情事，經分析航港局待改善建議意見30項，其中19項與引水人管理機制相關，顯示改善建議長期列管未能落實辦理，對於後續相關運輸安全存有隱憂，為預防交通運輸事故重複發生，經</w:t>
      </w:r>
      <w:proofErr w:type="gramStart"/>
      <w:r w:rsidRPr="00C35FBD">
        <w:rPr>
          <w:rFonts w:ascii="標楷體" w:eastAsia="標楷體" w:hAnsi="標楷體" w:hint="eastAsia"/>
          <w:bCs/>
        </w:rPr>
        <w:t>函請運</w:t>
      </w:r>
      <w:r w:rsidRPr="00C35FBD">
        <w:rPr>
          <w:rFonts w:ascii="標楷體" w:eastAsia="標楷體" w:hAnsi="標楷體" w:hint="eastAsia"/>
          <w:bCs/>
        </w:rPr>
        <w:lastRenderedPageBreak/>
        <w:t>安</w:t>
      </w:r>
      <w:proofErr w:type="gramEnd"/>
      <w:r w:rsidRPr="00C35FBD">
        <w:rPr>
          <w:rFonts w:ascii="標楷體" w:eastAsia="標楷體" w:hAnsi="標楷體" w:hint="eastAsia"/>
          <w:bCs/>
        </w:rPr>
        <w:t>會偕同受建議機關妥為建立聯繫溝通機制，就所提運輸安全改善建議遲未改善，或無法消弭既存潛在風險者，積極檢討癥結原因並儘速妥</w:t>
      </w:r>
      <w:proofErr w:type="gramStart"/>
      <w:r w:rsidRPr="00C35FBD">
        <w:rPr>
          <w:rFonts w:ascii="標楷體" w:eastAsia="標楷體" w:hAnsi="標楷體" w:hint="eastAsia"/>
          <w:bCs/>
        </w:rPr>
        <w:t>謀善策</w:t>
      </w:r>
      <w:proofErr w:type="gramEnd"/>
      <w:r w:rsidRPr="00C35FBD">
        <w:rPr>
          <w:rFonts w:ascii="標楷體" w:eastAsia="標楷體" w:hAnsi="標楷體" w:hint="eastAsia"/>
          <w:bCs/>
        </w:rPr>
        <w:t>，以促進運輸安全及機關事業永續健全發展。</w:t>
      </w:r>
      <w:r w:rsidR="008E4AAF" w:rsidRPr="008E4AAF">
        <w:rPr>
          <w:rFonts w:ascii="標楷體" w:eastAsia="標楷體" w:hAnsi="標楷體" w:hint="eastAsia"/>
          <w:bCs/>
          <w:noProof/>
        </w:rPr>
        <mc:AlternateContent>
          <mc:Choice Requires="wps">
            <w:drawing>
              <wp:anchor distT="45720" distB="45720" distL="114300" distR="114300" simplePos="0" relativeHeight="251665408" behindDoc="0" locked="0" layoutInCell="1" allowOverlap="1" wp14:anchorId="706AFB45" wp14:editId="316FEF13">
                <wp:simplePos x="0" y="0"/>
                <wp:positionH relativeFrom="column">
                  <wp:posOffset>1818640</wp:posOffset>
                </wp:positionH>
                <wp:positionV relativeFrom="paragraph">
                  <wp:posOffset>111125</wp:posOffset>
                </wp:positionV>
                <wp:extent cx="4480560" cy="2308860"/>
                <wp:effectExtent l="0" t="0" r="0" b="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2308860"/>
                        </a:xfrm>
                        <a:prstGeom prst="rect">
                          <a:avLst/>
                        </a:prstGeom>
                        <a:noFill/>
                        <a:ln w="9525">
                          <a:noFill/>
                          <a:miter lim="800000"/>
                          <a:headEnd/>
                          <a:tailEnd/>
                        </a:ln>
                      </wps:spPr>
                      <wps:txbx>
                        <w:txbxContent>
                          <w:tbl>
                            <w:tblPr>
                              <w:tblW w:w="6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78"/>
                              <w:gridCol w:w="1020"/>
                              <w:gridCol w:w="1134"/>
                              <w:gridCol w:w="1134"/>
                              <w:gridCol w:w="1134"/>
                              <w:gridCol w:w="1134"/>
                            </w:tblGrid>
                            <w:tr w:rsidR="008E4AAF" w:rsidRPr="001E77BF" w14:paraId="7B9058C9" w14:textId="77777777" w:rsidTr="006E1A4E">
                              <w:trPr>
                                <w:trHeight w:val="23"/>
                                <w:jc w:val="center"/>
                              </w:trPr>
                              <w:tc>
                                <w:tcPr>
                                  <w:tcW w:w="6834" w:type="dxa"/>
                                  <w:gridSpan w:val="6"/>
                                  <w:tcBorders>
                                    <w:top w:val="nil"/>
                                    <w:left w:val="nil"/>
                                    <w:bottom w:val="nil"/>
                                    <w:right w:val="nil"/>
                                  </w:tcBorders>
                                  <w:shd w:val="clear" w:color="auto" w:fill="FFFFFF"/>
                                </w:tcPr>
                                <w:p w14:paraId="0DD69149" w14:textId="77777777" w:rsidR="008E4AAF" w:rsidRPr="006E1A4E" w:rsidRDefault="008E4AAF" w:rsidP="006E1A4E">
                                  <w:pPr>
                                    <w:spacing w:line="240" w:lineRule="exact"/>
                                    <w:jc w:val="center"/>
                                    <w:rPr>
                                      <w:rFonts w:ascii="標楷體" w:eastAsia="標楷體" w:hAnsi="標楷體"/>
                                      <w:b/>
                                      <w:bCs/>
                                      <w:sz w:val="28"/>
                                      <w:szCs w:val="28"/>
                                    </w:rPr>
                                  </w:pPr>
                                  <w:r w:rsidRPr="006E1A4E">
                                    <w:rPr>
                                      <w:rFonts w:ascii="標楷體" w:eastAsia="標楷體" w:hAnsi="標楷體" w:hint="eastAsia"/>
                                      <w:b/>
                                      <w:bCs/>
                                    </w:rPr>
                                    <w:t>表</w:t>
                                  </w:r>
                                  <w:r>
                                    <w:rPr>
                                      <w:rFonts w:ascii="標楷體" w:eastAsia="標楷體" w:hAnsi="標楷體"/>
                                      <w:b/>
                                      <w:bCs/>
                                    </w:rPr>
                                    <w:t>56</w:t>
                                  </w:r>
                                  <w:r w:rsidRPr="006E1A4E">
                                    <w:rPr>
                                      <w:rFonts w:ascii="標楷體" w:eastAsia="標楷體" w:hAnsi="標楷體" w:hint="eastAsia"/>
                                      <w:b/>
                                      <w:bCs/>
                                    </w:rPr>
                                    <w:t xml:space="preserve">　運輸安全改善建議未結案數</w:t>
                                  </w:r>
                                </w:p>
                              </w:tc>
                            </w:tr>
                            <w:tr w:rsidR="008E4AAF" w:rsidRPr="001E77BF" w14:paraId="1BCC6CDF" w14:textId="77777777" w:rsidTr="006E1A4E">
                              <w:trPr>
                                <w:trHeight w:val="23"/>
                                <w:jc w:val="center"/>
                              </w:trPr>
                              <w:tc>
                                <w:tcPr>
                                  <w:tcW w:w="6834" w:type="dxa"/>
                                  <w:gridSpan w:val="6"/>
                                  <w:tcBorders>
                                    <w:top w:val="nil"/>
                                    <w:left w:val="nil"/>
                                    <w:right w:val="nil"/>
                                  </w:tcBorders>
                                  <w:shd w:val="clear" w:color="auto" w:fill="FFFFFF"/>
                                </w:tcPr>
                                <w:p w14:paraId="6BAB0ADB"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單位：項</w:t>
                                  </w:r>
                                </w:p>
                              </w:tc>
                            </w:tr>
                            <w:tr w:rsidR="008E4AAF" w:rsidRPr="001E77BF" w14:paraId="576174C8" w14:textId="77777777" w:rsidTr="003F2B2A">
                              <w:trPr>
                                <w:trHeight w:val="240"/>
                                <w:jc w:val="center"/>
                              </w:trPr>
                              <w:tc>
                                <w:tcPr>
                                  <w:tcW w:w="1278" w:type="dxa"/>
                                  <w:vMerge w:val="restart"/>
                                  <w:tcBorders>
                                    <w:left w:val="single" w:sz="4" w:space="0" w:color="auto"/>
                                    <w:bottom w:val="single" w:sz="4" w:space="0" w:color="auto"/>
                                    <w:tl2br w:val="single" w:sz="4" w:space="0" w:color="auto"/>
                                  </w:tcBorders>
                                  <w:shd w:val="clear" w:color="auto" w:fill="FFFFFF"/>
                                  <w:vAlign w:val="bottom"/>
                                </w:tcPr>
                                <w:p w14:paraId="0C795D7D"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項目</w:t>
                                  </w:r>
                                </w:p>
                                <w:p w14:paraId="270439E9" w14:textId="77777777" w:rsidR="008E4AAF" w:rsidRPr="006E1A4E" w:rsidRDefault="008E4AAF" w:rsidP="006E1A4E">
                                  <w:pPr>
                                    <w:spacing w:line="240" w:lineRule="exact"/>
                                    <w:jc w:val="right"/>
                                    <w:rPr>
                                      <w:rFonts w:ascii="標楷體" w:eastAsia="標楷體" w:hAnsi="標楷體"/>
                                      <w:sz w:val="20"/>
                                    </w:rPr>
                                  </w:pPr>
                                </w:p>
                                <w:p w14:paraId="682E6DA5" w14:textId="77777777" w:rsidR="008E4AAF" w:rsidRPr="006E1A4E" w:rsidRDefault="008E4AAF" w:rsidP="006E1A4E">
                                  <w:pPr>
                                    <w:spacing w:line="240" w:lineRule="exact"/>
                                    <w:rPr>
                                      <w:rFonts w:ascii="標楷體" w:eastAsia="標楷體" w:hAnsi="標楷體"/>
                                      <w:sz w:val="20"/>
                                    </w:rPr>
                                  </w:pPr>
                                  <w:r w:rsidRPr="006E1A4E">
                                    <w:rPr>
                                      <w:rFonts w:ascii="標楷體" w:eastAsia="標楷體" w:hAnsi="標楷體" w:hint="eastAsia"/>
                                      <w:sz w:val="20"/>
                                    </w:rPr>
                                    <w:t>運輸</w:t>
                                  </w:r>
                                </w:p>
                                <w:p w14:paraId="58313027" w14:textId="77777777" w:rsidR="008E4AAF" w:rsidRPr="006E1A4E" w:rsidRDefault="008E4AAF" w:rsidP="006E1A4E">
                                  <w:pPr>
                                    <w:spacing w:line="240" w:lineRule="exact"/>
                                    <w:rPr>
                                      <w:rFonts w:ascii="標楷體" w:eastAsia="標楷體" w:hAnsi="標楷體"/>
                                      <w:sz w:val="20"/>
                                    </w:rPr>
                                  </w:pPr>
                                  <w:r w:rsidRPr="006E1A4E">
                                    <w:rPr>
                                      <w:rFonts w:ascii="標楷體" w:eastAsia="標楷體" w:hAnsi="標楷體" w:hint="eastAsia"/>
                                      <w:sz w:val="20"/>
                                    </w:rPr>
                                    <w:t>事故類型</w:t>
                                  </w:r>
                                </w:p>
                              </w:tc>
                              <w:tc>
                                <w:tcPr>
                                  <w:tcW w:w="1020" w:type="dxa"/>
                                  <w:tcBorders>
                                    <w:bottom w:val="nil"/>
                                    <w:right w:val="nil"/>
                                  </w:tcBorders>
                                  <w:shd w:val="clear" w:color="auto" w:fill="FFFFFF"/>
                                  <w:vAlign w:val="center"/>
                                </w:tcPr>
                                <w:p w14:paraId="72112081" w14:textId="77777777" w:rsidR="008E4AAF" w:rsidRPr="006E1A4E" w:rsidRDefault="008E4AAF" w:rsidP="006E1A4E">
                                  <w:pPr>
                                    <w:spacing w:line="240" w:lineRule="exact"/>
                                    <w:jc w:val="center"/>
                                    <w:rPr>
                                      <w:rFonts w:ascii="標楷體" w:eastAsia="標楷體" w:hAnsi="標楷體"/>
                                      <w:sz w:val="20"/>
                                    </w:rPr>
                                  </w:pPr>
                                </w:p>
                              </w:tc>
                              <w:tc>
                                <w:tcPr>
                                  <w:tcW w:w="4535" w:type="dxa"/>
                                  <w:gridSpan w:val="4"/>
                                  <w:tcBorders>
                                    <w:left w:val="nil"/>
                                    <w:bottom w:val="single" w:sz="4" w:space="0" w:color="auto"/>
                                  </w:tcBorders>
                                  <w:shd w:val="clear" w:color="auto" w:fill="FFFFFF"/>
                                </w:tcPr>
                                <w:p w14:paraId="1618FAFD" w14:textId="77777777" w:rsidR="008E4AAF" w:rsidRPr="006E1A4E" w:rsidRDefault="008E4AAF" w:rsidP="006E1A4E">
                                  <w:pPr>
                                    <w:spacing w:line="240" w:lineRule="exact"/>
                                    <w:jc w:val="center"/>
                                    <w:rPr>
                                      <w:rFonts w:ascii="標楷體" w:eastAsia="標楷體" w:hAnsi="標楷體"/>
                                      <w:sz w:val="20"/>
                                    </w:rPr>
                                  </w:pPr>
                                </w:p>
                              </w:tc>
                            </w:tr>
                            <w:tr w:rsidR="008E4AAF" w:rsidRPr="001E77BF" w14:paraId="6DCDA616" w14:textId="77777777" w:rsidTr="003F2B2A">
                              <w:trPr>
                                <w:trHeight w:val="20"/>
                                <w:jc w:val="center"/>
                              </w:trPr>
                              <w:tc>
                                <w:tcPr>
                                  <w:tcW w:w="1278" w:type="dxa"/>
                                  <w:vMerge/>
                                  <w:tcBorders>
                                    <w:left w:val="single" w:sz="4" w:space="0" w:color="auto"/>
                                    <w:tl2br w:val="single" w:sz="4" w:space="0" w:color="auto"/>
                                  </w:tcBorders>
                                  <w:shd w:val="clear" w:color="auto" w:fill="FFFFFF"/>
                                  <w:vAlign w:val="center"/>
                                </w:tcPr>
                                <w:p w14:paraId="50C9F153" w14:textId="77777777" w:rsidR="008E4AAF" w:rsidRPr="006E1A4E" w:rsidRDefault="008E4AAF" w:rsidP="006E1A4E">
                                  <w:pPr>
                                    <w:spacing w:line="240" w:lineRule="exact"/>
                                    <w:jc w:val="center"/>
                                    <w:rPr>
                                      <w:rFonts w:ascii="標楷體" w:eastAsia="標楷體" w:hAnsi="標楷體"/>
                                      <w:sz w:val="20"/>
                                    </w:rPr>
                                  </w:pPr>
                                </w:p>
                              </w:tc>
                              <w:tc>
                                <w:tcPr>
                                  <w:tcW w:w="1020" w:type="dxa"/>
                                  <w:vMerge w:val="restart"/>
                                  <w:tcBorders>
                                    <w:top w:val="nil"/>
                                  </w:tcBorders>
                                  <w:shd w:val="clear" w:color="auto" w:fill="FFFFFF"/>
                                  <w:vAlign w:val="center"/>
                                </w:tcPr>
                                <w:p w14:paraId="6E3BE0BB"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未結案數（</w:t>
                                  </w:r>
                                  <w:proofErr w:type="gramStart"/>
                                  <w:r w:rsidRPr="006E1A4E">
                                    <w:rPr>
                                      <w:rFonts w:ascii="標楷體" w:eastAsia="標楷體" w:hAnsi="標楷體" w:hint="eastAsia"/>
                                      <w:sz w:val="20"/>
                                    </w:rPr>
                                    <w:t>註</w:t>
                                  </w:r>
                                  <w:proofErr w:type="gramEnd"/>
                                  <w:r w:rsidRPr="006E1A4E">
                                    <w:rPr>
                                      <w:rFonts w:ascii="標楷體" w:eastAsia="標楷體" w:hAnsi="標楷體" w:hint="eastAsia"/>
                                      <w:sz w:val="20"/>
                                    </w:rPr>
                                    <w:t>1）</w:t>
                                  </w:r>
                                </w:p>
                              </w:tc>
                              <w:tc>
                                <w:tcPr>
                                  <w:tcW w:w="4536" w:type="dxa"/>
                                  <w:gridSpan w:val="4"/>
                                  <w:shd w:val="clear" w:color="auto" w:fill="FFFFFF"/>
                                </w:tcPr>
                                <w:p w14:paraId="0A294F23"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 結 案 天 數（</w:t>
                                  </w:r>
                                  <w:proofErr w:type="gramStart"/>
                                  <w:r w:rsidRPr="006E1A4E">
                                    <w:rPr>
                                      <w:rFonts w:ascii="標楷體" w:eastAsia="標楷體" w:hAnsi="標楷體" w:hint="eastAsia"/>
                                      <w:sz w:val="20"/>
                                    </w:rPr>
                                    <w:t>註</w:t>
                                  </w:r>
                                  <w:proofErr w:type="gramEnd"/>
                                  <w:r w:rsidRPr="006E1A4E">
                                    <w:rPr>
                                      <w:rFonts w:ascii="標楷體" w:eastAsia="標楷體" w:hAnsi="標楷體" w:hint="eastAsia"/>
                                      <w:sz w:val="20"/>
                                    </w:rPr>
                                    <w:t>2）</w:t>
                                  </w:r>
                                </w:p>
                              </w:tc>
                            </w:tr>
                            <w:tr w:rsidR="008E4AAF" w:rsidRPr="001E77BF" w14:paraId="10E50528" w14:textId="77777777" w:rsidTr="003F2B2A">
                              <w:trPr>
                                <w:trHeight w:val="446"/>
                                <w:jc w:val="center"/>
                              </w:trPr>
                              <w:tc>
                                <w:tcPr>
                                  <w:tcW w:w="1278" w:type="dxa"/>
                                  <w:vMerge/>
                                  <w:tcBorders>
                                    <w:left w:val="single" w:sz="4" w:space="0" w:color="auto"/>
                                    <w:tl2br w:val="single" w:sz="4" w:space="0" w:color="auto"/>
                                  </w:tcBorders>
                                  <w:shd w:val="clear" w:color="auto" w:fill="FFFFFF"/>
                                  <w:vAlign w:val="center"/>
                                </w:tcPr>
                                <w:p w14:paraId="056998ED" w14:textId="77777777" w:rsidR="008E4AAF" w:rsidRPr="006E1A4E" w:rsidRDefault="008E4AAF" w:rsidP="006E1A4E">
                                  <w:pPr>
                                    <w:spacing w:line="240" w:lineRule="exact"/>
                                    <w:jc w:val="center"/>
                                    <w:rPr>
                                      <w:rFonts w:ascii="標楷體" w:eastAsia="標楷體" w:hAnsi="標楷體"/>
                                      <w:sz w:val="20"/>
                                    </w:rPr>
                                  </w:pPr>
                                </w:p>
                              </w:tc>
                              <w:tc>
                                <w:tcPr>
                                  <w:tcW w:w="1020" w:type="dxa"/>
                                  <w:vMerge/>
                                  <w:shd w:val="clear" w:color="auto" w:fill="FFFFFF"/>
                                </w:tcPr>
                                <w:p w14:paraId="3F1C642F" w14:textId="77777777" w:rsidR="008E4AAF" w:rsidRPr="006E1A4E" w:rsidRDefault="008E4AAF" w:rsidP="006E1A4E">
                                  <w:pPr>
                                    <w:spacing w:line="240" w:lineRule="exact"/>
                                    <w:jc w:val="center"/>
                                    <w:rPr>
                                      <w:rFonts w:ascii="標楷體" w:eastAsia="標楷體" w:hAnsi="標楷體"/>
                                      <w:sz w:val="20"/>
                                    </w:rPr>
                                  </w:pPr>
                                </w:p>
                              </w:tc>
                              <w:tc>
                                <w:tcPr>
                                  <w:tcW w:w="1134" w:type="dxa"/>
                                  <w:shd w:val="clear" w:color="auto" w:fill="FFFFFF"/>
                                  <w:vAlign w:val="center"/>
                                </w:tcPr>
                                <w:p w14:paraId="3F3C3FBB"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未滿1年</w:t>
                                  </w:r>
                                </w:p>
                              </w:tc>
                              <w:tc>
                                <w:tcPr>
                                  <w:tcW w:w="1134" w:type="dxa"/>
                                  <w:shd w:val="clear" w:color="auto" w:fill="FFFFFF"/>
                                  <w:vAlign w:val="center"/>
                                </w:tcPr>
                                <w:p w14:paraId="0565CEEA"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1年以上</w:t>
                                  </w:r>
                                </w:p>
                                <w:p w14:paraId="2DBFA2A7"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未滿2年</w:t>
                                  </w:r>
                                </w:p>
                              </w:tc>
                              <w:tc>
                                <w:tcPr>
                                  <w:tcW w:w="1134" w:type="dxa"/>
                                  <w:shd w:val="clear" w:color="auto" w:fill="FFFFFF"/>
                                  <w:vAlign w:val="center"/>
                                </w:tcPr>
                                <w:p w14:paraId="2BCFAAA0"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2年以上</w:t>
                                  </w:r>
                                </w:p>
                                <w:p w14:paraId="58D17A50"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未滿3年</w:t>
                                  </w:r>
                                </w:p>
                              </w:tc>
                              <w:tc>
                                <w:tcPr>
                                  <w:tcW w:w="1134" w:type="dxa"/>
                                  <w:shd w:val="clear" w:color="auto" w:fill="FFFFFF"/>
                                  <w:vAlign w:val="center"/>
                                </w:tcPr>
                                <w:p w14:paraId="774E461F"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3年以上</w:t>
                                  </w:r>
                                </w:p>
                              </w:tc>
                            </w:tr>
                            <w:tr w:rsidR="008E4AAF" w:rsidRPr="001E77BF" w14:paraId="378D5ABA" w14:textId="77777777" w:rsidTr="003F2B2A">
                              <w:trPr>
                                <w:trHeight w:val="227"/>
                                <w:jc w:val="center"/>
                              </w:trPr>
                              <w:tc>
                                <w:tcPr>
                                  <w:tcW w:w="1278" w:type="dxa"/>
                                  <w:tcBorders>
                                    <w:left w:val="single" w:sz="4" w:space="0" w:color="auto"/>
                                    <w:bottom w:val="single" w:sz="4" w:space="0" w:color="auto"/>
                                  </w:tcBorders>
                                  <w:shd w:val="clear" w:color="auto" w:fill="FFFFFF"/>
                                  <w:vAlign w:val="center"/>
                                </w:tcPr>
                                <w:p w14:paraId="3D03869B" w14:textId="77777777" w:rsidR="008E4AAF" w:rsidRPr="006E1A4E" w:rsidRDefault="008E4AAF" w:rsidP="006E1A4E">
                                  <w:pPr>
                                    <w:spacing w:line="240" w:lineRule="exact"/>
                                    <w:jc w:val="center"/>
                                    <w:rPr>
                                      <w:rFonts w:ascii="標楷體" w:eastAsia="標楷體" w:hAnsi="標楷體"/>
                                      <w:b/>
                                      <w:bCs/>
                                      <w:sz w:val="20"/>
                                    </w:rPr>
                                  </w:pPr>
                                  <w:r w:rsidRPr="006E1A4E">
                                    <w:rPr>
                                      <w:rFonts w:ascii="標楷體" w:eastAsia="標楷體" w:hAnsi="標楷體" w:hint="eastAsia"/>
                                      <w:b/>
                                      <w:bCs/>
                                      <w:sz w:val="20"/>
                                    </w:rPr>
                                    <w:t>合計</w:t>
                                  </w:r>
                                </w:p>
                              </w:tc>
                              <w:tc>
                                <w:tcPr>
                                  <w:tcW w:w="1020" w:type="dxa"/>
                                  <w:tcBorders>
                                    <w:bottom w:val="single" w:sz="4" w:space="0" w:color="auto"/>
                                  </w:tcBorders>
                                  <w:shd w:val="clear" w:color="auto" w:fill="FFFFFF"/>
                                </w:tcPr>
                                <w:p w14:paraId="4B4FAF31"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120</w:t>
                                  </w:r>
                                </w:p>
                              </w:tc>
                              <w:tc>
                                <w:tcPr>
                                  <w:tcW w:w="1134" w:type="dxa"/>
                                  <w:tcBorders>
                                    <w:bottom w:val="single" w:sz="4" w:space="0" w:color="auto"/>
                                  </w:tcBorders>
                                  <w:shd w:val="clear" w:color="auto" w:fill="FFFFFF"/>
                                </w:tcPr>
                                <w:p w14:paraId="4B00BE32"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38</w:t>
                                  </w:r>
                                </w:p>
                              </w:tc>
                              <w:tc>
                                <w:tcPr>
                                  <w:tcW w:w="1134" w:type="dxa"/>
                                  <w:tcBorders>
                                    <w:bottom w:val="single" w:sz="4" w:space="0" w:color="auto"/>
                                  </w:tcBorders>
                                  <w:shd w:val="clear" w:color="auto" w:fill="FFFFFF"/>
                                </w:tcPr>
                                <w:p w14:paraId="768D645E"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42</w:t>
                                  </w:r>
                                </w:p>
                              </w:tc>
                              <w:tc>
                                <w:tcPr>
                                  <w:tcW w:w="1134" w:type="dxa"/>
                                  <w:tcBorders>
                                    <w:bottom w:val="single" w:sz="4" w:space="0" w:color="auto"/>
                                  </w:tcBorders>
                                  <w:shd w:val="clear" w:color="auto" w:fill="FFFFFF"/>
                                </w:tcPr>
                                <w:p w14:paraId="2950730B"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13</w:t>
                                  </w:r>
                                </w:p>
                              </w:tc>
                              <w:tc>
                                <w:tcPr>
                                  <w:tcW w:w="1134" w:type="dxa"/>
                                  <w:tcBorders>
                                    <w:bottom w:val="single" w:sz="4" w:space="0" w:color="auto"/>
                                  </w:tcBorders>
                                  <w:shd w:val="clear" w:color="auto" w:fill="FFFFFF"/>
                                </w:tcPr>
                                <w:p w14:paraId="0E5A4172"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27</w:t>
                                  </w:r>
                                </w:p>
                              </w:tc>
                            </w:tr>
                            <w:tr w:rsidR="008E4AAF" w:rsidRPr="001E77BF" w14:paraId="50DB3F91" w14:textId="77777777" w:rsidTr="003F2B2A">
                              <w:trPr>
                                <w:trHeight w:val="90"/>
                                <w:jc w:val="center"/>
                              </w:trPr>
                              <w:tc>
                                <w:tcPr>
                                  <w:tcW w:w="1278" w:type="dxa"/>
                                  <w:tcBorders>
                                    <w:left w:val="single" w:sz="4" w:space="0" w:color="auto"/>
                                  </w:tcBorders>
                                  <w:shd w:val="clear" w:color="auto" w:fill="FFFFFF"/>
                                  <w:vAlign w:val="center"/>
                                </w:tcPr>
                                <w:p w14:paraId="44DE60C5"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航空</w:t>
                                  </w:r>
                                </w:p>
                              </w:tc>
                              <w:tc>
                                <w:tcPr>
                                  <w:tcW w:w="1020" w:type="dxa"/>
                                  <w:shd w:val="clear" w:color="auto" w:fill="FFFFFF"/>
                                </w:tcPr>
                                <w:p w14:paraId="22333F2F"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6</w:t>
                                  </w:r>
                                </w:p>
                              </w:tc>
                              <w:tc>
                                <w:tcPr>
                                  <w:tcW w:w="1134" w:type="dxa"/>
                                  <w:shd w:val="clear" w:color="auto" w:fill="FFFFFF"/>
                                </w:tcPr>
                                <w:p w14:paraId="230BAAD8"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w:t>
                                  </w:r>
                                </w:p>
                              </w:tc>
                              <w:tc>
                                <w:tcPr>
                                  <w:tcW w:w="1134" w:type="dxa"/>
                                  <w:shd w:val="clear" w:color="auto" w:fill="FFFFFF"/>
                                </w:tcPr>
                                <w:p w14:paraId="11A5DFDC"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w:t>
                                  </w:r>
                                </w:p>
                              </w:tc>
                              <w:tc>
                                <w:tcPr>
                                  <w:tcW w:w="1134" w:type="dxa"/>
                                  <w:shd w:val="clear" w:color="auto" w:fill="FFFFFF"/>
                                </w:tcPr>
                                <w:p w14:paraId="2389C806"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w:t>
                                  </w:r>
                                </w:p>
                              </w:tc>
                              <w:tc>
                                <w:tcPr>
                                  <w:tcW w:w="1134" w:type="dxa"/>
                                  <w:shd w:val="clear" w:color="auto" w:fill="FFFFFF"/>
                                </w:tcPr>
                                <w:p w14:paraId="77CB647E"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4</w:t>
                                  </w:r>
                                </w:p>
                              </w:tc>
                            </w:tr>
                            <w:tr w:rsidR="008E4AAF" w:rsidRPr="001E77BF" w14:paraId="1D11B152" w14:textId="77777777" w:rsidTr="003F2B2A">
                              <w:trPr>
                                <w:trHeight w:val="211"/>
                                <w:jc w:val="center"/>
                              </w:trPr>
                              <w:tc>
                                <w:tcPr>
                                  <w:tcW w:w="1278" w:type="dxa"/>
                                  <w:tcBorders>
                                    <w:left w:val="single" w:sz="4" w:space="0" w:color="auto"/>
                                  </w:tcBorders>
                                  <w:shd w:val="clear" w:color="auto" w:fill="FFFFFF"/>
                                  <w:vAlign w:val="center"/>
                                </w:tcPr>
                                <w:p w14:paraId="06227904" w14:textId="77777777" w:rsidR="008E4AAF" w:rsidRPr="006E1A4E" w:rsidRDefault="008E4AAF" w:rsidP="006E1A4E">
                                  <w:pPr>
                                    <w:spacing w:line="240" w:lineRule="exact"/>
                                    <w:jc w:val="center"/>
                                    <w:rPr>
                                      <w:rFonts w:ascii="標楷體" w:eastAsia="標楷體" w:hAnsi="標楷體"/>
                                      <w:sz w:val="20"/>
                                      <w:highlight w:val="yellow"/>
                                    </w:rPr>
                                  </w:pPr>
                                  <w:r w:rsidRPr="006E1A4E">
                                    <w:rPr>
                                      <w:rFonts w:ascii="標楷體" w:eastAsia="標楷體" w:hAnsi="標楷體" w:hint="eastAsia"/>
                                      <w:sz w:val="20"/>
                                    </w:rPr>
                                    <w:t>鐵道</w:t>
                                  </w:r>
                                </w:p>
                              </w:tc>
                              <w:tc>
                                <w:tcPr>
                                  <w:tcW w:w="1020" w:type="dxa"/>
                                  <w:shd w:val="clear" w:color="auto" w:fill="FFFFFF"/>
                                </w:tcPr>
                                <w:p w14:paraId="73895209"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37</w:t>
                                  </w:r>
                                </w:p>
                              </w:tc>
                              <w:tc>
                                <w:tcPr>
                                  <w:tcW w:w="1134" w:type="dxa"/>
                                  <w:shd w:val="clear" w:color="auto" w:fill="FFFFFF"/>
                                </w:tcPr>
                                <w:p w14:paraId="761D1D53"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5</w:t>
                                  </w:r>
                                </w:p>
                              </w:tc>
                              <w:tc>
                                <w:tcPr>
                                  <w:tcW w:w="1134" w:type="dxa"/>
                                  <w:shd w:val="clear" w:color="auto" w:fill="FFFFFF"/>
                                </w:tcPr>
                                <w:p w14:paraId="55FAF54F"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11</w:t>
                                  </w:r>
                                </w:p>
                              </w:tc>
                              <w:tc>
                                <w:tcPr>
                                  <w:tcW w:w="1134" w:type="dxa"/>
                                  <w:shd w:val="clear" w:color="auto" w:fill="FFFFFF"/>
                                </w:tcPr>
                                <w:p w14:paraId="17A1B0CB"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5</w:t>
                                  </w:r>
                                </w:p>
                              </w:tc>
                              <w:tc>
                                <w:tcPr>
                                  <w:tcW w:w="1134" w:type="dxa"/>
                                  <w:shd w:val="clear" w:color="auto" w:fill="FFFFFF"/>
                                </w:tcPr>
                                <w:p w14:paraId="31080E19"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16</w:t>
                                  </w:r>
                                </w:p>
                              </w:tc>
                            </w:tr>
                            <w:tr w:rsidR="008E4AAF" w:rsidRPr="001E77BF" w14:paraId="5553F84E" w14:textId="77777777" w:rsidTr="003F2B2A">
                              <w:trPr>
                                <w:trHeight w:val="211"/>
                                <w:jc w:val="center"/>
                              </w:trPr>
                              <w:tc>
                                <w:tcPr>
                                  <w:tcW w:w="1278" w:type="dxa"/>
                                  <w:tcBorders>
                                    <w:left w:val="single" w:sz="4" w:space="0" w:color="auto"/>
                                  </w:tcBorders>
                                  <w:shd w:val="clear" w:color="auto" w:fill="FFFFFF"/>
                                  <w:vAlign w:val="center"/>
                                </w:tcPr>
                                <w:p w14:paraId="4ACC6144"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水路</w:t>
                                  </w:r>
                                </w:p>
                              </w:tc>
                              <w:tc>
                                <w:tcPr>
                                  <w:tcW w:w="1020" w:type="dxa"/>
                                  <w:shd w:val="clear" w:color="auto" w:fill="FFFFFF"/>
                                </w:tcPr>
                                <w:p w14:paraId="1DBC5CAD"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61</w:t>
                                  </w:r>
                                </w:p>
                              </w:tc>
                              <w:tc>
                                <w:tcPr>
                                  <w:tcW w:w="1134" w:type="dxa"/>
                                  <w:shd w:val="clear" w:color="auto" w:fill="FFFFFF"/>
                                </w:tcPr>
                                <w:p w14:paraId="5E3C0CB2"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28</w:t>
                                  </w:r>
                                </w:p>
                              </w:tc>
                              <w:tc>
                                <w:tcPr>
                                  <w:tcW w:w="1134" w:type="dxa"/>
                                  <w:shd w:val="clear" w:color="auto" w:fill="FFFFFF"/>
                                </w:tcPr>
                                <w:p w14:paraId="40BFFD2E"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28</w:t>
                                  </w:r>
                                </w:p>
                              </w:tc>
                              <w:tc>
                                <w:tcPr>
                                  <w:tcW w:w="1134" w:type="dxa"/>
                                  <w:shd w:val="clear" w:color="auto" w:fill="FFFFFF"/>
                                </w:tcPr>
                                <w:p w14:paraId="2060927F"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w:t>
                                  </w:r>
                                </w:p>
                              </w:tc>
                              <w:tc>
                                <w:tcPr>
                                  <w:tcW w:w="1134" w:type="dxa"/>
                                  <w:shd w:val="clear" w:color="auto" w:fill="FFFFFF"/>
                                </w:tcPr>
                                <w:p w14:paraId="33E0E23C"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w:t>
                                  </w:r>
                                </w:p>
                              </w:tc>
                            </w:tr>
                            <w:tr w:rsidR="008E4AAF" w:rsidRPr="001E77BF" w14:paraId="46576AEF" w14:textId="77777777" w:rsidTr="003F2B2A">
                              <w:trPr>
                                <w:trHeight w:val="201"/>
                                <w:jc w:val="center"/>
                              </w:trPr>
                              <w:tc>
                                <w:tcPr>
                                  <w:tcW w:w="1278" w:type="dxa"/>
                                  <w:tcBorders>
                                    <w:left w:val="single" w:sz="4" w:space="0" w:color="auto"/>
                                  </w:tcBorders>
                                  <w:shd w:val="clear" w:color="auto" w:fill="FFFFFF"/>
                                  <w:vAlign w:val="center"/>
                                </w:tcPr>
                                <w:p w14:paraId="1169A061" w14:textId="77777777" w:rsidR="008E4AAF" w:rsidRPr="006E1A4E" w:rsidRDefault="008E4AAF" w:rsidP="006E1A4E">
                                  <w:pPr>
                                    <w:spacing w:line="240" w:lineRule="exact"/>
                                    <w:jc w:val="center"/>
                                    <w:rPr>
                                      <w:rFonts w:ascii="標楷體" w:eastAsia="標楷體" w:hAnsi="標楷體"/>
                                      <w:sz w:val="20"/>
                                      <w:highlight w:val="yellow"/>
                                    </w:rPr>
                                  </w:pPr>
                                  <w:r w:rsidRPr="006E1A4E">
                                    <w:rPr>
                                      <w:rFonts w:ascii="標楷體" w:eastAsia="標楷體" w:hAnsi="標楷體" w:hint="eastAsia"/>
                                      <w:sz w:val="20"/>
                                    </w:rPr>
                                    <w:t>公路</w:t>
                                  </w:r>
                                </w:p>
                              </w:tc>
                              <w:tc>
                                <w:tcPr>
                                  <w:tcW w:w="1020" w:type="dxa"/>
                                  <w:shd w:val="clear" w:color="auto" w:fill="FFFFFF"/>
                                </w:tcPr>
                                <w:p w14:paraId="1C3A6D20"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16</w:t>
                                  </w:r>
                                </w:p>
                              </w:tc>
                              <w:tc>
                                <w:tcPr>
                                  <w:tcW w:w="1134" w:type="dxa"/>
                                  <w:shd w:val="clear" w:color="auto" w:fill="FFFFFF"/>
                                </w:tcPr>
                                <w:p w14:paraId="08792DD5"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w:t>
                                  </w:r>
                                </w:p>
                              </w:tc>
                              <w:tc>
                                <w:tcPr>
                                  <w:tcW w:w="1134" w:type="dxa"/>
                                  <w:shd w:val="clear" w:color="auto" w:fill="FFFFFF"/>
                                </w:tcPr>
                                <w:p w14:paraId="2BE0099D"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w:t>
                                  </w:r>
                                </w:p>
                              </w:tc>
                              <w:tc>
                                <w:tcPr>
                                  <w:tcW w:w="1134" w:type="dxa"/>
                                  <w:shd w:val="clear" w:color="auto" w:fill="FFFFFF"/>
                                </w:tcPr>
                                <w:p w14:paraId="4CDD9F94"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6</w:t>
                                  </w:r>
                                </w:p>
                              </w:tc>
                              <w:tc>
                                <w:tcPr>
                                  <w:tcW w:w="1134" w:type="dxa"/>
                                  <w:shd w:val="clear" w:color="auto" w:fill="FFFFFF"/>
                                </w:tcPr>
                                <w:p w14:paraId="6D3FDEE8"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4</w:t>
                                  </w:r>
                                </w:p>
                              </w:tc>
                            </w:tr>
                            <w:tr w:rsidR="008E4AAF" w:rsidRPr="001E77BF" w14:paraId="121B7E5A" w14:textId="77777777" w:rsidTr="006E1A4E">
                              <w:trPr>
                                <w:trHeight w:val="23"/>
                                <w:jc w:val="center"/>
                              </w:trPr>
                              <w:tc>
                                <w:tcPr>
                                  <w:tcW w:w="6834" w:type="dxa"/>
                                  <w:gridSpan w:val="6"/>
                                  <w:tcBorders>
                                    <w:left w:val="nil"/>
                                    <w:bottom w:val="nil"/>
                                    <w:right w:val="nil"/>
                                  </w:tcBorders>
                                  <w:shd w:val="clear" w:color="auto" w:fill="FFFFFF"/>
                                </w:tcPr>
                                <w:p w14:paraId="22AE2805" w14:textId="77777777" w:rsidR="008E4AAF" w:rsidRPr="006E1A4E" w:rsidRDefault="008E4AAF" w:rsidP="006E1A4E">
                                  <w:pPr>
                                    <w:spacing w:line="240" w:lineRule="exact"/>
                                    <w:jc w:val="both"/>
                                    <w:rPr>
                                      <w:rFonts w:ascii="標楷體" w:eastAsia="標楷體" w:hAnsi="標楷體"/>
                                      <w:sz w:val="18"/>
                                      <w:szCs w:val="18"/>
                                    </w:rPr>
                                  </w:pPr>
                                  <w:proofErr w:type="gramStart"/>
                                  <w:r w:rsidRPr="006E1A4E">
                                    <w:rPr>
                                      <w:rFonts w:ascii="標楷體" w:eastAsia="標楷體" w:hAnsi="標楷體" w:hint="eastAsia"/>
                                      <w:sz w:val="18"/>
                                      <w:szCs w:val="18"/>
                                    </w:rPr>
                                    <w:t>註</w:t>
                                  </w:r>
                                  <w:proofErr w:type="gramEnd"/>
                                  <w:r w:rsidRPr="006E1A4E">
                                    <w:rPr>
                                      <w:rFonts w:ascii="標楷體" w:eastAsia="標楷體" w:hAnsi="標楷體" w:hint="eastAsia"/>
                                      <w:sz w:val="18"/>
                                      <w:szCs w:val="18"/>
                                    </w:rPr>
                                    <w:t>：1.統計時間：113年12月31日。</w:t>
                                  </w:r>
                                </w:p>
                                <w:p w14:paraId="0E420F74" w14:textId="77777777" w:rsidR="008E4AAF" w:rsidRPr="006E1A4E" w:rsidRDefault="008E4AAF" w:rsidP="006E1A4E">
                                  <w:pPr>
                                    <w:spacing w:line="240" w:lineRule="exact"/>
                                    <w:jc w:val="both"/>
                                    <w:rPr>
                                      <w:rFonts w:ascii="標楷體" w:eastAsia="標楷體" w:hAnsi="標楷體"/>
                                      <w:sz w:val="18"/>
                                      <w:szCs w:val="18"/>
                                    </w:rPr>
                                  </w:pPr>
                                  <w:r w:rsidRPr="006E1A4E">
                                    <w:rPr>
                                      <w:rFonts w:ascii="標楷體" w:eastAsia="標楷體" w:hAnsi="標楷體" w:hint="eastAsia"/>
                                      <w:sz w:val="18"/>
                                      <w:szCs w:val="18"/>
                                    </w:rPr>
                                    <w:t xml:space="preserve">　　2.未結案天數：自運輸事故調查報告發布日至統計時間之累計天數。</w:t>
                                  </w:r>
                                </w:p>
                                <w:p w14:paraId="17577B22" w14:textId="77777777" w:rsidR="008E4AAF" w:rsidRPr="006E1A4E" w:rsidRDefault="008E4AAF" w:rsidP="006E1A4E">
                                  <w:pPr>
                                    <w:spacing w:line="240" w:lineRule="exact"/>
                                    <w:jc w:val="both"/>
                                    <w:rPr>
                                      <w:rFonts w:ascii="標楷體" w:eastAsia="標楷體" w:hAnsi="標楷體"/>
                                    </w:rPr>
                                  </w:pPr>
                                  <w:r w:rsidRPr="006E1A4E">
                                    <w:rPr>
                                      <w:rFonts w:ascii="標楷體" w:eastAsia="標楷體" w:hAnsi="標楷體" w:hint="eastAsia"/>
                                      <w:sz w:val="18"/>
                                      <w:szCs w:val="18"/>
                                    </w:rPr>
                                    <w:t xml:space="preserve">　　3.資料來源：整理自</w:t>
                                  </w:r>
                                  <w:r w:rsidRPr="009D443A">
                                    <w:rPr>
                                      <w:rFonts w:ascii="標楷體" w:eastAsia="標楷體" w:hAnsi="標楷體" w:hint="eastAsia"/>
                                      <w:sz w:val="18"/>
                                      <w:szCs w:val="18"/>
                                    </w:rPr>
                                    <w:t>國家運輸安全調查委員會</w:t>
                                  </w:r>
                                  <w:r w:rsidRPr="006E1A4E">
                                    <w:rPr>
                                      <w:rFonts w:ascii="標楷體" w:eastAsia="標楷體" w:hAnsi="標楷體" w:hint="eastAsia"/>
                                      <w:sz w:val="18"/>
                                      <w:szCs w:val="18"/>
                                    </w:rPr>
                                    <w:t>提供資料。</w:t>
                                  </w:r>
                                </w:p>
                              </w:tc>
                            </w:tr>
                          </w:tbl>
                          <w:p w14:paraId="43CB029C" w14:textId="77777777" w:rsidR="008E4AAF" w:rsidRPr="008251D1" w:rsidRDefault="008E4AAF" w:rsidP="008E4AA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6AFB45" id="文字方塊 30" o:spid="_x0000_s1166" type="#_x0000_t202" style="position:absolute;left:0;text-align:left;margin-left:143.2pt;margin-top:8.75pt;width:352.8pt;height:181.8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" filled="f" stroked="f">
                <v:textbox>
                  <w:txbxContent>
                    <w:tbl>
                      <w:tblPr>
                        <w:tblW w:w="6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78"/>
                        <w:gridCol w:w="1020"/>
                        <w:gridCol w:w="1134"/>
                        <w:gridCol w:w="1134"/>
                        <w:gridCol w:w="1134"/>
                        <w:gridCol w:w="1134"/>
                      </w:tblGrid>
                      <w:tr w:rsidR="008E4AAF" w:rsidRPr="001E77BF" w14:paraId="7B9058C9" w14:textId="77777777" w:rsidTr="006E1A4E">
                        <w:trPr>
                          <w:trHeight w:val="23"/>
                          <w:jc w:val="center"/>
                        </w:trPr>
                        <w:tc>
                          <w:tcPr>
                            <w:tcW w:w="6834" w:type="dxa"/>
                            <w:gridSpan w:val="6"/>
                            <w:tcBorders>
                              <w:top w:val="nil"/>
                              <w:left w:val="nil"/>
                              <w:bottom w:val="nil"/>
                              <w:right w:val="nil"/>
                            </w:tcBorders>
                            <w:shd w:val="clear" w:color="auto" w:fill="FFFFFF"/>
                          </w:tcPr>
                          <w:p w14:paraId="0DD69149" w14:textId="77777777" w:rsidR="008E4AAF" w:rsidRPr="006E1A4E" w:rsidRDefault="008E4AAF" w:rsidP="006E1A4E">
                            <w:pPr>
                              <w:spacing w:line="240" w:lineRule="exact"/>
                              <w:jc w:val="center"/>
                              <w:rPr>
                                <w:rFonts w:ascii="標楷體" w:eastAsia="標楷體" w:hAnsi="標楷體"/>
                                <w:b/>
                                <w:bCs/>
                                <w:sz w:val="28"/>
                                <w:szCs w:val="28"/>
                              </w:rPr>
                            </w:pPr>
                            <w:r w:rsidRPr="006E1A4E">
                              <w:rPr>
                                <w:rFonts w:ascii="標楷體" w:eastAsia="標楷體" w:hAnsi="標楷體" w:hint="eastAsia"/>
                                <w:b/>
                                <w:bCs/>
                              </w:rPr>
                              <w:t>表</w:t>
                            </w:r>
                            <w:r>
                              <w:rPr>
                                <w:rFonts w:ascii="標楷體" w:eastAsia="標楷體" w:hAnsi="標楷體"/>
                                <w:b/>
                                <w:bCs/>
                              </w:rPr>
                              <w:t>56</w:t>
                            </w:r>
                            <w:r w:rsidRPr="006E1A4E">
                              <w:rPr>
                                <w:rFonts w:ascii="標楷體" w:eastAsia="標楷體" w:hAnsi="標楷體" w:hint="eastAsia"/>
                                <w:b/>
                                <w:bCs/>
                              </w:rPr>
                              <w:t xml:space="preserve">　運輸安全改善建議未結案數</w:t>
                            </w:r>
                          </w:p>
                        </w:tc>
                      </w:tr>
                      <w:tr w:rsidR="008E4AAF" w:rsidRPr="001E77BF" w14:paraId="1BCC6CDF" w14:textId="77777777" w:rsidTr="006E1A4E">
                        <w:trPr>
                          <w:trHeight w:val="23"/>
                          <w:jc w:val="center"/>
                        </w:trPr>
                        <w:tc>
                          <w:tcPr>
                            <w:tcW w:w="6834" w:type="dxa"/>
                            <w:gridSpan w:val="6"/>
                            <w:tcBorders>
                              <w:top w:val="nil"/>
                              <w:left w:val="nil"/>
                              <w:right w:val="nil"/>
                            </w:tcBorders>
                            <w:shd w:val="clear" w:color="auto" w:fill="FFFFFF"/>
                          </w:tcPr>
                          <w:p w14:paraId="6BAB0ADB"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單位：項</w:t>
                            </w:r>
                          </w:p>
                        </w:tc>
                      </w:tr>
                      <w:tr w:rsidR="008E4AAF" w:rsidRPr="001E77BF" w14:paraId="576174C8" w14:textId="77777777" w:rsidTr="003F2B2A">
                        <w:trPr>
                          <w:trHeight w:val="240"/>
                          <w:jc w:val="center"/>
                        </w:trPr>
                        <w:tc>
                          <w:tcPr>
                            <w:tcW w:w="1278" w:type="dxa"/>
                            <w:vMerge w:val="restart"/>
                            <w:tcBorders>
                              <w:left w:val="single" w:sz="4" w:space="0" w:color="auto"/>
                              <w:bottom w:val="single" w:sz="4" w:space="0" w:color="auto"/>
                              <w:tl2br w:val="single" w:sz="4" w:space="0" w:color="auto"/>
                            </w:tcBorders>
                            <w:shd w:val="clear" w:color="auto" w:fill="FFFFFF"/>
                            <w:vAlign w:val="bottom"/>
                          </w:tcPr>
                          <w:p w14:paraId="0C795D7D"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項目</w:t>
                            </w:r>
                          </w:p>
                          <w:p w14:paraId="270439E9" w14:textId="77777777" w:rsidR="008E4AAF" w:rsidRPr="006E1A4E" w:rsidRDefault="008E4AAF" w:rsidP="006E1A4E">
                            <w:pPr>
                              <w:spacing w:line="240" w:lineRule="exact"/>
                              <w:jc w:val="right"/>
                              <w:rPr>
                                <w:rFonts w:ascii="標楷體" w:eastAsia="標楷體" w:hAnsi="標楷體"/>
                                <w:sz w:val="20"/>
                              </w:rPr>
                            </w:pPr>
                          </w:p>
                          <w:p w14:paraId="682E6DA5" w14:textId="77777777" w:rsidR="008E4AAF" w:rsidRPr="006E1A4E" w:rsidRDefault="008E4AAF" w:rsidP="006E1A4E">
                            <w:pPr>
                              <w:spacing w:line="240" w:lineRule="exact"/>
                              <w:rPr>
                                <w:rFonts w:ascii="標楷體" w:eastAsia="標楷體" w:hAnsi="標楷體"/>
                                <w:sz w:val="20"/>
                              </w:rPr>
                            </w:pPr>
                            <w:r w:rsidRPr="006E1A4E">
                              <w:rPr>
                                <w:rFonts w:ascii="標楷體" w:eastAsia="標楷體" w:hAnsi="標楷體" w:hint="eastAsia"/>
                                <w:sz w:val="20"/>
                              </w:rPr>
                              <w:t>運輸</w:t>
                            </w:r>
                          </w:p>
                          <w:p w14:paraId="58313027" w14:textId="77777777" w:rsidR="008E4AAF" w:rsidRPr="006E1A4E" w:rsidRDefault="008E4AAF" w:rsidP="006E1A4E">
                            <w:pPr>
                              <w:spacing w:line="240" w:lineRule="exact"/>
                              <w:rPr>
                                <w:rFonts w:ascii="標楷體" w:eastAsia="標楷體" w:hAnsi="標楷體"/>
                                <w:sz w:val="20"/>
                              </w:rPr>
                            </w:pPr>
                            <w:r w:rsidRPr="006E1A4E">
                              <w:rPr>
                                <w:rFonts w:ascii="標楷體" w:eastAsia="標楷體" w:hAnsi="標楷體" w:hint="eastAsia"/>
                                <w:sz w:val="20"/>
                              </w:rPr>
                              <w:t>事故類型</w:t>
                            </w:r>
                          </w:p>
                        </w:tc>
                        <w:tc>
                          <w:tcPr>
                            <w:tcW w:w="1020" w:type="dxa"/>
                            <w:tcBorders>
                              <w:bottom w:val="nil"/>
                              <w:right w:val="nil"/>
                            </w:tcBorders>
                            <w:shd w:val="clear" w:color="auto" w:fill="FFFFFF"/>
                            <w:vAlign w:val="center"/>
                          </w:tcPr>
                          <w:p w14:paraId="72112081" w14:textId="77777777" w:rsidR="008E4AAF" w:rsidRPr="006E1A4E" w:rsidRDefault="008E4AAF" w:rsidP="006E1A4E">
                            <w:pPr>
                              <w:spacing w:line="240" w:lineRule="exact"/>
                              <w:jc w:val="center"/>
                              <w:rPr>
                                <w:rFonts w:ascii="標楷體" w:eastAsia="標楷體" w:hAnsi="標楷體"/>
                                <w:sz w:val="20"/>
                              </w:rPr>
                            </w:pPr>
                          </w:p>
                        </w:tc>
                        <w:tc>
                          <w:tcPr>
                            <w:tcW w:w="4535" w:type="dxa"/>
                            <w:gridSpan w:val="4"/>
                            <w:tcBorders>
                              <w:left w:val="nil"/>
                              <w:bottom w:val="single" w:sz="4" w:space="0" w:color="auto"/>
                            </w:tcBorders>
                            <w:shd w:val="clear" w:color="auto" w:fill="FFFFFF"/>
                          </w:tcPr>
                          <w:p w14:paraId="1618FAFD" w14:textId="77777777" w:rsidR="008E4AAF" w:rsidRPr="006E1A4E" w:rsidRDefault="008E4AAF" w:rsidP="006E1A4E">
                            <w:pPr>
                              <w:spacing w:line="240" w:lineRule="exact"/>
                              <w:jc w:val="center"/>
                              <w:rPr>
                                <w:rFonts w:ascii="標楷體" w:eastAsia="標楷體" w:hAnsi="標楷體"/>
                                <w:sz w:val="20"/>
                              </w:rPr>
                            </w:pPr>
                          </w:p>
                        </w:tc>
                      </w:tr>
                      <w:tr w:rsidR="008E4AAF" w:rsidRPr="001E77BF" w14:paraId="6DCDA616" w14:textId="77777777" w:rsidTr="003F2B2A">
                        <w:trPr>
                          <w:trHeight w:val="20"/>
                          <w:jc w:val="center"/>
                        </w:trPr>
                        <w:tc>
                          <w:tcPr>
                            <w:tcW w:w="1278" w:type="dxa"/>
                            <w:vMerge/>
                            <w:tcBorders>
                              <w:left w:val="single" w:sz="4" w:space="0" w:color="auto"/>
                              <w:tl2br w:val="single" w:sz="4" w:space="0" w:color="auto"/>
                            </w:tcBorders>
                            <w:shd w:val="clear" w:color="auto" w:fill="FFFFFF"/>
                            <w:vAlign w:val="center"/>
                          </w:tcPr>
                          <w:p w14:paraId="50C9F153" w14:textId="77777777" w:rsidR="008E4AAF" w:rsidRPr="006E1A4E" w:rsidRDefault="008E4AAF" w:rsidP="006E1A4E">
                            <w:pPr>
                              <w:spacing w:line="240" w:lineRule="exact"/>
                              <w:jc w:val="center"/>
                              <w:rPr>
                                <w:rFonts w:ascii="標楷體" w:eastAsia="標楷體" w:hAnsi="標楷體"/>
                                <w:sz w:val="20"/>
                              </w:rPr>
                            </w:pPr>
                          </w:p>
                        </w:tc>
                        <w:tc>
                          <w:tcPr>
                            <w:tcW w:w="1020" w:type="dxa"/>
                            <w:vMerge w:val="restart"/>
                            <w:tcBorders>
                              <w:top w:val="nil"/>
                            </w:tcBorders>
                            <w:shd w:val="clear" w:color="auto" w:fill="FFFFFF"/>
                            <w:vAlign w:val="center"/>
                          </w:tcPr>
                          <w:p w14:paraId="6E3BE0BB"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未結案數（</w:t>
                            </w:r>
                            <w:proofErr w:type="gramStart"/>
                            <w:r w:rsidRPr="006E1A4E">
                              <w:rPr>
                                <w:rFonts w:ascii="標楷體" w:eastAsia="標楷體" w:hAnsi="標楷體" w:hint="eastAsia"/>
                                <w:sz w:val="20"/>
                              </w:rPr>
                              <w:t>註</w:t>
                            </w:r>
                            <w:proofErr w:type="gramEnd"/>
                            <w:r w:rsidRPr="006E1A4E">
                              <w:rPr>
                                <w:rFonts w:ascii="標楷體" w:eastAsia="標楷體" w:hAnsi="標楷體" w:hint="eastAsia"/>
                                <w:sz w:val="20"/>
                              </w:rPr>
                              <w:t>1）</w:t>
                            </w:r>
                          </w:p>
                        </w:tc>
                        <w:tc>
                          <w:tcPr>
                            <w:tcW w:w="4536" w:type="dxa"/>
                            <w:gridSpan w:val="4"/>
                            <w:shd w:val="clear" w:color="auto" w:fill="FFFFFF"/>
                          </w:tcPr>
                          <w:p w14:paraId="0A294F23"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 結 案 天 數（</w:t>
                            </w:r>
                            <w:proofErr w:type="gramStart"/>
                            <w:r w:rsidRPr="006E1A4E">
                              <w:rPr>
                                <w:rFonts w:ascii="標楷體" w:eastAsia="標楷體" w:hAnsi="標楷體" w:hint="eastAsia"/>
                                <w:sz w:val="20"/>
                              </w:rPr>
                              <w:t>註</w:t>
                            </w:r>
                            <w:proofErr w:type="gramEnd"/>
                            <w:r w:rsidRPr="006E1A4E">
                              <w:rPr>
                                <w:rFonts w:ascii="標楷體" w:eastAsia="標楷體" w:hAnsi="標楷體" w:hint="eastAsia"/>
                                <w:sz w:val="20"/>
                              </w:rPr>
                              <w:t>2）</w:t>
                            </w:r>
                          </w:p>
                        </w:tc>
                      </w:tr>
                      <w:tr w:rsidR="008E4AAF" w:rsidRPr="001E77BF" w14:paraId="10E50528" w14:textId="77777777" w:rsidTr="003F2B2A">
                        <w:trPr>
                          <w:trHeight w:val="446"/>
                          <w:jc w:val="center"/>
                        </w:trPr>
                        <w:tc>
                          <w:tcPr>
                            <w:tcW w:w="1278" w:type="dxa"/>
                            <w:vMerge/>
                            <w:tcBorders>
                              <w:left w:val="single" w:sz="4" w:space="0" w:color="auto"/>
                              <w:tl2br w:val="single" w:sz="4" w:space="0" w:color="auto"/>
                            </w:tcBorders>
                            <w:shd w:val="clear" w:color="auto" w:fill="FFFFFF"/>
                            <w:vAlign w:val="center"/>
                          </w:tcPr>
                          <w:p w14:paraId="056998ED" w14:textId="77777777" w:rsidR="008E4AAF" w:rsidRPr="006E1A4E" w:rsidRDefault="008E4AAF" w:rsidP="006E1A4E">
                            <w:pPr>
                              <w:spacing w:line="240" w:lineRule="exact"/>
                              <w:jc w:val="center"/>
                              <w:rPr>
                                <w:rFonts w:ascii="標楷體" w:eastAsia="標楷體" w:hAnsi="標楷體"/>
                                <w:sz w:val="20"/>
                              </w:rPr>
                            </w:pPr>
                          </w:p>
                        </w:tc>
                        <w:tc>
                          <w:tcPr>
                            <w:tcW w:w="1020" w:type="dxa"/>
                            <w:vMerge/>
                            <w:shd w:val="clear" w:color="auto" w:fill="FFFFFF"/>
                          </w:tcPr>
                          <w:p w14:paraId="3F1C642F" w14:textId="77777777" w:rsidR="008E4AAF" w:rsidRPr="006E1A4E" w:rsidRDefault="008E4AAF" w:rsidP="006E1A4E">
                            <w:pPr>
                              <w:spacing w:line="240" w:lineRule="exact"/>
                              <w:jc w:val="center"/>
                              <w:rPr>
                                <w:rFonts w:ascii="標楷體" w:eastAsia="標楷體" w:hAnsi="標楷體"/>
                                <w:sz w:val="20"/>
                              </w:rPr>
                            </w:pPr>
                          </w:p>
                        </w:tc>
                        <w:tc>
                          <w:tcPr>
                            <w:tcW w:w="1134" w:type="dxa"/>
                            <w:shd w:val="clear" w:color="auto" w:fill="FFFFFF"/>
                            <w:vAlign w:val="center"/>
                          </w:tcPr>
                          <w:p w14:paraId="3F3C3FBB"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未滿1年</w:t>
                            </w:r>
                          </w:p>
                        </w:tc>
                        <w:tc>
                          <w:tcPr>
                            <w:tcW w:w="1134" w:type="dxa"/>
                            <w:shd w:val="clear" w:color="auto" w:fill="FFFFFF"/>
                            <w:vAlign w:val="center"/>
                          </w:tcPr>
                          <w:p w14:paraId="0565CEEA"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1年以上</w:t>
                            </w:r>
                          </w:p>
                          <w:p w14:paraId="2DBFA2A7"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未滿2年</w:t>
                            </w:r>
                          </w:p>
                        </w:tc>
                        <w:tc>
                          <w:tcPr>
                            <w:tcW w:w="1134" w:type="dxa"/>
                            <w:shd w:val="clear" w:color="auto" w:fill="FFFFFF"/>
                            <w:vAlign w:val="center"/>
                          </w:tcPr>
                          <w:p w14:paraId="2BCFAAA0"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2年以上</w:t>
                            </w:r>
                          </w:p>
                          <w:p w14:paraId="58D17A50"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未滿3年</w:t>
                            </w:r>
                          </w:p>
                        </w:tc>
                        <w:tc>
                          <w:tcPr>
                            <w:tcW w:w="1134" w:type="dxa"/>
                            <w:shd w:val="clear" w:color="auto" w:fill="FFFFFF"/>
                            <w:vAlign w:val="center"/>
                          </w:tcPr>
                          <w:p w14:paraId="774E461F"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3年以上</w:t>
                            </w:r>
                          </w:p>
                        </w:tc>
                      </w:tr>
                      <w:tr w:rsidR="008E4AAF" w:rsidRPr="001E77BF" w14:paraId="378D5ABA" w14:textId="77777777" w:rsidTr="003F2B2A">
                        <w:trPr>
                          <w:trHeight w:val="227"/>
                          <w:jc w:val="center"/>
                        </w:trPr>
                        <w:tc>
                          <w:tcPr>
                            <w:tcW w:w="1278" w:type="dxa"/>
                            <w:tcBorders>
                              <w:left w:val="single" w:sz="4" w:space="0" w:color="auto"/>
                              <w:bottom w:val="single" w:sz="4" w:space="0" w:color="auto"/>
                            </w:tcBorders>
                            <w:shd w:val="clear" w:color="auto" w:fill="FFFFFF"/>
                            <w:vAlign w:val="center"/>
                          </w:tcPr>
                          <w:p w14:paraId="3D03869B" w14:textId="77777777" w:rsidR="008E4AAF" w:rsidRPr="006E1A4E" w:rsidRDefault="008E4AAF" w:rsidP="006E1A4E">
                            <w:pPr>
                              <w:spacing w:line="240" w:lineRule="exact"/>
                              <w:jc w:val="center"/>
                              <w:rPr>
                                <w:rFonts w:ascii="標楷體" w:eastAsia="標楷體" w:hAnsi="標楷體"/>
                                <w:b/>
                                <w:bCs/>
                                <w:sz w:val="20"/>
                              </w:rPr>
                            </w:pPr>
                            <w:r w:rsidRPr="006E1A4E">
                              <w:rPr>
                                <w:rFonts w:ascii="標楷體" w:eastAsia="標楷體" w:hAnsi="標楷體" w:hint="eastAsia"/>
                                <w:b/>
                                <w:bCs/>
                                <w:sz w:val="20"/>
                              </w:rPr>
                              <w:t>合計</w:t>
                            </w:r>
                          </w:p>
                        </w:tc>
                        <w:tc>
                          <w:tcPr>
                            <w:tcW w:w="1020" w:type="dxa"/>
                            <w:tcBorders>
                              <w:bottom w:val="single" w:sz="4" w:space="0" w:color="auto"/>
                            </w:tcBorders>
                            <w:shd w:val="clear" w:color="auto" w:fill="FFFFFF"/>
                          </w:tcPr>
                          <w:p w14:paraId="4B4FAF31"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120</w:t>
                            </w:r>
                          </w:p>
                        </w:tc>
                        <w:tc>
                          <w:tcPr>
                            <w:tcW w:w="1134" w:type="dxa"/>
                            <w:tcBorders>
                              <w:bottom w:val="single" w:sz="4" w:space="0" w:color="auto"/>
                            </w:tcBorders>
                            <w:shd w:val="clear" w:color="auto" w:fill="FFFFFF"/>
                          </w:tcPr>
                          <w:p w14:paraId="4B00BE32"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38</w:t>
                            </w:r>
                          </w:p>
                        </w:tc>
                        <w:tc>
                          <w:tcPr>
                            <w:tcW w:w="1134" w:type="dxa"/>
                            <w:tcBorders>
                              <w:bottom w:val="single" w:sz="4" w:space="0" w:color="auto"/>
                            </w:tcBorders>
                            <w:shd w:val="clear" w:color="auto" w:fill="FFFFFF"/>
                          </w:tcPr>
                          <w:p w14:paraId="768D645E"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42</w:t>
                            </w:r>
                          </w:p>
                        </w:tc>
                        <w:tc>
                          <w:tcPr>
                            <w:tcW w:w="1134" w:type="dxa"/>
                            <w:tcBorders>
                              <w:bottom w:val="single" w:sz="4" w:space="0" w:color="auto"/>
                            </w:tcBorders>
                            <w:shd w:val="clear" w:color="auto" w:fill="FFFFFF"/>
                          </w:tcPr>
                          <w:p w14:paraId="2950730B"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13</w:t>
                            </w:r>
                          </w:p>
                        </w:tc>
                        <w:tc>
                          <w:tcPr>
                            <w:tcW w:w="1134" w:type="dxa"/>
                            <w:tcBorders>
                              <w:bottom w:val="single" w:sz="4" w:space="0" w:color="auto"/>
                            </w:tcBorders>
                            <w:shd w:val="clear" w:color="auto" w:fill="FFFFFF"/>
                          </w:tcPr>
                          <w:p w14:paraId="0E5A4172" w14:textId="77777777" w:rsidR="008E4AAF" w:rsidRPr="006E1A4E" w:rsidRDefault="008E4AAF" w:rsidP="006E1A4E">
                            <w:pPr>
                              <w:spacing w:line="240" w:lineRule="exact"/>
                              <w:jc w:val="right"/>
                              <w:rPr>
                                <w:rFonts w:ascii="標楷體" w:eastAsia="標楷體" w:hAnsi="標楷體"/>
                                <w:b/>
                                <w:bCs/>
                                <w:sz w:val="20"/>
                              </w:rPr>
                            </w:pPr>
                            <w:r w:rsidRPr="006E1A4E">
                              <w:rPr>
                                <w:rFonts w:ascii="標楷體" w:eastAsia="標楷體" w:hAnsi="標楷體" w:hint="eastAsia"/>
                                <w:b/>
                                <w:bCs/>
                                <w:sz w:val="20"/>
                              </w:rPr>
                              <w:t>27</w:t>
                            </w:r>
                          </w:p>
                        </w:tc>
                      </w:tr>
                      <w:tr w:rsidR="008E4AAF" w:rsidRPr="001E77BF" w14:paraId="50DB3F91" w14:textId="77777777" w:rsidTr="003F2B2A">
                        <w:trPr>
                          <w:trHeight w:val="90"/>
                          <w:jc w:val="center"/>
                        </w:trPr>
                        <w:tc>
                          <w:tcPr>
                            <w:tcW w:w="1278" w:type="dxa"/>
                            <w:tcBorders>
                              <w:left w:val="single" w:sz="4" w:space="0" w:color="auto"/>
                            </w:tcBorders>
                            <w:shd w:val="clear" w:color="auto" w:fill="FFFFFF"/>
                            <w:vAlign w:val="center"/>
                          </w:tcPr>
                          <w:p w14:paraId="44DE60C5"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航空</w:t>
                            </w:r>
                          </w:p>
                        </w:tc>
                        <w:tc>
                          <w:tcPr>
                            <w:tcW w:w="1020" w:type="dxa"/>
                            <w:shd w:val="clear" w:color="auto" w:fill="FFFFFF"/>
                          </w:tcPr>
                          <w:p w14:paraId="22333F2F"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6</w:t>
                            </w:r>
                          </w:p>
                        </w:tc>
                        <w:tc>
                          <w:tcPr>
                            <w:tcW w:w="1134" w:type="dxa"/>
                            <w:shd w:val="clear" w:color="auto" w:fill="FFFFFF"/>
                          </w:tcPr>
                          <w:p w14:paraId="230BAAD8"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w:t>
                            </w:r>
                          </w:p>
                        </w:tc>
                        <w:tc>
                          <w:tcPr>
                            <w:tcW w:w="1134" w:type="dxa"/>
                            <w:shd w:val="clear" w:color="auto" w:fill="FFFFFF"/>
                          </w:tcPr>
                          <w:p w14:paraId="11A5DFDC"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w:t>
                            </w:r>
                          </w:p>
                        </w:tc>
                        <w:tc>
                          <w:tcPr>
                            <w:tcW w:w="1134" w:type="dxa"/>
                            <w:shd w:val="clear" w:color="auto" w:fill="FFFFFF"/>
                          </w:tcPr>
                          <w:p w14:paraId="2389C806"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w:t>
                            </w:r>
                          </w:p>
                        </w:tc>
                        <w:tc>
                          <w:tcPr>
                            <w:tcW w:w="1134" w:type="dxa"/>
                            <w:shd w:val="clear" w:color="auto" w:fill="FFFFFF"/>
                          </w:tcPr>
                          <w:p w14:paraId="77CB647E"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4</w:t>
                            </w:r>
                          </w:p>
                        </w:tc>
                      </w:tr>
                      <w:tr w:rsidR="008E4AAF" w:rsidRPr="001E77BF" w14:paraId="1D11B152" w14:textId="77777777" w:rsidTr="003F2B2A">
                        <w:trPr>
                          <w:trHeight w:val="211"/>
                          <w:jc w:val="center"/>
                        </w:trPr>
                        <w:tc>
                          <w:tcPr>
                            <w:tcW w:w="1278" w:type="dxa"/>
                            <w:tcBorders>
                              <w:left w:val="single" w:sz="4" w:space="0" w:color="auto"/>
                            </w:tcBorders>
                            <w:shd w:val="clear" w:color="auto" w:fill="FFFFFF"/>
                            <w:vAlign w:val="center"/>
                          </w:tcPr>
                          <w:p w14:paraId="06227904" w14:textId="77777777" w:rsidR="008E4AAF" w:rsidRPr="006E1A4E" w:rsidRDefault="008E4AAF" w:rsidP="006E1A4E">
                            <w:pPr>
                              <w:spacing w:line="240" w:lineRule="exact"/>
                              <w:jc w:val="center"/>
                              <w:rPr>
                                <w:rFonts w:ascii="標楷體" w:eastAsia="標楷體" w:hAnsi="標楷體"/>
                                <w:sz w:val="20"/>
                                <w:highlight w:val="yellow"/>
                              </w:rPr>
                            </w:pPr>
                            <w:r w:rsidRPr="006E1A4E">
                              <w:rPr>
                                <w:rFonts w:ascii="標楷體" w:eastAsia="標楷體" w:hAnsi="標楷體" w:hint="eastAsia"/>
                                <w:sz w:val="20"/>
                              </w:rPr>
                              <w:t>鐵道</w:t>
                            </w:r>
                          </w:p>
                        </w:tc>
                        <w:tc>
                          <w:tcPr>
                            <w:tcW w:w="1020" w:type="dxa"/>
                            <w:shd w:val="clear" w:color="auto" w:fill="FFFFFF"/>
                          </w:tcPr>
                          <w:p w14:paraId="73895209"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37</w:t>
                            </w:r>
                          </w:p>
                        </w:tc>
                        <w:tc>
                          <w:tcPr>
                            <w:tcW w:w="1134" w:type="dxa"/>
                            <w:shd w:val="clear" w:color="auto" w:fill="FFFFFF"/>
                          </w:tcPr>
                          <w:p w14:paraId="761D1D53"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5</w:t>
                            </w:r>
                          </w:p>
                        </w:tc>
                        <w:tc>
                          <w:tcPr>
                            <w:tcW w:w="1134" w:type="dxa"/>
                            <w:shd w:val="clear" w:color="auto" w:fill="FFFFFF"/>
                          </w:tcPr>
                          <w:p w14:paraId="55FAF54F"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11</w:t>
                            </w:r>
                          </w:p>
                        </w:tc>
                        <w:tc>
                          <w:tcPr>
                            <w:tcW w:w="1134" w:type="dxa"/>
                            <w:shd w:val="clear" w:color="auto" w:fill="FFFFFF"/>
                          </w:tcPr>
                          <w:p w14:paraId="17A1B0CB"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5</w:t>
                            </w:r>
                          </w:p>
                        </w:tc>
                        <w:tc>
                          <w:tcPr>
                            <w:tcW w:w="1134" w:type="dxa"/>
                            <w:shd w:val="clear" w:color="auto" w:fill="FFFFFF"/>
                          </w:tcPr>
                          <w:p w14:paraId="31080E19"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16</w:t>
                            </w:r>
                          </w:p>
                        </w:tc>
                      </w:tr>
                      <w:tr w:rsidR="008E4AAF" w:rsidRPr="001E77BF" w14:paraId="5553F84E" w14:textId="77777777" w:rsidTr="003F2B2A">
                        <w:trPr>
                          <w:trHeight w:val="211"/>
                          <w:jc w:val="center"/>
                        </w:trPr>
                        <w:tc>
                          <w:tcPr>
                            <w:tcW w:w="1278" w:type="dxa"/>
                            <w:tcBorders>
                              <w:left w:val="single" w:sz="4" w:space="0" w:color="auto"/>
                            </w:tcBorders>
                            <w:shd w:val="clear" w:color="auto" w:fill="FFFFFF"/>
                            <w:vAlign w:val="center"/>
                          </w:tcPr>
                          <w:p w14:paraId="4ACC6144" w14:textId="77777777" w:rsidR="008E4AAF" w:rsidRPr="006E1A4E" w:rsidRDefault="008E4AAF" w:rsidP="006E1A4E">
                            <w:pPr>
                              <w:spacing w:line="240" w:lineRule="exact"/>
                              <w:jc w:val="center"/>
                              <w:rPr>
                                <w:rFonts w:ascii="標楷體" w:eastAsia="標楷體" w:hAnsi="標楷體"/>
                                <w:sz w:val="20"/>
                              </w:rPr>
                            </w:pPr>
                            <w:r w:rsidRPr="006E1A4E">
                              <w:rPr>
                                <w:rFonts w:ascii="標楷體" w:eastAsia="標楷體" w:hAnsi="標楷體" w:hint="eastAsia"/>
                                <w:sz w:val="20"/>
                              </w:rPr>
                              <w:t>水路</w:t>
                            </w:r>
                          </w:p>
                        </w:tc>
                        <w:tc>
                          <w:tcPr>
                            <w:tcW w:w="1020" w:type="dxa"/>
                            <w:shd w:val="clear" w:color="auto" w:fill="FFFFFF"/>
                          </w:tcPr>
                          <w:p w14:paraId="1DBC5CAD"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61</w:t>
                            </w:r>
                          </w:p>
                        </w:tc>
                        <w:tc>
                          <w:tcPr>
                            <w:tcW w:w="1134" w:type="dxa"/>
                            <w:shd w:val="clear" w:color="auto" w:fill="FFFFFF"/>
                          </w:tcPr>
                          <w:p w14:paraId="5E3C0CB2"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28</w:t>
                            </w:r>
                          </w:p>
                        </w:tc>
                        <w:tc>
                          <w:tcPr>
                            <w:tcW w:w="1134" w:type="dxa"/>
                            <w:shd w:val="clear" w:color="auto" w:fill="FFFFFF"/>
                          </w:tcPr>
                          <w:p w14:paraId="40BFFD2E"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28</w:t>
                            </w:r>
                          </w:p>
                        </w:tc>
                        <w:tc>
                          <w:tcPr>
                            <w:tcW w:w="1134" w:type="dxa"/>
                            <w:shd w:val="clear" w:color="auto" w:fill="FFFFFF"/>
                          </w:tcPr>
                          <w:p w14:paraId="2060927F"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2</w:t>
                            </w:r>
                          </w:p>
                        </w:tc>
                        <w:tc>
                          <w:tcPr>
                            <w:tcW w:w="1134" w:type="dxa"/>
                            <w:shd w:val="clear" w:color="auto" w:fill="FFFFFF"/>
                          </w:tcPr>
                          <w:p w14:paraId="33E0E23C"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w:t>
                            </w:r>
                          </w:p>
                        </w:tc>
                      </w:tr>
                      <w:tr w:rsidR="008E4AAF" w:rsidRPr="001E77BF" w14:paraId="46576AEF" w14:textId="77777777" w:rsidTr="003F2B2A">
                        <w:trPr>
                          <w:trHeight w:val="201"/>
                          <w:jc w:val="center"/>
                        </w:trPr>
                        <w:tc>
                          <w:tcPr>
                            <w:tcW w:w="1278" w:type="dxa"/>
                            <w:tcBorders>
                              <w:left w:val="single" w:sz="4" w:space="0" w:color="auto"/>
                            </w:tcBorders>
                            <w:shd w:val="clear" w:color="auto" w:fill="FFFFFF"/>
                            <w:vAlign w:val="center"/>
                          </w:tcPr>
                          <w:p w14:paraId="1169A061" w14:textId="77777777" w:rsidR="008E4AAF" w:rsidRPr="006E1A4E" w:rsidRDefault="008E4AAF" w:rsidP="006E1A4E">
                            <w:pPr>
                              <w:spacing w:line="240" w:lineRule="exact"/>
                              <w:jc w:val="center"/>
                              <w:rPr>
                                <w:rFonts w:ascii="標楷體" w:eastAsia="標楷體" w:hAnsi="標楷體"/>
                                <w:sz w:val="20"/>
                                <w:highlight w:val="yellow"/>
                              </w:rPr>
                            </w:pPr>
                            <w:r w:rsidRPr="006E1A4E">
                              <w:rPr>
                                <w:rFonts w:ascii="標楷體" w:eastAsia="標楷體" w:hAnsi="標楷體" w:hint="eastAsia"/>
                                <w:sz w:val="20"/>
                              </w:rPr>
                              <w:t>公路</w:t>
                            </w:r>
                          </w:p>
                        </w:tc>
                        <w:tc>
                          <w:tcPr>
                            <w:tcW w:w="1020" w:type="dxa"/>
                            <w:shd w:val="clear" w:color="auto" w:fill="FFFFFF"/>
                          </w:tcPr>
                          <w:p w14:paraId="1C3A6D20"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16</w:t>
                            </w:r>
                          </w:p>
                        </w:tc>
                        <w:tc>
                          <w:tcPr>
                            <w:tcW w:w="1134" w:type="dxa"/>
                            <w:shd w:val="clear" w:color="auto" w:fill="FFFFFF"/>
                          </w:tcPr>
                          <w:p w14:paraId="08792DD5"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w:t>
                            </w:r>
                          </w:p>
                        </w:tc>
                        <w:tc>
                          <w:tcPr>
                            <w:tcW w:w="1134" w:type="dxa"/>
                            <w:shd w:val="clear" w:color="auto" w:fill="FFFFFF"/>
                          </w:tcPr>
                          <w:p w14:paraId="2BE0099D"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3</w:t>
                            </w:r>
                          </w:p>
                        </w:tc>
                        <w:tc>
                          <w:tcPr>
                            <w:tcW w:w="1134" w:type="dxa"/>
                            <w:shd w:val="clear" w:color="auto" w:fill="FFFFFF"/>
                          </w:tcPr>
                          <w:p w14:paraId="4CDD9F94"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6</w:t>
                            </w:r>
                          </w:p>
                        </w:tc>
                        <w:tc>
                          <w:tcPr>
                            <w:tcW w:w="1134" w:type="dxa"/>
                            <w:shd w:val="clear" w:color="auto" w:fill="FFFFFF"/>
                          </w:tcPr>
                          <w:p w14:paraId="6D3FDEE8" w14:textId="77777777" w:rsidR="008E4AAF" w:rsidRPr="006E1A4E" w:rsidRDefault="008E4AAF" w:rsidP="006E1A4E">
                            <w:pPr>
                              <w:spacing w:line="240" w:lineRule="exact"/>
                              <w:jc w:val="right"/>
                              <w:rPr>
                                <w:rFonts w:ascii="標楷體" w:eastAsia="標楷體" w:hAnsi="標楷體"/>
                                <w:sz w:val="20"/>
                              </w:rPr>
                            </w:pPr>
                            <w:r w:rsidRPr="006E1A4E">
                              <w:rPr>
                                <w:rFonts w:ascii="標楷體" w:eastAsia="標楷體" w:hAnsi="標楷體" w:hint="eastAsia"/>
                                <w:sz w:val="20"/>
                              </w:rPr>
                              <w:t>4</w:t>
                            </w:r>
                          </w:p>
                        </w:tc>
                      </w:tr>
                      <w:tr w:rsidR="008E4AAF" w:rsidRPr="001E77BF" w14:paraId="121B7E5A" w14:textId="77777777" w:rsidTr="006E1A4E">
                        <w:trPr>
                          <w:trHeight w:val="23"/>
                          <w:jc w:val="center"/>
                        </w:trPr>
                        <w:tc>
                          <w:tcPr>
                            <w:tcW w:w="6834" w:type="dxa"/>
                            <w:gridSpan w:val="6"/>
                            <w:tcBorders>
                              <w:left w:val="nil"/>
                              <w:bottom w:val="nil"/>
                              <w:right w:val="nil"/>
                            </w:tcBorders>
                            <w:shd w:val="clear" w:color="auto" w:fill="FFFFFF"/>
                          </w:tcPr>
                          <w:p w14:paraId="22AE2805" w14:textId="77777777" w:rsidR="008E4AAF" w:rsidRPr="006E1A4E" w:rsidRDefault="008E4AAF" w:rsidP="006E1A4E">
                            <w:pPr>
                              <w:spacing w:line="240" w:lineRule="exact"/>
                              <w:jc w:val="both"/>
                              <w:rPr>
                                <w:rFonts w:ascii="標楷體" w:eastAsia="標楷體" w:hAnsi="標楷體"/>
                                <w:sz w:val="18"/>
                                <w:szCs w:val="18"/>
                              </w:rPr>
                            </w:pPr>
                            <w:proofErr w:type="gramStart"/>
                            <w:r w:rsidRPr="006E1A4E">
                              <w:rPr>
                                <w:rFonts w:ascii="標楷體" w:eastAsia="標楷體" w:hAnsi="標楷體" w:hint="eastAsia"/>
                                <w:sz w:val="18"/>
                                <w:szCs w:val="18"/>
                              </w:rPr>
                              <w:t>註</w:t>
                            </w:r>
                            <w:proofErr w:type="gramEnd"/>
                            <w:r w:rsidRPr="006E1A4E">
                              <w:rPr>
                                <w:rFonts w:ascii="標楷體" w:eastAsia="標楷體" w:hAnsi="標楷體" w:hint="eastAsia"/>
                                <w:sz w:val="18"/>
                                <w:szCs w:val="18"/>
                              </w:rPr>
                              <w:t>：1.統計時間：113年12月31日。</w:t>
                            </w:r>
                          </w:p>
                          <w:p w14:paraId="0E420F74" w14:textId="77777777" w:rsidR="008E4AAF" w:rsidRPr="006E1A4E" w:rsidRDefault="008E4AAF" w:rsidP="006E1A4E">
                            <w:pPr>
                              <w:spacing w:line="240" w:lineRule="exact"/>
                              <w:jc w:val="both"/>
                              <w:rPr>
                                <w:rFonts w:ascii="標楷體" w:eastAsia="標楷體" w:hAnsi="標楷體"/>
                                <w:sz w:val="18"/>
                                <w:szCs w:val="18"/>
                              </w:rPr>
                            </w:pPr>
                            <w:r w:rsidRPr="006E1A4E">
                              <w:rPr>
                                <w:rFonts w:ascii="標楷體" w:eastAsia="標楷體" w:hAnsi="標楷體" w:hint="eastAsia"/>
                                <w:sz w:val="18"/>
                                <w:szCs w:val="18"/>
                              </w:rPr>
                              <w:t xml:space="preserve">　　2.未結案天數：自運輸事故調查報告發布日至統計時間之累計天數。</w:t>
                            </w:r>
                          </w:p>
                          <w:p w14:paraId="17577B22" w14:textId="77777777" w:rsidR="008E4AAF" w:rsidRPr="006E1A4E" w:rsidRDefault="008E4AAF" w:rsidP="006E1A4E">
                            <w:pPr>
                              <w:spacing w:line="240" w:lineRule="exact"/>
                              <w:jc w:val="both"/>
                              <w:rPr>
                                <w:rFonts w:ascii="標楷體" w:eastAsia="標楷體" w:hAnsi="標楷體"/>
                              </w:rPr>
                            </w:pPr>
                            <w:r w:rsidRPr="006E1A4E">
                              <w:rPr>
                                <w:rFonts w:ascii="標楷體" w:eastAsia="標楷體" w:hAnsi="標楷體" w:hint="eastAsia"/>
                                <w:sz w:val="18"/>
                                <w:szCs w:val="18"/>
                              </w:rPr>
                              <w:t xml:space="preserve">　　3.資料來源：整理自</w:t>
                            </w:r>
                            <w:r w:rsidRPr="009D443A">
                              <w:rPr>
                                <w:rFonts w:ascii="標楷體" w:eastAsia="標楷體" w:hAnsi="標楷體" w:hint="eastAsia"/>
                                <w:sz w:val="18"/>
                                <w:szCs w:val="18"/>
                              </w:rPr>
                              <w:t>國家運輸安全調查委員會</w:t>
                            </w:r>
                            <w:r w:rsidRPr="006E1A4E">
                              <w:rPr>
                                <w:rFonts w:ascii="標楷體" w:eastAsia="標楷體" w:hAnsi="標楷體" w:hint="eastAsia"/>
                                <w:sz w:val="18"/>
                                <w:szCs w:val="18"/>
                              </w:rPr>
                              <w:t>提供資料。</w:t>
                            </w:r>
                          </w:p>
                        </w:tc>
                      </w:tr>
                    </w:tbl>
                    <w:p w14:paraId="43CB029C" w14:textId="77777777" w:rsidR="008E4AAF" w:rsidRPr="008251D1" w:rsidRDefault="008E4AAF" w:rsidP="008E4AAF"/>
                  </w:txbxContent>
                </v:textbox>
                <w10:wrap type="square"/>
              </v:shape>
            </w:pict>
          </mc:Fallback>
        </mc:AlternateContent>
      </w:r>
      <w:r w:rsidRPr="00C35FBD">
        <w:rPr>
          <w:rFonts w:ascii="標楷體" w:eastAsia="標楷體" w:hAnsi="標楷體" w:hint="eastAsia"/>
          <w:bCs/>
        </w:rPr>
        <w:t>據復：已邀集相關單位召開會議進行溝通討論，對於缺乏具體執行進度或偏離建議意旨之分項計畫，持續透過會議加強溝通，協助提出具體可行作法。另</w:t>
      </w:r>
      <w:proofErr w:type="gramStart"/>
      <w:r w:rsidRPr="00C35FBD">
        <w:rPr>
          <w:rFonts w:ascii="標楷體" w:eastAsia="標楷體" w:hAnsi="標楷體" w:hint="eastAsia"/>
          <w:bCs/>
        </w:rPr>
        <w:t>列管逾3年</w:t>
      </w:r>
      <w:proofErr w:type="gramEnd"/>
      <w:r w:rsidRPr="00C35FBD">
        <w:rPr>
          <w:rFonts w:ascii="標楷體" w:eastAsia="標楷體" w:hAnsi="標楷體" w:hint="eastAsia"/>
          <w:bCs/>
        </w:rPr>
        <w:t>者，已邀請相關機關（構）</w:t>
      </w:r>
      <w:proofErr w:type="gramStart"/>
      <w:r w:rsidRPr="00C35FBD">
        <w:rPr>
          <w:rFonts w:ascii="標楷體" w:eastAsia="標楷體" w:hAnsi="標楷體" w:hint="eastAsia"/>
          <w:bCs/>
        </w:rPr>
        <w:t>研</w:t>
      </w:r>
      <w:proofErr w:type="gramEnd"/>
      <w:r w:rsidRPr="00C35FBD">
        <w:rPr>
          <w:rFonts w:ascii="標楷體" w:eastAsia="標楷體" w:hAnsi="標楷體" w:hint="eastAsia"/>
          <w:bCs/>
        </w:rPr>
        <w:t>商執行之困難與後續可行處理方式，以加速落實改善建議</w:t>
      </w:r>
      <w:r w:rsidRPr="00CE57F9">
        <w:rPr>
          <w:rFonts w:ascii="標楷體" w:eastAsia="標楷體" w:hAnsi="標楷體" w:hint="eastAsia"/>
        </w:rPr>
        <w:t>。</w:t>
      </w:r>
    </w:p>
    <w:p w14:paraId="56D4783A" w14:textId="75A2FF66" w:rsidR="009F63CA" w:rsidRPr="006F289E" w:rsidRDefault="009F63CA" w:rsidP="00715CC2">
      <w:pPr>
        <w:pStyle w:val="affffff1"/>
        <w:spacing w:beforeLines="20" w:before="72" w:line="450" w:lineRule="exact"/>
        <w:ind w:firstLineChars="200" w:firstLine="561"/>
        <w:outlineLvl w:val="1"/>
      </w:pPr>
      <w:r w:rsidRPr="006F289E">
        <w:rPr>
          <w:rFonts w:hint="eastAsia"/>
        </w:rPr>
        <w:t>（</w:t>
      </w:r>
      <w:r w:rsidR="006357FA">
        <w:rPr>
          <w:rFonts w:hint="eastAsia"/>
        </w:rPr>
        <w:t>四十三</w:t>
      </w:r>
      <w:r w:rsidRPr="006F289E">
        <w:rPr>
          <w:rFonts w:hint="eastAsia"/>
        </w:rPr>
        <w:t xml:space="preserve">）　</w:t>
      </w:r>
      <w:r w:rsidR="00450A76" w:rsidRPr="00450A76">
        <w:rPr>
          <w:rFonts w:hint="eastAsia"/>
        </w:rPr>
        <w:t>行政院為使行政法人及其監督機關訂定採購作業規章</w:t>
      </w:r>
      <w:proofErr w:type="gramStart"/>
      <w:r w:rsidR="00450A76" w:rsidRPr="00450A76">
        <w:rPr>
          <w:rFonts w:hint="eastAsia"/>
        </w:rPr>
        <w:t>有所參據</w:t>
      </w:r>
      <w:proofErr w:type="gramEnd"/>
      <w:r w:rsidR="00450A76" w:rsidRPr="00450A76">
        <w:rPr>
          <w:rFonts w:hint="eastAsia"/>
        </w:rPr>
        <w:t>，訂有對應之參考原則，惟部分監督機關未據以律定對應內容，致行政法人所訂採購作業規章未能涵蓋重要事項，亦未將行政法人辦理採購作業有無重大違失納入績效評鑑；又部分行政法人</w:t>
      </w:r>
      <w:proofErr w:type="gramStart"/>
      <w:r w:rsidR="00450A76" w:rsidRPr="00450A76">
        <w:rPr>
          <w:rFonts w:hint="eastAsia"/>
        </w:rPr>
        <w:t>逕</w:t>
      </w:r>
      <w:proofErr w:type="gramEnd"/>
      <w:r w:rsidR="00450A76" w:rsidRPr="00450A76">
        <w:rPr>
          <w:rFonts w:hint="eastAsia"/>
        </w:rPr>
        <w:t>洽廠商採購之作業方式</w:t>
      </w:r>
      <w:proofErr w:type="gramStart"/>
      <w:r w:rsidR="00450A76" w:rsidRPr="00450A76">
        <w:rPr>
          <w:rFonts w:hint="eastAsia"/>
        </w:rPr>
        <w:t>侷限商源</w:t>
      </w:r>
      <w:proofErr w:type="gramEnd"/>
      <w:r w:rsidR="00450A76" w:rsidRPr="00450A76">
        <w:rPr>
          <w:rFonts w:hint="eastAsia"/>
        </w:rPr>
        <w:t>，及既有採購資訊公開平</w:t>
      </w:r>
      <w:proofErr w:type="gramStart"/>
      <w:r w:rsidR="00450A76" w:rsidRPr="00450A76">
        <w:rPr>
          <w:rFonts w:hint="eastAsia"/>
        </w:rPr>
        <w:t>臺</w:t>
      </w:r>
      <w:proofErr w:type="gramEnd"/>
      <w:r w:rsidR="00450A76" w:rsidRPr="00450A76">
        <w:rPr>
          <w:rFonts w:hint="eastAsia"/>
        </w:rPr>
        <w:t>資訊多有錯漏等情，允宜</w:t>
      </w:r>
      <w:proofErr w:type="gramStart"/>
      <w:r w:rsidR="00450A76" w:rsidRPr="00450A76">
        <w:rPr>
          <w:rFonts w:hint="eastAsia"/>
        </w:rPr>
        <w:t>研</w:t>
      </w:r>
      <w:proofErr w:type="gramEnd"/>
      <w:r w:rsidR="00450A76" w:rsidRPr="00450A76">
        <w:rPr>
          <w:rFonts w:hint="eastAsia"/>
        </w:rPr>
        <w:t>議改善，以完善行政法人監督機制及提升採購公平與公開性。</w:t>
      </w:r>
    </w:p>
    <w:p w14:paraId="702AFC86" w14:textId="75C3DA84" w:rsidR="004660DC" w:rsidRDefault="00450A76" w:rsidP="004660DC">
      <w:pPr>
        <w:overflowPunct w:val="0"/>
        <w:snapToGrid w:val="0"/>
        <w:spacing w:line="448" w:lineRule="exact"/>
        <w:ind w:firstLineChars="200" w:firstLine="480"/>
        <w:jc w:val="distribute"/>
        <w:rPr>
          <w:rFonts w:ascii="標楷體" w:eastAsia="標楷體" w:hAnsi="標楷體"/>
          <w:snapToGrid w:val="0"/>
          <w:color w:val="000000" w:themeColor="text1"/>
          <w:kern w:val="32"/>
        </w:rPr>
      </w:pPr>
      <w:r w:rsidRPr="00450A76">
        <w:rPr>
          <w:rFonts w:ascii="標楷體" w:eastAsia="標楷體" w:hAnsi="標楷體" w:hint="eastAsia"/>
          <w:snapToGrid w:val="0"/>
          <w:color w:val="000000" w:themeColor="text1"/>
          <w:kern w:val="32"/>
        </w:rPr>
        <w:t>行政法人法公布施行</w:t>
      </w:r>
      <w:proofErr w:type="gramStart"/>
      <w:r w:rsidRPr="00450A76">
        <w:rPr>
          <w:rFonts w:ascii="標楷體" w:eastAsia="標楷體" w:hAnsi="標楷體" w:hint="eastAsia"/>
          <w:snapToGrid w:val="0"/>
          <w:color w:val="000000" w:themeColor="text1"/>
          <w:kern w:val="32"/>
        </w:rPr>
        <w:t>迄</w:t>
      </w:r>
      <w:proofErr w:type="gramEnd"/>
      <w:r w:rsidR="008A4602">
        <w:rPr>
          <w:rFonts w:ascii="標楷體" w:eastAsia="標楷體" w:hAnsi="標楷體" w:hint="eastAsia"/>
          <w:snapToGrid w:val="0"/>
          <w:color w:val="000000" w:themeColor="text1"/>
          <w:kern w:val="32"/>
        </w:rPr>
        <w:t>114年5月底止</w:t>
      </w:r>
      <w:r w:rsidRPr="00450A76">
        <w:rPr>
          <w:rFonts w:ascii="標楷體" w:eastAsia="標楷體" w:hAnsi="標楷體" w:hint="eastAsia"/>
          <w:snapToGrid w:val="0"/>
          <w:color w:val="000000" w:themeColor="text1"/>
          <w:kern w:val="32"/>
        </w:rPr>
        <w:t>，全國16個中央、地方機關（即行政法人之監督機關）已成立計23個行政法人</w:t>
      </w:r>
      <w:r w:rsidR="00360FF4">
        <w:rPr>
          <w:rFonts w:ascii="標楷體" w:eastAsia="標楷體" w:hAnsi="標楷體" w:hint="eastAsia"/>
          <w:snapToGrid w:val="0"/>
          <w:color w:val="000000" w:themeColor="text1"/>
          <w:kern w:val="32"/>
        </w:rPr>
        <w:t>（</w:t>
      </w:r>
      <w:r w:rsidRPr="00450A76">
        <w:rPr>
          <w:rFonts w:ascii="標楷體" w:eastAsia="標楷體" w:hAnsi="標楷體" w:hint="eastAsia"/>
          <w:snapToGrid w:val="0"/>
          <w:color w:val="000000" w:themeColor="text1"/>
          <w:kern w:val="32"/>
        </w:rPr>
        <w:t>表</w:t>
      </w:r>
      <w:r>
        <w:rPr>
          <w:rFonts w:ascii="標楷體" w:eastAsia="標楷體" w:hAnsi="標楷體" w:hint="eastAsia"/>
          <w:snapToGrid w:val="0"/>
          <w:color w:val="000000" w:themeColor="text1"/>
          <w:kern w:val="32"/>
        </w:rPr>
        <w:t>5</w:t>
      </w:r>
      <w:r w:rsidR="005E1829">
        <w:rPr>
          <w:rFonts w:ascii="標楷體" w:eastAsia="標楷體" w:hAnsi="標楷體" w:hint="eastAsia"/>
          <w:snapToGrid w:val="0"/>
          <w:color w:val="000000" w:themeColor="text1"/>
          <w:kern w:val="32"/>
        </w:rPr>
        <w:t>7</w:t>
      </w:r>
      <w:r w:rsidRPr="00450A76">
        <w:rPr>
          <w:rFonts w:ascii="標楷體" w:eastAsia="標楷體" w:hAnsi="標楷體" w:hint="eastAsia"/>
          <w:snapToGrid w:val="0"/>
          <w:color w:val="000000" w:themeColor="text1"/>
          <w:kern w:val="32"/>
        </w:rPr>
        <w:t>）。行政院為確保行政法人辦理非適用政府採購法之採購作業制度得以健全運作，落實公平、公開原則，並兼顧其彈性鬆綁之核心精神，於110年10月29日訂定「行政法人採購作業規章訂定參考原則」（下稱採購規章訂定參考原則），規範監督機關應訂定行政法人辦理採購作業之原則性規範，及個別行政法人應訂定採購作業規章等事項。經查各行政法人辦理採購作業及監督機關督導情形，核有：1.採購規章訂定參考原則截至114年5月底已公告3年7個月餘，部分監督機關仍未訂定其所管行政法人辦理採購作業之原則性規範，致相關行政法人所訂採購作業規章未能涵蓋監辦程序、利益衝突迴避機制及爭議處理等重要事項；另監督機關亦未將行政法人辦理採購作業有無重大違失納入績效評鑑等情事，允</w:t>
      </w:r>
      <w:r w:rsidR="0069666A">
        <w:rPr>
          <w:rFonts w:ascii="標楷體" w:eastAsia="標楷體" w:hAnsi="標楷體" w:hint="eastAsia"/>
          <w:snapToGrid w:val="0"/>
          <w:color w:val="000000" w:themeColor="text1"/>
          <w:kern w:val="32"/>
        </w:rPr>
        <w:t>宜</w:t>
      </w:r>
      <w:r w:rsidRPr="00450A76">
        <w:rPr>
          <w:rFonts w:ascii="標楷體" w:eastAsia="標楷體" w:hAnsi="標楷體" w:hint="eastAsia"/>
          <w:snapToGrid w:val="0"/>
          <w:color w:val="000000" w:themeColor="text1"/>
          <w:kern w:val="32"/>
        </w:rPr>
        <w:t>督促監督機關確實</w:t>
      </w:r>
      <w:proofErr w:type="gramStart"/>
      <w:r w:rsidRPr="00450A76">
        <w:rPr>
          <w:rFonts w:ascii="標楷體" w:eastAsia="標楷體" w:hAnsi="標楷體" w:hint="eastAsia"/>
          <w:snapToGrid w:val="0"/>
          <w:color w:val="000000" w:themeColor="text1"/>
          <w:kern w:val="32"/>
        </w:rPr>
        <w:t>研</w:t>
      </w:r>
      <w:proofErr w:type="gramEnd"/>
      <w:r w:rsidRPr="00450A76">
        <w:rPr>
          <w:rFonts w:ascii="標楷體" w:eastAsia="標楷體" w:hAnsi="標楷體" w:hint="eastAsia"/>
          <w:snapToGrid w:val="0"/>
          <w:color w:val="000000" w:themeColor="text1"/>
          <w:kern w:val="32"/>
        </w:rPr>
        <w:t>訂相關監督規範，以完善行政法人監督機制；2.經統計全國行政法人於111至113年度依其所訂採購規章辦理之採購案件數，分別為6,799件、8,180件、9,274件，其中</w:t>
      </w:r>
      <w:proofErr w:type="gramStart"/>
      <w:r w:rsidRPr="00450A76">
        <w:rPr>
          <w:rFonts w:ascii="標楷體" w:eastAsia="標楷體" w:hAnsi="標楷體" w:hint="eastAsia"/>
          <w:snapToGrid w:val="0"/>
          <w:color w:val="000000" w:themeColor="text1"/>
          <w:kern w:val="32"/>
        </w:rPr>
        <w:t>採</w:t>
      </w:r>
      <w:proofErr w:type="gramEnd"/>
      <w:r w:rsidRPr="00450A76">
        <w:rPr>
          <w:rFonts w:ascii="標楷體" w:eastAsia="標楷體" w:hAnsi="標楷體" w:hint="eastAsia"/>
          <w:snapToGrid w:val="0"/>
          <w:color w:val="000000" w:themeColor="text1"/>
          <w:kern w:val="32"/>
        </w:rPr>
        <w:t>限制性未經公開方式，或指定、</w:t>
      </w:r>
      <w:proofErr w:type="gramStart"/>
      <w:r w:rsidRPr="00450A76">
        <w:rPr>
          <w:rFonts w:ascii="標楷體" w:eastAsia="標楷體" w:hAnsi="標楷體" w:hint="eastAsia"/>
          <w:snapToGrid w:val="0"/>
          <w:color w:val="000000" w:themeColor="text1"/>
          <w:kern w:val="32"/>
        </w:rPr>
        <w:t>逕</w:t>
      </w:r>
      <w:proofErr w:type="gramEnd"/>
      <w:r w:rsidRPr="00450A76">
        <w:rPr>
          <w:rFonts w:ascii="標楷體" w:eastAsia="標楷體" w:hAnsi="標楷體" w:hint="eastAsia"/>
          <w:snapToGrid w:val="0"/>
          <w:color w:val="000000" w:themeColor="text1"/>
          <w:kern w:val="32"/>
        </w:rPr>
        <w:t>洽廠商招標方式辦理之採購案件數，分別為2,420件（35.59％）、3,381</w:t>
      </w:r>
      <w:r w:rsidR="00AB3DEF" w:rsidRPr="00AB3DEF">
        <w:rPr>
          <w:rFonts w:ascii="標楷體" w:eastAsia="標楷體" w:hAnsi="標楷體" w:hint="eastAsia"/>
          <w:snapToGrid w:val="0"/>
          <w:color w:val="000000" w:themeColor="text1"/>
          <w:kern w:val="32"/>
        </w:rPr>
        <w:t>件（41.33％）及4,629件（49.91％），呈現逐年增加之趨勢（表58）。由於行</w:t>
      </w:r>
    </w:p>
    <w:p w14:paraId="5B6C47DC" w14:textId="26EDFA96" w:rsidR="00AF13C6" w:rsidRPr="00115AE8" w:rsidRDefault="00715CC2" w:rsidP="004660DC">
      <w:pPr>
        <w:overflowPunct w:val="0"/>
        <w:snapToGrid w:val="0"/>
        <w:spacing w:line="448" w:lineRule="exact"/>
        <w:jc w:val="both"/>
        <w:rPr>
          <w:rFonts w:ascii="標楷體" w:eastAsia="標楷體" w:hAnsi="標楷體"/>
          <w:snapToGrid w:val="0"/>
          <w:color w:val="000000" w:themeColor="text1"/>
          <w:kern w:val="32"/>
        </w:rPr>
      </w:pPr>
      <w:r w:rsidRPr="00215DE3">
        <w:rPr>
          <w:rFonts w:ascii="標楷體" w:eastAsia="標楷體" w:hAnsi="標楷體" w:cs="細明體" w:hint="eastAsia"/>
          <w:noProof/>
          <w:color w:val="000000" w:themeColor="text1"/>
          <w:sz w:val="32"/>
          <w:szCs w:val="32"/>
        </w:rPr>
        <w:lastRenderedPageBreak/>
        <mc:AlternateContent>
          <mc:Choice Requires="wps">
            <w:drawing>
              <wp:anchor distT="45720" distB="45720" distL="114300" distR="114300" simplePos="0" relativeHeight="251683840" behindDoc="0" locked="0" layoutInCell="1" allowOverlap="1" wp14:anchorId="52812704" wp14:editId="69B57730">
                <wp:simplePos x="0" y="0"/>
                <wp:positionH relativeFrom="column">
                  <wp:posOffset>1430020</wp:posOffset>
                </wp:positionH>
                <wp:positionV relativeFrom="paragraph">
                  <wp:posOffset>25400</wp:posOffset>
                </wp:positionV>
                <wp:extent cx="4857750" cy="5346065"/>
                <wp:effectExtent l="0" t="0" r="0" b="6985"/>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3460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34F56C" w14:textId="77777777" w:rsidR="00715CC2" w:rsidRPr="00FE4D4B" w:rsidRDefault="00715CC2" w:rsidP="00715CC2">
                            <w:pPr>
                              <w:spacing w:afterLines="20" w:after="72" w:line="260" w:lineRule="exact"/>
                              <w:ind w:left="709" w:hangingChars="300" w:hanging="709"/>
                              <w:jc w:val="center"/>
                              <w:rPr>
                                <w:rFonts w:ascii="標楷體" w:eastAsia="標楷體" w:hAnsi="標楷體"/>
                                <w:b/>
                                <w:bCs/>
                                <w:snapToGrid w:val="0"/>
                                <w:spacing w:val="-2"/>
                              </w:rPr>
                            </w:pPr>
                            <w:r w:rsidRPr="00FE4D4B">
                              <w:rPr>
                                <w:rFonts w:ascii="標楷體" w:eastAsia="標楷體" w:hAnsi="標楷體" w:hint="eastAsia"/>
                                <w:b/>
                                <w:bCs/>
                                <w:snapToGrid w:val="0"/>
                                <w:spacing w:val="-2"/>
                              </w:rPr>
                              <w:t>表</w:t>
                            </w:r>
                            <w:r>
                              <w:rPr>
                                <w:rFonts w:ascii="標楷體" w:eastAsia="標楷體" w:hAnsi="標楷體" w:hint="eastAsia"/>
                                <w:b/>
                                <w:bCs/>
                                <w:snapToGrid w:val="0"/>
                                <w:spacing w:val="-2"/>
                              </w:rPr>
                              <w:t>5</w:t>
                            </w:r>
                            <w:r>
                              <w:rPr>
                                <w:rFonts w:ascii="標楷體" w:eastAsia="標楷體" w:hAnsi="標楷體"/>
                                <w:b/>
                                <w:bCs/>
                                <w:snapToGrid w:val="0"/>
                                <w:spacing w:val="-2"/>
                              </w:rPr>
                              <w:t>7</w:t>
                            </w:r>
                            <w:r w:rsidRPr="00FE4D4B">
                              <w:rPr>
                                <w:rFonts w:ascii="標楷體" w:eastAsia="標楷體" w:hAnsi="標楷體" w:hint="eastAsia"/>
                                <w:b/>
                                <w:bCs/>
                                <w:snapToGrid w:val="0"/>
                                <w:spacing w:val="-2"/>
                              </w:rPr>
                              <w:t xml:space="preserve">　全國行政法人及其對應監督機關清單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3427"/>
                              <w:gridCol w:w="3458"/>
                            </w:tblGrid>
                            <w:tr w:rsidR="00715CC2" w:rsidRPr="00360FF4" w14:paraId="0392077A" w14:textId="77777777" w:rsidTr="00360FF4">
                              <w:trPr>
                                <w:trHeight w:val="253"/>
                                <w:tblHeader/>
                                <w:jc w:val="center"/>
                              </w:trPr>
                              <w:tc>
                                <w:tcPr>
                                  <w:tcW w:w="624" w:type="dxa"/>
                                  <w:shd w:val="clear" w:color="auto" w:fill="auto"/>
                                  <w:vAlign w:val="center"/>
                                </w:tcPr>
                                <w:p w14:paraId="67B7D0E7" w14:textId="77777777" w:rsidR="00715CC2" w:rsidRPr="00360FF4" w:rsidRDefault="00715CC2" w:rsidP="00F62EDC">
                                  <w:pPr>
                                    <w:spacing w:line="260" w:lineRule="exact"/>
                                    <w:jc w:val="center"/>
                                    <w:rPr>
                                      <w:rFonts w:ascii="標楷體" w:eastAsia="標楷體" w:hAnsi="標楷體"/>
                                      <w:b/>
                                      <w:sz w:val="20"/>
                                      <w:lang w:eastAsia="zh-HK"/>
                                    </w:rPr>
                                  </w:pPr>
                                  <w:r w:rsidRPr="00360FF4">
                                    <w:rPr>
                                      <w:rFonts w:ascii="標楷體" w:eastAsia="標楷體" w:hAnsi="標楷體" w:hint="eastAsia"/>
                                      <w:b/>
                                      <w:sz w:val="20"/>
                                      <w:lang w:eastAsia="zh-HK"/>
                                    </w:rPr>
                                    <w:t>項次</w:t>
                                  </w:r>
                                </w:p>
                              </w:tc>
                              <w:tc>
                                <w:tcPr>
                                  <w:tcW w:w="3427" w:type="dxa"/>
                                  <w:vAlign w:val="center"/>
                                </w:tcPr>
                                <w:p w14:paraId="11D60F41" w14:textId="77777777" w:rsidR="00715CC2" w:rsidRPr="00360FF4" w:rsidRDefault="00715CC2" w:rsidP="00F62EDC">
                                  <w:pPr>
                                    <w:spacing w:line="260" w:lineRule="exact"/>
                                    <w:jc w:val="center"/>
                                    <w:rPr>
                                      <w:rFonts w:ascii="標楷體" w:eastAsia="標楷體" w:hAnsi="標楷體"/>
                                      <w:b/>
                                      <w:sz w:val="20"/>
                                      <w:lang w:eastAsia="zh-HK"/>
                                    </w:rPr>
                                  </w:pPr>
                                  <w:r w:rsidRPr="00360FF4">
                                    <w:rPr>
                                      <w:rFonts w:ascii="標楷體" w:eastAsia="標楷體" w:hAnsi="標楷體" w:hint="eastAsia"/>
                                      <w:b/>
                                      <w:sz w:val="20"/>
                                    </w:rPr>
                                    <w:t>行政法人</w:t>
                                  </w:r>
                                </w:p>
                              </w:tc>
                              <w:tc>
                                <w:tcPr>
                                  <w:tcW w:w="3458" w:type="dxa"/>
                                  <w:vAlign w:val="center"/>
                                </w:tcPr>
                                <w:p w14:paraId="5C13EDAE" w14:textId="77777777" w:rsidR="00715CC2" w:rsidRPr="00360FF4" w:rsidRDefault="00715CC2" w:rsidP="00F62EDC">
                                  <w:pPr>
                                    <w:spacing w:line="260" w:lineRule="exact"/>
                                    <w:jc w:val="center"/>
                                    <w:rPr>
                                      <w:rFonts w:ascii="標楷體" w:eastAsia="標楷體" w:hAnsi="標楷體"/>
                                      <w:b/>
                                      <w:sz w:val="20"/>
                                    </w:rPr>
                                  </w:pPr>
                                  <w:r w:rsidRPr="00360FF4">
                                    <w:rPr>
                                      <w:rFonts w:ascii="標楷體" w:eastAsia="標楷體" w:hAnsi="標楷體" w:hint="eastAsia"/>
                                      <w:b/>
                                      <w:sz w:val="20"/>
                                    </w:rPr>
                                    <w:t>監督機關</w:t>
                                  </w:r>
                                </w:p>
                              </w:tc>
                            </w:tr>
                            <w:tr w:rsidR="00715CC2" w:rsidRPr="00360FF4" w14:paraId="490A7652" w14:textId="77777777" w:rsidTr="000B176D">
                              <w:trPr>
                                <w:jc w:val="center"/>
                              </w:trPr>
                              <w:tc>
                                <w:tcPr>
                                  <w:tcW w:w="624" w:type="dxa"/>
                                  <w:shd w:val="clear" w:color="auto" w:fill="auto"/>
                                  <w:vAlign w:val="center"/>
                                </w:tcPr>
                                <w:p w14:paraId="14358FF1"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lang w:eastAsia="zh-HK"/>
                                    </w:rPr>
                                    <w:t>1</w:t>
                                  </w:r>
                                </w:p>
                              </w:tc>
                              <w:tc>
                                <w:tcPr>
                                  <w:tcW w:w="3427" w:type="dxa"/>
                                  <w:vAlign w:val="center"/>
                                </w:tcPr>
                                <w:p w14:paraId="65DFC200"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國家表演藝術中心</w:t>
                                  </w:r>
                                  <w:r w:rsidRPr="00360FF4">
                                    <w:rPr>
                                      <w:rFonts w:ascii="標楷體" w:eastAsia="標楷體" w:hAnsi="標楷體"/>
                                      <w:sz w:val="20"/>
                                      <w:lang w:eastAsia="zh-HK"/>
                                    </w:rPr>
                                    <w:t xml:space="preserve"> (</w:t>
                                  </w:r>
                                  <w:r w:rsidRPr="00360FF4">
                                    <w:rPr>
                                      <w:rFonts w:ascii="標楷體" w:eastAsia="標楷體" w:hAnsi="標楷體" w:hint="eastAsia"/>
                                      <w:sz w:val="20"/>
                                      <w:lang w:eastAsia="zh-HK"/>
                                    </w:rPr>
                                    <w:t>一法人多館所：國家兩廳院、衛武營國家藝術文化中心、臺中國家歌劇院、國家交響樂團)</w:t>
                                  </w:r>
                                </w:p>
                              </w:tc>
                              <w:tc>
                                <w:tcPr>
                                  <w:tcW w:w="3458" w:type="dxa"/>
                                  <w:vMerge w:val="restart"/>
                                  <w:vAlign w:val="center"/>
                                </w:tcPr>
                                <w:p w14:paraId="542275B5"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rPr>
                                    <w:t>文化部</w:t>
                                  </w:r>
                                </w:p>
                              </w:tc>
                            </w:tr>
                            <w:tr w:rsidR="00715CC2" w:rsidRPr="00360FF4" w14:paraId="5E6598C2" w14:textId="77777777" w:rsidTr="000B176D">
                              <w:trPr>
                                <w:trHeight w:val="281"/>
                                <w:jc w:val="center"/>
                              </w:trPr>
                              <w:tc>
                                <w:tcPr>
                                  <w:tcW w:w="624" w:type="dxa"/>
                                  <w:shd w:val="clear" w:color="auto" w:fill="auto"/>
                                  <w:vAlign w:val="center"/>
                                </w:tcPr>
                                <w:p w14:paraId="316A1243"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lang w:eastAsia="zh-HK"/>
                                    </w:rPr>
                                    <w:t>2</w:t>
                                  </w:r>
                                </w:p>
                              </w:tc>
                              <w:tc>
                                <w:tcPr>
                                  <w:tcW w:w="3427" w:type="dxa"/>
                                  <w:vAlign w:val="center"/>
                                </w:tcPr>
                                <w:p w14:paraId="4D4B7273" w14:textId="77777777" w:rsidR="00715CC2" w:rsidRPr="00360FF4" w:rsidRDefault="00715CC2" w:rsidP="00F62EDC">
                                  <w:pPr>
                                    <w:spacing w:line="260" w:lineRule="exact"/>
                                    <w:rPr>
                                      <w:rFonts w:ascii="標楷體" w:eastAsia="標楷體" w:hAnsi="標楷體"/>
                                      <w:sz w:val="20"/>
                                    </w:rPr>
                                  </w:pPr>
                                  <w:r w:rsidRPr="00360FF4">
                                    <w:rPr>
                                      <w:rFonts w:ascii="標楷體" w:eastAsia="標楷體" w:hAnsi="標楷體" w:hint="eastAsia"/>
                                      <w:sz w:val="20"/>
                                      <w:lang w:eastAsia="zh-HK"/>
                                    </w:rPr>
                                    <w:t>文化內容策進院</w:t>
                                  </w:r>
                                </w:p>
                              </w:tc>
                              <w:tc>
                                <w:tcPr>
                                  <w:tcW w:w="3458" w:type="dxa"/>
                                  <w:vMerge/>
                                  <w:vAlign w:val="center"/>
                                </w:tcPr>
                                <w:p w14:paraId="62728502"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4F3AF38B" w14:textId="77777777" w:rsidTr="000B176D">
                              <w:trPr>
                                <w:jc w:val="center"/>
                              </w:trPr>
                              <w:tc>
                                <w:tcPr>
                                  <w:tcW w:w="624" w:type="dxa"/>
                                  <w:shd w:val="clear" w:color="auto" w:fill="auto"/>
                                  <w:vAlign w:val="center"/>
                                </w:tcPr>
                                <w:p w14:paraId="7AA22E0E"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rPr>
                                    <w:t>3</w:t>
                                  </w:r>
                                </w:p>
                              </w:tc>
                              <w:tc>
                                <w:tcPr>
                                  <w:tcW w:w="3427" w:type="dxa"/>
                                  <w:vAlign w:val="center"/>
                                </w:tcPr>
                                <w:p w14:paraId="3ACDB84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國家電影及視聽文化中心</w:t>
                                  </w:r>
                                </w:p>
                              </w:tc>
                              <w:tc>
                                <w:tcPr>
                                  <w:tcW w:w="3458" w:type="dxa"/>
                                  <w:vMerge/>
                                  <w:vAlign w:val="center"/>
                                </w:tcPr>
                                <w:p w14:paraId="0123A343"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19FD4054" w14:textId="77777777" w:rsidTr="000B176D">
                              <w:trPr>
                                <w:jc w:val="center"/>
                              </w:trPr>
                              <w:tc>
                                <w:tcPr>
                                  <w:tcW w:w="624" w:type="dxa"/>
                                  <w:shd w:val="clear" w:color="auto" w:fill="auto"/>
                                  <w:vAlign w:val="center"/>
                                </w:tcPr>
                                <w:p w14:paraId="239DE9CD"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rPr>
                                    <w:t>4</w:t>
                                  </w:r>
                                </w:p>
                              </w:tc>
                              <w:tc>
                                <w:tcPr>
                                  <w:tcW w:w="3427" w:type="dxa"/>
                                  <w:vAlign w:val="center"/>
                                </w:tcPr>
                                <w:p w14:paraId="7C1F154A"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國家中山科學研究院</w:t>
                                  </w:r>
                                </w:p>
                              </w:tc>
                              <w:tc>
                                <w:tcPr>
                                  <w:tcW w:w="3458" w:type="dxa"/>
                                  <w:vAlign w:val="center"/>
                                </w:tcPr>
                                <w:p w14:paraId="4F80C473"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國防部</w:t>
                                  </w:r>
                                </w:p>
                              </w:tc>
                            </w:tr>
                            <w:tr w:rsidR="00715CC2" w:rsidRPr="00360FF4" w14:paraId="5D93A8EF" w14:textId="77777777" w:rsidTr="000B176D">
                              <w:trPr>
                                <w:trHeight w:val="83"/>
                                <w:jc w:val="center"/>
                              </w:trPr>
                              <w:tc>
                                <w:tcPr>
                                  <w:tcW w:w="624" w:type="dxa"/>
                                  <w:shd w:val="clear" w:color="auto" w:fill="auto"/>
                                  <w:vAlign w:val="center"/>
                                </w:tcPr>
                                <w:p w14:paraId="2399941C"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5</w:t>
                                  </w:r>
                                </w:p>
                              </w:tc>
                              <w:tc>
                                <w:tcPr>
                                  <w:tcW w:w="3427" w:type="dxa"/>
                                  <w:vAlign w:val="center"/>
                                </w:tcPr>
                                <w:p w14:paraId="55D3B57C"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國家災害防救科技中心</w:t>
                                  </w:r>
                                </w:p>
                              </w:tc>
                              <w:tc>
                                <w:tcPr>
                                  <w:tcW w:w="3458" w:type="dxa"/>
                                  <w:vMerge w:val="restart"/>
                                  <w:vAlign w:val="center"/>
                                </w:tcPr>
                                <w:p w14:paraId="35E6428B"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國家科學及技術委員會</w:t>
                                  </w:r>
                                </w:p>
                              </w:tc>
                            </w:tr>
                            <w:tr w:rsidR="00715CC2" w:rsidRPr="00360FF4" w14:paraId="696211DC" w14:textId="77777777" w:rsidTr="000B176D">
                              <w:trPr>
                                <w:trHeight w:val="202"/>
                                <w:jc w:val="center"/>
                              </w:trPr>
                              <w:tc>
                                <w:tcPr>
                                  <w:tcW w:w="624" w:type="dxa"/>
                                  <w:shd w:val="clear" w:color="auto" w:fill="auto"/>
                                  <w:vAlign w:val="center"/>
                                </w:tcPr>
                                <w:p w14:paraId="04C4BBE2"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6</w:t>
                                  </w:r>
                                </w:p>
                              </w:tc>
                              <w:tc>
                                <w:tcPr>
                                  <w:tcW w:w="3427" w:type="dxa"/>
                                  <w:vAlign w:val="center"/>
                                </w:tcPr>
                                <w:p w14:paraId="0A688587"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rPr>
                                    <w:t>國家太空中心</w:t>
                                  </w:r>
                                </w:p>
                              </w:tc>
                              <w:tc>
                                <w:tcPr>
                                  <w:tcW w:w="3458" w:type="dxa"/>
                                  <w:vMerge/>
                                  <w:vAlign w:val="center"/>
                                </w:tcPr>
                                <w:p w14:paraId="66D736E6"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10C040C4" w14:textId="77777777" w:rsidTr="000B176D">
                              <w:trPr>
                                <w:jc w:val="center"/>
                              </w:trPr>
                              <w:tc>
                                <w:tcPr>
                                  <w:tcW w:w="624" w:type="dxa"/>
                                  <w:shd w:val="clear" w:color="auto" w:fill="auto"/>
                                  <w:vAlign w:val="center"/>
                                </w:tcPr>
                                <w:p w14:paraId="72540BDF"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7</w:t>
                                  </w:r>
                                </w:p>
                              </w:tc>
                              <w:tc>
                                <w:tcPr>
                                  <w:tcW w:w="3427" w:type="dxa"/>
                                  <w:vAlign w:val="center"/>
                                </w:tcPr>
                                <w:p w14:paraId="1D5859E2"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國家運動訓練中心</w:t>
                                  </w:r>
                                </w:p>
                              </w:tc>
                              <w:tc>
                                <w:tcPr>
                                  <w:tcW w:w="3458" w:type="dxa"/>
                                  <w:vMerge w:val="restart"/>
                                  <w:vAlign w:val="center"/>
                                </w:tcPr>
                                <w:p w14:paraId="617CEDEB"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rPr>
                                    <w:t>教育部</w:t>
                                  </w:r>
                                </w:p>
                              </w:tc>
                            </w:tr>
                            <w:tr w:rsidR="00715CC2" w:rsidRPr="00360FF4" w14:paraId="5B0FB8DA" w14:textId="77777777" w:rsidTr="000B176D">
                              <w:trPr>
                                <w:jc w:val="center"/>
                              </w:trPr>
                              <w:tc>
                                <w:tcPr>
                                  <w:tcW w:w="624" w:type="dxa"/>
                                  <w:shd w:val="clear" w:color="auto" w:fill="auto"/>
                                  <w:vAlign w:val="center"/>
                                </w:tcPr>
                                <w:p w14:paraId="3A81645D"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8</w:t>
                                  </w:r>
                                </w:p>
                              </w:tc>
                              <w:tc>
                                <w:tcPr>
                                  <w:tcW w:w="3427" w:type="dxa"/>
                                  <w:vAlign w:val="center"/>
                                </w:tcPr>
                                <w:p w14:paraId="10F4105D"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國家運動科學中心</w:t>
                                  </w:r>
                                </w:p>
                              </w:tc>
                              <w:tc>
                                <w:tcPr>
                                  <w:tcW w:w="3458" w:type="dxa"/>
                                  <w:vMerge/>
                                  <w:vAlign w:val="center"/>
                                </w:tcPr>
                                <w:p w14:paraId="7E248BAF" w14:textId="77777777" w:rsidR="00715CC2" w:rsidRPr="00360FF4" w:rsidRDefault="00715CC2" w:rsidP="00F62EDC">
                                  <w:pPr>
                                    <w:spacing w:line="260" w:lineRule="exact"/>
                                    <w:jc w:val="both"/>
                                    <w:rPr>
                                      <w:rFonts w:ascii="標楷體" w:eastAsia="標楷體" w:hAnsi="標楷體"/>
                                      <w:sz w:val="20"/>
                                    </w:rPr>
                                  </w:pPr>
                                </w:p>
                              </w:tc>
                            </w:tr>
                            <w:tr w:rsidR="00715CC2" w:rsidRPr="00360FF4" w14:paraId="76831187" w14:textId="77777777" w:rsidTr="000B176D">
                              <w:trPr>
                                <w:jc w:val="center"/>
                              </w:trPr>
                              <w:tc>
                                <w:tcPr>
                                  <w:tcW w:w="624" w:type="dxa"/>
                                  <w:shd w:val="clear" w:color="auto" w:fill="auto"/>
                                  <w:vAlign w:val="center"/>
                                </w:tcPr>
                                <w:p w14:paraId="05335BD7"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9</w:t>
                                  </w:r>
                                </w:p>
                              </w:tc>
                              <w:tc>
                                <w:tcPr>
                                  <w:tcW w:w="3427" w:type="dxa"/>
                                  <w:vAlign w:val="center"/>
                                </w:tcPr>
                                <w:p w14:paraId="1E56F603"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國家住宅及都市更新中心</w:t>
                                  </w:r>
                                </w:p>
                              </w:tc>
                              <w:tc>
                                <w:tcPr>
                                  <w:tcW w:w="3458" w:type="dxa"/>
                                  <w:vAlign w:val="center"/>
                                </w:tcPr>
                                <w:p w14:paraId="09289FB1"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rPr>
                                    <w:t>內政部(國土管理署</w:t>
                                  </w:r>
                                  <w:r w:rsidRPr="00360FF4">
                                    <w:rPr>
                                      <w:rFonts w:ascii="標楷體" w:eastAsia="標楷體" w:hAnsi="標楷體"/>
                                      <w:sz w:val="20"/>
                                    </w:rPr>
                                    <w:t>)</w:t>
                                  </w:r>
                                </w:p>
                              </w:tc>
                            </w:tr>
                            <w:tr w:rsidR="00715CC2" w:rsidRPr="00360FF4" w14:paraId="53A83144" w14:textId="77777777" w:rsidTr="000B176D">
                              <w:trPr>
                                <w:jc w:val="center"/>
                              </w:trPr>
                              <w:tc>
                                <w:tcPr>
                                  <w:tcW w:w="624" w:type="dxa"/>
                                  <w:shd w:val="clear" w:color="auto" w:fill="auto"/>
                                  <w:vAlign w:val="center"/>
                                </w:tcPr>
                                <w:p w14:paraId="1D446C25"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0</w:t>
                                  </w:r>
                                </w:p>
                              </w:tc>
                              <w:tc>
                                <w:tcPr>
                                  <w:tcW w:w="3427" w:type="dxa"/>
                                  <w:vAlign w:val="center"/>
                                </w:tcPr>
                                <w:p w14:paraId="64F583E8"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國家資通安全研究院</w:t>
                                  </w:r>
                                </w:p>
                              </w:tc>
                              <w:tc>
                                <w:tcPr>
                                  <w:tcW w:w="3458" w:type="dxa"/>
                                  <w:vAlign w:val="center"/>
                                </w:tcPr>
                                <w:p w14:paraId="39D24B86"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lang w:eastAsia="zh-HK"/>
                                    </w:rPr>
                                    <w:t>數位發展部</w:t>
                                  </w:r>
                                  <w:r w:rsidRPr="00360FF4">
                                    <w:rPr>
                                      <w:rFonts w:ascii="標楷體" w:eastAsia="標楷體" w:hAnsi="標楷體" w:hint="eastAsia"/>
                                      <w:sz w:val="20"/>
                                    </w:rPr>
                                    <w:t>(資通安全署)</w:t>
                                  </w:r>
                                </w:p>
                              </w:tc>
                            </w:tr>
                            <w:tr w:rsidR="00715CC2" w:rsidRPr="00360FF4" w14:paraId="4D7EEB9A" w14:textId="77777777" w:rsidTr="000B176D">
                              <w:trPr>
                                <w:jc w:val="center"/>
                              </w:trPr>
                              <w:tc>
                                <w:tcPr>
                                  <w:tcW w:w="624" w:type="dxa"/>
                                  <w:shd w:val="clear" w:color="auto" w:fill="auto"/>
                                  <w:vAlign w:val="center"/>
                                </w:tcPr>
                                <w:p w14:paraId="7676D285"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1</w:t>
                                  </w:r>
                                </w:p>
                              </w:tc>
                              <w:tc>
                                <w:tcPr>
                                  <w:tcW w:w="3427" w:type="dxa"/>
                                  <w:vAlign w:val="center"/>
                                </w:tcPr>
                                <w:p w14:paraId="477729D5"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國家原子能科技研究院</w:t>
                                  </w:r>
                                </w:p>
                              </w:tc>
                              <w:tc>
                                <w:tcPr>
                                  <w:tcW w:w="3458" w:type="dxa"/>
                                  <w:vAlign w:val="center"/>
                                </w:tcPr>
                                <w:p w14:paraId="418CB169"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lang w:eastAsia="zh-HK"/>
                                    </w:rPr>
                                    <w:t>核能安全委員會</w:t>
                                  </w:r>
                                </w:p>
                              </w:tc>
                            </w:tr>
                            <w:tr w:rsidR="00715CC2" w:rsidRPr="00360FF4" w14:paraId="69FFC1DD" w14:textId="77777777" w:rsidTr="000B176D">
                              <w:trPr>
                                <w:jc w:val="center"/>
                              </w:trPr>
                              <w:tc>
                                <w:tcPr>
                                  <w:tcW w:w="624" w:type="dxa"/>
                                  <w:shd w:val="clear" w:color="auto" w:fill="auto"/>
                                  <w:vAlign w:val="center"/>
                                </w:tcPr>
                                <w:p w14:paraId="19214059"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2</w:t>
                                  </w:r>
                                </w:p>
                              </w:tc>
                              <w:tc>
                                <w:tcPr>
                                  <w:tcW w:w="3427" w:type="dxa"/>
                                  <w:vAlign w:val="center"/>
                                </w:tcPr>
                                <w:p w14:paraId="2BAE622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臺北流行音樂中心</w:t>
                                  </w:r>
                                </w:p>
                              </w:tc>
                              <w:tc>
                                <w:tcPr>
                                  <w:tcW w:w="3458" w:type="dxa"/>
                                  <w:vMerge w:val="restart"/>
                                  <w:vAlign w:val="center"/>
                                </w:tcPr>
                                <w:p w14:paraId="5BF891D7"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臺北市政府</w:t>
                                  </w:r>
                                  <w:r w:rsidRPr="00360FF4">
                                    <w:rPr>
                                      <w:rFonts w:ascii="標楷體" w:eastAsia="標楷體" w:hAnsi="標楷體" w:hint="eastAsia"/>
                                      <w:sz w:val="20"/>
                                    </w:rPr>
                                    <w:t>(文化局)</w:t>
                                  </w:r>
                                </w:p>
                              </w:tc>
                            </w:tr>
                            <w:tr w:rsidR="00715CC2" w:rsidRPr="00360FF4" w14:paraId="19B35FA9" w14:textId="77777777" w:rsidTr="000B176D">
                              <w:trPr>
                                <w:jc w:val="center"/>
                              </w:trPr>
                              <w:tc>
                                <w:tcPr>
                                  <w:tcW w:w="624" w:type="dxa"/>
                                  <w:shd w:val="clear" w:color="auto" w:fill="auto"/>
                                  <w:vAlign w:val="center"/>
                                </w:tcPr>
                                <w:p w14:paraId="13BD368C"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3</w:t>
                                  </w:r>
                                </w:p>
                              </w:tc>
                              <w:tc>
                                <w:tcPr>
                                  <w:tcW w:w="3427" w:type="dxa"/>
                                  <w:vAlign w:val="center"/>
                                </w:tcPr>
                                <w:p w14:paraId="5CE2449E"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臺北表演藝術中心</w:t>
                                  </w:r>
                                </w:p>
                              </w:tc>
                              <w:tc>
                                <w:tcPr>
                                  <w:tcW w:w="3458" w:type="dxa"/>
                                  <w:vMerge/>
                                  <w:vAlign w:val="center"/>
                                </w:tcPr>
                                <w:p w14:paraId="6F6F3E3B"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4DDFAD24" w14:textId="77777777" w:rsidTr="000B176D">
                              <w:trPr>
                                <w:jc w:val="center"/>
                              </w:trPr>
                              <w:tc>
                                <w:tcPr>
                                  <w:tcW w:w="624" w:type="dxa"/>
                                  <w:tcBorders>
                                    <w:bottom w:val="single" w:sz="4" w:space="0" w:color="auto"/>
                                  </w:tcBorders>
                                  <w:shd w:val="clear" w:color="auto" w:fill="auto"/>
                                  <w:vAlign w:val="center"/>
                                </w:tcPr>
                                <w:p w14:paraId="1169A48C"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4</w:t>
                                  </w:r>
                                </w:p>
                              </w:tc>
                              <w:tc>
                                <w:tcPr>
                                  <w:tcW w:w="3427" w:type="dxa"/>
                                  <w:tcBorders>
                                    <w:bottom w:val="single" w:sz="4" w:space="0" w:color="auto"/>
                                  </w:tcBorders>
                                  <w:vAlign w:val="center"/>
                                </w:tcPr>
                                <w:p w14:paraId="1CDA53A5"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臺北市住宅及都市更新中心</w:t>
                                  </w:r>
                                </w:p>
                              </w:tc>
                              <w:tc>
                                <w:tcPr>
                                  <w:tcW w:w="3458" w:type="dxa"/>
                                  <w:vAlign w:val="center"/>
                                </w:tcPr>
                                <w:p w14:paraId="7EC7B109"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臺北市政府</w:t>
                                  </w:r>
                                  <w:r w:rsidRPr="00360FF4">
                                    <w:rPr>
                                      <w:rFonts w:ascii="標楷體" w:eastAsia="標楷體" w:hAnsi="標楷體" w:hint="eastAsia"/>
                                      <w:sz w:val="20"/>
                                    </w:rPr>
                                    <w:t>(都市發展局)</w:t>
                                  </w:r>
                                </w:p>
                              </w:tc>
                            </w:tr>
                            <w:tr w:rsidR="00715CC2" w:rsidRPr="00360FF4" w14:paraId="6170C653" w14:textId="77777777" w:rsidTr="000B176D">
                              <w:trPr>
                                <w:jc w:val="center"/>
                              </w:trPr>
                              <w:tc>
                                <w:tcPr>
                                  <w:tcW w:w="624" w:type="dxa"/>
                                  <w:tcBorders>
                                    <w:bottom w:val="single" w:sz="4" w:space="0" w:color="auto"/>
                                  </w:tcBorders>
                                  <w:shd w:val="clear" w:color="auto" w:fill="auto"/>
                                  <w:vAlign w:val="center"/>
                                </w:tcPr>
                                <w:p w14:paraId="1902161F"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5</w:t>
                                  </w:r>
                                </w:p>
                              </w:tc>
                              <w:tc>
                                <w:tcPr>
                                  <w:tcW w:w="3427" w:type="dxa"/>
                                  <w:tcBorders>
                                    <w:bottom w:val="single" w:sz="4" w:space="0" w:color="auto"/>
                                  </w:tcBorders>
                                  <w:vAlign w:val="center"/>
                                </w:tcPr>
                                <w:p w14:paraId="00176727"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新北市住宅及都市更新中心</w:t>
                                  </w:r>
                                </w:p>
                              </w:tc>
                              <w:tc>
                                <w:tcPr>
                                  <w:tcW w:w="3458" w:type="dxa"/>
                                  <w:vAlign w:val="center"/>
                                </w:tcPr>
                                <w:p w14:paraId="1CDCE603"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新北市政府</w:t>
                                  </w:r>
                                  <w:r w:rsidRPr="00360FF4">
                                    <w:rPr>
                                      <w:rFonts w:ascii="標楷體" w:eastAsia="標楷體" w:hAnsi="標楷體" w:hint="eastAsia"/>
                                      <w:sz w:val="20"/>
                                    </w:rPr>
                                    <w:t>(城鄉發展局)</w:t>
                                  </w:r>
                                </w:p>
                              </w:tc>
                            </w:tr>
                            <w:tr w:rsidR="00715CC2" w:rsidRPr="00360FF4" w14:paraId="73C6776E" w14:textId="77777777" w:rsidTr="000B176D">
                              <w:trPr>
                                <w:jc w:val="center"/>
                              </w:trPr>
                              <w:tc>
                                <w:tcPr>
                                  <w:tcW w:w="624" w:type="dxa"/>
                                  <w:tcBorders>
                                    <w:top w:val="single" w:sz="4" w:space="0" w:color="auto"/>
                                  </w:tcBorders>
                                  <w:shd w:val="clear" w:color="auto" w:fill="auto"/>
                                  <w:vAlign w:val="center"/>
                                </w:tcPr>
                                <w:p w14:paraId="3E753F56"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6</w:t>
                                  </w:r>
                                </w:p>
                              </w:tc>
                              <w:tc>
                                <w:tcPr>
                                  <w:tcW w:w="3427" w:type="dxa"/>
                                  <w:tcBorders>
                                    <w:top w:val="single" w:sz="4" w:space="0" w:color="auto"/>
                                  </w:tcBorders>
                                  <w:vAlign w:val="center"/>
                                </w:tcPr>
                                <w:p w14:paraId="330B9046"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新北市美術館</w:t>
                                  </w:r>
                                </w:p>
                              </w:tc>
                              <w:tc>
                                <w:tcPr>
                                  <w:tcW w:w="3458" w:type="dxa"/>
                                  <w:vAlign w:val="center"/>
                                </w:tcPr>
                                <w:p w14:paraId="5DAA9296"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新北市政府</w:t>
                                  </w:r>
                                  <w:r w:rsidRPr="00360FF4">
                                    <w:rPr>
                                      <w:rFonts w:ascii="標楷體" w:eastAsia="標楷體" w:hAnsi="標楷體" w:hint="eastAsia"/>
                                      <w:sz w:val="20"/>
                                    </w:rPr>
                                    <w:t>(文化局)</w:t>
                                  </w:r>
                                </w:p>
                              </w:tc>
                            </w:tr>
                            <w:tr w:rsidR="00715CC2" w:rsidRPr="00360FF4" w14:paraId="7D1BC398" w14:textId="77777777" w:rsidTr="000B176D">
                              <w:trPr>
                                <w:trHeight w:val="329"/>
                                <w:jc w:val="center"/>
                              </w:trPr>
                              <w:tc>
                                <w:tcPr>
                                  <w:tcW w:w="624" w:type="dxa"/>
                                  <w:shd w:val="clear" w:color="auto" w:fill="auto"/>
                                  <w:vAlign w:val="center"/>
                                </w:tcPr>
                                <w:p w14:paraId="1FE0A93B"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7</w:t>
                                  </w:r>
                                </w:p>
                              </w:tc>
                              <w:tc>
                                <w:tcPr>
                                  <w:tcW w:w="3427" w:type="dxa"/>
                                  <w:vAlign w:val="center"/>
                                </w:tcPr>
                                <w:p w14:paraId="08C8F010"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桃園市社會住宅服務中心</w:t>
                                  </w:r>
                                </w:p>
                              </w:tc>
                              <w:tc>
                                <w:tcPr>
                                  <w:tcW w:w="3458" w:type="dxa"/>
                                  <w:vAlign w:val="center"/>
                                </w:tcPr>
                                <w:p w14:paraId="1FAE4F0F"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桃園市政府</w:t>
                                  </w:r>
                                  <w:r w:rsidRPr="00360FF4">
                                    <w:rPr>
                                      <w:rFonts w:ascii="標楷體" w:eastAsia="標楷體" w:hAnsi="標楷體" w:hint="eastAsia"/>
                                      <w:sz w:val="20"/>
                                    </w:rPr>
                                    <w:t>(都市發展局住宅發展處)</w:t>
                                  </w:r>
                                </w:p>
                              </w:tc>
                            </w:tr>
                            <w:tr w:rsidR="00715CC2" w:rsidRPr="00360FF4" w14:paraId="6D231A3D" w14:textId="77777777" w:rsidTr="000B176D">
                              <w:trPr>
                                <w:jc w:val="center"/>
                              </w:trPr>
                              <w:tc>
                                <w:tcPr>
                                  <w:tcW w:w="624" w:type="dxa"/>
                                  <w:shd w:val="clear" w:color="auto" w:fill="auto"/>
                                  <w:vAlign w:val="center"/>
                                </w:tcPr>
                                <w:p w14:paraId="2D2B938F"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8</w:t>
                                  </w:r>
                                </w:p>
                              </w:tc>
                              <w:tc>
                                <w:tcPr>
                                  <w:tcW w:w="3427" w:type="dxa"/>
                                  <w:vAlign w:val="center"/>
                                </w:tcPr>
                                <w:p w14:paraId="7BC899CE"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臺南市美術館</w:t>
                                  </w:r>
                                </w:p>
                              </w:tc>
                              <w:tc>
                                <w:tcPr>
                                  <w:tcW w:w="3458" w:type="dxa"/>
                                  <w:vAlign w:val="center"/>
                                </w:tcPr>
                                <w:p w14:paraId="59C17144"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臺南市政府</w:t>
                                  </w:r>
                                  <w:r w:rsidRPr="00360FF4">
                                    <w:rPr>
                                      <w:rFonts w:ascii="標楷體" w:eastAsia="標楷體" w:hAnsi="標楷體" w:hint="eastAsia"/>
                                      <w:sz w:val="20"/>
                                    </w:rPr>
                                    <w:t>(文化局)</w:t>
                                  </w:r>
                                </w:p>
                              </w:tc>
                            </w:tr>
                            <w:tr w:rsidR="00715CC2" w:rsidRPr="00360FF4" w14:paraId="6281711D" w14:textId="77777777" w:rsidTr="000B176D">
                              <w:trPr>
                                <w:trHeight w:val="597"/>
                                <w:jc w:val="center"/>
                              </w:trPr>
                              <w:tc>
                                <w:tcPr>
                                  <w:tcW w:w="624" w:type="dxa"/>
                                  <w:shd w:val="clear" w:color="auto" w:fill="auto"/>
                                  <w:vAlign w:val="center"/>
                                </w:tcPr>
                                <w:p w14:paraId="76B27C82"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9</w:t>
                                  </w:r>
                                </w:p>
                              </w:tc>
                              <w:tc>
                                <w:tcPr>
                                  <w:tcW w:w="3427" w:type="dxa"/>
                                  <w:vAlign w:val="center"/>
                                </w:tcPr>
                                <w:p w14:paraId="385F8C3A"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高雄市專業文化機構(</w:t>
                                  </w:r>
                                  <w:r w:rsidRPr="00360FF4">
                                    <w:rPr>
                                      <w:rFonts w:ascii="標楷體" w:eastAsia="標楷體" w:hAnsi="標楷體" w:hint="eastAsia"/>
                                      <w:sz w:val="20"/>
                                      <w:lang w:eastAsia="zh-HK"/>
                                    </w:rPr>
                                    <w:t>一法人多館所：歷史博物館、電影館、美術館)</w:t>
                                  </w:r>
                                </w:p>
                              </w:tc>
                              <w:tc>
                                <w:tcPr>
                                  <w:tcW w:w="3458" w:type="dxa"/>
                                  <w:vMerge w:val="restart"/>
                                  <w:vAlign w:val="center"/>
                                </w:tcPr>
                                <w:p w14:paraId="4493506E"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高雄市政府</w:t>
                                  </w:r>
                                  <w:r w:rsidRPr="00360FF4">
                                    <w:rPr>
                                      <w:rFonts w:ascii="標楷體" w:eastAsia="標楷體" w:hAnsi="標楷體" w:hint="eastAsia"/>
                                      <w:sz w:val="20"/>
                                    </w:rPr>
                                    <w:t>(文化局)</w:t>
                                  </w:r>
                                </w:p>
                              </w:tc>
                            </w:tr>
                            <w:tr w:rsidR="00715CC2" w:rsidRPr="00360FF4" w14:paraId="5CECEEC7" w14:textId="77777777" w:rsidTr="000B176D">
                              <w:trPr>
                                <w:jc w:val="center"/>
                              </w:trPr>
                              <w:tc>
                                <w:tcPr>
                                  <w:tcW w:w="624" w:type="dxa"/>
                                  <w:shd w:val="clear" w:color="auto" w:fill="auto"/>
                                  <w:vAlign w:val="center"/>
                                </w:tcPr>
                                <w:p w14:paraId="1ADD479E"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0</w:t>
                                  </w:r>
                                </w:p>
                              </w:tc>
                              <w:tc>
                                <w:tcPr>
                                  <w:tcW w:w="3427" w:type="dxa"/>
                                  <w:vAlign w:val="center"/>
                                </w:tcPr>
                                <w:p w14:paraId="36114952"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高雄市立圖書館</w:t>
                                  </w:r>
                                </w:p>
                              </w:tc>
                              <w:tc>
                                <w:tcPr>
                                  <w:tcW w:w="3458" w:type="dxa"/>
                                  <w:vMerge/>
                                  <w:vAlign w:val="center"/>
                                </w:tcPr>
                                <w:p w14:paraId="5036AF39"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25614DD3" w14:textId="77777777" w:rsidTr="000B176D">
                              <w:trPr>
                                <w:jc w:val="center"/>
                              </w:trPr>
                              <w:tc>
                                <w:tcPr>
                                  <w:tcW w:w="624" w:type="dxa"/>
                                  <w:shd w:val="clear" w:color="auto" w:fill="auto"/>
                                  <w:vAlign w:val="center"/>
                                </w:tcPr>
                                <w:p w14:paraId="089136AB"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1</w:t>
                                  </w:r>
                                </w:p>
                              </w:tc>
                              <w:tc>
                                <w:tcPr>
                                  <w:tcW w:w="3427" w:type="dxa"/>
                                  <w:vAlign w:val="center"/>
                                </w:tcPr>
                                <w:p w14:paraId="45EAE097"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高雄流行音樂中心</w:t>
                                  </w:r>
                                </w:p>
                              </w:tc>
                              <w:tc>
                                <w:tcPr>
                                  <w:tcW w:w="3458" w:type="dxa"/>
                                  <w:vMerge/>
                                  <w:vAlign w:val="center"/>
                                </w:tcPr>
                                <w:p w14:paraId="5EB6C99C"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31278D20" w14:textId="77777777" w:rsidTr="000B176D">
                              <w:trPr>
                                <w:jc w:val="center"/>
                              </w:trPr>
                              <w:tc>
                                <w:tcPr>
                                  <w:tcW w:w="624" w:type="dxa"/>
                                  <w:shd w:val="clear" w:color="auto" w:fill="auto"/>
                                  <w:vAlign w:val="center"/>
                                </w:tcPr>
                                <w:p w14:paraId="20F35D90"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2</w:t>
                                  </w:r>
                                </w:p>
                              </w:tc>
                              <w:tc>
                                <w:tcPr>
                                  <w:tcW w:w="3427" w:type="dxa"/>
                                  <w:vAlign w:val="center"/>
                                </w:tcPr>
                                <w:p w14:paraId="335922D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高雄市住宅及都市更新中心</w:t>
                                  </w:r>
                                </w:p>
                              </w:tc>
                              <w:tc>
                                <w:tcPr>
                                  <w:tcW w:w="3458" w:type="dxa"/>
                                  <w:vAlign w:val="center"/>
                                </w:tcPr>
                                <w:p w14:paraId="7D9AA7E2"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高雄市政府</w:t>
                                  </w:r>
                                  <w:r w:rsidRPr="00360FF4">
                                    <w:rPr>
                                      <w:rFonts w:ascii="標楷體" w:eastAsia="標楷體" w:hAnsi="標楷體" w:hint="eastAsia"/>
                                      <w:sz w:val="20"/>
                                    </w:rPr>
                                    <w:t>(都市發展局)</w:t>
                                  </w:r>
                                </w:p>
                              </w:tc>
                            </w:tr>
                            <w:tr w:rsidR="00715CC2" w:rsidRPr="00360FF4" w14:paraId="233D519B" w14:textId="77777777" w:rsidTr="000B176D">
                              <w:trPr>
                                <w:trHeight w:val="178"/>
                                <w:jc w:val="center"/>
                              </w:trPr>
                              <w:tc>
                                <w:tcPr>
                                  <w:tcW w:w="624" w:type="dxa"/>
                                  <w:shd w:val="clear" w:color="auto" w:fill="auto"/>
                                  <w:vAlign w:val="center"/>
                                </w:tcPr>
                                <w:p w14:paraId="555DE090"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3</w:t>
                                  </w:r>
                                </w:p>
                              </w:tc>
                              <w:tc>
                                <w:tcPr>
                                  <w:tcW w:w="3427" w:type="dxa"/>
                                  <w:vAlign w:val="center"/>
                                </w:tcPr>
                                <w:p w14:paraId="0D7CC94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苗栗縣苗北藝文中心</w:t>
                                  </w:r>
                                </w:p>
                              </w:tc>
                              <w:tc>
                                <w:tcPr>
                                  <w:tcW w:w="3458" w:type="dxa"/>
                                  <w:vAlign w:val="center"/>
                                </w:tcPr>
                                <w:p w14:paraId="0742A840"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苗栗縣政府</w:t>
                                  </w:r>
                                </w:p>
                              </w:tc>
                            </w:tr>
                          </w:tbl>
                          <w:p w14:paraId="02705D30" w14:textId="77777777" w:rsidR="00715CC2" w:rsidRDefault="00715CC2" w:rsidP="00715CC2">
                            <w:pPr>
                              <w:adjustRightInd w:val="0"/>
                              <w:snapToGrid w:val="0"/>
                              <w:spacing w:line="24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資料時點：截至1</w:t>
                            </w:r>
                            <w:r>
                              <w:rPr>
                                <w:rFonts w:ascii="標楷體" w:eastAsia="標楷體" w:hAnsi="標楷體"/>
                                <w:sz w:val="18"/>
                                <w:szCs w:val="18"/>
                              </w:rPr>
                              <w:t>14</w:t>
                            </w:r>
                            <w:r>
                              <w:rPr>
                                <w:rFonts w:ascii="標楷體" w:eastAsia="標楷體" w:hAnsi="標楷體" w:hint="eastAsia"/>
                                <w:sz w:val="18"/>
                                <w:szCs w:val="18"/>
                              </w:rPr>
                              <w:t>年5月底止。</w:t>
                            </w:r>
                          </w:p>
                          <w:p w14:paraId="2BB39E8E" w14:textId="77777777" w:rsidR="00715CC2" w:rsidRPr="000916FB" w:rsidRDefault="00715CC2" w:rsidP="00715CC2">
                            <w:pPr>
                              <w:adjustRightInd w:val="0"/>
                              <w:snapToGrid w:val="0"/>
                              <w:spacing w:line="240" w:lineRule="exact"/>
                              <w:ind w:firstLineChars="200" w:firstLine="360"/>
                              <w:jc w:val="both"/>
                              <w:rPr>
                                <w:rFonts w:ascii="標楷體" w:eastAsia="標楷體" w:hAnsi="標楷體"/>
                              </w:rPr>
                            </w:pPr>
                            <w:r>
                              <w:rPr>
                                <w:rFonts w:ascii="標楷體" w:eastAsia="標楷體" w:hAnsi="標楷體"/>
                                <w:sz w:val="18"/>
                                <w:szCs w:val="18"/>
                              </w:rPr>
                              <w:t>2.</w:t>
                            </w:r>
                            <w:r w:rsidRPr="007A15FD">
                              <w:rPr>
                                <w:rFonts w:ascii="標楷體" w:eastAsia="標楷體" w:hAnsi="標楷體" w:hint="eastAsia"/>
                                <w:sz w:val="18"/>
                                <w:szCs w:val="18"/>
                              </w:rPr>
                              <w:t>資料來源：整理自</w:t>
                            </w:r>
                            <w:r>
                              <w:rPr>
                                <w:rFonts w:ascii="標楷體" w:eastAsia="標楷體" w:hAnsi="標楷體" w:hint="eastAsia"/>
                                <w:sz w:val="18"/>
                                <w:szCs w:val="18"/>
                              </w:rPr>
                              <w:t>行政院</w:t>
                            </w:r>
                            <w:r w:rsidRPr="007A15FD">
                              <w:rPr>
                                <w:rFonts w:ascii="標楷體" w:eastAsia="標楷體" w:hAnsi="標楷體" w:hint="eastAsia"/>
                                <w:sz w:val="18"/>
                                <w:szCs w:val="18"/>
                              </w:rPr>
                              <w:t>人事行政總處網站資料。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812704" id="文字方塊 31" o:spid="_x0000_s1167" type="#_x0000_t202" style="position:absolute;left:0;text-align:left;margin-left:112.6pt;margin-top:2pt;width:382.5pt;height:420.9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" filled="f" stroked="f">
                <v:textbox>
                  <w:txbxContent>
                    <w:p w14:paraId="0134F56C" w14:textId="77777777" w:rsidR="00715CC2" w:rsidRPr="00FE4D4B" w:rsidRDefault="00715CC2" w:rsidP="00715CC2">
                      <w:pPr>
                        <w:spacing w:afterLines="20" w:after="72" w:line="260" w:lineRule="exact"/>
                        <w:ind w:left="709" w:hangingChars="300" w:hanging="709"/>
                        <w:jc w:val="center"/>
                        <w:rPr>
                          <w:rFonts w:ascii="標楷體" w:eastAsia="標楷體" w:hAnsi="標楷體"/>
                          <w:b/>
                          <w:bCs/>
                          <w:snapToGrid w:val="0"/>
                          <w:spacing w:val="-2"/>
                        </w:rPr>
                      </w:pPr>
                      <w:r w:rsidRPr="00FE4D4B">
                        <w:rPr>
                          <w:rFonts w:ascii="標楷體" w:eastAsia="標楷體" w:hAnsi="標楷體" w:hint="eastAsia"/>
                          <w:b/>
                          <w:bCs/>
                          <w:snapToGrid w:val="0"/>
                          <w:spacing w:val="-2"/>
                        </w:rPr>
                        <w:t>表</w:t>
                      </w:r>
                      <w:r>
                        <w:rPr>
                          <w:rFonts w:ascii="標楷體" w:eastAsia="標楷體" w:hAnsi="標楷體" w:hint="eastAsia"/>
                          <w:b/>
                          <w:bCs/>
                          <w:snapToGrid w:val="0"/>
                          <w:spacing w:val="-2"/>
                        </w:rPr>
                        <w:t>5</w:t>
                      </w:r>
                      <w:r>
                        <w:rPr>
                          <w:rFonts w:ascii="標楷體" w:eastAsia="標楷體" w:hAnsi="標楷體"/>
                          <w:b/>
                          <w:bCs/>
                          <w:snapToGrid w:val="0"/>
                          <w:spacing w:val="-2"/>
                        </w:rPr>
                        <w:t>7</w:t>
                      </w:r>
                      <w:r w:rsidRPr="00FE4D4B">
                        <w:rPr>
                          <w:rFonts w:ascii="標楷體" w:eastAsia="標楷體" w:hAnsi="標楷體" w:hint="eastAsia"/>
                          <w:b/>
                          <w:bCs/>
                          <w:snapToGrid w:val="0"/>
                          <w:spacing w:val="-2"/>
                        </w:rPr>
                        <w:t xml:space="preserve">　全國行政法人及其對應監督機關清單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3427"/>
                        <w:gridCol w:w="3458"/>
                      </w:tblGrid>
                      <w:tr w:rsidR="00715CC2" w:rsidRPr="00360FF4" w14:paraId="0392077A" w14:textId="77777777" w:rsidTr="00360FF4">
                        <w:trPr>
                          <w:trHeight w:val="253"/>
                          <w:tblHeader/>
                          <w:jc w:val="center"/>
                        </w:trPr>
                        <w:tc>
                          <w:tcPr>
                            <w:tcW w:w="624" w:type="dxa"/>
                            <w:shd w:val="clear" w:color="auto" w:fill="auto"/>
                            <w:vAlign w:val="center"/>
                          </w:tcPr>
                          <w:p w14:paraId="67B7D0E7" w14:textId="77777777" w:rsidR="00715CC2" w:rsidRPr="00360FF4" w:rsidRDefault="00715CC2" w:rsidP="00F62EDC">
                            <w:pPr>
                              <w:spacing w:line="260" w:lineRule="exact"/>
                              <w:jc w:val="center"/>
                              <w:rPr>
                                <w:rFonts w:ascii="標楷體" w:eastAsia="標楷體" w:hAnsi="標楷體"/>
                                <w:b/>
                                <w:sz w:val="20"/>
                                <w:lang w:eastAsia="zh-HK"/>
                              </w:rPr>
                            </w:pPr>
                            <w:r w:rsidRPr="00360FF4">
                              <w:rPr>
                                <w:rFonts w:ascii="標楷體" w:eastAsia="標楷體" w:hAnsi="標楷體" w:hint="eastAsia"/>
                                <w:b/>
                                <w:sz w:val="20"/>
                                <w:lang w:eastAsia="zh-HK"/>
                              </w:rPr>
                              <w:t>項次</w:t>
                            </w:r>
                          </w:p>
                        </w:tc>
                        <w:tc>
                          <w:tcPr>
                            <w:tcW w:w="3427" w:type="dxa"/>
                            <w:vAlign w:val="center"/>
                          </w:tcPr>
                          <w:p w14:paraId="11D60F41" w14:textId="77777777" w:rsidR="00715CC2" w:rsidRPr="00360FF4" w:rsidRDefault="00715CC2" w:rsidP="00F62EDC">
                            <w:pPr>
                              <w:spacing w:line="260" w:lineRule="exact"/>
                              <w:jc w:val="center"/>
                              <w:rPr>
                                <w:rFonts w:ascii="標楷體" w:eastAsia="標楷體" w:hAnsi="標楷體"/>
                                <w:b/>
                                <w:sz w:val="20"/>
                                <w:lang w:eastAsia="zh-HK"/>
                              </w:rPr>
                            </w:pPr>
                            <w:r w:rsidRPr="00360FF4">
                              <w:rPr>
                                <w:rFonts w:ascii="標楷體" w:eastAsia="標楷體" w:hAnsi="標楷體" w:hint="eastAsia"/>
                                <w:b/>
                                <w:sz w:val="20"/>
                              </w:rPr>
                              <w:t>行政法人</w:t>
                            </w:r>
                          </w:p>
                        </w:tc>
                        <w:tc>
                          <w:tcPr>
                            <w:tcW w:w="3458" w:type="dxa"/>
                            <w:vAlign w:val="center"/>
                          </w:tcPr>
                          <w:p w14:paraId="5C13EDAE" w14:textId="77777777" w:rsidR="00715CC2" w:rsidRPr="00360FF4" w:rsidRDefault="00715CC2" w:rsidP="00F62EDC">
                            <w:pPr>
                              <w:spacing w:line="260" w:lineRule="exact"/>
                              <w:jc w:val="center"/>
                              <w:rPr>
                                <w:rFonts w:ascii="標楷體" w:eastAsia="標楷體" w:hAnsi="標楷體"/>
                                <w:b/>
                                <w:sz w:val="20"/>
                              </w:rPr>
                            </w:pPr>
                            <w:r w:rsidRPr="00360FF4">
                              <w:rPr>
                                <w:rFonts w:ascii="標楷體" w:eastAsia="標楷體" w:hAnsi="標楷體" w:hint="eastAsia"/>
                                <w:b/>
                                <w:sz w:val="20"/>
                              </w:rPr>
                              <w:t>監督機關</w:t>
                            </w:r>
                          </w:p>
                        </w:tc>
                      </w:tr>
                      <w:tr w:rsidR="00715CC2" w:rsidRPr="00360FF4" w14:paraId="490A7652" w14:textId="77777777" w:rsidTr="000B176D">
                        <w:trPr>
                          <w:jc w:val="center"/>
                        </w:trPr>
                        <w:tc>
                          <w:tcPr>
                            <w:tcW w:w="624" w:type="dxa"/>
                            <w:shd w:val="clear" w:color="auto" w:fill="auto"/>
                            <w:vAlign w:val="center"/>
                          </w:tcPr>
                          <w:p w14:paraId="14358FF1"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lang w:eastAsia="zh-HK"/>
                              </w:rPr>
                              <w:t>1</w:t>
                            </w:r>
                          </w:p>
                        </w:tc>
                        <w:tc>
                          <w:tcPr>
                            <w:tcW w:w="3427" w:type="dxa"/>
                            <w:vAlign w:val="center"/>
                          </w:tcPr>
                          <w:p w14:paraId="65DFC200"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國家表演藝術中心</w:t>
                            </w:r>
                            <w:r w:rsidRPr="00360FF4">
                              <w:rPr>
                                <w:rFonts w:ascii="標楷體" w:eastAsia="標楷體" w:hAnsi="標楷體"/>
                                <w:sz w:val="20"/>
                                <w:lang w:eastAsia="zh-HK"/>
                              </w:rPr>
                              <w:t xml:space="preserve"> (</w:t>
                            </w:r>
                            <w:r w:rsidRPr="00360FF4">
                              <w:rPr>
                                <w:rFonts w:ascii="標楷體" w:eastAsia="標楷體" w:hAnsi="標楷體" w:hint="eastAsia"/>
                                <w:sz w:val="20"/>
                                <w:lang w:eastAsia="zh-HK"/>
                              </w:rPr>
                              <w:t>一法人多館所：國家兩廳院、衛武營國家藝術文化中心、臺中國家歌劇院、國家交響樂團)</w:t>
                            </w:r>
                          </w:p>
                        </w:tc>
                        <w:tc>
                          <w:tcPr>
                            <w:tcW w:w="3458" w:type="dxa"/>
                            <w:vMerge w:val="restart"/>
                            <w:vAlign w:val="center"/>
                          </w:tcPr>
                          <w:p w14:paraId="542275B5"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rPr>
                              <w:t>文化部</w:t>
                            </w:r>
                          </w:p>
                        </w:tc>
                      </w:tr>
                      <w:tr w:rsidR="00715CC2" w:rsidRPr="00360FF4" w14:paraId="5E6598C2" w14:textId="77777777" w:rsidTr="000B176D">
                        <w:trPr>
                          <w:trHeight w:val="281"/>
                          <w:jc w:val="center"/>
                        </w:trPr>
                        <w:tc>
                          <w:tcPr>
                            <w:tcW w:w="624" w:type="dxa"/>
                            <w:shd w:val="clear" w:color="auto" w:fill="auto"/>
                            <w:vAlign w:val="center"/>
                          </w:tcPr>
                          <w:p w14:paraId="316A1243"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lang w:eastAsia="zh-HK"/>
                              </w:rPr>
                              <w:t>2</w:t>
                            </w:r>
                          </w:p>
                        </w:tc>
                        <w:tc>
                          <w:tcPr>
                            <w:tcW w:w="3427" w:type="dxa"/>
                            <w:vAlign w:val="center"/>
                          </w:tcPr>
                          <w:p w14:paraId="4D4B7273" w14:textId="77777777" w:rsidR="00715CC2" w:rsidRPr="00360FF4" w:rsidRDefault="00715CC2" w:rsidP="00F62EDC">
                            <w:pPr>
                              <w:spacing w:line="260" w:lineRule="exact"/>
                              <w:rPr>
                                <w:rFonts w:ascii="標楷體" w:eastAsia="標楷體" w:hAnsi="標楷體"/>
                                <w:sz w:val="20"/>
                              </w:rPr>
                            </w:pPr>
                            <w:r w:rsidRPr="00360FF4">
                              <w:rPr>
                                <w:rFonts w:ascii="標楷體" w:eastAsia="標楷體" w:hAnsi="標楷體" w:hint="eastAsia"/>
                                <w:sz w:val="20"/>
                                <w:lang w:eastAsia="zh-HK"/>
                              </w:rPr>
                              <w:t>文化內容策進院</w:t>
                            </w:r>
                          </w:p>
                        </w:tc>
                        <w:tc>
                          <w:tcPr>
                            <w:tcW w:w="3458" w:type="dxa"/>
                            <w:vMerge/>
                            <w:vAlign w:val="center"/>
                          </w:tcPr>
                          <w:p w14:paraId="62728502"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4F3AF38B" w14:textId="77777777" w:rsidTr="000B176D">
                        <w:trPr>
                          <w:jc w:val="center"/>
                        </w:trPr>
                        <w:tc>
                          <w:tcPr>
                            <w:tcW w:w="624" w:type="dxa"/>
                            <w:shd w:val="clear" w:color="auto" w:fill="auto"/>
                            <w:vAlign w:val="center"/>
                          </w:tcPr>
                          <w:p w14:paraId="7AA22E0E"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rPr>
                              <w:t>3</w:t>
                            </w:r>
                          </w:p>
                        </w:tc>
                        <w:tc>
                          <w:tcPr>
                            <w:tcW w:w="3427" w:type="dxa"/>
                            <w:vAlign w:val="center"/>
                          </w:tcPr>
                          <w:p w14:paraId="3ACDB84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國家電影及視聽文化中心</w:t>
                            </w:r>
                          </w:p>
                        </w:tc>
                        <w:tc>
                          <w:tcPr>
                            <w:tcW w:w="3458" w:type="dxa"/>
                            <w:vMerge/>
                            <w:vAlign w:val="center"/>
                          </w:tcPr>
                          <w:p w14:paraId="0123A343"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19FD4054" w14:textId="77777777" w:rsidTr="000B176D">
                        <w:trPr>
                          <w:jc w:val="center"/>
                        </w:trPr>
                        <w:tc>
                          <w:tcPr>
                            <w:tcW w:w="624" w:type="dxa"/>
                            <w:shd w:val="clear" w:color="auto" w:fill="auto"/>
                            <w:vAlign w:val="center"/>
                          </w:tcPr>
                          <w:p w14:paraId="239DE9CD" w14:textId="77777777" w:rsidR="00715CC2" w:rsidRPr="00360FF4" w:rsidRDefault="00715CC2" w:rsidP="00F62EDC">
                            <w:pPr>
                              <w:spacing w:line="260" w:lineRule="exact"/>
                              <w:jc w:val="center"/>
                              <w:rPr>
                                <w:rFonts w:ascii="標楷體" w:eastAsia="標楷體" w:hAnsi="標楷體"/>
                                <w:sz w:val="20"/>
                                <w:lang w:eastAsia="zh-HK"/>
                              </w:rPr>
                            </w:pPr>
                            <w:r w:rsidRPr="00360FF4">
                              <w:rPr>
                                <w:rFonts w:ascii="標楷體" w:eastAsia="標楷體" w:hAnsi="標楷體" w:hint="eastAsia"/>
                                <w:sz w:val="20"/>
                              </w:rPr>
                              <w:t>4</w:t>
                            </w:r>
                          </w:p>
                        </w:tc>
                        <w:tc>
                          <w:tcPr>
                            <w:tcW w:w="3427" w:type="dxa"/>
                            <w:vAlign w:val="center"/>
                          </w:tcPr>
                          <w:p w14:paraId="7C1F154A"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國家中山科學研究院</w:t>
                            </w:r>
                          </w:p>
                        </w:tc>
                        <w:tc>
                          <w:tcPr>
                            <w:tcW w:w="3458" w:type="dxa"/>
                            <w:vAlign w:val="center"/>
                          </w:tcPr>
                          <w:p w14:paraId="4F80C473"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國防部</w:t>
                            </w:r>
                          </w:p>
                        </w:tc>
                      </w:tr>
                      <w:tr w:rsidR="00715CC2" w:rsidRPr="00360FF4" w14:paraId="5D93A8EF" w14:textId="77777777" w:rsidTr="000B176D">
                        <w:trPr>
                          <w:trHeight w:val="83"/>
                          <w:jc w:val="center"/>
                        </w:trPr>
                        <w:tc>
                          <w:tcPr>
                            <w:tcW w:w="624" w:type="dxa"/>
                            <w:shd w:val="clear" w:color="auto" w:fill="auto"/>
                            <w:vAlign w:val="center"/>
                          </w:tcPr>
                          <w:p w14:paraId="2399941C"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5</w:t>
                            </w:r>
                          </w:p>
                        </w:tc>
                        <w:tc>
                          <w:tcPr>
                            <w:tcW w:w="3427" w:type="dxa"/>
                            <w:vAlign w:val="center"/>
                          </w:tcPr>
                          <w:p w14:paraId="55D3B57C"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國家災害防救科技中心</w:t>
                            </w:r>
                          </w:p>
                        </w:tc>
                        <w:tc>
                          <w:tcPr>
                            <w:tcW w:w="3458" w:type="dxa"/>
                            <w:vMerge w:val="restart"/>
                            <w:vAlign w:val="center"/>
                          </w:tcPr>
                          <w:p w14:paraId="35E6428B"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國家科學及技術委員會</w:t>
                            </w:r>
                          </w:p>
                        </w:tc>
                      </w:tr>
                      <w:tr w:rsidR="00715CC2" w:rsidRPr="00360FF4" w14:paraId="696211DC" w14:textId="77777777" w:rsidTr="000B176D">
                        <w:trPr>
                          <w:trHeight w:val="202"/>
                          <w:jc w:val="center"/>
                        </w:trPr>
                        <w:tc>
                          <w:tcPr>
                            <w:tcW w:w="624" w:type="dxa"/>
                            <w:shd w:val="clear" w:color="auto" w:fill="auto"/>
                            <w:vAlign w:val="center"/>
                          </w:tcPr>
                          <w:p w14:paraId="04C4BBE2"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6</w:t>
                            </w:r>
                          </w:p>
                        </w:tc>
                        <w:tc>
                          <w:tcPr>
                            <w:tcW w:w="3427" w:type="dxa"/>
                            <w:vAlign w:val="center"/>
                          </w:tcPr>
                          <w:p w14:paraId="0A688587"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rPr>
                              <w:t>國家太空中心</w:t>
                            </w:r>
                          </w:p>
                        </w:tc>
                        <w:tc>
                          <w:tcPr>
                            <w:tcW w:w="3458" w:type="dxa"/>
                            <w:vMerge/>
                            <w:vAlign w:val="center"/>
                          </w:tcPr>
                          <w:p w14:paraId="66D736E6"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10C040C4" w14:textId="77777777" w:rsidTr="000B176D">
                        <w:trPr>
                          <w:jc w:val="center"/>
                        </w:trPr>
                        <w:tc>
                          <w:tcPr>
                            <w:tcW w:w="624" w:type="dxa"/>
                            <w:shd w:val="clear" w:color="auto" w:fill="auto"/>
                            <w:vAlign w:val="center"/>
                          </w:tcPr>
                          <w:p w14:paraId="72540BDF"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7</w:t>
                            </w:r>
                          </w:p>
                        </w:tc>
                        <w:tc>
                          <w:tcPr>
                            <w:tcW w:w="3427" w:type="dxa"/>
                            <w:vAlign w:val="center"/>
                          </w:tcPr>
                          <w:p w14:paraId="1D5859E2"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國家運動訓練中心</w:t>
                            </w:r>
                          </w:p>
                        </w:tc>
                        <w:tc>
                          <w:tcPr>
                            <w:tcW w:w="3458" w:type="dxa"/>
                            <w:vMerge w:val="restart"/>
                            <w:vAlign w:val="center"/>
                          </w:tcPr>
                          <w:p w14:paraId="617CEDEB"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rPr>
                              <w:t>教育部</w:t>
                            </w:r>
                          </w:p>
                        </w:tc>
                      </w:tr>
                      <w:tr w:rsidR="00715CC2" w:rsidRPr="00360FF4" w14:paraId="5B0FB8DA" w14:textId="77777777" w:rsidTr="000B176D">
                        <w:trPr>
                          <w:jc w:val="center"/>
                        </w:trPr>
                        <w:tc>
                          <w:tcPr>
                            <w:tcW w:w="624" w:type="dxa"/>
                            <w:shd w:val="clear" w:color="auto" w:fill="auto"/>
                            <w:vAlign w:val="center"/>
                          </w:tcPr>
                          <w:p w14:paraId="3A81645D"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8</w:t>
                            </w:r>
                          </w:p>
                        </w:tc>
                        <w:tc>
                          <w:tcPr>
                            <w:tcW w:w="3427" w:type="dxa"/>
                            <w:vAlign w:val="center"/>
                          </w:tcPr>
                          <w:p w14:paraId="10F4105D"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國家運動科學中心</w:t>
                            </w:r>
                          </w:p>
                        </w:tc>
                        <w:tc>
                          <w:tcPr>
                            <w:tcW w:w="3458" w:type="dxa"/>
                            <w:vMerge/>
                            <w:vAlign w:val="center"/>
                          </w:tcPr>
                          <w:p w14:paraId="7E248BAF" w14:textId="77777777" w:rsidR="00715CC2" w:rsidRPr="00360FF4" w:rsidRDefault="00715CC2" w:rsidP="00F62EDC">
                            <w:pPr>
                              <w:spacing w:line="260" w:lineRule="exact"/>
                              <w:jc w:val="both"/>
                              <w:rPr>
                                <w:rFonts w:ascii="標楷體" w:eastAsia="標楷體" w:hAnsi="標楷體"/>
                                <w:sz w:val="20"/>
                              </w:rPr>
                            </w:pPr>
                          </w:p>
                        </w:tc>
                      </w:tr>
                      <w:tr w:rsidR="00715CC2" w:rsidRPr="00360FF4" w14:paraId="76831187" w14:textId="77777777" w:rsidTr="000B176D">
                        <w:trPr>
                          <w:jc w:val="center"/>
                        </w:trPr>
                        <w:tc>
                          <w:tcPr>
                            <w:tcW w:w="624" w:type="dxa"/>
                            <w:shd w:val="clear" w:color="auto" w:fill="auto"/>
                            <w:vAlign w:val="center"/>
                          </w:tcPr>
                          <w:p w14:paraId="05335BD7"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9</w:t>
                            </w:r>
                          </w:p>
                        </w:tc>
                        <w:tc>
                          <w:tcPr>
                            <w:tcW w:w="3427" w:type="dxa"/>
                            <w:vAlign w:val="center"/>
                          </w:tcPr>
                          <w:p w14:paraId="1E56F603"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國家住宅及都市更新中心</w:t>
                            </w:r>
                          </w:p>
                        </w:tc>
                        <w:tc>
                          <w:tcPr>
                            <w:tcW w:w="3458" w:type="dxa"/>
                            <w:vAlign w:val="center"/>
                          </w:tcPr>
                          <w:p w14:paraId="09289FB1"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rPr>
                              <w:t>內政部(國土管理署</w:t>
                            </w:r>
                            <w:r w:rsidRPr="00360FF4">
                              <w:rPr>
                                <w:rFonts w:ascii="標楷體" w:eastAsia="標楷體" w:hAnsi="標楷體"/>
                                <w:sz w:val="20"/>
                              </w:rPr>
                              <w:t>)</w:t>
                            </w:r>
                          </w:p>
                        </w:tc>
                      </w:tr>
                      <w:tr w:rsidR="00715CC2" w:rsidRPr="00360FF4" w14:paraId="53A83144" w14:textId="77777777" w:rsidTr="000B176D">
                        <w:trPr>
                          <w:jc w:val="center"/>
                        </w:trPr>
                        <w:tc>
                          <w:tcPr>
                            <w:tcW w:w="624" w:type="dxa"/>
                            <w:shd w:val="clear" w:color="auto" w:fill="auto"/>
                            <w:vAlign w:val="center"/>
                          </w:tcPr>
                          <w:p w14:paraId="1D446C25"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0</w:t>
                            </w:r>
                          </w:p>
                        </w:tc>
                        <w:tc>
                          <w:tcPr>
                            <w:tcW w:w="3427" w:type="dxa"/>
                            <w:vAlign w:val="center"/>
                          </w:tcPr>
                          <w:p w14:paraId="64F583E8"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國家資通安全研究院</w:t>
                            </w:r>
                          </w:p>
                        </w:tc>
                        <w:tc>
                          <w:tcPr>
                            <w:tcW w:w="3458" w:type="dxa"/>
                            <w:vAlign w:val="center"/>
                          </w:tcPr>
                          <w:p w14:paraId="39D24B86"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lang w:eastAsia="zh-HK"/>
                              </w:rPr>
                              <w:t>數位發展部</w:t>
                            </w:r>
                            <w:r w:rsidRPr="00360FF4">
                              <w:rPr>
                                <w:rFonts w:ascii="標楷體" w:eastAsia="標楷體" w:hAnsi="標楷體" w:hint="eastAsia"/>
                                <w:sz w:val="20"/>
                              </w:rPr>
                              <w:t>(資通安全署)</w:t>
                            </w:r>
                          </w:p>
                        </w:tc>
                      </w:tr>
                      <w:tr w:rsidR="00715CC2" w:rsidRPr="00360FF4" w14:paraId="4D7EEB9A" w14:textId="77777777" w:rsidTr="000B176D">
                        <w:trPr>
                          <w:jc w:val="center"/>
                        </w:trPr>
                        <w:tc>
                          <w:tcPr>
                            <w:tcW w:w="624" w:type="dxa"/>
                            <w:shd w:val="clear" w:color="auto" w:fill="auto"/>
                            <w:vAlign w:val="center"/>
                          </w:tcPr>
                          <w:p w14:paraId="7676D285"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1</w:t>
                            </w:r>
                          </w:p>
                        </w:tc>
                        <w:tc>
                          <w:tcPr>
                            <w:tcW w:w="3427" w:type="dxa"/>
                            <w:vAlign w:val="center"/>
                          </w:tcPr>
                          <w:p w14:paraId="477729D5"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國家原子能科技研究院</w:t>
                            </w:r>
                          </w:p>
                        </w:tc>
                        <w:tc>
                          <w:tcPr>
                            <w:tcW w:w="3458" w:type="dxa"/>
                            <w:vAlign w:val="center"/>
                          </w:tcPr>
                          <w:p w14:paraId="418CB169" w14:textId="77777777" w:rsidR="00715CC2" w:rsidRPr="00360FF4" w:rsidRDefault="00715CC2" w:rsidP="00F62EDC">
                            <w:pPr>
                              <w:spacing w:line="260" w:lineRule="exact"/>
                              <w:jc w:val="both"/>
                              <w:rPr>
                                <w:rFonts w:ascii="標楷體" w:eastAsia="標楷體" w:hAnsi="標楷體"/>
                                <w:sz w:val="20"/>
                              </w:rPr>
                            </w:pPr>
                            <w:r w:rsidRPr="00360FF4">
                              <w:rPr>
                                <w:rFonts w:ascii="標楷體" w:eastAsia="標楷體" w:hAnsi="標楷體" w:hint="eastAsia"/>
                                <w:sz w:val="20"/>
                                <w:lang w:eastAsia="zh-HK"/>
                              </w:rPr>
                              <w:t>核能安全委員會</w:t>
                            </w:r>
                          </w:p>
                        </w:tc>
                      </w:tr>
                      <w:tr w:rsidR="00715CC2" w:rsidRPr="00360FF4" w14:paraId="69FFC1DD" w14:textId="77777777" w:rsidTr="000B176D">
                        <w:trPr>
                          <w:jc w:val="center"/>
                        </w:trPr>
                        <w:tc>
                          <w:tcPr>
                            <w:tcW w:w="624" w:type="dxa"/>
                            <w:shd w:val="clear" w:color="auto" w:fill="auto"/>
                            <w:vAlign w:val="center"/>
                          </w:tcPr>
                          <w:p w14:paraId="19214059"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2</w:t>
                            </w:r>
                          </w:p>
                        </w:tc>
                        <w:tc>
                          <w:tcPr>
                            <w:tcW w:w="3427" w:type="dxa"/>
                            <w:vAlign w:val="center"/>
                          </w:tcPr>
                          <w:p w14:paraId="2BAE622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臺北流行音樂中心</w:t>
                            </w:r>
                          </w:p>
                        </w:tc>
                        <w:tc>
                          <w:tcPr>
                            <w:tcW w:w="3458" w:type="dxa"/>
                            <w:vMerge w:val="restart"/>
                            <w:vAlign w:val="center"/>
                          </w:tcPr>
                          <w:p w14:paraId="5BF891D7"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臺北市政府</w:t>
                            </w:r>
                            <w:r w:rsidRPr="00360FF4">
                              <w:rPr>
                                <w:rFonts w:ascii="標楷體" w:eastAsia="標楷體" w:hAnsi="標楷體" w:hint="eastAsia"/>
                                <w:sz w:val="20"/>
                              </w:rPr>
                              <w:t>(文化局)</w:t>
                            </w:r>
                          </w:p>
                        </w:tc>
                      </w:tr>
                      <w:tr w:rsidR="00715CC2" w:rsidRPr="00360FF4" w14:paraId="19B35FA9" w14:textId="77777777" w:rsidTr="000B176D">
                        <w:trPr>
                          <w:jc w:val="center"/>
                        </w:trPr>
                        <w:tc>
                          <w:tcPr>
                            <w:tcW w:w="624" w:type="dxa"/>
                            <w:shd w:val="clear" w:color="auto" w:fill="auto"/>
                            <w:vAlign w:val="center"/>
                          </w:tcPr>
                          <w:p w14:paraId="13BD368C"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3</w:t>
                            </w:r>
                          </w:p>
                        </w:tc>
                        <w:tc>
                          <w:tcPr>
                            <w:tcW w:w="3427" w:type="dxa"/>
                            <w:vAlign w:val="center"/>
                          </w:tcPr>
                          <w:p w14:paraId="5CE2449E"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臺北表演藝術中心</w:t>
                            </w:r>
                          </w:p>
                        </w:tc>
                        <w:tc>
                          <w:tcPr>
                            <w:tcW w:w="3458" w:type="dxa"/>
                            <w:vMerge/>
                            <w:vAlign w:val="center"/>
                          </w:tcPr>
                          <w:p w14:paraId="6F6F3E3B"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4DDFAD24" w14:textId="77777777" w:rsidTr="000B176D">
                        <w:trPr>
                          <w:jc w:val="center"/>
                        </w:trPr>
                        <w:tc>
                          <w:tcPr>
                            <w:tcW w:w="624" w:type="dxa"/>
                            <w:tcBorders>
                              <w:bottom w:val="single" w:sz="4" w:space="0" w:color="auto"/>
                            </w:tcBorders>
                            <w:shd w:val="clear" w:color="auto" w:fill="auto"/>
                            <w:vAlign w:val="center"/>
                          </w:tcPr>
                          <w:p w14:paraId="1169A48C"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4</w:t>
                            </w:r>
                          </w:p>
                        </w:tc>
                        <w:tc>
                          <w:tcPr>
                            <w:tcW w:w="3427" w:type="dxa"/>
                            <w:tcBorders>
                              <w:bottom w:val="single" w:sz="4" w:space="0" w:color="auto"/>
                            </w:tcBorders>
                            <w:vAlign w:val="center"/>
                          </w:tcPr>
                          <w:p w14:paraId="1CDA53A5"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臺北市住宅及都市更新中心</w:t>
                            </w:r>
                          </w:p>
                        </w:tc>
                        <w:tc>
                          <w:tcPr>
                            <w:tcW w:w="3458" w:type="dxa"/>
                            <w:vAlign w:val="center"/>
                          </w:tcPr>
                          <w:p w14:paraId="7EC7B109"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臺北市政府</w:t>
                            </w:r>
                            <w:r w:rsidRPr="00360FF4">
                              <w:rPr>
                                <w:rFonts w:ascii="標楷體" w:eastAsia="標楷體" w:hAnsi="標楷體" w:hint="eastAsia"/>
                                <w:sz w:val="20"/>
                              </w:rPr>
                              <w:t>(都市發展局)</w:t>
                            </w:r>
                          </w:p>
                        </w:tc>
                      </w:tr>
                      <w:tr w:rsidR="00715CC2" w:rsidRPr="00360FF4" w14:paraId="6170C653" w14:textId="77777777" w:rsidTr="000B176D">
                        <w:trPr>
                          <w:jc w:val="center"/>
                        </w:trPr>
                        <w:tc>
                          <w:tcPr>
                            <w:tcW w:w="624" w:type="dxa"/>
                            <w:tcBorders>
                              <w:bottom w:val="single" w:sz="4" w:space="0" w:color="auto"/>
                            </w:tcBorders>
                            <w:shd w:val="clear" w:color="auto" w:fill="auto"/>
                            <w:vAlign w:val="center"/>
                          </w:tcPr>
                          <w:p w14:paraId="1902161F"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5</w:t>
                            </w:r>
                          </w:p>
                        </w:tc>
                        <w:tc>
                          <w:tcPr>
                            <w:tcW w:w="3427" w:type="dxa"/>
                            <w:tcBorders>
                              <w:bottom w:val="single" w:sz="4" w:space="0" w:color="auto"/>
                            </w:tcBorders>
                            <w:vAlign w:val="center"/>
                          </w:tcPr>
                          <w:p w14:paraId="00176727"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新北市住宅及都市更新中心</w:t>
                            </w:r>
                          </w:p>
                        </w:tc>
                        <w:tc>
                          <w:tcPr>
                            <w:tcW w:w="3458" w:type="dxa"/>
                            <w:vAlign w:val="center"/>
                          </w:tcPr>
                          <w:p w14:paraId="1CDCE603"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新北市政府</w:t>
                            </w:r>
                            <w:r w:rsidRPr="00360FF4">
                              <w:rPr>
                                <w:rFonts w:ascii="標楷體" w:eastAsia="標楷體" w:hAnsi="標楷體" w:hint="eastAsia"/>
                                <w:sz w:val="20"/>
                              </w:rPr>
                              <w:t>(城鄉發展局)</w:t>
                            </w:r>
                          </w:p>
                        </w:tc>
                      </w:tr>
                      <w:tr w:rsidR="00715CC2" w:rsidRPr="00360FF4" w14:paraId="73C6776E" w14:textId="77777777" w:rsidTr="000B176D">
                        <w:trPr>
                          <w:jc w:val="center"/>
                        </w:trPr>
                        <w:tc>
                          <w:tcPr>
                            <w:tcW w:w="624" w:type="dxa"/>
                            <w:tcBorders>
                              <w:top w:val="single" w:sz="4" w:space="0" w:color="auto"/>
                            </w:tcBorders>
                            <w:shd w:val="clear" w:color="auto" w:fill="auto"/>
                            <w:vAlign w:val="center"/>
                          </w:tcPr>
                          <w:p w14:paraId="3E753F56"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6</w:t>
                            </w:r>
                          </w:p>
                        </w:tc>
                        <w:tc>
                          <w:tcPr>
                            <w:tcW w:w="3427" w:type="dxa"/>
                            <w:tcBorders>
                              <w:top w:val="single" w:sz="4" w:space="0" w:color="auto"/>
                            </w:tcBorders>
                            <w:vAlign w:val="center"/>
                          </w:tcPr>
                          <w:p w14:paraId="330B9046"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新北市美術館</w:t>
                            </w:r>
                          </w:p>
                        </w:tc>
                        <w:tc>
                          <w:tcPr>
                            <w:tcW w:w="3458" w:type="dxa"/>
                            <w:vAlign w:val="center"/>
                          </w:tcPr>
                          <w:p w14:paraId="5DAA9296"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新北市政府</w:t>
                            </w:r>
                            <w:r w:rsidRPr="00360FF4">
                              <w:rPr>
                                <w:rFonts w:ascii="標楷體" w:eastAsia="標楷體" w:hAnsi="標楷體" w:hint="eastAsia"/>
                                <w:sz w:val="20"/>
                              </w:rPr>
                              <w:t>(文化局)</w:t>
                            </w:r>
                          </w:p>
                        </w:tc>
                      </w:tr>
                      <w:tr w:rsidR="00715CC2" w:rsidRPr="00360FF4" w14:paraId="7D1BC398" w14:textId="77777777" w:rsidTr="000B176D">
                        <w:trPr>
                          <w:trHeight w:val="329"/>
                          <w:jc w:val="center"/>
                        </w:trPr>
                        <w:tc>
                          <w:tcPr>
                            <w:tcW w:w="624" w:type="dxa"/>
                            <w:shd w:val="clear" w:color="auto" w:fill="auto"/>
                            <w:vAlign w:val="center"/>
                          </w:tcPr>
                          <w:p w14:paraId="1FE0A93B"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7</w:t>
                            </w:r>
                          </w:p>
                        </w:tc>
                        <w:tc>
                          <w:tcPr>
                            <w:tcW w:w="3427" w:type="dxa"/>
                            <w:vAlign w:val="center"/>
                          </w:tcPr>
                          <w:p w14:paraId="08C8F010"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桃園市社會住宅服務中心</w:t>
                            </w:r>
                          </w:p>
                        </w:tc>
                        <w:tc>
                          <w:tcPr>
                            <w:tcW w:w="3458" w:type="dxa"/>
                            <w:vAlign w:val="center"/>
                          </w:tcPr>
                          <w:p w14:paraId="1FAE4F0F"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桃園市政府</w:t>
                            </w:r>
                            <w:r w:rsidRPr="00360FF4">
                              <w:rPr>
                                <w:rFonts w:ascii="標楷體" w:eastAsia="標楷體" w:hAnsi="標楷體" w:hint="eastAsia"/>
                                <w:sz w:val="20"/>
                              </w:rPr>
                              <w:t>(都市發展局住宅發展處)</w:t>
                            </w:r>
                          </w:p>
                        </w:tc>
                      </w:tr>
                      <w:tr w:rsidR="00715CC2" w:rsidRPr="00360FF4" w14:paraId="6D231A3D" w14:textId="77777777" w:rsidTr="000B176D">
                        <w:trPr>
                          <w:jc w:val="center"/>
                        </w:trPr>
                        <w:tc>
                          <w:tcPr>
                            <w:tcW w:w="624" w:type="dxa"/>
                            <w:shd w:val="clear" w:color="auto" w:fill="auto"/>
                            <w:vAlign w:val="center"/>
                          </w:tcPr>
                          <w:p w14:paraId="2D2B938F"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8</w:t>
                            </w:r>
                          </w:p>
                        </w:tc>
                        <w:tc>
                          <w:tcPr>
                            <w:tcW w:w="3427" w:type="dxa"/>
                            <w:vAlign w:val="center"/>
                          </w:tcPr>
                          <w:p w14:paraId="7BC899CE"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臺南市美術館</w:t>
                            </w:r>
                          </w:p>
                        </w:tc>
                        <w:tc>
                          <w:tcPr>
                            <w:tcW w:w="3458" w:type="dxa"/>
                            <w:vAlign w:val="center"/>
                          </w:tcPr>
                          <w:p w14:paraId="59C17144"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臺南市政府</w:t>
                            </w:r>
                            <w:r w:rsidRPr="00360FF4">
                              <w:rPr>
                                <w:rFonts w:ascii="標楷體" w:eastAsia="標楷體" w:hAnsi="標楷體" w:hint="eastAsia"/>
                                <w:sz w:val="20"/>
                              </w:rPr>
                              <w:t>(文化局)</w:t>
                            </w:r>
                          </w:p>
                        </w:tc>
                      </w:tr>
                      <w:tr w:rsidR="00715CC2" w:rsidRPr="00360FF4" w14:paraId="6281711D" w14:textId="77777777" w:rsidTr="000B176D">
                        <w:trPr>
                          <w:trHeight w:val="597"/>
                          <w:jc w:val="center"/>
                        </w:trPr>
                        <w:tc>
                          <w:tcPr>
                            <w:tcW w:w="624" w:type="dxa"/>
                            <w:shd w:val="clear" w:color="auto" w:fill="auto"/>
                            <w:vAlign w:val="center"/>
                          </w:tcPr>
                          <w:p w14:paraId="76B27C82"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1</w:t>
                            </w:r>
                            <w:r w:rsidRPr="00360FF4">
                              <w:rPr>
                                <w:rFonts w:ascii="標楷體" w:eastAsia="標楷體" w:hAnsi="標楷體"/>
                                <w:sz w:val="20"/>
                              </w:rPr>
                              <w:t>9</w:t>
                            </w:r>
                          </w:p>
                        </w:tc>
                        <w:tc>
                          <w:tcPr>
                            <w:tcW w:w="3427" w:type="dxa"/>
                            <w:vAlign w:val="center"/>
                          </w:tcPr>
                          <w:p w14:paraId="385F8C3A"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高雄市專業文化機構(</w:t>
                            </w:r>
                            <w:r w:rsidRPr="00360FF4">
                              <w:rPr>
                                <w:rFonts w:ascii="標楷體" w:eastAsia="標楷體" w:hAnsi="標楷體" w:hint="eastAsia"/>
                                <w:sz w:val="20"/>
                                <w:lang w:eastAsia="zh-HK"/>
                              </w:rPr>
                              <w:t>一法人多館所：歷史博物館、電影館、美術館)</w:t>
                            </w:r>
                          </w:p>
                        </w:tc>
                        <w:tc>
                          <w:tcPr>
                            <w:tcW w:w="3458" w:type="dxa"/>
                            <w:vMerge w:val="restart"/>
                            <w:vAlign w:val="center"/>
                          </w:tcPr>
                          <w:p w14:paraId="4493506E"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高雄市政府</w:t>
                            </w:r>
                            <w:r w:rsidRPr="00360FF4">
                              <w:rPr>
                                <w:rFonts w:ascii="標楷體" w:eastAsia="標楷體" w:hAnsi="標楷體" w:hint="eastAsia"/>
                                <w:sz w:val="20"/>
                              </w:rPr>
                              <w:t>(文化局)</w:t>
                            </w:r>
                          </w:p>
                        </w:tc>
                      </w:tr>
                      <w:tr w:rsidR="00715CC2" w:rsidRPr="00360FF4" w14:paraId="5CECEEC7" w14:textId="77777777" w:rsidTr="000B176D">
                        <w:trPr>
                          <w:jc w:val="center"/>
                        </w:trPr>
                        <w:tc>
                          <w:tcPr>
                            <w:tcW w:w="624" w:type="dxa"/>
                            <w:shd w:val="clear" w:color="auto" w:fill="auto"/>
                            <w:vAlign w:val="center"/>
                          </w:tcPr>
                          <w:p w14:paraId="1ADD479E"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0</w:t>
                            </w:r>
                          </w:p>
                        </w:tc>
                        <w:tc>
                          <w:tcPr>
                            <w:tcW w:w="3427" w:type="dxa"/>
                            <w:vAlign w:val="center"/>
                          </w:tcPr>
                          <w:p w14:paraId="36114952"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高雄市立圖書館</w:t>
                            </w:r>
                          </w:p>
                        </w:tc>
                        <w:tc>
                          <w:tcPr>
                            <w:tcW w:w="3458" w:type="dxa"/>
                            <w:vMerge/>
                            <w:vAlign w:val="center"/>
                          </w:tcPr>
                          <w:p w14:paraId="5036AF39"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25614DD3" w14:textId="77777777" w:rsidTr="000B176D">
                        <w:trPr>
                          <w:jc w:val="center"/>
                        </w:trPr>
                        <w:tc>
                          <w:tcPr>
                            <w:tcW w:w="624" w:type="dxa"/>
                            <w:shd w:val="clear" w:color="auto" w:fill="auto"/>
                            <w:vAlign w:val="center"/>
                          </w:tcPr>
                          <w:p w14:paraId="089136AB"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1</w:t>
                            </w:r>
                          </w:p>
                        </w:tc>
                        <w:tc>
                          <w:tcPr>
                            <w:tcW w:w="3427" w:type="dxa"/>
                            <w:vAlign w:val="center"/>
                          </w:tcPr>
                          <w:p w14:paraId="45EAE097"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高雄流行音樂中心</w:t>
                            </w:r>
                          </w:p>
                        </w:tc>
                        <w:tc>
                          <w:tcPr>
                            <w:tcW w:w="3458" w:type="dxa"/>
                            <w:vMerge/>
                            <w:vAlign w:val="center"/>
                          </w:tcPr>
                          <w:p w14:paraId="5EB6C99C" w14:textId="77777777" w:rsidR="00715CC2" w:rsidRPr="00360FF4" w:rsidRDefault="00715CC2" w:rsidP="00F62EDC">
                            <w:pPr>
                              <w:spacing w:line="260" w:lineRule="exact"/>
                              <w:jc w:val="both"/>
                              <w:rPr>
                                <w:rFonts w:ascii="標楷體" w:eastAsia="標楷體" w:hAnsi="標楷體"/>
                                <w:sz w:val="20"/>
                                <w:lang w:eastAsia="zh-HK"/>
                              </w:rPr>
                            </w:pPr>
                          </w:p>
                        </w:tc>
                      </w:tr>
                      <w:tr w:rsidR="00715CC2" w:rsidRPr="00360FF4" w14:paraId="31278D20" w14:textId="77777777" w:rsidTr="000B176D">
                        <w:trPr>
                          <w:jc w:val="center"/>
                        </w:trPr>
                        <w:tc>
                          <w:tcPr>
                            <w:tcW w:w="624" w:type="dxa"/>
                            <w:shd w:val="clear" w:color="auto" w:fill="auto"/>
                            <w:vAlign w:val="center"/>
                          </w:tcPr>
                          <w:p w14:paraId="20F35D90"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2</w:t>
                            </w:r>
                          </w:p>
                        </w:tc>
                        <w:tc>
                          <w:tcPr>
                            <w:tcW w:w="3427" w:type="dxa"/>
                            <w:vAlign w:val="center"/>
                          </w:tcPr>
                          <w:p w14:paraId="335922D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hint="eastAsia"/>
                                <w:sz w:val="20"/>
                                <w:lang w:eastAsia="zh-HK"/>
                              </w:rPr>
                              <w:t>高雄市住宅及都市更新中心</w:t>
                            </w:r>
                          </w:p>
                        </w:tc>
                        <w:tc>
                          <w:tcPr>
                            <w:tcW w:w="3458" w:type="dxa"/>
                            <w:vAlign w:val="center"/>
                          </w:tcPr>
                          <w:p w14:paraId="7D9AA7E2"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高雄市政府</w:t>
                            </w:r>
                            <w:r w:rsidRPr="00360FF4">
                              <w:rPr>
                                <w:rFonts w:ascii="標楷體" w:eastAsia="標楷體" w:hAnsi="標楷體" w:hint="eastAsia"/>
                                <w:sz w:val="20"/>
                              </w:rPr>
                              <w:t>(都市發展局)</w:t>
                            </w:r>
                          </w:p>
                        </w:tc>
                      </w:tr>
                      <w:tr w:rsidR="00715CC2" w:rsidRPr="00360FF4" w14:paraId="233D519B" w14:textId="77777777" w:rsidTr="000B176D">
                        <w:trPr>
                          <w:trHeight w:val="178"/>
                          <w:jc w:val="center"/>
                        </w:trPr>
                        <w:tc>
                          <w:tcPr>
                            <w:tcW w:w="624" w:type="dxa"/>
                            <w:shd w:val="clear" w:color="auto" w:fill="auto"/>
                            <w:vAlign w:val="center"/>
                          </w:tcPr>
                          <w:p w14:paraId="555DE090" w14:textId="77777777" w:rsidR="00715CC2" w:rsidRPr="00360FF4" w:rsidRDefault="00715CC2" w:rsidP="00F62EDC">
                            <w:pPr>
                              <w:spacing w:line="260" w:lineRule="exact"/>
                              <w:jc w:val="center"/>
                              <w:rPr>
                                <w:rFonts w:ascii="標楷體" w:eastAsia="標楷體" w:hAnsi="標楷體"/>
                                <w:sz w:val="20"/>
                              </w:rPr>
                            </w:pPr>
                            <w:r w:rsidRPr="00360FF4">
                              <w:rPr>
                                <w:rFonts w:ascii="標楷體" w:eastAsia="標楷體" w:hAnsi="標楷體" w:hint="eastAsia"/>
                                <w:sz w:val="20"/>
                              </w:rPr>
                              <w:t>2</w:t>
                            </w:r>
                            <w:r w:rsidRPr="00360FF4">
                              <w:rPr>
                                <w:rFonts w:ascii="標楷體" w:eastAsia="標楷體" w:hAnsi="標楷體"/>
                                <w:sz w:val="20"/>
                              </w:rPr>
                              <w:t>3</w:t>
                            </w:r>
                          </w:p>
                        </w:tc>
                        <w:tc>
                          <w:tcPr>
                            <w:tcW w:w="3427" w:type="dxa"/>
                            <w:vAlign w:val="center"/>
                          </w:tcPr>
                          <w:p w14:paraId="0D7CC949" w14:textId="77777777" w:rsidR="00715CC2" w:rsidRPr="00360FF4" w:rsidRDefault="00715CC2" w:rsidP="00F62EDC">
                            <w:pPr>
                              <w:spacing w:line="260" w:lineRule="exact"/>
                              <w:rPr>
                                <w:rFonts w:ascii="標楷體" w:eastAsia="標楷體" w:hAnsi="標楷體"/>
                                <w:sz w:val="20"/>
                                <w:lang w:eastAsia="zh-HK"/>
                              </w:rPr>
                            </w:pPr>
                            <w:r w:rsidRPr="00360FF4">
                              <w:rPr>
                                <w:rFonts w:ascii="標楷體" w:eastAsia="標楷體" w:hAnsi="標楷體"/>
                                <w:sz w:val="20"/>
                                <w:lang w:eastAsia="zh-HK"/>
                              </w:rPr>
                              <w:t>苗栗縣苗北藝文中心</w:t>
                            </w:r>
                          </w:p>
                        </w:tc>
                        <w:tc>
                          <w:tcPr>
                            <w:tcW w:w="3458" w:type="dxa"/>
                            <w:vAlign w:val="center"/>
                          </w:tcPr>
                          <w:p w14:paraId="0742A840" w14:textId="77777777" w:rsidR="00715CC2" w:rsidRPr="00360FF4" w:rsidRDefault="00715CC2" w:rsidP="00F62EDC">
                            <w:pPr>
                              <w:spacing w:line="260" w:lineRule="exact"/>
                              <w:jc w:val="both"/>
                              <w:rPr>
                                <w:rFonts w:ascii="標楷體" w:eastAsia="標楷體" w:hAnsi="標楷體"/>
                                <w:sz w:val="20"/>
                                <w:lang w:eastAsia="zh-HK"/>
                              </w:rPr>
                            </w:pPr>
                            <w:r w:rsidRPr="00360FF4">
                              <w:rPr>
                                <w:rFonts w:ascii="標楷體" w:eastAsia="標楷體" w:hAnsi="標楷體" w:hint="eastAsia"/>
                                <w:sz w:val="20"/>
                                <w:lang w:eastAsia="zh-HK"/>
                              </w:rPr>
                              <w:t>苗栗縣政府</w:t>
                            </w:r>
                          </w:p>
                        </w:tc>
                      </w:tr>
                    </w:tbl>
                    <w:p w14:paraId="02705D30" w14:textId="77777777" w:rsidR="00715CC2" w:rsidRDefault="00715CC2" w:rsidP="00715CC2">
                      <w:pPr>
                        <w:adjustRightInd w:val="0"/>
                        <w:snapToGrid w:val="0"/>
                        <w:spacing w:line="24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資料時點：截至1</w:t>
                      </w:r>
                      <w:r>
                        <w:rPr>
                          <w:rFonts w:ascii="標楷體" w:eastAsia="標楷體" w:hAnsi="標楷體"/>
                          <w:sz w:val="18"/>
                          <w:szCs w:val="18"/>
                        </w:rPr>
                        <w:t>14</w:t>
                      </w:r>
                      <w:r>
                        <w:rPr>
                          <w:rFonts w:ascii="標楷體" w:eastAsia="標楷體" w:hAnsi="標楷體" w:hint="eastAsia"/>
                          <w:sz w:val="18"/>
                          <w:szCs w:val="18"/>
                        </w:rPr>
                        <w:t>年5月底止。</w:t>
                      </w:r>
                    </w:p>
                    <w:p w14:paraId="2BB39E8E" w14:textId="77777777" w:rsidR="00715CC2" w:rsidRPr="000916FB" w:rsidRDefault="00715CC2" w:rsidP="00715CC2">
                      <w:pPr>
                        <w:adjustRightInd w:val="0"/>
                        <w:snapToGrid w:val="0"/>
                        <w:spacing w:line="240" w:lineRule="exact"/>
                        <w:ind w:firstLineChars="200" w:firstLine="360"/>
                        <w:jc w:val="both"/>
                        <w:rPr>
                          <w:rFonts w:ascii="標楷體" w:eastAsia="標楷體" w:hAnsi="標楷體"/>
                        </w:rPr>
                      </w:pPr>
                      <w:r>
                        <w:rPr>
                          <w:rFonts w:ascii="標楷體" w:eastAsia="標楷體" w:hAnsi="標楷體"/>
                          <w:sz w:val="18"/>
                          <w:szCs w:val="18"/>
                        </w:rPr>
                        <w:t>2.</w:t>
                      </w:r>
                      <w:r w:rsidRPr="007A15FD">
                        <w:rPr>
                          <w:rFonts w:ascii="標楷體" w:eastAsia="標楷體" w:hAnsi="標楷體" w:hint="eastAsia"/>
                          <w:sz w:val="18"/>
                          <w:szCs w:val="18"/>
                        </w:rPr>
                        <w:t>資料來源：整理自</w:t>
                      </w:r>
                      <w:r>
                        <w:rPr>
                          <w:rFonts w:ascii="標楷體" w:eastAsia="標楷體" w:hAnsi="標楷體" w:hint="eastAsia"/>
                          <w:sz w:val="18"/>
                          <w:szCs w:val="18"/>
                        </w:rPr>
                        <w:t>行政院</w:t>
                      </w:r>
                      <w:r w:rsidRPr="007A15FD">
                        <w:rPr>
                          <w:rFonts w:ascii="標楷體" w:eastAsia="標楷體" w:hAnsi="標楷體" w:hint="eastAsia"/>
                          <w:sz w:val="18"/>
                          <w:szCs w:val="18"/>
                        </w:rPr>
                        <w:t>人事行政總處網站資料。</w:t>
                      </w:r>
                    </w:p>
                  </w:txbxContent>
                </v:textbox>
                <w10:wrap type="square"/>
              </v:shape>
            </w:pict>
          </mc:Fallback>
        </mc:AlternateContent>
      </w:r>
      <w:r w:rsidR="00763E0D" w:rsidRPr="00450A76">
        <w:rPr>
          <w:rFonts w:ascii="標楷體" w:eastAsia="標楷體" w:hAnsi="標楷體" w:hint="eastAsia"/>
          <w:snapToGrid w:val="0"/>
          <w:color w:val="000000" w:themeColor="text1"/>
          <w:kern w:val="32"/>
        </w:rPr>
        <w:t>政法人</w:t>
      </w:r>
      <w:proofErr w:type="gramStart"/>
      <w:r w:rsidR="00763E0D" w:rsidRPr="00450A76">
        <w:rPr>
          <w:rFonts w:ascii="標楷體" w:eastAsia="標楷體" w:hAnsi="標楷體" w:hint="eastAsia"/>
          <w:snapToGrid w:val="0"/>
          <w:color w:val="000000" w:themeColor="text1"/>
          <w:kern w:val="32"/>
        </w:rPr>
        <w:t>逕</w:t>
      </w:r>
      <w:proofErr w:type="gramEnd"/>
      <w:r w:rsidR="00763E0D" w:rsidRPr="00450A76">
        <w:rPr>
          <w:rFonts w:ascii="標楷體" w:eastAsia="標楷體" w:hAnsi="標楷體" w:hint="eastAsia"/>
          <w:snapToGrid w:val="0"/>
          <w:color w:val="000000" w:themeColor="text1"/>
          <w:kern w:val="32"/>
        </w:rPr>
        <w:t>洽廠</w:t>
      </w:r>
      <w:r w:rsidR="00450A76" w:rsidRPr="00450A76">
        <w:rPr>
          <w:rFonts w:ascii="標楷體" w:eastAsia="標楷體" w:hAnsi="標楷體" w:hint="eastAsia"/>
          <w:snapToGrid w:val="0"/>
          <w:color w:val="000000" w:themeColor="text1"/>
          <w:kern w:val="32"/>
        </w:rPr>
        <w:t>商採購之實務作業方式，將使</w:t>
      </w:r>
      <w:proofErr w:type="gramStart"/>
      <w:r w:rsidR="00450A76" w:rsidRPr="00450A76">
        <w:rPr>
          <w:rFonts w:ascii="標楷體" w:eastAsia="標楷體" w:hAnsi="標楷體" w:hint="eastAsia"/>
          <w:snapToGrid w:val="0"/>
          <w:color w:val="000000" w:themeColor="text1"/>
          <w:kern w:val="32"/>
        </w:rPr>
        <w:t>採購商源更為</w:t>
      </w:r>
      <w:proofErr w:type="gramEnd"/>
      <w:r w:rsidR="00450A76" w:rsidRPr="00450A76">
        <w:rPr>
          <w:rFonts w:ascii="標楷體" w:eastAsia="標楷體" w:hAnsi="標楷體" w:hint="eastAsia"/>
          <w:snapToGrid w:val="0"/>
          <w:color w:val="000000" w:themeColor="text1"/>
          <w:kern w:val="32"/>
        </w:rPr>
        <w:t>侷限，易衍生單一廠商一再得標情事，潛存公正性疑慮，允</w:t>
      </w:r>
      <w:r w:rsidR="005177DA">
        <w:rPr>
          <w:rFonts w:ascii="標楷體" w:eastAsia="標楷體" w:hAnsi="標楷體" w:hint="eastAsia"/>
          <w:snapToGrid w:val="0"/>
          <w:color w:val="000000" w:themeColor="text1"/>
          <w:kern w:val="32"/>
        </w:rPr>
        <w:t>宜</w:t>
      </w:r>
      <w:r w:rsidR="00450A76" w:rsidRPr="00450A76">
        <w:rPr>
          <w:rFonts w:ascii="標楷體" w:eastAsia="標楷體" w:hAnsi="標楷體" w:hint="eastAsia"/>
          <w:snapToGrid w:val="0"/>
          <w:color w:val="000000" w:themeColor="text1"/>
          <w:kern w:val="32"/>
        </w:rPr>
        <w:t>督促各監督機關加強監督所管行政法人採購作業，以降低採購作業風險；3.</w:t>
      </w:r>
      <w:r w:rsidR="00645A0E">
        <w:rPr>
          <w:rFonts w:ascii="標楷體" w:eastAsia="標楷體" w:hAnsi="標楷體" w:hint="eastAsia"/>
          <w:snapToGrid w:val="0"/>
          <w:color w:val="000000" w:themeColor="text1"/>
          <w:kern w:val="32"/>
        </w:rPr>
        <w:t>行政院</w:t>
      </w:r>
      <w:r w:rsidR="00450A76" w:rsidRPr="00450A76">
        <w:rPr>
          <w:rFonts w:ascii="標楷體" w:eastAsia="標楷體" w:hAnsi="標楷體" w:hint="eastAsia"/>
          <w:snapToGrid w:val="0"/>
          <w:color w:val="000000" w:themeColor="text1"/>
          <w:kern w:val="32"/>
        </w:rPr>
        <w:t>公共工程委員會已協助於政府電子採購網建立「行政法人相關採購資訊」區，提供連結至各行政</w:t>
      </w:r>
      <w:proofErr w:type="gramStart"/>
      <w:r w:rsidR="00450A76" w:rsidRPr="00450A76">
        <w:rPr>
          <w:rFonts w:ascii="標楷體" w:eastAsia="標楷體" w:hAnsi="標楷體" w:hint="eastAsia"/>
          <w:snapToGrid w:val="0"/>
          <w:color w:val="000000" w:themeColor="text1"/>
          <w:kern w:val="32"/>
        </w:rPr>
        <w:t>法人官網之</w:t>
      </w:r>
      <w:proofErr w:type="gramEnd"/>
      <w:r w:rsidR="00450A76" w:rsidRPr="00450A76">
        <w:rPr>
          <w:rFonts w:ascii="標楷體" w:eastAsia="標楷體" w:hAnsi="標楷體" w:hint="eastAsia"/>
          <w:snapToGrid w:val="0"/>
          <w:color w:val="000000" w:themeColor="text1"/>
          <w:kern w:val="32"/>
        </w:rPr>
        <w:t>管道，以增加採購資訊能見度。惟該平</w:t>
      </w:r>
      <w:proofErr w:type="gramStart"/>
      <w:r w:rsidR="00450A76" w:rsidRPr="00450A76">
        <w:rPr>
          <w:rFonts w:ascii="標楷體" w:eastAsia="標楷體" w:hAnsi="標楷體" w:hint="eastAsia"/>
          <w:snapToGrid w:val="0"/>
          <w:color w:val="000000" w:themeColor="text1"/>
          <w:kern w:val="32"/>
        </w:rPr>
        <w:t>臺</w:t>
      </w:r>
      <w:proofErr w:type="gramEnd"/>
      <w:r w:rsidR="00450A76" w:rsidRPr="00450A76">
        <w:rPr>
          <w:rFonts w:ascii="標楷體" w:eastAsia="標楷體" w:hAnsi="標楷體" w:hint="eastAsia"/>
          <w:snapToGrid w:val="0"/>
          <w:color w:val="000000" w:themeColor="text1"/>
          <w:kern w:val="32"/>
        </w:rPr>
        <w:t>提供資訊多</w:t>
      </w:r>
      <w:r w:rsidR="007266ED" w:rsidRPr="00215DE3">
        <w:rPr>
          <w:rFonts w:ascii="標楷體" w:eastAsia="標楷體" w:hAnsi="標楷體" w:hint="eastAsia"/>
          <w:noProof/>
          <w:color w:val="000000" w:themeColor="text1"/>
          <w:kern w:val="32"/>
        </w:rPr>
        <mc:AlternateContent>
          <mc:Choice Requires="wps">
            <w:drawing>
              <wp:anchor distT="45720" distB="45720" distL="114300" distR="114300" simplePos="0" relativeHeight="251676672" behindDoc="1" locked="0" layoutInCell="1" allowOverlap="0" wp14:anchorId="11451933" wp14:editId="0A6D9263">
                <wp:simplePos x="0" y="0"/>
                <wp:positionH relativeFrom="column">
                  <wp:posOffset>1421130</wp:posOffset>
                </wp:positionH>
                <wp:positionV relativeFrom="paragraph">
                  <wp:posOffset>5415915</wp:posOffset>
                </wp:positionV>
                <wp:extent cx="4800600" cy="1632585"/>
                <wp:effectExtent l="0" t="0" r="0" b="0"/>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6325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846F86" w14:textId="77777777" w:rsidR="00715CC2" w:rsidRPr="00FE4D4B" w:rsidRDefault="00715CC2" w:rsidP="00715CC2">
                            <w:pPr>
                              <w:spacing w:line="240" w:lineRule="exact"/>
                              <w:ind w:left="709" w:hangingChars="300" w:hanging="709"/>
                              <w:jc w:val="center"/>
                              <w:rPr>
                                <w:rFonts w:ascii="標楷體" w:eastAsia="標楷體" w:hAnsi="標楷體"/>
                                <w:b/>
                                <w:bCs/>
                                <w:snapToGrid w:val="0"/>
                                <w:spacing w:val="-2"/>
                              </w:rPr>
                            </w:pPr>
                            <w:r w:rsidRPr="00FE4D4B">
                              <w:rPr>
                                <w:rFonts w:ascii="標楷體" w:eastAsia="標楷體" w:hAnsi="標楷體" w:hint="eastAsia"/>
                                <w:b/>
                                <w:bCs/>
                                <w:snapToGrid w:val="0"/>
                                <w:spacing w:val="-2"/>
                              </w:rPr>
                              <w:t>表</w:t>
                            </w:r>
                            <w:r>
                              <w:rPr>
                                <w:rFonts w:ascii="標楷體" w:eastAsia="標楷體" w:hAnsi="標楷體" w:hint="eastAsia"/>
                                <w:b/>
                                <w:bCs/>
                                <w:snapToGrid w:val="0"/>
                                <w:spacing w:val="-2"/>
                              </w:rPr>
                              <w:t>5</w:t>
                            </w:r>
                            <w:r>
                              <w:rPr>
                                <w:rFonts w:ascii="標楷體" w:eastAsia="標楷體" w:hAnsi="標楷體"/>
                                <w:b/>
                                <w:bCs/>
                                <w:snapToGrid w:val="0"/>
                                <w:spacing w:val="-2"/>
                              </w:rPr>
                              <w:t>8</w:t>
                            </w:r>
                            <w:r w:rsidRPr="00FE4D4B">
                              <w:rPr>
                                <w:rFonts w:ascii="標楷體" w:eastAsia="標楷體" w:hAnsi="標楷體" w:hint="eastAsia"/>
                                <w:b/>
                                <w:bCs/>
                                <w:snapToGrid w:val="0"/>
                                <w:spacing w:val="-2"/>
                              </w:rPr>
                              <w:t xml:space="preserve">　各行政法人辦理之採購案件執行概況</w:t>
                            </w:r>
                          </w:p>
                          <w:p w14:paraId="23B767E2" w14:textId="77777777" w:rsidR="00715CC2" w:rsidRPr="00F30716" w:rsidRDefault="00715CC2" w:rsidP="00715CC2">
                            <w:pPr>
                              <w:snapToGrid w:val="0"/>
                              <w:rPr>
                                <w:rFonts w:ascii="標楷體" w:eastAsia="標楷體" w:hAnsi="標楷體"/>
                                <w:color w:val="000000" w:themeColor="text1"/>
                                <w:sz w:val="20"/>
                              </w:rPr>
                            </w:pPr>
                            <w:r w:rsidRPr="00F30716">
                              <w:rPr>
                                <w:rFonts w:ascii="標楷體" w:eastAsia="標楷體" w:hAnsi="標楷體" w:hint="eastAsia"/>
                                <w:color w:val="000000" w:themeColor="text1"/>
                                <w:sz w:val="20"/>
                              </w:rPr>
                              <w:t xml:space="preserve">　　　　　　　　　　　　　　　　　　　　　　　　　　　　　單位：件數、％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1417"/>
                              <w:gridCol w:w="1985"/>
                              <w:gridCol w:w="1843"/>
                              <w:gridCol w:w="1134"/>
                            </w:tblGrid>
                            <w:tr w:rsidR="00715CC2" w:rsidRPr="00F30716" w14:paraId="05F4103A" w14:textId="77777777" w:rsidTr="00612461">
                              <w:trPr>
                                <w:jc w:val="center"/>
                              </w:trPr>
                              <w:tc>
                                <w:tcPr>
                                  <w:tcW w:w="672" w:type="dxa"/>
                                  <w:shd w:val="clear" w:color="auto" w:fill="auto"/>
                                  <w:vAlign w:val="center"/>
                                </w:tcPr>
                                <w:p w14:paraId="4E191AD9"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年度</w:t>
                                  </w:r>
                                </w:p>
                              </w:tc>
                              <w:tc>
                                <w:tcPr>
                                  <w:tcW w:w="1417" w:type="dxa"/>
                                  <w:shd w:val="clear" w:color="auto" w:fill="auto"/>
                                  <w:vAlign w:val="center"/>
                                </w:tcPr>
                                <w:p w14:paraId="3427D731"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總採購案件數</w:t>
                                  </w:r>
                                </w:p>
                              </w:tc>
                              <w:tc>
                                <w:tcPr>
                                  <w:tcW w:w="1985" w:type="dxa"/>
                                  <w:shd w:val="clear" w:color="auto" w:fill="auto"/>
                                  <w:vAlign w:val="center"/>
                                </w:tcPr>
                                <w:p w14:paraId="77773CE7"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依自訂採購規章辦理之採購案件數</w:t>
                                  </w:r>
                                  <w:r>
                                    <w:rPr>
                                      <w:rFonts w:ascii="標楷體" w:eastAsia="標楷體" w:hAnsi="標楷體" w:hint="eastAsia"/>
                                      <w:color w:val="000000" w:themeColor="text1"/>
                                      <w:sz w:val="20"/>
                                    </w:rPr>
                                    <w:t>(</w:t>
                                  </w:r>
                                  <w:r w:rsidRPr="00F30716">
                                    <w:rPr>
                                      <w:rFonts w:ascii="標楷體" w:eastAsia="標楷體" w:hAnsi="標楷體" w:hint="eastAsia"/>
                                      <w:color w:val="000000" w:themeColor="text1"/>
                                      <w:sz w:val="20"/>
                                    </w:rPr>
                                    <w:t>A)</w:t>
                                  </w:r>
                                </w:p>
                              </w:tc>
                              <w:tc>
                                <w:tcPr>
                                  <w:tcW w:w="1843" w:type="dxa"/>
                                  <w:shd w:val="clear" w:color="auto" w:fill="auto"/>
                                  <w:vAlign w:val="center"/>
                                </w:tcPr>
                                <w:p w14:paraId="34685C69"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非公開方式辦理之採購案件數</w:t>
                                  </w:r>
                                  <w:r>
                                    <w:rPr>
                                      <w:rFonts w:ascii="標楷體" w:eastAsia="標楷體" w:hAnsi="標楷體" w:hint="eastAsia"/>
                                      <w:color w:val="000000" w:themeColor="text1"/>
                                      <w:sz w:val="20"/>
                                    </w:rPr>
                                    <w:t>(</w:t>
                                  </w:r>
                                  <w:r w:rsidRPr="00F30716">
                                    <w:rPr>
                                      <w:rFonts w:ascii="標楷體" w:eastAsia="標楷體" w:hAnsi="標楷體" w:hint="eastAsia"/>
                                      <w:color w:val="000000" w:themeColor="text1"/>
                                      <w:sz w:val="20"/>
                                    </w:rPr>
                                    <w:t>B)</w:t>
                                  </w:r>
                                </w:p>
                              </w:tc>
                              <w:tc>
                                <w:tcPr>
                                  <w:tcW w:w="1134" w:type="dxa"/>
                                  <w:shd w:val="clear" w:color="auto" w:fill="auto"/>
                                  <w:vAlign w:val="center"/>
                                </w:tcPr>
                                <w:p w14:paraId="22ADF09A" w14:textId="6727C187" w:rsidR="00715CC2" w:rsidRPr="00F30716" w:rsidRDefault="00715CC2" w:rsidP="00215DE3">
                                  <w:pPr>
                                    <w:adjustRightInd w:val="0"/>
                                    <w:snapToGrid w:val="0"/>
                                    <w:jc w:val="center"/>
                                    <w:rPr>
                                      <w:rFonts w:ascii="標楷體" w:eastAsia="標楷體" w:hAnsi="標楷體"/>
                                      <w:color w:val="000000" w:themeColor="text1"/>
                                      <w:sz w:val="20"/>
                                    </w:rPr>
                                  </w:pPr>
                                  <w:r w:rsidRPr="00215DE3">
                                    <w:rPr>
                                      <w:rFonts w:ascii="標楷體" w:eastAsia="標楷體" w:hAnsi="標楷體" w:hint="eastAsia"/>
                                      <w:color w:val="000000" w:themeColor="text1"/>
                                      <w:sz w:val="20"/>
                                    </w:rPr>
                                    <w:t>比率(B</w:t>
                                  </w:r>
                                  <w:r w:rsidRPr="00215DE3">
                                    <w:rPr>
                                      <w:rFonts w:ascii="標楷體" w:eastAsia="標楷體" w:hAnsi="標楷體"/>
                                      <w:sz w:val="20"/>
                                    </w:rPr>
                                    <w:t>/</w:t>
                                  </w:r>
                                  <w:r w:rsidRPr="00215DE3">
                                    <w:rPr>
                                      <w:rFonts w:ascii="標楷體" w:eastAsia="標楷體" w:hAnsi="標楷體" w:hint="eastAsia"/>
                                      <w:color w:val="000000" w:themeColor="text1"/>
                                      <w:sz w:val="20"/>
                                    </w:rPr>
                                    <w:t>A</w:t>
                                  </w:r>
                                  <w:r w:rsidRPr="00215DE3">
                                    <w:rPr>
                                      <w:rFonts w:ascii="標楷體" w:eastAsia="標楷體" w:hAnsi="標楷體"/>
                                      <w:sz w:val="20"/>
                                    </w:rPr>
                                    <w:t>×100</w:t>
                                  </w:r>
                                  <w:r w:rsidRPr="00F30716">
                                    <w:rPr>
                                      <w:rFonts w:ascii="標楷體" w:eastAsia="標楷體" w:hAnsi="標楷體" w:hint="eastAsia"/>
                                      <w:color w:val="000000" w:themeColor="text1"/>
                                      <w:sz w:val="20"/>
                                    </w:rPr>
                                    <w:t>)</w:t>
                                  </w:r>
                                </w:p>
                              </w:tc>
                            </w:tr>
                            <w:tr w:rsidR="00715CC2" w:rsidRPr="00F30716" w14:paraId="389E64FE" w14:textId="77777777" w:rsidTr="00612461">
                              <w:trPr>
                                <w:jc w:val="center"/>
                              </w:trPr>
                              <w:tc>
                                <w:tcPr>
                                  <w:tcW w:w="672" w:type="dxa"/>
                                  <w:shd w:val="clear" w:color="auto" w:fill="auto"/>
                                  <w:vAlign w:val="center"/>
                                </w:tcPr>
                                <w:p w14:paraId="7F1F3119" w14:textId="77777777" w:rsidR="00715CC2" w:rsidRPr="00F30716" w:rsidRDefault="00715CC2" w:rsidP="00612461">
                                  <w:pPr>
                                    <w:adjustRightInd w:val="0"/>
                                    <w:snapToGrid w:val="0"/>
                                    <w:jc w:val="center"/>
                                    <w:rPr>
                                      <w:rFonts w:ascii="標楷體" w:eastAsia="標楷體" w:hAnsi="標楷體"/>
                                      <w:b/>
                                      <w:color w:val="000000" w:themeColor="text1"/>
                                      <w:sz w:val="20"/>
                                    </w:rPr>
                                  </w:pPr>
                                  <w:r w:rsidRPr="00F30716">
                                    <w:rPr>
                                      <w:rFonts w:ascii="標楷體" w:eastAsia="標楷體" w:hAnsi="標楷體" w:hint="eastAsia"/>
                                      <w:b/>
                                      <w:color w:val="000000" w:themeColor="text1"/>
                                      <w:sz w:val="20"/>
                                    </w:rPr>
                                    <w:t>合計</w:t>
                                  </w:r>
                                </w:p>
                              </w:tc>
                              <w:tc>
                                <w:tcPr>
                                  <w:tcW w:w="1417" w:type="dxa"/>
                                  <w:shd w:val="clear" w:color="auto" w:fill="auto"/>
                                  <w:vAlign w:val="center"/>
                                </w:tcPr>
                                <w:p w14:paraId="6AAB767A"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26</w:t>
                                  </w:r>
                                  <w:r w:rsidRPr="00F30716">
                                    <w:rPr>
                                      <w:rFonts w:ascii="標楷體" w:eastAsia="標楷體" w:hAnsi="標楷體"/>
                                      <w:b/>
                                      <w:color w:val="000000" w:themeColor="text1"/>
                                      <w:sz w:val="20"/>
                                    </w:rPr>
                                    <w:t>,</w:t>
                                  </w:r>
                                  <w:r w:rsidRPr="00F30716">
                                    <w:rPr>
                                      <w:rFonts w:ascii="標楷體" w:eastAsia="標楷體" w:hAnsi="標楷體" w:hint="eastAsia"/>
                                      <w:b/>
                                      <w:color w:val="000000" w:themeColor="text1"/>
                                      <w:sz w:val="20"/>
                                    </w:rPr>
                                    <w:t>056</w:t>
                                  </w:r>
                                </w:p>
                              </w:tc>
                              <w:tc>
                                <w:tcPr>
                                  <w:tcW w:w="1985" w:type="dxa"/>
                                  <w:shd w:val="clear" w:color="auto" w:fill="auto"/>
                                  <w:vAlign w:val="center"/>
                                </w:tcPr>
                                <w:p w14:paraId="4EED23D3"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2</w:t>
                                  </w:r>
                                  <w:r w:rsidRPr="00F30716">
                                    <w:rPr>
                                      <w:rFonts w:ascii="標楷體" w:eastAsia="標楷體" w:hAnsi="標楷體"/>
                                      <w:b/>
                                      <w:color w:val="000000" w:themeColor="text1"/>
                                      <w:sz w:val="20"/>
                                    </w:rPr>
                                    <w:t>4,253</w:t>
                                  </w:r>
                                </w:p>
                              </w:tc>
                              <w:tc>
                                <w:tcPr>
                                  <w:tcW w:w="1843" w:type="dxa"/>
                                  <w:shd w:val="clear" w:color="auto" w:fill="auto"/>
                                  <w:vAlign w:val="center"/>
                                </w:tcPr>
                                <w:p w14:paraId="7A843901"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1</w:t>
                                  </w:r>
                                  <w:r w:rsidRPr="00F30716">
                                    <w:rPr>
                                      <w:rFonts w:ascii="標楷體" w:eastAsia="標楷體" w:hAnsi="標楷體"/>
                                      <w:b/>
                                      <w:color w:val="000000" w:themeColor="text1"/>
                                      <w:sz w:val="20"/>
                                    </w:rPr>
                                    <w:t>0,430</w:t>
                                  </w:r>
                                </w:p>
                              </w:tc>
                              <w:tc>
                                <w:tcPr>
                                  <w:tcW w:w="1134" w:type="dxa"/>
                                  <w:shd w:val="clear" w:color="auto" w:fill="auto"/>
                                  <w:vAlign w:val="center"/>
                                </w:tcPr>
                                <w:p w14:paraId="3D8BD605"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43.00</w:t>
                                  </w:r>
                                </w:p>
                              </w:tc>
                            </w:tr>
                            <w:tr w:rsidR="00715CC2" w:rsidRPr="00F30716" w14:paraId="5937B325" w14:textId="77777777" w:rsidTr="00612461">
                              <w:trPr>
                                <w:jc w:val="center"/>
                              </w:trPr>
                              <w:tc>
                                <w:tcPr>
                                  <w:tcW w:w="672" w:type="dxa"/>
                                  <w:shd w:val="clear" w:color="auto" w:fill="auto"/>
                                  <w:vAlign w:val="center"/>
                                </w:tcPr>
                                <w:p w14:paraId="2F9542AF"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111</w:t>
                                  </w:r>
                                </w:p>
                              </w:tc>
                              <w:tc>
                                <w:tcPr>
                                  <w:tcW w:w="1417" w:type="dxa"/>
                                  <w:shd w:val="clear" w:color="auto" w:fill="auto"/>
                                  <w:vAlign w:val="center"/>
                                </w:tcPr>
                                <w:p w14:paraId="0C2C0852"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hint="eastAsia"/>
                                      <w:color w:val="000000" w:themeColor="text1"/>
                                      <w:sz w:val="20"/>
                                    </w:rPr>
                                    <w:t>7</w:t>
                                  </w:r>
                                  <w:r w:rsidRPr="00F30716">
                                    <w:rPr>
                                      <w:rFonts w:ascii="標楷體" w:eastAsia="標楷體" w:hAnsi="標楷體"/>
                                      <w:color w:val="000000" w:themeColor="text1"/>
                                      <w:sz w:val="20"/>
                                    </w:rPr>
                                    <w:t>,175</w:t>
                                  </w:r>
                                </w:p>
                              </w:tc>
                              <w:tc>
                                <w:tcPr>
                                  <w:tcW w:w="1985" w:type="dxa"/>
                                  <w:shd w:val="clear" w:color="auto" w:fill="auto"/>
                                  <w:vAlign w:val="center"/>
                                </w:tcPr>
                                <w:p w14:paraId="1047F5FA"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6,799</w:t>
                                  </w:r>
                                </w:p>
                              </w:tc>
                              <w:tc>
                                <w:tcPr>
                                  <w:tcW w:w="1843" w:type="dxa"/>
                                  <w:shd w:val="clear" w:color="auto" w:fill="auto"/>
                                  <w:vAlign w:val="center"/>
                                </w:tcPr>
                                <w:p w14:paraId="33B43689"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2,420</w:t>
                                  </w:r>
                                </w:p>
                              </w:tc>
                              <w:tc>
                                <w:tcPr>
                                  <w:tcW w:w="1134" w:type="dxa"/>
                                  <w:shd w:val="clear" w:color="auto" w:fill="auto"/>
                                  <w:vAlign w:val="center"/>
                                </w:tcPr>
                                <w:p w14:paraId="239D00E2"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35.59</w:t>
                                  </w:r>
                                </w:p>
                              </w:tc>
                            </w:tr>
                            <w:tr w:rsidR="00715CC2" w:rsidRPr="00F30716" w14:paraId="7EBCC4E4" w14:textId="77777777" w:rsidTr="00612461">
                              <w:trPr>
                                <w:jc w:val="center"/>
                              </w:trPr>
                              <w:tc>
                                <w:tcPr>
                                  <w:tcW w:w="672" w:type="dxa"/>
                                  <w:shd w:val="clear" w:color="auto" w:fill="auto"/>
                                </w:tcPr>
                                <w:p w14:paraId="48E07280"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112</w:t>
                                  </w:r>
                                </w:p>
                              </w:tc>
                              <w:tc>
                                <w:tcPr>
                                  <w:tcW w:w="1417" w:type="dxa"/>
                                  <w:shd w:val="clear" w:color="auto" w:fill="auto"/>
                                </w:tcPr>
                                <w:p w14:paraId="65956D18"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hint="eastAsia"/>
                                      <w:color w:val="000000" w:themeColor="text1"/>
                                      <w:sz w:val="20"/>
                                    </w:rPr>
                                    <w:t>8</w:t>
                                  </w:r>
                                  <w:r w:rsidRPr="00F30716">
                                    <w:rPr>
                                      <w:rFonts w:ascii="標楷體" w:eastAsia="標楷體" w:hAnsi="標楷體"/>
                                      <w:color w:val="000000" w:themeColor="text1"/>
                                      <w:sz w:val="20"/>
                                    </w:rPr>
                                    <w:t>,785</w:t>
                                  </w:r>
                                </w:p>
                              </w:tc>
                              <w:tc>
                                <w:tcPr>
                                  <w:tcW w:w="1985" w:type="dxa"/>
                                  <w:shd w:val="clear" w:color="auto" w:fill="auto"/>
                                </w:tcPr>
                                <w:p w14:paraId="30870E55"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8,180</w:t>
                                  </w:r>
                                </w:p>
                              </w:tc>
                              <w:tc>
                                <w:tcPr>
                                  <w:tcW w:w="1843" w:type="dxa"/>
                                  <w:shd w:val="clear" w:color="auto" w:fill="auto"/>
                                </w:tcPr>
                                <w:p w14:paraId="483D99D6"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3,381</w:t>
                                  </w:r>
                                </w:p>
                              </w:tc>
                              <w:tc>
                                <w:tcPr>
                                  <w:tcW w:w="1134" w:type="dxa"/>
                                  <w:shd w:val="clear" w:color="auto" w:fill="auto"/>
                                </w:tcPr>
                                <w:p w14:paraId="7E43811A"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41.33</w:t>
                                  </w:r>
                                </w:p>
                              </w:tc>
                            </w:tr>
                            <w:tr w:rsidR="00715CC2" w:rsidRPr="00F30716" w14:paraId="0E1C8985" w14:textId="77777777" w:rsidTr="00612461">
                              <w:trPr>
                                <w:jc w:val="center"/>
                              </w:trPr>
                              <w:tc>
                                <w:tcPr>
                                  <w:tcW w:w="672" w:type="dxa"/>
                                  <w:shd w:val="clear" w:color="auto" w:fill="auto"/>
                                </w:tcPr>
                                <w:p w14:paraId="2ADA682C"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113</w:t>
                                  </w:r>
                                </w:p>
                              </w:tc>
                              <w:tc>
                                <w:tcPr>
                                  <w:tcW w:w="1417" w:type="dxa"/>
                                  <w:shd w:val="clear" w:color="auto" w:fill="auto"/>
                                </w:tcPr>
                                <w:p w14:paraId="17DB37E1"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hint="eastAsia"/>
                                      <w:color w:val="000000" w:themeColor="text1"/>
                                      <w:sz w:val="20"/>
                                    </w:rPr>
                                    <w:t>1</w:t>
                                  </w:r>
                                  <w:r w:rsidRPr="00F30716">
                                    <w:rPr>
                                      <w:rFonts w:ascii="標楷體" w:eastAsia="標楷體" w:hAnsi="標楷體"/>
                                      <w:color w:val="000000" w:themeColor="text1"/>
                                      <w:sz w:val="20"/>
                                    </w:rPr>
                                    <w:t>0,096</w:t>
                                  </w:r>
                                </w:p>
                              </w:tc>
                              <w:tc>
                                <w:tcPr>
                                  <w:tcW w:w="1985" w:type="dxa"/>
                                  <w:shd w:val="clear" w:color="auto" w:fill="auto"/>
                                </w:tcPr>
                                <w:p w14:paraId="4FFB68B0"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9,274</w:t>
                                  </w:r>
                                </w:p>
                              </w:tc>
                              <w:tc>
                                <w:tcPr>
                                  <w:tcW w:w="1843" w:type="dxa"/>
                                  <w:shd w:val="clear" w:color="auto" w:fill="auto"/>
                                </w:tcPr>
                                <w:p w14:paraId="7AEBF962"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4,629</w:t>
                                  </w:r>
                                </w:p>
                              </w:tc>
                              <w:tc>
                                <w:tcPr>
                                  <w:tcW w:w="1134" w:type="dxa"/>
                                  <w:shd w:val="clear" w:color="auto" w:fill="auto"/>
                                </w:tcPr>
                                <w:p w14:paraId="49CB0F73"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49.91</w:t>
                                  </w:r>
                                </w:p>
                              </w:tc>
                            </w:tr>
                          </w:tbl>
                          <w:p w14:paraId="77D46584" w14:textId="77777777" w:rsidR="00715CC2" w:rsidRPr="00F30716" w:rsidRDefault="00715CC2" w:rsidP="00715CC2">
                            <w:pPr>
                              <w:adjustRightInd w:val="0"/>
                              <w:snapToGrid w:val="0"/>
                              <w:spacing w:line="280" w:lineRule="exact"/>
                              <w:jc w:val="both"/>
                              <w:rPr>
                                <w:rFonts w:ascii="標楷體" w:eastAsia="標楷體" w:hAnsi="標楷體"/>
                                <w:color w:val="000000" w:themeColor="text1"/>
                              </w:rPr>
                            </w:pPr>
                            <w:r w:rsidRPr="00F30716">
                              <w:rPr>
                                <w:rFonts w:ascii="標楷體" w:eastAsia="標楷體" w:hAnsi="標楷體" w:hint="eastAsia"/>
                                <w:color w:val="000000" w:themeColor="text1"/>
                                <w:sz w:val="18"/>
                                <w:szCs w:val="18"/>
                              </w:rPr>
                              <w:t xml:space="preserve"> 資料來源：整理自各行政法人提供資料。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451933" id="文字方塊 33" o:spid="_x0000_s1168" type="#_x0000_t202" style="position:absolute;left:0;text-align:left;margin-left:111.9pt;margin-top:426.45pt;width:378pt;height:128.55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" o:allowoverlap="f" filled="f" stroked="f">
                <v:textbox>
                  <w:txbxContent>
                    <w:p w14:paraId="70846F86" w14:textId="77777777" w:rsidR="00715CC2" w:rsidRPr="00FE4D4B" w:rsidRDefault="00715CC2" w:rsidP="00715CC2">
                      <w:pPr>
                        <w:spacing w:line="240" w:lineRule="exact"/>
                        <w:ind w:left="709" w:hangingChars="300" w:hanging="709"/>
                        <w:jc w:val="center"/>
                        <w:rPr>
                          <w:rFonts w:ascii="標楷體" w:eastAsia="標楷體" w:hAnsi="標楷體"/>
                          <w:b/>
                          <w:bCs/>
                          <w:snapToGrid w:val="0"/>
                          <w:spacing w:val="-2"/>
                        </w:rPr>
                      </w:pPr>
                      <w:r w:rsidRPr="00FE4D4B">
                        <w:rPr>
                          <w:rFonts w:ascii="標楷體" w:eastAsia="標楷體" w:hAnsi="標楷體" w:hint="eastAsia"/>
                          <w:b/>
                          <w:bCs/>
                          <w:snapToGrid w:val="0"/>
                          <w:spacing w:val="-2"/>
                        </w:rPr>
                        <w:t>表</w:t>
                      </w:r>
                      <w:r>
                        <w:rPr>
                          <w:rFonts w:ascii="標楷體" w:eastAsia="標楷體" w:hAnsi="標楷體" w:hint="eastAsia"/>
                          <w:b/>
                          <w:bCs/>
                          <w:snapToGrid w:val="0"/>
                          <w:spacing w:val="-2"/>
                        </w:rPr>
                        <w:t>5</w:t>
                      </w:r>
                      <w:r>
                        <w:rPr>
                          <w:rFonts w:ascii="標楷體" w:eastAsia="標楷體" w:hAnsi="標楷體"/>
                          <w:b/>
                          <w:bCs/>
                          <w:snapToGrid w:val="0"/>
                          <w:spacing w:val="-2"/>
                        </w:rPr>
                        <w:t>8</w:t>
                      </w:r>
                      <w:r w:rsidRPr="00FE4D4B">
                        <w:rPr>
                          <w:rFonts w:ascii="標楷體" w:eastAsia="標楷體" w:hAnsi="標楷體" w:hint="eastAsia"/>
                          <w:b/>
                          <w:bCs/>
                          <w:snapToGrid w:val="0"/>
                          <w:spacing w:val="-2"/>
                        </w:rPr>
                        <w:t xml:space="preserve">　各行政法人辦理之採購案件執行概況</w:t>
                      </w:r>
                    </w:p>
                    <w:p w14:paraId="23B767E2" w14:textId="77777777" w:rsidR="00715CC2" w:rsidRPr="00F30716" w:rsidRDefault="00715CC2" w:rsidP="00715CC2">
                      <w:pPr>
                        <w:snapToGrid w:val="0"/>
                        <w:rPr>
                          <w:rFonts w:ascii="標楷體" w:eastAsia="標楷體" w:hAnsi="標楷體"/>
                          <w:color w:val="000000" w:themeColor="text1"/>
                          <w:sz w:val="20"/>
                        </w:rPr>
                      </w:pPr>
                      <w:r w:rsidRPr="00F30716">
                        <w:rPr>
                          <w:rFonts w:ascii="標楷體" w:eastAsia="標楷體" w:hAnsi="標楷體" w:hint="eastAsia"/>
                          <w:color w:val="000000" w:themeColor="text1"/>
                          <w:sz w:val="20"/>
                        </w:rPr>
                        <w:t xml:space="preserve">　　　　　　　　　　　　　　　　　　　　　　　　　　　　　單位：件數、％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1417"/>
                        <w:gridCol w:w="1985"/>
                        <w:gridCol w:w="1843"/>
                        <w:gridCol w:w="1134"/>
                      </w:tblGrid>
                      <w:tr w:rsidR="00715CC2" w:rsidRPr="00F30716" w14:paraId="05F4103A" w14:textId="77777777" w:rsidTr="00612461">
                        <w:trPr>
                          <w:jc w:val="center"/>
                        </w:trPr>
                        <w:tc>
                          <w:tcPr>
                            <w:tcW w:w="672" w:type="dxa"/>
                            <w:shd w:val="clear" w:color="auto" w:fill="auto"/>
                            <w:vAlign w:val="center"/>
                          </w:tcPr>
                          <w:p w14:paraId="4E191AD9"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年度</w:t>
                            </w:r>
                          </w:p>
                        </w:tc>
                        <w:tc>
                          <w:tcPr>
                            <w:tcW w:w="1417" w:type="dxa"/>
                            <w:shd w:val="clear" w:color="auto" w:fill="auto"/>
                            <w:vAlign w:val="center"/>
                          </w:tcPr>
                          <w:p w14:paraId="3427D731"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總採購案件數</w:t>
                            </w:r>
                          </w:p>
                        </w:tc>
                        <w:tc>
                          <w:tcPr>
                            <w:tcW w:w="1985" w:type="dxa"/>
                            <w:shd w:val="clear" w:color="auto" w:fill="auto"/>
                            <w:vAlign w:val="center"/>
                          </w:tcPr>
                          <w:p w14:paraId="77773CE7"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依自訂採購規章辦理之採購案件數</w:t>
                            </w:r>
                            <w:r>
                              <w:rPr>
                                <w:rFonts w:ascii="標楷體" w:eastAsia="標楷體" w:hAnsi="標楷體" w:hint="eastAsia"/>
                                <w:color w:val="000000" w:themeColor="text1"/>
                                <w:sz w:val="20"/>
                              </w:rPr>
                              <w:t>(</w:t>
                            </w:r>
                            <w:r w:rsidRPr="00F30716">
                              <w:rPr>
                                <w:rFonts w:ascii="標楷體" w:eastAsia="標楷體" w:hAnsi="標楷體" w:hint="eastAsia"/>
                                <w:color w:val="000000" w:themeColor="text1"/>
                                <w:sz w:val="20"/>
                              </w:rPr>
                              <w:t>A)</w:t>
                            </w:r>
                          </w:p>
                        </w:tc>
                        <w:tc>
                          <w:tcPr>
                            <w:tcW w:w="1843" w:type="dxa"/>
                            <w:shd w:val="clear" w:color="auto" w:fill="auto"/>
                            <w:vAlign w:val="center"/>
                          </w:tcPr>
                          <w:p w14:paraId="34685C69"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非公開方式辦理之採購案件數</w:t>
                            </w:r>
                            <w:r>
                              <w:rPr>
                                <w:rFonts w:ascii="標楷體" w:eastAsia="標楷體" w:hAnsi="標楷體" w:hint="eastAsia"/>
                                <w:color w:val="000000" w:themeColor="text1"/>
                                <w:sz w:val="20"/>
                              </w:rPr>
                              <w:t>(</w:t>
                            </w:r>
                            <w:r w:rsidRPr="00F30716">
                              <w:rPr>
                                <w:rFonts w:ascii="標楷體" w:eastAsia="標楷體" w:hAnsi="標楷體" w:hint="eastAsia"/>
                                <w:color w:val="000000" w:themeColor="text1"/>
                                <w:sz w:val="20"/>
                              </w:rPr>
                              <w:t>B)</w:t>
                            </w:r>
                          </w:p>
                        </w:tc>
                        <w:tc>
                          <w:tcPr>
                            <w:tcW w:w="1134" w:type="dxa"/>
                            <w:shd w:val="clear" w:color="auto" w:fill="auto"/>
                            <w:vAlign w:val="center"/>
                          </w:tcPr>
                          <w:p w14:paraId="22ADF09A" w14:textId="6727C187" w:rsidR="00715CC2" w:rsidRPr="00F30716" w:rsidRDefault="00715CC2" w:rsidP="00215DE3">
                            <w:pPr>
                              <w:adjustRightInd w:val="0"/>
                              <w:snapToGrid w:val="0"/>
                              <w:jc w:val="center"/>
                              <w:rPr>
                                <w:rFonts w:ascii="標楷體" w:eastAsia="標楷體" w:hAnsi="標楷體"/>
                                <w:color w:val="000000" w:themeColor="text1"/>
                                <w:sz w:val="20"/>
                              </w:rPr>
                            </w:pPr>
                            <w:r w:rsidRPr="00215DE3">
                              <w:rPr>
                                <w:rFonts w:ascii="標楷體" w:eastAsia="標楷體" w:hAnsi="標楷體" w:hint="eastAsia"/>
                                <w:color w:val="000000" w:themeColor="text1"/>
                                <w:sz w:val="20"/>
                              </w:rPr>
                              <w:t>比率(B</w:t>
                            </w:r>
                            <w:r w:rsidRPr="00215DE3">
                              <w:rPr>
                                <w:rFonts w:ascii="標楷體" w:eastAsia="標楷體" w:hAnsi="標楷體"/>
                                <w:sz w:val="20"/>
                              </w:rPr>
                              <w:t>/</w:t>
                            </w:r>
                            <w:r w:rsidRPr="00215DE3">
                              <w:rPr>
                                <w:rFonts w:ascii="標楷體" w:eastAsia="標楷體" w:hAnsi="標楷體" w:hint="eastAsia"/>
                                <w:color w:val="000000" w:themeColor="text1"/>
                                <w:sz w:val="20"/>
                              </w:rPr>
                              <w:t>A</w:t>
                            </w:r>
                            <w:r w:rsidRPr="00215DE3">
                              <w:rPr>
                                <w:rFonts w:ascii="標楷體" w:eastAsia="標楷體" w:hAnsi="標楷體"/>
                                <w:sz w:val="20"/>
                              </w:rPr>
                              <w:t>×100</w:t>
                            </w:r>
                            <w:r w:rsidRPr="00F30716">
                              <w:rPr>
                                <w:rFonts w:ascii="標楷體" w:eastAsia="標楷體" w:hAnsi="標楷體" w:hint="eastAsia"/>
                                <w:color w:val="000000" w:themeColor="text1"/>
                                <w:sz w:val="20"/>
                              </w:rPr>
                              <w:t>)</w:t>
                            </w:r>
                          </w:p>
                        </w:tc>
                      </w:tr>
                      <w:tr w:rsidR="00715CC2" w:rsidRPr="00F30716" w14:paraId="389E64FE" w14:textId="77777777" w:rsidTr="00612461">
                        <w:trPr>
                          <w:jc w:val="center"/>
                        </w:trPr>
                        <w:tc>
                          <w:tcPr>
                            <w:tcW w:w="672" w:type="dxa"/>
                            <w:shd w:val="clear" w:color="auto" w:fill="auto"/>
                            <w:vAlign w:val="center"/>
                          </w:tcPr>
                          <w:p w14:paraId="7F1F3119" w14:textId="77777777" w:rsidR="00715CC2" w:rsidRPr="00F30716" w:rsidRDefault="00715CC2" w:rsidP="00612461">
                            <w:pPr>
                              <w:adjustRightInd w:val="0"/>
                              <w:snapToGrid w:val="0"/>
                              <w:jc w:val="center"/>
                              <w:rPr>
                                <w:rFonts w:ascii="標楷體" w:eastAsia="標楷體" w:hAnsi="標楷體"/>
                                <w:b/>
                                <w:color w:val="000000" w:themeColor="text1"/>
                                <w:sz w:val="20"/>
                              </w:rPr>
                            </w:pPr>
                            <w:r w:rsidRPr="00F30716">
                              <w:rPr>
                                <w:rFonts w:ascii="標楷體" w:eastAsia="標楷體" w:hAnsi="標楷體" w:hint="eastAsia"/>
                                <w:b/>
                                <w:color w:val="000000" w:themeColor="text1"/>
                                <w:sz w:val="20"/>
                              </w:rPr>
                              <w:t>合計</w:t>
                            </w:r>
                          </w:p>
                        </w:tc>
                        <w:tc>
                          <w:tcPr>
                            <w:tcW w:w="1417" w:type="dxa"/>
                            <w:shd w:val="clear" w:color="auto" w:fill="auto"/>
                            <w:vAlign w:val="center"/>
                          </w:tcPr>
                          <w:p w14:paraId="6AAB767A"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26</w:t>
                            </w:r>
                            <w:r w:rsidRPr="00F30716">
                              <w:rPr>
                                <w:rFonts w:ascii="標楷體" w:eastAsia="標楷體" w:hAnsi="標楷體"/>
                                <w:b/>
                                <w:color w:val="000000" w:themeColor="text1"/>
                                <w:sz w:val="20"/>
                              </w:rPr>
                              <w:t>,</w:t>
                            </w:r>
                            <w:r w:rsidRPr="00F30716">
                              <w:rPr>
                                <w:rFonts w:ascii="標楷體" w:eastAsia="標楷體" w:hAnsi="標楷體" w:hint="eastAsia"/>
                                <w:b/>
                                <w:color w:val="000000" w:themeColor="text1"/>
                                <w:sz w:val="20"/>
                              </w:rPr>
                              <w:t>056</w:t>
                            </w:r>
                          </w:p>
                        </w:tc>
                        <w:tc>
                          <w:tcPr>
                            <w:tcW w:w="1985" w:type="dxa"/>
                            <w:shd w:val="clear" w:color="auto" w:fill="auto"/>
                            <w:vAlign w:val="center"/>
                          </w:tcPr>
                          <w:p w14:paraId="4EED23D3"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2</w:t>
                            </w:r>
                            <w:r w:rsidRPr="00F30716">
                              <w:rPr>
                                <w:rFonts w:ascii="標楷體" w:eastAsia="標楷體" w:hAnsi="標楷體"/>
                                <w:b/>
                                <w:color w:val="000000" w:themeColor="text1"/>
                                <w:sz w:val="20"/>
                              </w:rPr>
                              <w:t>4,253</w:t>
                            </w:r>
                          </w:p>
                        </w:tc>
                        <w:tc>
                          <w:tcPr>
                            <w:tcW w:w="1843" w:type="dxa"/>
                            <w:shd w:val="clear" w:color="auto" w:fill="auto"/>
                            <w:vAlign w:val="center"/>
                          </w:tcPr>
                          <w:p w14:paraId="7A843901"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1</w:t>
                            </w:r>
                            <w:r w:rsidRPr="00F30716">
                              <w:rPr>
                                <w:rFonts w:ascii="標楷體" w:eastAsia="標楷體" w:hAnsi="標楷體"/>
                                <w:b/>
                                <w:color w:val="000000" w:themeColor="text1"/>
                                <w:sz w:val="20"/>
                              </w:rPr>
                              <w:t>0,430</w:t>
                            </w:r>
                          </w:p>
                        </w:tc>
                        <w:tc>
                          <w:tcPr>
                            <w:tcW w:w="1134" w:type="dxa"/>
                            <w:shd w:val="clear" w:color="auto" w:fill="auto"/>
                            <w:vAlign w:val="center"/>
                          </w:tcPr>
                          <w:p w14:paraId="3D8BD605" w14:textId="77777777" w:rsidR="00715CC2" w:rsidRPr="00F30716" w:rsidRDefault="00715CC2" w:rsidP="00612461">
                            <w:pPr>
                              <w:adjustRightInd w:val="0"/>
                              <w:snapToGrid w:val="0"/>
                              <w:jc w:val="right"/>
                              <w:rPr>
                                <w:rFonts w:ascii="標楷體" w:eastAsia="標楷體" w:hAnsi="標楷體"/>
                                <w:b/>
                                <w:color w:val="000000" w:themeColor="text1"/>
                                <w:sz w:val="20"/>
                              </w:rPr>
                            </w:pPr>
                            <w:r w:rsidRPr="00F30716">
                              <w:rPr>
                                <w:rFonts w:ascii="標楷體" w:eastAsia="標楷體" w:hAnsi="標楷體" w:hint="eastAsia"/>
                                <w:b/>
                                <w:color w:val="000000" w:themeColor="text1"/>
                                <w:sz w:val="20"/>
                              </w:rPr>
                              <w:t>43.00</w:t>
                            </w:r>
                          </w:p>
                        </w:tc>
                      </w:tr>
                      <w:tr w:rsidR="00715CC2" w:rsidRPr="00F30716" w14:paraId="5937B325" w14:textId="77777777" w:rsidTr="00612461">
                        <w:trPr>
                          <w:jc w:val="center"/>
                        </w:trPr>
                        <w:tc>
                          <w:tcPr>
                            <w:tcW w:w="672" w:type="dxa"/>
                            <w:shd w:val="clear" w:color="auto" w:fill="auto"/>
                            <w:vAlign w:val="center"/>
                          </w:tcPr>
                          <w:p w14:paraId="2F9542AF"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111</w:t>
                            </w:r>
                          </w:p>
                        </w:tc>
                        <w:tc>
                          <w:tcPr>
                            <w:tcW w:w="1417" w:type="dxa"/>
                            <w:shd w:val="clear" w:color="auto" w:fill="auto"/>
                            <w:vAlign w:val="center"/>
                          </w:tcPr>
                          <w:p w14:paraId="0C2C0852"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hint="eastAsia"/>
                                <w:color w:val="000000" w:themeColor="text1"/>
                                <w:sz w:val="20"/>
                              </w:rPr>
                              <w:t>7</w:t>
                            </w:r>
                            <w:r w:rsidRPr="00F30716">
                              <w:rPr>
                                <w:rFonts w:ascii="標楷體" w:eastAsia="標楷體" w:hAnsi="標楷體"/>
                                <w:color w:val="000000" w:themeColor="text1"/>
                                <w:sz w:val="20"/>
                              </w:rPr>
                              <w:t>,175</w:t>
                            </w:r>
                          </w:p>
                        </w:tc>
                        <w:tc>
                          <w:tcPr>
                            <w:tcW w:w="1985" w:type="dxa"/>
                            <w:shd w:val="clear" w:color="auto" w:fill="auto"/>
                            <w:vAlign w:val="center"/>
                          </w:tcPr>
                          <w:p w14:paraId="1047F5FA"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6,799</w:t>
                            </w:r>
                          </w:p>
                        </w:tc>
                        <w:tc>
                          <w:tcPr>
                            <w:tcW w:w="1843" w:type="dxa"/>
                            <w:shd w:val="clear" w:color="auto" w:fill="auto"/>
                            <w:vAlign w:val="center"/>
                          </w:tcPr>
                          <w:p w14:paraId="33B43689"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2,420</w:t>
                            </w:r>
                          </w:p>
                        </w:tc>
                        <w:tc>
                          <w:tcPr>
                            <w:tcW w:w="1134" w:type="dxa"/>
                            <w:shd w:val="clear" w:color="auto" w:fill="auto"/>
                            <w:vAlign w:val="center"/>
                          </w:tcPr>
                          <w:p w14:paraId="239D00E2"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35.59</w:t>
                            </w:r>
                          </w:p>
                        </w:tc>
                      </w:tr>
                      <w:tr w:rsidR="00715CC2" w:rsidRPr="00F30716" w14:paraId="7EBCC4E4" w14:textId="77777777" w:rsidTr="00612461">
                        <w:trPr>
                          <w:jc w:val="center"/>
                        </w:trPr>
                        <w:tc>
                          <w:tcPr>
                            <w:tcW w:w="672" w:type="dxa"/>
                            <w:shd w:val="clear" w:color="auto" w:fill="auto"/>
                          </w:tcPr>
                          <w:p w14:paraId="48E07280"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112</w:t>
                            </w:r>
                          </w:p>
                        </w:tc>
                        <w:tc>
                          <w:tcPr>
                            <w:tcW w:w="1417" w:type="dxa"/>
                            <w:shd w:val="clear" w:color="auto" w:fill="auto"/>
                          </w:tcPr>
                          <w:p w14:paraId="65956D18"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hint="eastAsia"/>
                                <w:color w:val="000000" w:themeColor="text1"/>
                                <w:sz w:val="20"/>
                              </w:rPr>
                              <w:t>8</w:t>
                            </w:r>
                            <w:r w:rsidRPr="00F30716">
                              <w:rPr>
                                <w:rFonts w:ascii="標楷體" w:eastAsia="標楷體" w:hAnsi="標楷體"/>
                                <w:color w:val="000000" w:themeColor="text1"/>
                                <w:sz w:val="20"/>
                              </w:rPr>
                              <w:t>,785</w:t>
                            </w:r>
                          </w:p>
                        </w:tc>
                        <w:tc>
                          <w:tcPr>
                            <w:tcW w:w="1985" w:type="dxa"/>
                            <w:shd w:val="clear" w:color="auto" w:fill="auto"/>
                          </w:tcPr>
                          <w:p w14:paraId="30870E55"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8,180</w:t>
                            </w:r>
                          </w:p>
                        </w:tc>
                        <w:tc>
                          <w:tcPr>
                            <w:tcW w:w="1843" w:type="dxa"/>
                            <w:shd w:val="clear" w:color="auto" w:fill="auto"/>
                          </w:tcPr>
                          <w:p w14:paraId="483D99D6"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3,381</w:t>
                            </w:r>
                          </w:p>
                        </w:tc>
                        <w:tc>
                          <w:tcPr>
                            <w:tcW w:w="1134" w:type="dxa"/>
                            <w:shd w:val="clear" w:color="auto" w:fill="auto"/>
                          </w:tcPr>
                          <w:p w14:paraId="7E43811A"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41.33</w:t>
                            </w:r>
                          </w:p>
                        </w:tc>
                      </w:tr>
                      <w:tr w:rsidR="00715CC2" w:rsidRPr="00F30716" w14:paraId="0E1C8985" w14:textId="77777777" w:rsidTr="00612461">
                        <w:trPr>
                          <w:jc w:val="center"/>
                        </w:trPr>
                        <w:tc>
                          <w:tcPr>
                            <w:tcW w:w="672" w:type="dxa"/>
                            <w:shd w:val="clear" w:color="auto" w:fill="auto"/>
                          </w:tcPr>
                          <w:p w14:paraId="2ADA682C" w14:textId="77777777" w:rsidR="00715CC2" w:rsidRPr="00F30716" w:rsidRDefault="00715CC2" w:rsidP="00612461">
                            <w:pPr>
                              <w:adjustRightInd w:val="0"/>
                              <w:snapToGrid w:val="0"/>
                              <w:jc w:val="center"/>
                              <w:rPr>
                                <w:rFonts w:ascii="標楷體" w:eastAsia="標楷體" w:hAnsi="標楷體"/>
                                <w:color w:val="000000" w:themeColor="text1"/>
                                <w:sz w:val="20"/>
                              </w:rPr>
                            </w:pPr>
                            <w:r w:rsidRPr="00F30716">
                              <w:rPr>
                                <w:rFonts w:ascii="標楷體" w:eastAsia="標楷體" w:hAnsi="標楷體" w:hint="eastAsia"/>
                                <w:color w:val="000000" w:themeColor="text1"/>
                                <w:sz w:val="20"/>
                              </w:rPr>
                              <w:t>113</w:t>
                            </w:r>
                          </w:p>
                        </w:tc>
                        <w:tc>
                          <w:tcPr>
                            <w:tcW w:w="1417" w:type="dxa"/>
                            <w:shd w:val="clear" w:color="auto" w:fill="auto"/>
                          </w:tcPr>
                          <w:p w14:paraId="17DB37E1"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hint="eastAsia"/>
                                <w:color w:val="000000" w:themeColor="text1"/>
                                <w:sz w:val="20"/>
                              </w:rPr>
                              <w:t>1</w:t>
                            </w:r>
                            <w:r w:rsidRPr="00F30716">
                              <w:rPr>
                                <w:rFonts w:ascii="標楷體" w:eastAsia="標楷體" w:hAnsi="標楷體"/>
                                <w:color w:val="000000" w:themeColor="text1"/>
                                <w:sz w:val="20"/>
                              </w:rPr>
                              <w:t>0,096</w:t>
                            </w:r>
                          </w:p>
                        </w:tc>
                        <w:tc>
                          <w:tcPr>
                            <w:tcW w:w="1985" w:type="dxa"/>
                            <w:shd w:val="clear" w:color="auto" w:fill="auto"/>
                          </w:tcPr>
                          <w:p w14:paraId="4FFB68B0"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9,274</w:t>
                            </w:r>
                          </w:p>
                        </w:tc>
                        <w:tc>
                          <w:tcPr>
                            <w:tcW w:w="1843" w:type="dxa"/>
                            <w:shd w:val="clear" w:color="auto" w:fill="auto"/>
                          </w:tcPr>
                          <w:p w14:paraId="7AEBF962"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4,629</w:t>
                            </w:r>
                          </w:p>
                        </w:tc>
                        <w:tc>
                          <w:tcPr>
                            <w:tcW w:w="1134" w:type="dxa"/>
                            <w:shd w:val="clear" w:color="auto" w:fill="auto"/>
                          </w:tcPr>
                          <w:p w14:paraId="49CB0F73" w14:textId="77777777" w:rsidR="00715CC2" w:rsidRPr="00F30716" w:rsidRDefault="00715CC2" w:rsidP="00612461">
                            <w:pPr>
                              <w:adjustRightInd w:val="0"/>
                              <w:snapToGrid w:val="0"/>
                              <w:jc w:val="right"/>
                              <w:rPr>
                                <w:rFonts w:ascii="標楷體" w:eastAsia="標楷體" w:hAnsi="標楷體"/>
                                <w:color w:val="000000" w:themeColor="text1"/>
                                <w:sz w:val="20"/>
                              </w:rPr>
                            </w:pPr>
                            <w:r w:rsidRPr="00F30716">
                              <w:rPr>
                                <w:rFonts w:ascii="標楷體" w:eastAsia="標楷體" w:hAnsi="標楷體"/>
                                <w:color w:val="000000" w:themeColor="text1"/>
                                <w:sz w:val="20"/>
                              </w:rPr>
                              <w:t>49.91</w:t>
                            </w:r>
                          </w:p>
                        </w:tc>
                      </w:tr>
                    </w:tbl>
                    <w:p w14:paraId="77D46584" w14:textId="77777777" w:rsidR="00715CC2" w:rsidRPr="00F30716" w:rsidRDefault="00715CC2" w:rsidP="00715CC2">
                      <w:pPr>
                        <w:adjustRightInd w:val="0"/>
                        <w:snapToGrid w:val="0"/>
                        <w:spacing w:line="280" w:lineRule="exact"/>
                        <w:jc w:val="both"/>
                        <w:rPr>
                          <w:rFonts w:ascii="標楷體" w:eastAsia="標楷體" w:hAnsi="標楷體"/>
                          <w:color w:val="000000" w:themeColor="text1"/>
                        </w:rPr>
                      </w:pPr>
                      <w:r w:rsidRPr="00F30716">
                        <w:rPr>
                          <w:rFonts w:ascii="標楷體" w:eastAsia="標楷體" w:hAnsi="標楷體" w:hint="eastAsia"/>
                          <w:color w:val="000000" w:themeColor="text1"/>
                          <w:sz w:val="18"/>
                          <w:szCs w:val="18"/>
                        </w:rPr>
                        <w:t xml:space="preserve"> 資料來源：整理自各行政法人提供資料。</w:t>
                      </w:r>
                    </w:p>
                  </w:txbxContent>
                </v:textbox>
                <w10:wrap type="square"/>
              </v:shape>
            </w:pict>
          </mc:Fallback>
        </mc:AlternateContent>
      </w:r>
      <w:r w:rsidR="00450A76" w:rsidRPr="00450A76">
        <w:rPr>
          <w:rFonts w:ascii="標楷體" w:eastAsia="標楷體" w:hAnsi="標楷體" w:hint="eastAsia"/>
          <w:snapToGrid w:val="0"/>
          <w:color w:val="000000" w:themeColor="text1"/>
          <w:kern w:val="32"/>
        </w:rPr>
        <w:t>有錯漏，且便利性不足，不易吸引潛在廠商參與行政法人採購，允</w:t>
      </w:r>
      <w:r w:rsidR="005177DA">
        <w:rPr>
          <w:rFonts w:ascii="標楷體" w:eastAsia="標楷體" w:hAnsi="標楷體" w:hint="eastAsia"/>
          <w:snapToGrid w:val="0"/>
          <w:color w:val="000000" w:themeColor="text1"/>
          <w:kern w:val="32"/>
        </w:rPr>
        <w:t>宜</w:t>
      </w:r>
      <w:r w:rsidR="00450A76" w:rsidRPr="00450A76">
        <w:rPr>
          <w:rFonts w:ascii="標楷體" w:eastAsia="標楷體" w:hAnsi="標楷體" w:hint="eastAsia"/>
          <w:snapToGrid w:val="0"/>
          <w:color w:val="000000" w:themeColor="text1"/>
          <w:kern w:val="32"/>
        </w:rPr>
        <w:t>督促優化政府電子採購網既有資訊平</w:t>
      </w:r>
      <w:proofErr w:type="gramStart"/>
      <w:r w:rsidR="00450A76" w:rsidRPr="00450A76">
        <w:rPr>
          <w:rFonts w:ascii="標楷體" w:eastAsia="標楷體" w:hAnsi="標楷體" w:hint="eastAsia"/>
          <w:snapToGrid w:val="0"/>
          <w:color w:val="000000" w:themeColor="text1"/>
          <w:kern w:val="32"/>
        </w:rPr>
        <w:t>臺</w:t>
      </w:r>
      <w:proofErr w:type="gramEnd"/>
      <w:r w:rsidR="00450A76" w:rsidRPr="00450A76">
        <w:rPr>
          <w:rFonts w:ascii="標楷體" w:eastAsia="標楷體" w:hAnsi="標楷體" w:hint="eastAsia"/>
          <w:snapToGrid w:val="0"/>
          <w:color w:val="000000" w:themeColor="text1"/>
          <w:kern w:val="32"/>
        </w:rPr>
        <w:t>之功能完整性，以提升行政法人採購之公開性等情事，經建請行政院參酌辦理。據復：因涉行政法人採購制度之法制面規範及實務面作法，且涉</w:t>
      </w:r>
      <w:r w:rsidR="00051814">
        <w:rPr>
          <w:rFonts w:ascii="標楷體" w:eastAsia="標楷體" w:hAnsi="標楷體" w:hint="eastAsia"/>
          <w:snapToGrid w:val="0"/>
          <w:color w:val="000000" w:themeColor="text1"/>
          <w:kern w:val="32"/>
        </w:rPr>
        <w:t>行政院</w:t>
      </w:r>
      <w:r w:rsidR="00450A76" w:rsidRPr="00450A76">
        <w:rPr>
          <w:rFonts w:ascii="標楷體" w:eastAsia="標楷體" w:hAnsi="標楷體" w:hint="eastAsia"/>
          <w:snapToGrid w:val="0"/>
          <w:color w:val="000000" w:themeColor="text1"/>
          <w:kern w:val="32"/>
        </w:rPr>
        <w:t>公共工程委員會與</w:t>
      </w:r>
      <w:r w:rsidR="00051814">
        <w:rPr>
          <w:rFonts w:ascii="標楷體" w:eastAsia="標楷體" w:hAnsi="標楷體" w:hint="eastAsia"/>
          <w:snapToGrid w:val="0"/>
          <w:color w:val="000000" w:themeColor="text1"/>
          <w:kern w:val="32"/>
        </w:rPr>
        <w:t>各</w:t>
      </w:r>
      <w:r w:rsidR="00450A76" w:rsidRPr="00450A76">
        <w:rPr>
          <w:rFonts w:ascii="標楷體" w:eastAsia="標楷體" w:hAnsi="標楷體" w:hint="eastAsia"/>
          <w:snapToGrid w:val="0"/>
          <w:color w:val="000000" w:themeColor="text1"/>
          <w:kern w:val="32"/>
        </w:rPr>
        <w:t>中央及地方行政法人暨其監督機關權責，業由</w:t>
      </w:r>
      <w:r w:rsidR="00051814">
        <w:rPr>
          <w:rFonts w:ascii="標楷體" w:eastAsia="標楷體" w:hAnsi="標楷體" w:hint="eastAsia"/>
          <w:snapToGrid w:val="0"/>
          <w:color w:val="000000" w:themeColor="text1"/>
          <w:kern w:val="32"/>
        </w:rPr>
        <w:t>行政院</w:t>
      </w:r>
      <w:r w:rsidR="00450A76" w:rsidRPr="00450A76">
        <w:rPr>
          <w:rFonts w:ascii="標楷體" w:eastAsia="標楷體" w:hAnsi="標楷體" w:hint="eastAsia"/>
          <w:snapToGrid w:val="0"/>
          <w:color w:val="000000" w:themeColor="text1"/>
          <w:kern w:val="32"/>
        </w:rPr>
        <w:t>人事行政總處於114年6月19日請相關機關</w:t>
      </w:r>
      <w:proofErr w:type="gramStart"/>
      <w:r w:rsidR="00450A76" w:rsidRPr="00450A76">
        <w:rPr>
          <w:rFonts w:ascii="標楷體" w:eastAsia="標楷體" w:hAnsi="標楷體" w:hint="eastAsia"/>
          <w:snapToGrid w:val="0"/>
          <w:color w:val="000000" w:themeColor="text1"/>
          <w:kern w:val="32"/>
        </w:rPr>
        <w:t>研</w:t>
      </w:r>
      <w:proofErr w:type="gramEnd"/>
      <w:r w:rsidR="00450A76" w:rsidRPr="00450A76">
        <w:rPr>
          <w:rFonts w:ascii="標楷體" w:eastAsia="標楷體" w:hAnsi="標楷體" w:hint="eastAsia"/>
          <w:snapToGrid w:val="0"/>
          <w:color w:val="000000" w:themeColor="text1"/>
          <w:kern w:val="32"/>
        </w:rPr>
        <w:t>提意見並將予</w:t>
      </w:r>
      <w:proofErr w:type="gramStart"/>
      <w:r w:rsidR="00450A76" w:rsidRPr="00450A76">
        <w:rPr>
          <w:rFonts w:ascii="標楷體" w:eastAsia="標楷體" w:hAnsi="標楷體" w:hint="eastAsia"/>
          <w:snapToGrid w:val="0"/>
          <w:color w:val="000000" w:themeColor="text1"/>
          <w:kern w:val="32"/>
        </w:rPr>
        <w:t>研</w:t>
      </w:r>
      <w:proofErr w:type="gramEnd"/>
      <w:r w:rsidR="00450A76" w:rsidRPr="00450A76">
        <w:rPr>
          <w:rFonts w:ascii="標楷體" w:eastAsia="標楷體" w:hAnsi="標楷體" w:hint="eastAsia"/>
          <w:snapToGrid w:val="0"/>
          <w:color w:val="000000" w:themeColor="text1"/>
          <w:kern w:val="32"/>
        </w:rPr>
        <w:t>議。</w:t>
      </w:r>
    </w:p>
    <w:p w14:paraId="583D1F0B" w14:textId="03620FAC" w:rsidR="00CA4F93" w:rsidRDefault="009F63CA" w:rsidP="00CA4F93">
      <w:pPr>
        <w:pStyle w:val="affffff1"/>
        <w:spacing w:beforeLines="20" w:before="72" w:line="440" w:lineRule="exact"/>
        <w:ind w:firstLineChars="200" w:firstLine="561"/>
        <w:jc w:val="distribute"/>
        <w:outlineLvl w:val="1"/>
      </w:pPr>
      <w:r w:rsidRPr="006F289E">
        <w:rPr>
          <w:rFonts w:hint="eastAsia"/>
        </w:rPr>
        <w:t>（</w:t>
      </w:r>
      <w:r w:rsidR="00115AE8">
        <w:rPr>
          <w:rFonts w:hint="eastAsia"/>
        </w:rPr>
        <w:t>四十四</w:t>
      </w:r>
      <w:r w:rsidRPr="006F289E">
        <w:rPr>
          <w:rFonts w:hint="eastAsia"/>
        </w:rPr>
        <w:t xml:space="preserve">）　</w:t>
      </w:r>
      <w:r w:rsidR="00A51B80" w:rsidRPr="00A51B80">
        <w:rPr>
          <w:rFonts w:hint="eastAsia"/>
        </w:rPr>
        <w:t>政府為確保公共工程施工品質，已建立工程施工查核機制，明定各級政府應成立工程施工查核小組，定期查核所屬機關工程品質，惟</w:t>
      </w:r>
      <w:proofErr w:type="gramStart"/>
      <w:r w:rsidR="00A51B80" w:rsidRPr="00A51B80">
        <w:rPr>
          <w:rFonts w:hint="eastAsia"/>
        </w:rPr>
        <w:t>仍間有規</w:t>
      </w:r>
      <w:r w:rsidR="00CA4F93" w:rsidRPr="00A51B80">
        <w:rPr>
          <w:rFonts w:hint="eastAsia"/>
        </w:rPr>
        <w:t>劃</w:t>
      </w:r>
      <w:proofErr w:type="gramEnd"/>
      <w:r w:rsidR="00CA4F93" w:rsidRPr="00A51B80">
        <w:rPr>
          <w:rFonts w:hint="eastAsia"/>
        </w:rPr>
        <w:t>設計疏失、履約管理不善等缺失，衍生工程品質不良或發生重大公安事件等情</w:t>
      </w:r>
    </w:p>
    <w:p w14:paraId="37088962" w14:textId="251C5D2A" w:rsidR="009F63CA" w:rsidRPr="006F289E" w:rsidRDefault="00A51B80" w:rsidP="00CA4F93">
      <w:pPr>
        <w:pStyle w:val="affffff1"/>
        <w:spacing w:beforeLines="20" w:before="72" w:line="440" w:lineRule="exact"/>
        <w:outlineLvl w:val="1"/>
      </w:pPr>
      <w:r w:rsidRPr="00A51B80">
        <w:rPr>
          <w:rFonts w:hint="eastAsia"/>
        </w:rPr>
        <w:lastRenderedPageBreak/>
        <w:t>事，影響工程品質及施工安全，</w:t>
      </w:r>
      <w:r w:rsidR="00141144">
        <w:rPr>
          <w:rFonts w:hint="eastAsia"/>
        </w:rPr>
        <w:t>允宜</w:t>
      </w:r>
      <w:proofErr w:type="gramStart"/>
      <w:r w:rsidRPr="00A51B80">
        <w:rPr>
          <w:rFonts w:hint="eastAsia"/>
        </w:rPr>
        <w:t>研</w:t>
      </w:r>
      <w:proofErr w:type="gramEnd"/>
      <w:r w:rsidRPr="00A51B80">
        <w:rPr>
          <w:rFonts w:hint="eastAsia"/>
        </w:rPr>
        <w:t>謀改善。</w:t>
      </w:r>
    </w:p>
    <w:p w14:paraId="3E2AB3DA" w14:textId="41C7F2D2" w:rsidR="00585FB3" w:rsidRDefault="00455797" w:rsidP="00A6136A">
      <w:pPr>
        <w:overflowPunct w:val="0"/>
        <w:snapToGrid w:val="0"/>
        <w:spacing w:line="408" w:lineRule="exact"/>
        <w:ind w:firstLineChars="200" w:firstLine="480"/>
        <w:jc w:val="distribute"/>
        <w:rPr>
          <w:rFonts w:ascii="標楷體" w:eastAsia="標楷體" w:hAnsi="標楷體" w:cs="細明體"/>
          <w:color w:val="000000"/>
          <w:kern w:val="0"/>
          <w:szCs w:val="24"/>
        </w:rPr>
      </w:pPr>
      <w:r w:rsidRPr="00455797">
        <w:rPr>
          <w:rFonts w:ascii="標楷體" w:eastAsia="標楷體" w:hAnsi="標楷體" w:hint="eastAsia"/>
          <w:snapToGrid w:val="0"/>
          <w:color w:val="000000"/>
          <w:kern w:val="32"/>
          <w:szCs w:val="24"/>
        </w:rPr>
        <w:t>行政院公共工程委員會（下稱工程會）</w:t>
      </w:r>
      <w:r w:rsidRPr="00455797">
        <w:rPr>
          <w:rFonts w:ascii="標楷體" w:eastAsia="標楷體" w:hAnsi="標楷體"/>
          <w:snapToGrid w:val="0"/>
          <w:color w:val="000000"/>
          <w:kern w:val="32"/>
          <w:szCs w:val="24"/>
        </w:rPr>
        <w:t>為加強公共工程品質之管理、提升工程建設之品質，及建立有效之品質管理系統，業訂定公共工程施工品質管理制度，針對國內工程品管過程之缺失，明定施工廠商之品質管制系統、主辦機關及監造單位之品質查證系統、主管機關及</w:t>
      </w:r>
      <w:r w:rsidRPr="00455797">
        <w:rPr>
          <w:rFonts w:ascii="標楷體" w:eastAsia="標楷體" w:hAnsi="標楷體" w:hint="eastAsia"/>
          <w:snapToGrid w:val="0"/>
          <w:color w:val="000000"/>
          <w:kern w:val="32"/>
          <w:szCs w:val="24"/>
        </w:rPr>
        <w:t>工程</w:t>
      </w:r>
      <w:r w:rsidRPr="00455797">
        <w:rPr>
          <w:rFonts w:ascii="標楷體" w:eastAsia="標楷體" w:hAnsi="標楷體"/>
          <w:snapToGrid w:val="0"/>
          <w:color w:val="000000"/>
          <w:kern w:val="32"/>
          <w:szCs w:val="24"/>
        </w:rPr>
        <w:t>會之工程施工查核等三層次之品質管理制度，期於施工過程中，以系統化之管理，使完成之工程</w:t>
      </w:r>
      <w:r w:rsidRPr="00455797">
        <w:rPr>
          <w:rFonts w:ascii="標楷體" w:eastAsia="標楷體" w:hAnsi="標楷體" w:hint="eastAsia"/>
          <w:snapToGrid w:val="0"/>
          <w:color w:val="000000"/>
          <w:kern w:val="32"/>
          <w:szCs w:val="24"/>
        </w:rPr>
        <w:t>符合施工</w:t>
      </w:r>
      <w:r w:rsidRPr="00455797">
        <w:rPr>
          <w:rFonts w:ascii="標楷體" w:eastAsia="標楷體" w:hAnsi="標楷體"/>
          <w:snapToGrid w:val="0"/>
          <w:color w:val="000000"/>
          <w:kern w:val="32"/>
          <w:szCs w:val="24"/>
        </w:rPr>
        <w:t>規範標準</w:t>
      </w:r>
      <w:r w:rsidRPr="00455797">
        <w:rPr>
          <w:rFonts w:ascii="標楷體" w:eastAsia="標楷體" w:hAnsi="標楷體" w:hint="eastAsia"/>
          <w:snapToGrid w:val="0"/>
          <w:color w:val="000000"/>
          <w:kern w:val="32"/>
          <w:szCs w:val="24"/>
        </w:rPr>
        <w:t>，</w:t>
      </w:r>
      <w:r w:rsidRPr="00455797">
        <w:rPr>
          <w:rFonts w:ascii="標楷體" w:eastAsia="標楷體" w:hAnsi="標楷體"/>
          <w:snapToGrid w:val="0"/>
          <w:color w:val="000000"/>
          <w:kern w:val="32"/>
          <w:szCs w:val="24"/>
        </w:rPr>
        <w:t>建設品質</w:t>
      </w:r>
      <w:r w:rsidRPr="00455797">
        <w:rPr>
          <w:rFonts w:ascii="標楷體" w:eastAsia="標楷體" w:hAnsi="標楷體" w:hint="eastAsia"/>
          <w:snapToGrid w:val="0"/>
          <w:color w:val="000000"/>
          <w:kern w:val="32"/>
          <w:szCs w:val="24"/>
        </w:rPr>
        <w:t>益</w:t>
      </w:r>
      <w:proofErr w:type="gramStart"/>
      <w:r w:rsidRPr="00455797">
        <w:rPr>
          <w:rFonts w:ascii="標楷體" w:eastAsia="標楷體" w:hAnsi="標楷體" w:hint="eastAsia"/>
          <w:snapToGrid w:val="0"/>
          <w:color w:val="000000"/>
          <w:kern w:val="32"/>
          <w:szCs w:val="24"/>
        </w:rPr>
        <w:t>臻</w:t>
      </w:r>
      <w:proofErr w:type="gramEnd"/>
      <w:r w:rsidRPr="00455797">
        <w:rPr>
          <w:rFonts w:ascii="標楷體" w:eastAsia="標楷體" w:hAnsi="標楷體"/>
          <w:snapToGrid w:val="0"/>
          <w:color w:val="000000"/>
          <w:kern w:val="32"/>
          <w:szCs w:val="24"/>
        </w:rPr>
        <w:t>完善</w:t>
      </w:r>
      <w:r w:rsidRPr="00455797">
        <w:rPr>
          <w:rFonts w:ascii="標楷體" w:eastAsia="標楷體" w:hAnsi="標楷體" w:hint="eastAsia"/>
          <w:snapToGrid w:val="0"/>
          <w:color w:val="000000"/>
          <w:kern w:val="32"/>
          <w:szCs w:val="24"/>
        </w:rPr>
        <w:t>。有關工程會建立之工程施工查核機制，明定中央及直轄市、縣（市）政府應成立工程施工查核小組（下稱查核小組），定期查核所屬（轄）機關工程品質及進度等事宜。工程會並已成立中央查核小組，與內政部等3</w:t>
      </w:r>
      <w:r w:rsidRPr="00455797">
        <w:rPr>
          <w:rFonts w:ascii="標楷體" w:eastAsia="標楷體" w:hAnsi="標楷體"/>
          <w:snapToGrid w:val="0"/>
          <w:color w:val="000000"/>
          <w:kern w:val="32"/>
          <w:szCs w:val="24"/>
        </w:rPr>
        <w:t>0</w:t>
      </w:r>
      <w:r w:rsidRPr="00455797">
        <w:rPr>
          <w:rFonts w:ascii="標楷體" w:eastAsia="標楷體" w:hAnsi="標楷體" w:hint="eastAsia"/>
          <w:snapToGrid w:val="0"/>
          <w:color w:val="000000"/>
          <w:kern w:val="32"/>
          <w:szCs w:val="24"/>
        </w:rPr>
        <w:t>個中央機關及臺北市等2</w:t>
      </w:r>
      <w:r w:rsidRPr="00455797">
        <w:rPr>
          <w:rFonts w:ascii="標楷體" w:eastAsia="標楷體" w:hAnsi="標楷體"/>
          <w:snapToGrid w:val="0"/>
          <w:color w:val="000000"/>
          <w:kern w:val="32"/>
          <w:szCs w:val="24"/>
        </w:rPr>
        <w:t>2</w:t>
      </w:r>
      <w:r w:rsidRPr="00455797">
        <w:rPr>
          <w:rFonts w:ascii="標楷體" w:eastAsia="標楷體" w:hAnsi="標楷體" w:hint="eastAsia"/>
          <w:snapToGrid w:val="0"/>
          <w:color w:val="000000"/>
          <w:kern w:val="32"/>
          <w:szCs w:val="24"/>
        </w:rPr>
        <w:t>個地方政府，合計成立5</w:t>
      </w:r>
      <w:r w:rsidRPr="00455797">
        <w:rPr>
          <w:rFonts w:ascii="標楷體" w:eastAsia="標楷體" w:hAnsi="標楷體"/>
          <w:snapToGrid w:val="0"/>
          <w:color w:val="000000"/>
          <w:kern w:val="32"/>
          <w:szCs w:val="24"/>
        </w:rPr>
        <w:t>3</w:t>
      </w:r>
      <w:r w:rsidRPr="00455797">
        <w:rPr>
          <w:rFonts w:ascii="標楷體" w:eastAsia="標楷體" w:hAnsi="標楷體" w:hint="eastAsia"/>
          <w:snapToGrid w:val="0"/>
          <w:color w:val="000000"/>
          <w:kern w:val="32"/>
          <w:szCs w:val="24"/>
        </w:rPr>
        <w:t>個查核小組。經查各查核小組1</w:t>
      </w:r>
      <w:r w:rsidRPr="00455797">
        <w:rPr>
          <w:rFonts w:ascii="標楷體" w:eastAsia="標楷體" w:hAnsi="標楷體"/>
          <w:snapToGrid w:val="0"/>
          <w:color w:val="000000"/>
          <w:kern w:val="32"/>
          <w:szCs w:val="24"/>
        </w:rPr>
        <w:t>11</w:t>
      </w:r>
      <w:r w:rsidRPr="00455797">
        <w:rPr>
          <w:rFonts w:ascii="標楷體" w:eastAsia="標楷體" w:hAnsi="標楷體" w:hint="eastAsia"/>
          <w:snapToGrid w:val="0"/>
          <w:color w:val="000000"/>
          <w:kern w:val="32"/>
          <w:szCs w:val="24"/>
        </w:rPr>
        <w:t>至1</w:t>
      </w:r>
      <w:r w:rsidRPr="00455797">
        <w:rPr>
          <w:rFonts w:ascii="標楷體" w:eastAsia="標楷體" w:hAnsi="標楷體"/>
          <w:snapToGrid w:val="0"/>
          <w:color w:val="000000"/>
          <w:kern w:val="32"/>
          <w:szCs w:val="24"/>
        </w:rPr>
        <w:t>13</w:t>
      </w:r>
      <w:r w:rsidRPr="00455797">
        <w:rPr>
          <w:rFonts w:ascii="標楷體" w:eastAsia="標楷體" w:hAnsi="標楷體" w:hint="eastAsia"/>
          <w:snapToGrid w:val="0"/>
          <w:color w:val="000000"/>
          <w:kern w:val="32"/>
          <w:szCs w:val="24"/>
        </w:rPr>
        <w:t>年辦理工程施工查核及運作情形，核有：1</w:t>
      </w:r>
      <w:r w:rsidRPr="00455797">
        <w:rPr>
          <w:rFonts w:ascii="標楷體" w:eastAsia="標楷體" w:hAnsi="標楷體"/>
          <w:snapToGrid w:val="0"/>
          <w:color w:val="000000"/>
          <w:kern w:val="32"/>
          <w:szCs w:val="24"/>
        </w:rPr>
        <w:t>.</w:t>
      </w:r>
      <w:r w:rsidRPr="00455797">
        <w:rPr>
          <w:rFonts w:ascii="標楷體" w:eastAsia="標楷體" w:hAnsi="標楷體" w:hint="eastAsia"/>
          <w:snapToGrid w:val="0"/>
          <w:color w:val="000000"/>
          <w:kern w:val="32"/>
          <w:szCs w:val="24"/>
        </w:rPr>
        <w:t>工程會</w:t>
      </w:r>
      <w:r w:rsidRPr="00455797">
        <w:rPr>
          <w:rFonts w:ascii="標楷體" w:eastAsia="標楷體" w:hAnsi="標楷體"/>
          <w:snapToGrid w:val="0"/>
          <w:color w:val="000000"/>
          <w:kern w:val="32"/>
          <w:szCs w:val="24"/>
        </w:rPr>
        <w:t>為確保工程施工查核之品質及效果，已訂定選案原則及查核標準作業程序，惟部分查核小組未依規定辦理選案，或未將查核成績不良及扣點較多之廠商承攬案件，納入優先查核標的，或未考量案件特性仍統一安排制式之查核時間及行程，</w:t>
      </w:r>
      <w:r w:rsidRPr="00455797">
        <w:rPr>
          <w:rFonts w:ascii="標楷體" w:eastAsia="標楷體" w:hAnsi="標楷體" w:hint="eastAsia"/>
          <w:snapToGrid w:val="0"/>
          <w:color w:val="000000"/>
          <w:kern w:val="32"/>
          <w:szCs w:val="24"/>
        </w:rPr>
        <w:t>亟待督促</w:t>
      </w:r>
      <w:r w:rsidRPr="00455797">
        <w:rPr>
          <w:rFonts w:ascii="標楷體" w:eastAsia="標楷體" w:hAnsi="標楷體"/>
          <w:snapToGrid w:val="0"/>
          <w:color w:val="000000"/>
          <w:kern w:val="32"/>
          <w:szCs w:val="24"/>
        </w:rPr>
        <w:t>各查核小組採納風險管理之作法，按照案件風險高低及特性，妥適規劃選案與安排查核時間及行程，以提升施工查核成效</w:t>
      </w:r>
      <w:r w:rsidRPr="00455797">
        <w:rPr>
          <w:rFonts w:ascii="標楷體" w:eastAsia="標楷體" w:hAnsi="標楷體" w:hint="eastAsia"/>
          <w:snapToGrid w:val="0"/>
          <w:color w:val="000000"/>
          <w:kern w:val="32"/>
          <w:szCs w:val="24"/>
        </w:rPr>
        <w:t>；2</w:t>
      </w:r>
      <w:r w:rsidRPr="00455797">
        <w:rPr>
          <w:rFonts w:ascii="標楷體" w:eastAsia="標楷體" w:hAnsi="標楷體"/>
          <w:snapToGrid w:val="0"/>
          <w:color w:val="000000"/>
          <w:kern w:val="32"/>
          <w:szCs w:val="24"/>
        </w:rPr>
        <w:t>.工程施工查核小組作業辦法已明定查核小組發現有規劃設計缺失應加以記錄，惟</w:t>
      </w:r>
      <w:proofErr w:type="gramStart"/>
      <w:r w:rsidRPr="00455797">
        <w:rPr>
          <w:rFonts w:ascii="標楷體" w:eastAsia="標楷體" w:hAnsi="標楷體"/>
          <w:snapToGrid w:val="0"/>
          <w:color w:val="000000"/>
          <w:kern w:val="32"/>
          <w:szCs w:val="24"/>
        </w:rPr>
        <w:t>邇</w:t>
      </w:r>
      <w:proofErr w:type="gramEnd"/>
      <w:r w:rsidRPr="00455797">
        <w:rPr>
          <w:rFonts w:ascii="標楷體" w:eastAsia="標楷體" w:hAnsi="標楷體"/>
          <w:snapToGrid w:val="0"/>
          <w:color w:val="000000"/>
          <w:kern w:val="32"/>
          <w:szCs w:val="24"/>
        </w:rPr>
        <w:t>來屢</w:t>
      </w:r>
      <w:r w:rsidRPr="00455797">
        <w:rPr>
          <w:rFonts w:ascii="標楷體" w:eastAsia="標楷體" w:hAnsi="標楷體" w:hint="eastAsia"/>
          <w:snapToGrid w:val="0"/>
          <w:color w:val="000000"/>
          <w:kern w:val="32"/>
          <w:szCs w:val="24"/>
        </w:rPr>
        <w:t>見</w:t>
      </w:r>
      <w:r w:rsidRPr="00455797">
        <w:rPr>
          <w:rFonts w:ascii="標楷體" w:eastAsia="標楷體" w:hAnsi="標楷體"/>
          <w:snapToGrid w:val="0"/>
          <w:color w:val="000000"/>
          <w:kern w:val="32"/>
          <w:szCs w:val="24"/>
        </w:rPr>
        <w:t>公共工程因規劃設計錯誤致生公安意外事件，</w:t>
      </w:r>
      <w:r w:rsidRPr="00455797">
        <w:rPr>
          <w:rFonts w:ascii="標楷體" w:eastAsia="標楷體" w:hAnsi="標楷體" w:hint="eastAsia"/>
          <w:snapToGrid w:val="0"/>
          <w:color w:val="000000"/>
          <w:kern w:val="32"/>
          <w:szCs w:val="24"/>
        </w:rPr>
        <w:t>惟</w:t>
      </w:r>
      <w:r w:rsidRPr="00455797">
        <w:rPr>
          <w:rFonts w:ascii="標楷體" w:eastAsia="標楷體" w:hAnsi="標楷體"/>
          <w:snapToGrid w:val="0"/>
          <w:color w:val="000000"/>
          <w:kern w:val="32"/>
          <w:szCs w:val="24"/>
        </w:rPr>
        <w:t>查核小組卻難以透過查核作業有效發現該等規劃設計缺失，</w:t>
      </w:r>
      <w:r w:rsidRPr="00455797">
        <w:rPr>
          <w:rFonts w:ascii="標楷體" w:eastAsia="標楷體" w:hAnsi="標楷體" w:hint="eastAsia"/>
          <w:snapToGrid w:val="0"/>
          <w:color w:val="000000"/>
          <w:kern w:val="32"/>
          <w:szCs w:val="24"/>
        </w:rPr>
        <w:t>亟待</w:t>
      </w:r>
      <w:r w:rsidRPr="00455797">
        <w:rPr>
          <w:rFonts w:ascii="標楷體" w:eastAsia="標楷體" w:hAnsi="標楷體"/>
          <w:snapToGrid w:val="0"/>
          <w:color w:val="000000"/>
          <w:kern w:val="32"/>
          <w:szCs w:val="24"/>
        </w:rPr>
        <w:t>強化查核小組對於規劃設計安全性檢核之查核機制，以確保工程品質及施工安全</w:t>
      </w:r>
      <w:r w:rsidRPr="00455797">
        <w:rPr>
          <w:rFonts w:ascii="標楷體" w:eastAsia="標楷體" w:hAnsi="標楷體" w:hint="eastAsia"/>
          <w:snapToGrid w:val="0"/>
          <w:color w:val="000000"/>
          <w:kern w:val="32"/>
          <w:szCs w:val="24"/>
        </w:rPr>
        <w:t>；3</w:t>
      </w:r>
      <w:r w:rsidRPr="00455797">
        <w:rPr>
          <w:rFonts w:ascii="標楷體" w:eastAsia="標楷體" w:hAnsi="標楷體"/>
          <w:snapToGrid w:val="0"/>
          <w:color w:val="000000"/>
          <w:kern w:val="32"/>
          <w:szCs w:val="24"/>
        </w:rPr>
        <w:t>.</w:t>
      </w:r>
      <w:r w:rsidRPr="00455797">
        <w:rPr>
          <w:rFonts w:ascii="標楷體" w:eastAsia="標楷體" w:hAnsi="標楷體" w:hint="eastAsia"/>
          <w:snapToGrid w:val="0"/>
          <w:color w:val="000000"/>
          <w:kern w:val="32"/>
          <w:szCs w:val="24"/>
        </w:rPr>
        <w:t>工程</w:t>
      </w:r>
      <w:r w:rsidRPr="00455797">
        <w:rPr>
          <w:rFonts w:ascii="標楷體" w:eastAsia="標楷體" w:hAnsi="標楷體"/>
          <w:snapToGrid w:val="0"/>
          <w:color w:val="000000"/>
          <w:kern w:val="32"/>
          <w:szCs w:val="24"/>
        </w:rPr>
        <w:t>會為提供查核小組查核參考，已就建築工程等6工程類別，訂定工程施工查核作業參考基準，惟尚未持續就其他查核次數較多或決標金額龐鉅之工程類別，通盤檢討各查核小組實務需求，訂定查核作業參考基準，</w:t>
      </w:r>
      <w:r w:rsidRPr="00455797">
        <w:rPr>
          <w:rFonts w:ascii="標楷體" w:eastAsia="標楷體" w:hAnsi="標楷體" w:hint="eastAsia"/>
          <w:snapToGrid w:val="0"/>
          <w:color w:val="000000"/>
          <w:kern w:val="32"/>
          <w:szCs w:val="24"/>
        </w:rPr>
        <w:t>亟待</w:t>
      </w:r>
      <w:proofErr w:type="gramStart"/>
      <w:r w:rsidRPr="00455797">
        <w:rPr>
          <w:rFonts w:ascii="標楷體" w:eastAsia="標楷體" w:hAnsi="標楷體"/>
          <w:snapToGrid w:val="0"/>
          <w:color w:val="000000"/>
          <w:kern w:val="32"/>
          <w:szCs w:val="24"/>
        </w:rPr>
        <w:t>研</w:t>
      </w:r>
      <w:proofErr w:type="gramEnd"/>
      <w:r w:rsidRPr="00455797">
        <w:rPr>
          <w:rFonts w:ascii="標楷體" w:eastAsia="標楷體" w:hAnsi="標楷體"/>
          <w:snapToGrid w:val="0"/>
          <w:color w:val="000000"/>
          <w:kern w:val="32"/>
          <w:szCs w:val="24"/>
        </w:rPr>
        <w:t>謀新增，</w:t>
      </w:r>
      <w:proofErr w:type="gramStart"/>
      <w:r w:rsidRPr="00455797">
        <w:rPr>
          <w:rFonts w:ascii="標楷體" w:eastAsia="標楷體" w:hAnsi="標楷體"/>
          <w:snapToGrid w:val="0"/>
          <w:color w:val="000000"/>
          <w:kern w:val="32"/>
          <w:szCs w:val="24"/>
        </w:rPr>
        <w:t>俾</w:t>
      </w:r>
      <w:proofErr w:type="gramEnd"/>
      <w:r w:rsidRPr="00455797">
        <w:rPr>
          <w:rFonts w:ascii="標楷體" w:eastAsia="標楷體" w:hAnsi="標楷體"/>
          <w:snapToGrid w:val="0"/>
          <w:color w:val="000000"/>
          <w:kern w:val="32"/>
          <w:szCs w:val="24"/>
        </w:rPr>
        <w:t>利查核小組查核參考，以確保工程施工查核品質</w:t>
      </w:r>
      <w:r w:rsidRPr="00455797">
        <w:rPr>
          <w:rFonts w:ascii="標楷體" w:eastAsia="標楷體" w:hAnsi="標楷體" w:hint="eastAsia"/>
          <w:snapToGrid w:val="0"/>
          <w:color w:val="000000"/>
          <w:kern w:val="32"/>
          <w:szCs w:val="24"/>
        </w:rPr>
        <w:t>；4</w:t>
      </w:r>
      <w:r w:rsidRPr="00455797">
        <w:rPr>
          <w:rFonts w:ascii="標楷體" w:eastAsia="標楷體" w:hAnsi="標楷體"/>
          <w:snapToGrid w:val="0"/>
          <w:color w:val="000000"/>
          <w:kern w:val="32"/>
          <w:szCs w:val="24"/>
        </w:rPr>
        <w:t>.</w:t>
      </w:r>
      <w:r w:rsidRPr="00455797">
        <w:rPr>
          <w:rFonts w:ascii="標楷體" w:eastAsia="標楷體" w:hAnsi="標楷體" w:hint="eastAsia"/>
          <w:snapToGrid w:val="0"/>
          <w:color w:val="000000"/>
          <w:kern w:val="32"/>
          <w:szCs w:val="24"/>
        </w:rPr>
        <w:t>工程</w:t>
      </w:r>
      <w:r w:rsidRPr="00455797">
        <w:rPr>
          <w:rFonts w:ascii="標楷體" w:eastAsia="標楷體" w:hAnsi="標楷體"/>
          <w:snapToGrid w:val="0"/>
          <w:color w:val="000000"/>
          <w:kern w:val="32"/>
          <w:szCs w:val="24"/>
        </w:rPr>
        <w:t>會為簡化品質缺失扣點作業方式，已訂定品質缺失扣點紀錄表供查核小組參考運用，惟尚未就缺失嚴重程度訂定明確標準，不利查核小組決定缺失扣點數，</w:t>
      </w:r>
      <w:r w:rsidRPr="00455797">
        <w:rPr>
          <w:rFonts w:ascii="標楷體" w:eastAsia="標楷體" w:hAnsi="標楷體" w:hint="eastAsia"/>
          <w:snapToGrid w:val="0"/>
          <w:color w:val="000000"/>
          <w:kern w:val="32"/>
          <w:szCs w:val="24"/>
        </w:rPr>
        <w:t>亟待</w:t>
      </w:r>
      <w:proofErr w:type="gramStart"/>
      <w:r w:rsidRPr="00455797">
        <w:rPr>
          <w:rFonts w:ascii="標楷體" w:eastAsia="標楷體" w:hAnsi="標楷體"/>
          <w:snapToGrid w:val="0"/>
          <w:color w:val="000000"/>
          <w:kern w:val="32"/>
          <w:szCs w:val="24"/>
        </w:rPr>
        <w:t>研</w:t>
      </w:r>
      <w:proofErr w:type="gramEnd"/>
      <w:r w:rsidRPr="00455797">
        <w:rPr>
          <w:rFonts w:ascii="標楷體" w:eastAsia="標楷體" w:hAnsi="標楷體"/>
          <w:snapToGrid w:val="0"/>
          <w:color w:val="000000"/>
          <w:kern w:val="32"/>
          <w:szCs w:val="24"/>
        </w:rPr>
        <w:t>謀增訂判斷基準，以完善品質缺失懲罰性違約金機制</w:t>
      </w:r>
      <w:r w:rsidRPr="00455797">
        <w:rPr>
          <w:rFonts w:ascii="標楷體" w:eastAsia="標楷體" w:hAnsi="標楷體" w:hint="eastAsia"/>
          <w:snapToGrid w:val="0"/>
          <w:color w:val="000000"/>
          <w:kern w:val="32"/>
          <w:szCs w:val="24"/>
        </w:rPr>
        <w:t>；5</w:t>
      </w:r>
      <w:r w:rsidRPr="00455797">
        <w:rPr>
          <w:rFonts w:ascii="標楷體" w:eastAsia="標楷體" w:hAnsi="標楷體"/>
          <w:snapToGrid w:val="0"/>
          <w:color w:val="000000"/>
          <w:kern w:val="32"/>
          <w:szCs w:val="24"/>
        </w:rPr>
        <w:t>.</w:t>
      </w:r>
      <w:r w:rsidRPr="00455797">
        <w:rPr>
          <w:rFonts w:ascii="標楷體" w:eastAsia="標楷體" w:hAnsi="標楷體" w:hint="eastAsia"/>
          <w:snapToGrid w:val="0"/>
          <w:color w:val="000000"/>
          <w:kern w:val="32"/>
          <w:szCs w:val="24"/>
        </w:rPr>
        <w:t>工程</w:t>
      </w:r>
      <w:r w:rsidRPr="00455797">
        <w:rPr>
          <w:rFonts w:ascii="標楷體" w:eastAsia="標楷體" w:hAnsi="標楷體"/>
          <w:snapToGrid w:val="0"/>
          <w:color w:val="000000"/>
          <w:kern w:val="32"/>
          <w:szCs w:val="24"/>
        </w:rPr>
        <w:t>會為避免工程施工查核評核等第與缺失扣點差異分歧、比例失當，已訂定工程品質查核成績等第及扣點數對應原則，惟經統計近3年成績等第與缺失扣點情形，部分案件仍未依上述原則辦理</w:t>
      </w:r>
      <w:r w:rsidRPr="00455797">
        <w:rPr>
          <w:rFonts w:ascii="標楷體" w:eastAsia="標楷體" w:hAnsi="標楷體" w:hint="eastAsia"/>
          <w:snapToGrid w:val="0"/>
          <w:color w:val="000000"/>
          <w:kern w:val="32"/>
          <w:szCs w:val="24"/>
        </w:rPr>
        <w:t>，致</w:t>
      </w:r>
      <w:r w:rsidRPr="00455797">
        <w:rPr>
          <w:rFonts w:ascii="標楷體" w:eastAsia="標楷體" w:hAnsi="標楷體"/>
          <w:snapToGrid w:val="0"/>
          <w:color w:val="000000"/>
          <w:kern w:val="32"/>
          <w:szCs w:val="24"/>
        </w:rPr>
        <w:t>仍有查核成績等第與缺失扣點差異分歧之情形，</w:t>
      </w:r>
      <w:r w:rsidRPr="00455797">
        <w:rPr>
          <w:rFonts w:ascii="標楷體" w:eastAsia="標楷體" w:hAnsi="標楷體" w:hint="eastAsia"/>
          <w:snapToGrid w:val="0"/>
          <w:color w:val="000000"/>
          <w:kern w:val="32"/>
          <w:szCs w:val="24"/>
        </w:rPr>
        <w:t>亟待</w:t>
      </w:r>
      <w:proofErr w:type="gramStart"/>
      <w:r w:rsidRPr="00455797">
        <w:rPr>
          <w:rFonts w:ascii="標楷體" w:eastAsia="標楷體" w:hAnsi="標楷體"/>
          <w:snapToGrid w:val="0"/>
          <w:color w:val="000000"/>
          <w:kern w:val="32"/>
          <w:szCs w:val="24"/>
        </w:rPr>
        <w:t>研</w:t>
      </w:r>
      <w:proofErr w:type="gramEnd"/>
      <w:r w:rsidRPr="00455797">
        <w:rPr>
          <w:rFonts w:ascii="標楷體" w:eastAsia="標楷體" w:hAnsi="標楷體"/>
          <w:snapToGrid w:val="0"/>
          <w:color w:val="000000"/>
          <w:kern w:val="32"/>
          <w:szCs w:val="24"/>
        </w:rPr>
        <w:t>議參考查核實務修正該原則內容，並督促相關查核小組落實辦理</w:t>
      </w:r>
      <w:r w:rsidR="00ED17E3">
        <w:rPr>
          <w:rFonts w:ascii="標楷體" w:eastAsia="標楷體" w:hAnsi="標楷體" w:hint="eastAsia"/>
          <w:snapToGrid w:val="0"/>
          <w:color w:val="000000"/>
          <w:kern w:val="32"/>
          <w:szCs w:val="24"/>
        </w:rPr>
        <w:t>；</w:t>
      </w:r>
      <w:r w:rsidRPr="00455797">
        <w:rPr>
          <w:rFonts w:ascii="標楷體" w:eastAsia="標楷體" w:hAnsi="標楷體" w:hint="eastAsia"/>
          <w:snapToGrid w:val="0"/>
          <w:color w:val="000000"/>
          <w:kern w:val="32"/>
          <w:szCs w:val="24"/>
        </w:rPr>
        <w:t>6</w:t>
      </w:r>
      <w:r w:rsidRPr="00455797">
        <w:rPr>
          <w:rFonts w:ascii="標楷體" w:eastAsia="標楷體" w:hAnsi="標楷體"/>
          <w:snapToGrid w:val="0"/>
          <w:color w:val="000000"/>
          <w:kern w:val="32"/>
          <w:szCs w:val="24"/>
        </w:rPr>
        <w:t>.統包工程採購契約範本，尚未就招標所訂工程</w:t>
      </w:r>
      <w:proofErr w:type="gramStart"/>
      <w:r w:rsidRPr="00455797">
        <w:rPr>
          <w:rFonts w:ascii="標楷體" w:eastAsia="標楷體" w:hAnsi="標楷體"/>
          <w:snapToGrid w:val="0"/>
          <w:color w:val="000000"/>
          <w:kern w:val="32"/>
          <w:szCs w:val="24"/>
        </w:rPr>
        <w:t>需求書訂定</w:t>
      </w:r>
      <w:proofErr w:type="gramEnd"/>
      <w:r w:rsidRPr="00455797">
        <w:rPr>
          <w:rFonts w:ascii="標楷體" w:eastAsia="標楷體" w:hAnsi="標楷體"/>
          <w:snapToGrid w:val="0"/>
          <w:color w:val="000000"/>
          <w:kern w:val="32"/>
          <w:szCs w:val="24"/>
        </w:rPr>
        <w:t>檢核機制，未能確保統包廠商所設計內容符合工程需求，</w:t>
      </w:r>
      <w:r w:rsidR="004F0770">
        <w:rPr>
          <w:rFonts w:ascii="標楷體" w:eastAsia="標楷體" w:hAnsi="標楷體" w:hint="eastAsia"/>
          <w:snapToGrid w:val="0"/>
          <w:color w:val="000000"/>
          <w:kern w:val="32"/>
          <w:szCs w:val="24"/>
        </w:rPr>
        <w:t>允宜</w:t>
      </w:r>
      <w:proofErr w:type="gramStart"/>
      <w:r w:rsidRPr="00455797">
        <w:rPr>
          <w:rFonts w:ascii="標楷體" w:eastAsia="標楷體" w:hAnsi="標楷體"/>
          <w:snapToGrid w:val="0"/>
          <w:color w:val="000000"/>
          <w:kern w:val="32"/>
          <w:szCs w:val="24"/>
        </w:rPr>
        <w:t>研</w:t>
      </w:r>
      <w:proofErr w:type="gramEnd"/>
      <w:r w:rsidRPr="00455797">
        <w:rPr>
          <w:rFonts w:ascii="標楷體" w:eastAsia="標楷體" w:hAnsi="標楷體"/>
          <w:snapToGrid w:val="0"/>
          <w:color w:val="000000"/>
          <w:kern w:val="32"/>
          <w:szCs w:val="24"/>
        </w:rPr>
        <w:t>謀新增相關審查機制，以確保工程設計符合原招標目的</w:t>
      </w:r>
      <w:r w:rsidRPr="00455797">
        <w:rPr>
          <w:rFonts w:ascii="標楷體" w:eastAsia="標楷體" w:hAnsi="標楷體" w:hint="eastAsia"/>
          <w:snapToGrid w:val="0"/>
          <w:color w:val="000000"/>
          <w:kern w:val="32"/>
          <w:szCs w:val="24"/>
        </w:rPr>
        <w:t>等情</w:t>
      </w:r>
      <w:r w:rsidR="004F0770">
        <w:rPr>
          <w:rFonts w:ascii="標楷體" w:eastAsia="標楷體" w:hAnsi="標楷體" w:hint="eastAsia"/>
          <w:snapToGrid w:val="0"/>
          <w:color w:val="000000"/>
          <w:kern w:val="32"/>
          <w:szCs w:val="24"/>
        </w:rPr>
        <w:t>事</w:t>
      </w:r>
      <w:r w:rsidRPr="00455797">
        <w:rPr>
          <w:rFonts w:ascii="標楷體" w:eastAsia="標楷體" w:hAnsi="標楷體" w:hint="eastAsia"/>
          <w:snapToGrid w:val="0"/>
          <w:color w:val="000000"/>
          <w:kern w:val="32"/>
          <w:szCs w:val="24"/>
        </w:rPr>
        <w:t>，經函請工程會</w:t>
      </w:r>
      <w:proofErr w:type="gramStart"/>
      <w:r w:rsidRPr="00455797">
        <w:rPr>
          <w:rFonts w:ascii="標楷體" w:eastAsia="標楷體" w:hAnsi="標楷體" w:hint="eastAsia"/>
          <w:snapToGrid w:val="0"/>
          <w:color w:val="000000"/>
          <w:kern w:val="32"/>
          <w:szCs w:val="24"/>
        </w:rPr>
        <w:t>研</w:t>
      </w:r>
      <w:proofErr w:type="gramEnd"/>
      <w:r w:rsidRPr="00455797">
        <w:rPr>
          <w:rFonts w:ascii="標楷體" w:eastAsia="標楷體" w:hAnsi="標楷體" w:hint="eastAsia"/>
          <w:snapToGrid w:val="0"/>
          <w:color w:val="000000"/>
          <w:kern w:val="32"/>
          <w:szCs w:val="24"/>
        </w:rPr>
        <w:t>謀改善。</w:t>
      </w:r>
      <w:r w:rsidRPr="00455797">
        <w:rPr>
          <w:rFonts w:ascii="標楷體" w:eastAsia="標楷體" w:hAnsi="標楷體" w:cs="細明體" w:hint="eastAsia"/>
          <w:color w:val="000000"/>
          <w:kern w:val="0"/>
          <w:szCs w:val="24"/>
        </w:rPr>
        <w:t>據復：</w:t>
      </w:r>
      <w:r w:rsidR="00E23D86" w:rsidRPr="00E23D86">
        <w:rPr>
          <w:rFonts w:ascii="標楷體" w:eastAsia="標楷體" w:hAnsi="標楷體" w:cs="細明體" w:hint="eastAsia"/>
          <w:color w:val="000000"/>
          <w:kern w:val="0"/>
          <w:szCs w:val="24"/>
        </w:rPr>
        <w:t>1.為提升工程施工查核成效，已於工程施工查核小組績效考核作業中，將標案查核時機之妥適性納入考核項目，將持續要求各查核小組妥適辦理選案及安排查核行程；2.為避免公共工程規劃設計缺失，已於政府採購法及公共工程技術服務契約範本中訂有規劃設計相關執行規定，將加強要求各機關落實執行，並持續強化查核作業；3.為確保工程施工查核品質，查核重點係依工程契約、監造計畫、品質計畫及工程</w:t>
      </w:r>
      <w:proofErr w:type="gramStart"/>
      <w:r w:rsidR="00E23D86" w:rsidRPr="00E23D86">
        <w:rPr>
          <w:rFonts w:ascii="標楷體" w:eastAsia="標楷體" w:hAnsi="標楷體" w:cs="細明體" w:hint="eastAsia"/>
          <w:color w:val="000000"/>
          <w:kern w:val="0"/>
          <w:szCs w:val="24"/>
        </w:rPr>
        <w:t>特性等據以</w:t>
      </w:r>
      <w:proofErr w:type="gramEnd"/>
      <w:r w:rsidR="00E23D86" w:rsidRPr="00E23D86">
        <w:rPr>
          <w:rFonts w:ascii="標楷體" w:eastAsia="標楷體" w:hAnsi="標楷體" w:cs="細明體" w:hint="eastAsia"/>
          <w:color w:val="000000"/>
          <w:kern w:val="0"/>
          <w:szCs w:val="24"/>
        </w:rPr>
        <w:t>檢核，將依實務需求就較主要工程或大宗施工項目，適時修訂查核作業參考基準；4.為完善品質缺失懲罰性違約金機制，將就查核缺失嚴重程度，</w:t>
      </w:r>
      <w:proofErr w:type="gramStart"/>
      <w:r w:rsidR="00E23D86" w:rsidRPr="00E23D86">
        <w:rPr>
          <w:rFonts w:ascii="標楷體" w:eastAsia="標楷體" w:hAnsi="標楷體" w:cs="細明體" w:hint="eastAsia"/>
          <w:color w:val="000000"/>
          <w:kern w:val="0"/>
          <w:szCs w:val="24"/>
        </w:rPr>
        <w:t>研</w:t>
      </w:r>
      <w:proofErr w:type="gramEnd"/>
      <w:r w:rsidR="00E23D86" w:rsidRPr="00E23D86">
        <w:rPr>
          <w:rFonts w:ascii="標楷體" w:eastAsia="標楷體" w:hAnsi="標楷體" w:cs="細明體" w:hint="eastAsia"/>
          <w:color w:val="000000"/>
          <w:kern w:val="0"/>
          <w:szCs w:val="24"/>
        </w:rPr>
        <w:t>謀增訂相關判斷基準，</w:t>
      </w:r>
      <w:proofErr w:type="gramStart"/>
      <w:r w:rsidR="00E23D86" w:rsidRPr="00E23D86">
        <w:rPr>
          <w:rFonts w:ascii="標楷體" w:eastAsia="標楷體" w:hAnsi="標楷體" w:cs="細明體" w:hint="eastAsia"/>
          <w:color w:val="000000"/>
          <w:kern w:val="0"/>
          <w:szCs w:val="24"/>
        </w:rPr>
        <w:t>俾</w:t>
      </w:r>
      <w:proofErr w:type="gramEnd"/>
      <w:r w:rsidR="00E23D86" w:rsidRPr="00E23D86">
        <w:rPr>
          <w:rFonts w:ascii="標楷體" w:eastAsia="標楷體" w:hAnsi="標楷體" w:cs="細明體" w:hint="eastAsia"/>
          <w:color w:val="000000"/>
          <w:kern w:val="0"/>
          <w:szCs w:val="24"/>
        </w:rPr>
        <w:t>利查核小組作業</w:t>
      </w:r>
    </w:p>
    <w:p w14:paraId="2F8AD54A" w14:textId="2EBB2AAC" w:rsidR="00793C3B" w:rsidRDefault="004F0770" w:rsidP="00585FB3">
      <w:pPr>
        <w:overflowPunct w:val="0"/>
        <w:snapToGrid w:val="0"/>
        <w:spacing w:line="400" w:lineRule="exact"/>
        <w:jc w:val="both"/>
        <w:rPr>
          <w:rFonts w:ascii="標楷體" w:eastAsia="標楷體" w:hAnsi="標楷體" w:cs="細明體"/>
          <w:color w:val="000000"/>
          <w:kern w:val="0"/>
          <w:szCs w:val="24"/>
        </w:rPr>
      </w:pPr>
      <w:r w:rsidRPr="00E23D86">
        <w:rPr>
          <w:rFonts w:ascii="標楷體" w:eastAsia="標楷體" w:hAnsi="標楷體" w:cs="細明體" w:hint="eastAsia"/>
          <w:color w:val="000000"/>
          <w:kern w:val="0"/>
          <w:szCs w:val="24"/>
        </w:rPr>
        <w:lastRenderedPageBreak/>
        <w:t>參考；</w:t>
      </w:r>
      <w:r w:rsidR="00E23D86" w:rsidRPr="00E23D86">
        <w:rPr>
          <w:rFonts w:ascii="標楷體" w:eastAsia="標楷體" w:hAnsi="標楷體" w:cs="細明體" w:hint="eastAsia"/>
          <w:color w:val="000000"/>
          <w:kern w:val="0"/>
          <w:szCs w:val="24"/>
        </w:rPr>
        <w:t>5.為確保查核成績等第與缺失扣點數合理對應，將</w:t>
      </w:r>
      <w:proofErr w:type="gramStart"/>
      <w:r w:rsidR="00E23D86" w:rsidRPr="00E23D86">
        <w:rPr>
          <w:rFonts w:ascii="標楷體" w:eastAsia="標楷體" w:hAnsi="標楷體" w:cs="細明體" w:hint="eastAsia"/>
          <w:color w:val="000000"/>
          <w:kern w:val="0"/>
          <w:szCs w:val="24"/>
        </w:rPr>
        <w:t>研</w:t>
      </w:r>
      <w:proofErr w:type="gramEnd"/>
      <w:r w:rsidR="00E23D86" w:rsidRPr="00E23D86">
        <w:rPr>
          <w:rFonts w:ascii="標楷體" w:eastAsia="標楷體" w:hAnsi="標楷體" w:cs="細明體" w:hint="eastAsia"/>
          <w:color w:val="000000"/>
          <w:kern w:val="0"/>
          <w:szCs w:val="24"/>
        </w:rPr>
        <w:t>議修正工程品質查核成績等第及扣點數對應原則，並督促相關查核小組落實辦理；6.為確保統包工程設計符合原招標目的，將</w:t>
      </w:r>
      <w:proofErr w:type="gramStart"/>
      <w:r w:rsidR="00E23D86" w:rsidRPr="00E23D86">
        <w:rPr>
          <w:rFonts w:ascii="標楷體" w:eastAsia="標楷體" w:hAnsi="標楷體" w:cs="細明體" w:hint="eastAsia"/>
          <w:color w:val="000000"/>
          <w:kern w:val="0"/>
          <w:szCs w:val="24"/>
        </w:rPr>
        <w:t>研議於統包</w:t>
      </w:r>
      <w:proofErr w:type="gramEnd"/>
      <w:r w:rsidR="00E23D86" w:rsidRPr="00E23D86">
        <w:rPr>
          <w:rFonts w:ascii="標楷體" w:eastAsia="標楷體" w:hAnsi="標楷體" w:cs="細明體" w:hint="eastAsia"/>
          <w:color w:val="000000"/>
          <w:kern w:val="0"/>
          <w:szCs w:val="24"/>
        </w:rPr>
        <w:t>工程採購契約範本中，增訂統包廠商提送設計成果時，需</w:t>
      </w:r>
      <w:proofErr w:type="gramStart"/>
      <w:r w:rsidR="00E23D86" w:rsidRPr="00E23D86">
        <w:rPr>
          <w:rFonts w:ascii="標楷體" w:eastAsia="標楷體" w:hAnsi="標楷體" w:cs="細明體" w:hint="eastAsia"/>
          <w:color w:val="000000"/>
          <w:kern w:val="0"/>
          <w:szCs w:val="24"/>
        </w:rPr>
        <w:t>檢附依工程</w:t>
      </w:r>
      <w:proofErr w:type="gramEnd"/>
      <w:r w:rsidR="00E23D86" w:rsidRPr="00E23D86">
        <w:rPr>
          <w:rFonts w:ascii="標楷體" w:eastAsia="標楷體" w:hAnsi="標楷體" w:cs="細明體" w:hint="eastAsia"/>
          <w:color w:val="000000"/>
          <w:kern w:val="0"/>
          <w:szCs w:val="24"/>
        </w:rPr>
        <w:t>需求書檢核之結果表相關規定。</w:t>
      </w:r>
    </w:p>
    <w:p w14:paraId="35A14653" w14:textId="3EF43C26" w:rsidR="001C6861" w:rsidRPr="001C6861" w:rsidRDefault="001C6861" w:rsidP="006C46A6">
      <w:pPr>
        <w:pStyle w:val="affffff1"/>
        <w:spacing w:afterLines="0" w:after="0"/>
        <w:ind w:firstLineChars="200" w:firstLine="553"/>
        <w:outlineLvl w:val="1"/>
        <w:rPr>
          <w:spacing w:val="-2"/>
        </w:rPr>
      </w:pPr>
      <w:r w:rsidRPr="0068770B">
        <w:rPr>
          <w:rFonts w:hint="eastAsia"/>
          <w:spacing w:val="-2"/>
        </w:rPr>
        <w:t>（四十五）　行政院公共工程委員會於公共工程施工品質管理作業要點等規定訂定技術士設置管理事宜，有助提升施工品質，</w:t>
      </w:r>
      <w:proofErr w:type="gramStart"/>
      <w:r w:rsidRPr="0068770B">
        <w:rPr>
          <w:rFonts w:hint="eastAsia"/>
          <w:spacing w:val="-2"/>
        </w:rPr>
        <w:t>惟間有作業</w:t>
      </w:r>
      <w:proofErr w:type="gramEnd"/>
      <w:r w:rsidRPr="0068770B">
        <w:rPr>
          <w:rFonts w:hint="eastAsia"/>
          <w:spacing w:val="-2"/>
        </w:rPr>
        <w:t>要點或工程採購契約範本規定未盡完善，及部分工程技術士設置管理未盡落實等情事，允宜</w:t>
      </w:r>
      <w:proofErr w:type="gramStart"/>
      <w:r w:rsidRPr="0068770B">
        <w:rPr>
          <w:rFonts w:hint="eastAsia"/>
          <w:spacing w:val="-2"/>
        </w:rPr>
        <w:t>研</w:t>
      </w:r>
      <w:proofErr w:type="gramEnd"/>
      <w:r w:rsidRPr="0068770B">
        <w:rPr>
          <w:rFonts w:hint="eastAsia"/>
          <w:spacing w:val="-2"/>
        </w:rPr>
        <w:t>謀改善。</w:t>
      </w:r>
    </w:p>
    <w:p w14:paraId="0564439E" w14:textId="449AE1D8" w:rsidR="00F83738" w:rsidRPr="009D622F" w:rsidRDefault="00B16ACF" w:rsidP="006C46A6">
      <w:pPr>
        <w:pStyle w:val="affffff1"/>
        <w:spacing w:afterLines="0" w:after="0"/>
        <w:ind w:firstLineChars="200" w:firstLine="480"/>
        <w:outlineLvl w:val="1"/>
        <w:rPr>
          <w:strike/>
          <w:spacing w:val="-2"/>
          <w:sz w:val="24"/>
          <w:szCs w:val="24"/>
        </w:rPr>
      </w:pPr>
      <w:r w:rsidRPr="0080600E">
        <w:rPr>
          <w:noProof/>
          <w:color w:val="000000" w:themeColor="text1"/>
          <w:sz w:val="24"/>
          <w:szCs w:val="24"/>
        </w:rPr>
        <mc:AlternateContent>
          <mc:Choice Requires="wps">
            <w:drawing>
              <wp:anchor distT="0" distB="0" distL="114300" distR="114300" simplePos="0" relativeHeight="251651072" behindDoc="0" locked="0" layoutInCell="1" allowOverlap="1" wp14:anchorId="448AB5DC" wp14:editId="28959D2F">
                <wp:simplePos x="0" y="0"/>
                <wp:positionH relativeFrom="column">
                  <wp:posOffset>2959735</wp:posOffset>
                </wp:positionH>
                <wp:positionV relativeFrom="paragraph">
                  <wp:posOffset>1621790</wp:posOffset>
                </wp:positionV>
                <wp:extent cx="3340100" cy="2362200"/>
                <wp:effectExtent l="0" t="0" r="0" b="0"/>
                <wp:wrapSquare wrapText="bothSides"/>
                <wp:docPr id="34" name="_x0000_s1029"/>
                <wp:cNvGraphicFramePr/>
                <a:graphic xmlns:a="http://schemas.openxmlformats.org/drawingml/2006/main">
                  <a:graphicData uri="http://schemas.microsoft.com/office/word/2010/wordprocessingShape">
                    <wps:wsp>
                      <wps:cNvSpPr txBox="1"/>
                      <wps:spPr bwMode="auto">
                        <a:xfrm>
                          <a:off x="0" y="0"/>
                          <a:ext cx="3340100" cy="2362200"/>
                        </a:xfrm>
                        <a:prstGeom prst="rect">
                          <a:avLst/>
                        </a:prstGeom>
                        <a:solidFill>
                          <a:srgbClr val="FFFFFF"/>
                        </a:solidFill>
                        <a:ln w="6350">
                          <a:noFill/>
                        </a:ln>
                      </wps:spPr>
                      <wps:txbx>
                        <w:txbxContent>
                          <w:p w14:paraId="1EEE6B52" w14:textId="663BFA72" w:rsidR="00B16ACF" w:rsidRDefault="00B16ACF" w:rsidP="00B16ACF">
                            <w:pPr>
                              <w:pStyle w:val="afffa"/>
                              <w:ind w:leftChars="0" w:left="0" w:firstLine="1"/>
                              <w:jc w:val="center"/>
                              <w:rPr>
                                <w:rFonts w:ascii="標楷體" w:eastAsia="標楷體" w:hAnsi="標楷體"/>
                                <w:b/>
                                <w:snapToGrid w:val="0"/>
                                <w:kern w:val="32"/>
                              </w:rPr>
                            </w:pPr>
                            <w:r w:rsidRPr="008A6C9C">
                              <w:rPr>
                                <w:rFonts w:ascii="標楷體" w:eastAsia="標楷體" w:hAnsi="標楷體" w:hint="eastAsia"/>
                                <w:b/>
                                <w:snapToGrid w:val="0"/>
                                <w:kern w:val="32"/>
                              </w:rPr>
                              <w:t>圖</w:t>
                            </w:r>
                            <w:r w:rsidR="00815EC4">
                              <w:rPr>
                                <w:rFonts w:ascii="標楷體" w:eastAsia="標楷體" w:hAnsi="標楷體"/>
                                <w:b/>
                                <w:snapToGrid w:val="0"/>
                                <w:kern w:val="32"/>
                              </w:rPr>
                              <w:t>19</w:t>
                            </w:r>
                            <w:r w:rsidRPr="008A6C9C">
                              <w:rPr>
                                <w:rFonts w:ascii="標楷體" w:eastAsia="標楷體" w:hAnsi="標楷體" w:hint="eastAsia"/>
                                <w:b/>
                                <w:snapToGrid w:val="0"/>
                                <w:kern w:val="32"/>
                              </w:rPr>
                              <w:t xml:space="preserve"> 雲端服務網技術士填報功能</w:t>
                            </w:r>
                          </w:p>
                          <w:p w14:paraId="3B97D9F1" w14:textId="145FD1C5" w:rsidR="00B16ACF" w:rsidRDefault="00887B53" w:rsidP="00B16ACF">
                            <w:pPr>
                              <w:pStyle w:val="afffa"/>
                              <w:ind w:leftChars="0" w:left="0"/>
                              <w:jc w:val="center"/>
                              <w:rPr>
                                <w:rFonts w:ascii="標楷體" w:eastAsia="標楷體" w:hAnsi="標楷體"/>
                                <w:b/>
                                <w:snapToGrid w:val="0"/>
                                <w:kern w:val="32"/>
                              </w:rPr>
                            </w:pPr>
                            <w:r>
                              <w:rPr>
                                <w:noProof/>
                                <w:snapToGrid w:val="0"/>
                                <w:kern w:val="32"/>
                                <w:sz w:val="18"/>
                              </w:rPr>
                              <w:drawing>
                                <wp:inline distT="0" distB="0" distL="0" distR="0" wp14:anchorId="3AFF3D1F" wp14:editId="3B56C833">
                                  <wp:extent cx="3150870" cy="1798442"/>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grayscl/>
                                            <a:extLst>
                                              <a:ext uri="{28A0092B-C50C-407E-A947-70E740481C1C}">
                                                <a14:useLocalDpi xmlns:a14="http://schemas.microsoft.com/office/drawing/2010/main" val="0"/>
                                              </a:ext>
                                            </a:extLst>
                                          </a:blip>
                                          <a:srcRect/>
                                          <a:stretch>
                                            <a:fillRect/>
                                          </a:stretch>
                                        </pic:blipFill>
                                        <pic:spPr bwMode="auto">
                                          <a:xfrm>
                                            <a:off x="0" y="0"/>
                                            <a:ext cx="3150870" cy="1798442"/>
                                          </a:xfrm>
                                          <a:prstGeom prst="rect">
                                            <a:avLst/>
                                          </a:prstGeom>
                                          <a:noFill/>
                                          <a:ln>
                                            <a:noFill/>
                                          </a:ln>
                                        </pic:spPr>
                                      </pic:pic>
                                    </a:graphicData>
                                  </a:graphic>
                                </wp:inline>
                              </w:drawing>
                            </w:r>
                          </w:p>
                          <w:p w14:paraId="4B90D262" w14:textId="77777777" w:rsidR="00B16ACF" w:rsidRPr="00E54D36" w:rsidRDefault="00B16ACF" w:rsidP="00B16ACF">
                            <w:pPr>
                              <w:pStyle w:val="afffa"/>
                              <w:spacing w:line="240" w:lineRule="exact"/>
                              <w:ind w:leftChars="0" w:left="128" w:hangingChars="71" w:hanging="128"/>
                              <w:rPr>
                                <w:rFonts w:ascii="標楷體" w:eastAsia="標楷體" w:hAnsi="標楷體"/>
                                <w:b/>
                                <w:sz w:val="18"/>
                                <w:szCs w:val="18"/>
                              </w:rPr>
                            </w:pPr>
                            <w:r w:rsidRPr="00E54D36">
                              <w:rPr>
                                <w:rFonts w:ascii="標楷體" w:eastAsia="標楷體" w:hAnsi="標楷體" w:hint="eastAsia"/>
                                <w:sz w:val="18"/>
                                <w:szCs w:val="18"/>
                              </w:rPr>
                              <w:t>資料來源：擷取自雲端服務網站資料。</w:t>
                            </w:r>
                          </w:p>
                        </w:txbxContent>
                      </wps:txbx>
                      <wps:bodyPr wrap="square" upright="1">
                        <a:noAutofit/>
                      </wps:bodyPr>
                    </wps:wsp>
                  </a:graphicData>
                </a:graphic>
                <wp14:sizeRelH relativeFrom="margin">
                  <wp14:pctWidth>0</wp14:pctWidth>
                </wp14:sizeRelH>
                <wp14:sizeRelV relativeFrom="margin">
                  <wp14:pctHeight>0</wp14:pctHeight>
                </wp14:sizeRelV>
              </wp:anchor>
            </w:drawing>
          </mc:Choice>
          <mc:Fallback>
            <w:pict>
              <v:shape w14:anchorId="448AB5DC" id="_x0000_s1169" type="#_x0000_t202" style="position:absolute;left:0;text-align:left;margin-left:233.05pt;margin-top:127.7pt;width:263pt;height:18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" stroked="f" strokeweight=".5pt">
                <v:textbox>
                  <w:txbxContent>
                    <w:p w14:paraId="1EEE6B52" w14:textId="663BFA72" w:rsidR="00B16ACF" w:rsidRDefault="00B16ACF" w:rsidP="00B16ACF">
                      <w:pPr>
                        <w:pStyle w:val="afffa"/>
                        <w:ind w:leftChars="0" w:left="0" w:firstLine="1"/>
                        <w:jc w:val="center"/>
                        <w:rPr>
                          <w:rFonts w:ascii="標楷體" w:eastAsia="標楷體" w:hAnsi="標楷體"/>
                          <w:b/>
                          <w:snapToGrid w:val="0"/>
                          <w:kern w:val="32"/>
                        </w:rPr>
                      </w:pPr>
                      <w:r w:rsidRPr="008A6C9C">
                        <w:rPr>
                          <w:rFonts w:ascii="標楷體" w:eastAsia="標楷體" w:hAnsi="標楷體" w:hint="eastAsia"/>
                          <w:b/>
                          <w:snapToGrid w:val="0"/>
                          <w:kern w:val="32"/>
                        </w:rPr>
                        <w:t>圖</w:t>
                      </w:r>
                      <w:r w:rsidR="00815EC4">
                        <w:rPr>
                          <w:rFonts w:ascii="標楷體" w:eastAsia="標楷體" w:hAnsi="標楷體"/>
                          <w:b/>
                          <w:snapToGrid w:val="0"/>
                          <w:kern w:val="32"/>
                        </w:rPr>
                        <w:t>19</w:t>
                      </w:r>
                      <w:r w:rsidRPr="008A6C9C">
                        <w:rPr>
                          <w:rFonts w:ascii="標楷體" w:eastAsia="標楷體" w:hAnsi="標楷體" w:hint="eastAsia"/>
                          <w:b/>
                          <w:snapToGrid w:val="0"/>
                          <w:kern w:val="32"/>
                        </w:rPr>
                        <w:t xml:space="preserve"> 雲端服務網技術士填報功能</w:t>
                      </w:r>
                    </w:p>
                    <w:p w14:paraId="3B97D9F1" w14:textId="145FD1C5" w:rsidR="00B16ACF" w:rsidRDefault="00887B53" w:rsidP="00B16ACF">
                      <w:pPr>
                        <w:pStyle w:val="afffa"/>
                        <w:ind w:leftChars="0" w:left="0"/>
                        <w:jc w:val="center"/>
                        <w:rPr>
                          <w:rFonts w:ascii="標楷體" w:eastAsia="標楷體" w:hAnsi="標楷體"/>
                          <w:b/>
                          <w:snapToGrid w:val="0"/>
                          <w:kern w:val="32"/>
                        </w:rPr>
                      </w:pPr>
                      <w:r>
                        <w:rPr>
                          <w:noProof/>
                          <w:snapToGrid w:val="0"/>
                          <w:kern w:val="32"/>
                          <w:sz w:val="18"/>
                        </w:rPr>
                        <w:drawing>
                          <wp:inline distT="0" distB="0" distL="0" distR="0" wp14:anchorId="3AFF3D1F" wp14:editId="3B56C833">
                            <wp:extent cx="3150870" cy="1798442"/>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grayscl/>
                                      <a:extLst>
                                        <a:ext uri="{28A0092B-C50C-407E-A947-70E740481C1C}">
                                          <a14:useLocalDpi xmlns:a14="http://schemas.microsoft.com/office/drawing/2010/main" val="0"/>
                                        </a:ext>
                                      </a:extLst>
                                    </a:blip>
                                    <a:srcRect/>
                                    <a:stretch>
                                      <a:fillRect/>
                                    </a:stretch>
                                  </pic:blipFill>
                                  <pic:spPr bwMode="auto">
                                    <a:xfrm>
                                      <a:off x="0" y="0"/>
                                      <a:ext cx="3150870" cy="1798442"/>
                                    </a:xfrm>
                                    <a:prstGeom prst="rect">
                                      <a:avLst/>
                                    </a:prstGeom>
                                    <a:noFill/>
                                    <a:ln>
                                      <a:noFill/>
                                    </a:ln>
                                  </pic:spPr>
                                </pic:pic>
                              </a:graphicData>
                            </a:graphic>
                          </wp:inline>
                        </w:drawing>
                      </w:r>
                    </w:p>
                    <w:p w14:paraId="4B90D262" w14:textId="77777777" w:rsidR="00B16ACF" w:rsidRPr="00E54D36" w:rsidRDefault="00B16ACF" w:rsidP="00B16ACF">
                      <w:pPr>
                        <w:pStyle w:val="afffa"/>
                        <w:spacing w:line="240" w:lineRule="exact"/>
                        <w:ind w:leftChars="0" w:left="128" w:hangingChars="71" w:hanging="128"/>
                        <w:rPr>
                          <w:rFonts w:ascii="標楷體" w:eastAsia="標楷體" w:hAnsi="標楷體"/>
                          <w:b/>
                          <w:sz w:val="18"/>
                          <w:szCs w:val="18"/>
                        </w:rPr>
                      </w:pPr>
                      <w:r w:rsidRPr="00E54D36">
                        <w:rPr>
                          <w:rFonts w:ascii="標楷體" w:eastAsia="標楷體" w:hAnsi="標楷體" w:hint="eastAsia"/>
                          <w:sz w:val="18"/>
                          <w:szCs w:val="18"/>
                        </w:rPr>
                        <w:t>資料來源：擷取自雲端服務網站資料。</w:t>
                      </w:r>
                    </w:p>
                  </w:txbxContent>
                </v:textbox>
                <w10:wrap type="square"/>
              </v:shape>
            </w:pict>
          </mc:Fallback>
        </mc:AlternateContent>
      </w:r>
      <w:r w:rsidR="001146B6" w:rsidRPr="0080600E">
        <w:rPr>
          <w:rFonts w:hint="eastAsia"/>
          <w:b w:val="0"/>
          <w:bCs/>
          <w:snapToGrid w:val="0"/>
          <w:color w:val="000000" w:themeColor="text1"/>
          <w:kern w:val="32"/>
          <w:sz w:val="24"/>
          <w:szCs w:val="24"/>
        </w:rPr>
        <w:t>政府於營造業法針對技術士應於工地現場依其專長技能及作業規範進行施工操作或品質控管作業訂定相關規定，以確保營</w:t>
      </w:r>
      <w:proofErr w:type="gramStart"/>
      <w:r w:rsidR="001146B6" w:rsidRPr="0080600E">
        <w:rPr>
          <w:rFonts w:hint="eastAsia"/>
          <w:b w:val="0"/>
          <w:bCs/>
          <w:snapToGrid w:val="0"/>
          <w:color w:val="000000" w:themeColor="text1"/>
          <w:kern w:val="32"/>
          <w:sz w:val="24"/>
          <w:szCs w:val="24"/>
        </w:rPr>
        <w:t>繕</w:t>
      </w:r>
      <w:proofErr w:type="gramEnd"/>
      <w:r w:rsidR="001146B6" w:rsidRPr="0080600E">
        <w:rPr>
          <w:rFonts w:hint="eastAsia"/>
          <w:b w:val="0"/>
          <w:bCs/>
          <w:snapToGrid w:val="0"/>
          <w:color w:val="000000" w:themeColor="text1"/>
          <w:kern w:val="32"/>
          <w:sz w:val="24"/>
          <w:szCs w:val="24"/>
        </w:rPr>
        <w:t>工程施工品質。行政院公共工程委員會（下稱工程會）則於公共工程施工品質管理作業要點（下稱工程品管要點）之附件中，有關施工日誌部分訂定營造業專業工程特定施工項目與設置技術士等欄位。該會又於工程採購契約範本，訂定技術士設置人數由機關依營造業專業工程特定施工項目應置之技術士種類比率或人數標準表（下稱技術士標準表）及個案契約特性載明；未載明或載明之人數低於該標準表規定者，依該標準表設置等規定。另該會於公共工程雲端服務網（下稱雲端服務網</w:t>
      </w:r>
      <w:r>
        <w:rPr>
          <w:rFonts w:hint="eastAsia"/>
          <w:b w:val="0"/>
          <w:bCs/>
          <w:snapToGrid w:val="0"/>
          <w:color w:val="000000" w:themeColor="text1"/>
          <w:kern w:val="32"/>
          <w:sz w:val="24"/>
          <w:szCs w:val="24"/>
        </w:rPr>
        <w:t>）</w:t>
      </w:r>
      <w:r w:rsidR="001146B6" w:rsidRPr="0080600E">
        <w:rPr>
          <w:rFonts w:hint="eastAsia"/>
          <w:b w:val="0"/>
          <w:bCs/>
          <w:snapToGrid w:val="0"/>
          <w:color w:val="000000" w:themeColor="text1"/>
          <w:kern w:val="32"/>
          <w:sz w:val="24"/>
          <w:szCs w:val="24"/>
        </w:rPr>
        <w:t>建置技術士填報功能</w:t>
      </w:r>
      <w:r>
        <w:rPr>
          <w:rFonts w:hint="eastAsia"/>
          <w:b w:val="0"/>
          <w:bCs/>
          <w:snapToGrid w:val="0"/>
          <w:color w:val="000000" w:themeColor="text1"/>
          <w:kern w:val="32"/>
          <w:sz w:val="24"/>
          <w:szCs w:val="24"/>
        </w:rPr>
        <w:t>（</w:t>
      </w:r>
      <w:r w:rsidR="001146B6" w:rsidRPr="0080600E">
        <w:rPr>
          <w:rFonts w:hint="eastAsia"/>
          <w:b w:val="0"/>
          <w:bCs/>
          <w:snapToGrid w:val="0"/>
          <w:color w:val="000000" w:themeColor="text1"/>
          <w:kern w:val="32"/>
          <w:sz w:val="24"/>
          <w:szCs w:val="24"/>
        </w:rPr>
        <w:t>圖</w:t>
      </w:r>
      <w:r w:rsidR="00815EC4">
        <w:rPr>
          <w:rFonts w:hint="eastAsia"/>
          <w:b w:val="0"/>
          <w:bCs/>
          <w:snapToGrid w:val="0"/>
          <w:color w:val="000000" w:themeColor="text1"/>
          <w:kern w:val="32"/>
          <w:sz w:val="24"/>
          <w:szCs w:val="24"/>
        </w:rPr>
        <w:t>19</w:t>
      </w:r>
      <w:r>
        <w:rPr>
          <w:rFonts w:hint="eastAsia"/>
          <w:b w:val="0"/>
          <w:bCs/>
          <w:snapToGrid w:val="0"/>
          <w:color w:val="000000" w:themeColor="text1"/>
          <w:kern w:val="32"/>
          <w:sz w:val="24"/>
          <w:szCs w:val="24"/>
        </w:rPr>
        <w:t>）</w:t>
      </w:r>
      <w:r w:rsidR="001146B6" w:rsidRPr="0080600E">
        <w:rPr>
          <w:rFonts w:hint="eastAsia"/>
          <w:b w:val="0"/>
          <w:bCs/>
          <w:snapToGrid w:val="0"/>
          <w:color w:val="000000" w:themeColor="text1"/>
          <w:kern w:val="32"/>
          <w:sz w:val="24"/>
          <w:szCs w:val="24"/>
        </w:rPr>
        <w:t>，由各工程主辦機關於履約期間填報技術士設置相關資訊。經查各級政府公共工程技術士設置與管理作業執行情形，核有：1.工程會訂定工程品管要點，以提升公共工程施工品質，惟該要點對於屬施工品質管理範疇之專業工程特定施工項目技術士設置與履約事宜，卻未納入規範，不利各機關督促承攬廠商落實辦理相關作業，允</w:t>
      </w:r>
      <w:r w:rsidR="00641B91">
        <w:rPr>
          <w:rFonts w:hint="eastAsia"/>
          <w:b w:val="0"/>
          <w:bCs/>
          <w:snapToGrid w:val="0"/>
          <w:color w:val="000000" w:themeColor="text1"/>
          <w:kern w:val="32"/>
          <w:sz w:val="24"/>
          <w:szCs w:val="24"/>
        </w:rPr>
        <w:t>宜</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議於該要點增訂技術士之設置及應執行或注意事項，以強化公共工程品質管理作業；2.工程採購契約範本已將技術士之設置規定納入施工管理條款內，惟尚未就</w:t>
      </w:r>
      <w:proofErr w:type="gramStart"/>
      <w:r w:rsidR="001146B6" w:rsidRPr="0080600E">
        <w:rPr>
          <w:rFonts w:hint="eastAsia"/>
          <w:b w:val="0"/>
          <w:bCs/>
          <w:snapToGrid w:val="0"/>
          <w:color w:val="000000" w:themeColor="text1"/>
          <w:kern w:val="32"/>
          <w:sz w:val="24"/>
          <w:szCs w:val="24"/>
        </w:rPr>
        <w:t>技術士未設置</w:t>
      </w:r>
      <w:proofErr w:type="gramEnd"/>
      <w:r w:rsidR="001146B6" w:rsidRPr="0080600E">
        <w:rPr>
          <w:rFonts w:hint="eastAsia"/>
          <w:b w:val="0"/>
          <w:bCs/>
          <w:snapToGrid w:val="0"/>
          <w:color w:val="000000" w:themeColor="text1"/>
          <w:kern w:val="32"/>
          <w:sz w:val="24"/>
          <w:szCs w:val="24"/>
        </w:rPr>
        <w:t>、設置未足額或資格不符規定情形，訂定相關罰則，致機關難以有效督促承攬廠商落實技術士設置事宜，有待</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議於契約範本增訂廠商未依約設置技術士或履行相關義務之處罰或管制規定，以促使廠商履行法定義務；3</w:t>
      </w:r>
      <w:r w:rsidR="001146B6" w:rsidRPr="0080600E">
        <w:rPr>
          <w:b w:val="0"/>
          <w:bCs/>
          <w:snapToGrid w:val="0"/>
          <w:color w:val="000000" w:themeColor="text1"/>
          <w:kern w:val="32"/>
          <w:sz w:val="24"/>
          <w:szCs w:val="24"/>
        </w:rPr>
        <w:t>.</w:t>
      </w:r>
      <w:r w:rsidR="001146B6" w:rsidRPr="0080600E">
        <w:rPr>
          <w:rFonts w:hint="eastAsia"/>
          <w:b w:val="0"/>
          <w:bCs/>
          <w:snapToGrid w:val="0"/>
          <w:color w:val="000000" w:themeColor="text1"/>
          <w:kern w:val="32"/>
          <w:sz w:val="24"/>
          <w:szCs w:val="24"/>
        </w:rPr>
        <w:t>部分工程施工</w:t>
      </w:r>
      <w:proofErr w:type="gramStart"/>
      <w:r w:rsidR="001146B6" w:rsidRPr="0080600E">
        <w:rPr>
          <w:rFonts w:hint="eastAsia"/>
          <w:b w:val="0"/>
          <w:bCs/>
          <w:snapToGrid w:val="0"/>
          <w:color w:val="000000" w:themeColor="text1"/>
          <w:kern w:val="32"/>
          <w:sz w:val="24"/>
          <w:szCs w:val="24"/>
        </w:rPr>
        <w:t>期間，未妥適控</w:t>
      </w:r>
      <w:proofErr w:type="gramEnd"/>
      <w:r w:rsidR="001146B6" w:rsidRPr="0080600E">
        <w:rPr>
          <w:rFonts w:hint="eastAsia"/>
          <w:b w:val="0"/>
          <w:bCs/>
          <w:snapToGrid w:val="0"/>
          <w:color w:val="000000" w:themeColor="text1"/>
          <w:kern w:val="32"/>
          <w:sz w:val="24"/>
          <w:szCs w:val="24"/>
        </w:rPr>
        <w:t>管與詳實審查技術士設置情形，或未確實登錄技術士相關資訊而未及時發現廠商聘用之技術士人數或資格未符規定，有待督促各</w:t>
      </w:r>
      <w:proofErr w:type="gramStart"/>
      <w:r w:rsidR="001146B6" w:rsidRPr="0080600E">
        <w:rPr>
          <w:rFonts w:hint="eastAsia"/>
          <w:b w:val="0"/>
          <w:bCs/>
          <w:snapToGrid w:val="0"/>
          <w:color w:val="000000" w:themeColor="text1"/>
          <w:kern w:val="32"/>
          <w:sz w:val="24"/>
          <w:szCs w:val="24"/>
        </w:rPr>
        <w:t>機關確依規定</w:t>
      </w:r>
      <w:proofErr w:type="gramEnd"/>
      <w:r w:rsidR="001146B6" w:rsidRPr="0080600E">
        <w:rPr>
          <w:rFonts w:hint="eastAsia"/>
          <w:b w:val="0"/>
          <w:bCs/>
          <w:snapToGrid w:val="0"/>
          <w:color w:val="000000" w:themeColor="text1"/>
          <w:kern w:val="32"/>
          <w:sz w:val="24"/>
          <w:szCs w:val="24"/>
        </w:rPr>
        <w:t>落實辦理，並於雲端</w:t>
      </w:r>
      <w:proofErr w:type="gramStart"/>
      <w:r w:rsidR="001146B6" w:rsidRPr="0080600E">
        <w:rPr>
          <w:rFonts w:hint="eastAsia"/>
          <w:b w:val="0"/>
          <w:bCs/>
          <w:snapToGrid w:val="0"/>
          <w:color w:val="000000" w:themeColor="text1"/>
          <w:kern w:val="32"/>
          <w:sz w:val="24"/>
          <w:szCs w:val="24"/>
        </w:rPr>
        <w:t>服務網增設</w:t>
      </w:r>
      <w:proofErr w:type="gramEnd"/>
      <w:r w:rsidR="001146B6" w:rsidRPr="0080600E">
        <w:rPr>
          <w:rFonts w:hint="eastAsia"/>
          <w:b w:val="0"/>
          <w:bCs/>
          <w:snapToGrid w:val="0"/>
          <w:color w:val="000000" w:themeColor="text1"/>
          <w:kern w:val="32"/>
          <w:sz w:val="24"/>
          <w:szCs w:val="24"/>
        </w:rPr>
        <w:t>技術士相關資訊填報提醒或警示功能，以完善公共工程之施工管理作業等情事，經函請工程會</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謀改善。據復：1.</w:t>
      </w:r>
      <w:proofErr w:type="gramStart"/>
      <w:r w:rsidR="001146B6" w:rsidRPr="0080600E">
        <w:rPr>
          <w:rFonts w:hint="eastAsia"/>
          <w:b w:val="0"/>
          <w:bCs/>
          <w:snapToGrid w:val="0"/>
          <w:color w:val="000000" w:themeColor="text1"/>
          <w:kern w:val="32"/>
          <w:sz w:val="24"/>
          <w:szCs w:val="24"/>
        </w:rPr>
        <w:t>鑑</w:t>
      </w:r>
      <w:proofErr w:type="gramEnd"/>
      <w:r w:rsidR="001146B6" w:rsidRPr="0080600E">
        <w:rPr>
          <w:rFonts w:hint="eastAsia"/>
          <w:b w:val="0"/>
          <w:bCs/>
          <w:snapToGrid w:val="0"/>
          <w:color w:val="000000" w:themeColor="text1"/>
          <w:kern w:val="32"/>
          <w:sz w:val="24"/>
          <w:szCs w:val="24"/>
        </w:rPr>
        <w:t>於內政部刻正辦理技術士標準表</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修作業，將配合該部</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修結果，</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議修正工程品管要點或相關規定；2.將於技術士標準表完成修訂後，配合</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議於工程採購契約範本增訂相關處罰或管制規定等內容；3.已通函行政院各部會及各市縣政府督導所屬，依營造業法等相關規定及個案契約約定落實辦理技術士設置與管理作業，另將</w:t>
      </w:r>
      <w:proofErr w:type="gramStart"/>
      <w:r w:rsidR="001146B6" w:rsidRPr="0080600E">
        <w:rPr>
          <w:rFonts w:hint="eastAsia"/>
          <w:b w:val="0"/>
          <w:bCs/>
          <w:snapToGrid w:val="0"/>
          <w:color w:val="000000" w:themeColor="text1"/>
          <w:kern w:val="32"/>
          <w:sz w:val="24"/>
          <w:szCs w:val="24"/>
        </w:rPr>
        <w:t>研</w:t>
      </w:r>
      <w:proofErr w:type="gramEnd"/>
      <w:r w:rsidR="001146B6" w:rsidRPr="0080600E">
        <w:rPr>
          <w:rFonts w:hint="eastAsia"/>
          <w:b w:val="0"/>
          <w:bCs/>
          <w:snapToGrid w:val="0"/>
          <w:color w:val="000000" w:themeColor="text1"/>
          <w:kern w:val="32"/>
          <w:sz w:val="24"/>
          <w:szCs w:val="24"/>
        </w:rPr>
        <w:t>議於雲端服務網增加技術士設置規定之提醒說明。</w:t>
      </w:r>
    </w:p>
    <w:p w14:paraId="1B4EF6E7" w14:textId="7282C476" w:rsidR="00F83738" w:rsidRDefault="00F83738" w:rsidP="001C6861">
      <w:pPr>
        <w:pStyle w:val="affffff1"/>
        <w:spacing w:afterLines="0" w:after="0" w:line="434" w:lineRule="exact"/>
        <w:ind w:firstLineChars="200" w:firstLine="480"/>
        <w:outlineLvl w:val="1"/>
        <w:rPr>
          <w:b w:val="0"/>
          <w:bCs/>
          <w:snapToGrid w:val="0"/>
          <w:color w:val="000000" w:themeColor="text1"/>
          <w:kern w:val="32"/>
          <w:sz w:val="24"/>
          <w:szCs w:val="24"/>
        </w:rPr>
        <w:sectPr w:rsidR="00F83738" w:rsidSect="000D0096">
          <w:pgSz w:w="11906" w:h="16838" w:code="9"/>
          <w:pgMar w:top="1418" w:right="851" w:bottom="1418" w:left="851" w:header="1021" w:footer="737" w:gutter="284"/>
          <w:cols w:space="425"/>
          <w:docGrid w:type="lines" w:linePitch="360"/>
        </w:sectPr>
      </w:pPr>
    </w:p>
    <w:p w14:paraId="5B1D792D" w14:textId="1D5E69F6" w:rsidR="00215CEF" w:rsidRPr="00FF0427" w:rsidRDefault="005A568F" w:rsidP="00CA55FD">
      <w:pPr>
        <w:pStyle w:val="10"/>
        <w:overflowPunct w:val="0"/>
        <w:spacing w:beforeLines="20" w:before="72" w:afterLines="20" w:after="72" w:line="460" w:lineRule="exact"/>
        <w:ind w:firstLineChars="100" w:firstLine="320"/>
        <w:rPr>
          <w:rFonts w:ascii="標楷體" w:eastAsia="標楷體" w:hAnsi="標楷體"/>
          <w:color w:val="000000" w:themeColor="text1"/>
          <w:sz w:val="32"/>
          <w:szCs w:val="32"/>
        </w:rPr>
      </w:pPr>
      <w:r w:rsidRPr="00FF0427">
        <w:rPr>
          <w:rFonts w:ascii="標楷體" w:eastAsia="標楷體" w:hAnsi="標楷體" w:hint="eastAsia"/>
          <w:color w:val="000000" w:themeColor="text1"/>
          <w:sz w:val="32"/>
          <w:szCs w:val="32"/>
        </w:rPr>
        <w:lastRenderedPageBreak/>
        <w:t>五</w:t>
      </w:r>
      <w:r w:rsidR="00215CEF" w:rsidRPr="00FF0427">
        <w:rPr>
          <w:rFonts w:ascii="標楷體" w:eastAsia="標楷體" w:hAnsi="標楷體" w:hint="eastAsia"/>
          <w:color w:val="000000" w:themeColor="text1"/>
          <w:sz w:val="32"/>
          <w:szCs w:val="32"/>
        </w:rPr>
        <w:t>、</w:t>
      </w:r>
      <w:proofErr w:type="gramStart"/>
      <w:r w:rsidR="00FD2B62" w:rsidRPr="00FF0427">
        <w:rPr>
          <w:rFonts w:ascii="標楷體" w:eastAsia="標楷體" w:hAnsi="標楷體" w:hint="eastAsia"/>
          <w:color w:val="000000" w:themeColor="text1"/>
          <w:sz w:val="32"/>
          <w:szCs w:val="32"/>
        </w:rPr>
        <w:t>11</w:t>
      </w:r>
      <w:r w:rsidR="00E07D23">
        <w:rPr>
          <w:rFonts w:ascii="標楷體" w:eastAsia="標楷體" w:hAnsi="標楷體" w:hint="eastAsia"/>
          <w:color w:val="000000" w:themeColor="text1"/>
          <w:sz w:val="32"/>
          <w:szCs w:val="32"/>
        </w:rPr>
        <w:t>2</w:t>
      </w:r>
      <w:proofErr w:type="gramEnd"/>
      <w:r w:rsidR="00215CEF" w:rsidRPr="00FF0427">
        <w:rPr>
          <w:rFonts w:ascii="標楷體" w:eastAsia="標楷體" w:hAnsi="標楷體" w:hint="eastAsia"/>
          <w:color w:val="000000" w:themeColor="text1"/>
          <w:sz w:val="32"/>
          <w:szCs w:val="32"/>
        </w:rPr>
        <w:t>年度重要審核意見追蹤查核情形</w:t>
      </w:r>
    </w:p>
    <w:p w14:paraId="14BEA59E" w14:textId="4C7A4313" w:rsidR="00215CEF" w:rsidRPr="00FF0427" w:rsidRDefault="00B60947" w:rsidP="0089423C">
      <w:pPr>
        <w:pStyle w:val="af9"/>
        <w:overflowPunct w:val="0"/>
        <w:spacing w:beforeLines="0" w:before="0" w:afterLines="0" w:after="0" w:line="460" w:lineRule="exact"/>
        <w:ind w:firstLine="480"/>
        <w:rPr>
          <w:rFonts w:ascii="標楷體" w:hAnsi="標楷體"/>
          <w:b w:val="0"/>
          <w:color w:val="000000" w:themeColor="text1"/>
          <w:sz w:val="24"/>
          <w:szCs w:val="24"/>
        </w:rPr>
      </w:pPr>
      <w:r w:rsidRPr="000E7C47">
        <w:rPr>
          <w:rFonts w:ascii="標楷體" w:hAnsi="標楷體" w:hint="eastAsia"/>
          <w:b w:val="0"/>
          <w:color w:val="000000" w:themeColor="text1"/>
          <w:sz w:val="24"/>
          <w:szCs w:val="24"/>
        </w:rPr>
        <w:t>本部於</w:t>
      </w:r>
      <w:proofErr w:type="gramStart"/>
      <w:r w:rsidR="00CC59D2" w:rsidRPr="000E7C47">
        <w:rPr>
          <w:rFonts w:ascii="標楷體" w:hAnsi="標楷體" w:hint="eastAsia"/>
          <w:b w:val="0"/>
          <w:color w:val="000000" w:themeColor="text1"/>
          <w:sz w:val="24"/>
          <w:szCs w:val="24"/>
        </w:rPr>
        <w:t>1</w:t>
      </w:r>
      <w:r w:rsidR="00014F93" w:rsidRPr="000E7C47">
        <w:rPr>
          <w:rFonts w:ascii="標楷體" w:hAnsi="標楷體" w:hint="eastAsia"/>
          <w:b w:val="0"/>
          <w:color w:val="000000" w:themeColor="text1"/>
          <w:sz w:val="24"/>
          <w:szCs w:val="24"/>
        </w:rPr>
        <w:t>1</w:t>
      </w:r>
      <w:r w:rsidR="00F37FEF" w:rsidRPr="000E7C47">
        <w:rPr>
          <w:rFonts w:ascii="標楷體" w:hAnsi="標楷體" w:hint="eastAsia"/>
          <w:b w:val="0"/>
          <w:color w:val="000000" w:themeColor="text1"/>
          <w:sz w:val="24"/>
          <w:szCs w:val="24"/>
        </w:rPr>
        <w:t>2</w:t>
      </w:r>
      <w:proofErr w:type="gramEnd"/>
      <w:r w:rsidRPr="000E7C47">
        <w:rPr>
          <w:rFonts w:ascii="標楷體" w:hAnsi="標楷體" w:hint="eastAsia"/>
          <w:b w:val="0"/>
          <w:color w:val="000000" w:themeColor="text1"/>
          <w:sz w:val="24"/>
          <w:szCs w:val="24"/>
        </w:rPr>
        <w:t>年度審核報告內列普通公務相關</w:t>
      </w:r>
      <w:r w:rsidR="00EF1AEF" w:rsidRPr="000E7C47">
        <w:rPr>
          <w:rFonts w:ascii="標楷體" w:hAnsi="標楷體" w:hint="eastAsia"/>
          <w:b w:val="0"/>
          <w:color w:val="000000" w:themeColor="text1"/>
          <w:sz w:val="24"/>
          <w:szCs w:val="24"/>
        </w:rPr>
        <w:t>重要審核意見</w:t>
      </w:r>
      <w:r w:rsidR="00190F0B">
        <w:rPr>
          <w:rFonts w:ascii="標楷體" w:hAnsi="標楷體" w:hint="eastAsia"/>
          <w:b w:val="0"/>
          <w:color w:val="000000" w:themeColor="text1"/>
          <w:sz w:val="24"/>
          <w:szCs w:val="24"/>
        </w:rPr>
        <w:t>41</w:t>
      </w:r>
      <w:r w:rsidR="00EF1AEF" w:rsidRPr="000E7C47">
        <w:rPr>
          <w:rFonts w:ascii="標楷體" w:hAnsi="標楷體" w:hint="eastAsia"/>
          <w:b w:val="0"/>
          <w:color w:val="000000" w:themeColor="text1"/>
          <w:sz w:val="24"/>
          <w:szCs w:val="24"/>
        </w:rPr>
        <w:t>項，經</w:t>
      </w:r>
      <w:proofErr w:type="gramStart"/>
      <w:r w:rsidR="00EF1AEF" w:rsidRPr="000E7C47">
        <w:rPr>
          <w:rFonts w:ascii="標楷體" w:hAnsi="標楷體" w:hint="eastAsia"/>
          <w:b w:val="0"/>
          <w:color w:val="000000" w:themeColor="text1"/>
          <w:sz w:val="24"/>
          <w:szCs w:val="24"/>
        </w:rPr>
        <w:t>賡</w:t>
      </w:r>
      <w:proofErr w:type="gramEnd"/>
      <w:r w:rsidR="00EF1AEF" w:rsidRPr="000E7C47">
        <w:rPr>
          <w:rFonts w:ascii="標楷體" w:hAnsi="標楷體" w:hint="eastAsia"/>
          <w:b w:val="0"/>
          <w:color w:val="000000" w:themeColor="text1"/>
          <w:sz w:val="24"/>
          <w:szCs w:val="24"/>
        </w:rPr>
        <w:t>續追蹤查核實際辦理結果，仍待繼續改善者</w:t>
      </w:r>
      <w:r w:rsidR="00F37FEF" w:rsidRPr="000E7C47">
        <w:rPr>
          <w:rFonts w:ascii="標楷體" w:hAnsi="標楷體" w:hint="eastAsia"/>
          <w:b w:val="0"/>
          <w:color w:val="000000" w:themeColor="text1"/>
          <w:sz w:val="24"/>
          <w:szCs w:val="24"/>
        </w:rPr>
        <w:t>9</w:t>
      </w:r>
      <w:r w:rsidR="00EF1AEF" w:rsidRPr="000E7C47">
        <w:rPr>
          <w:rFonts w:ascii="標楷體" w:hAnsi="標楷體" w:hint="eastAsia"/>
          <w:b w:val="0"/>
          <w:color w:val="000000" w:themeColor="text1"/>
          <w:sz w:val="24"/>
          <w:szCs w:val="24"/>
        </w:rPr>
        <w:t>項、</w:t>
      </w:r>
      <w:r w:rsidR="00D53C51" w:rsidRPr="000E7C47">
        <w:rPr>
          <w:rFonts w:ascii="標楷體" w:hAnsi="標楷體" w:hint="eastAsia"/>
          <w:b w:val="0"/>
          <w:color w:val="000000" w:themeColor="text1"/>
          <w:sz w:val="24"/>
          <w:szCs w:val="24"/>
        </w:rPr>
        <w:t>處理中</w:t>
      </w:r>
      <w:r w:rsidR="000E7C47" w:rsidRPr="000E7C47">
        <w:rPr>
          <w:rFonts w:ascii="標楷體" w:hAnsi="標楷體" w:hint="eastAsia"/>
          <w:b w:val="0"/>
          <w:color w:val="000000" w:themeColor="text1"/>
          <w:sz w:val="24"/>
          <w:szCs w:val="24"/>
        </w:rPr>
        <w:t>4</w:t>
      </w:r>
      <w:r w:rsidR="00D53C51" w:rsidRPr="000E7C47">
        <w:rPr>
          <w:rFonts w:ascii="標楷體" w:hAnsi="標楷體" w:hint="eastAsia"/>
          <w:b w:val="0"/>
          <w:color w:val="000000" w:themeColor="text1"/>
          <w:sz w:val="24"/>
          <w:szCs w:val="24"/>
        </w:rPr>
        <w:t>項、</w:t>
      </w:r>
      <w:r w:rsidR="00832971" w:rsidRPr="000E7C47">
        <w:rPr>
          <w:rFonts w:ascii="標楷體" w:hAnsi="標楷體" w:hint="eastAsia"/>
          <w:b w:val="0"/>
          <w:color w:val="000000" w:themeColor="text1"/>
          <w:sz w:val="24"/>
          <w:szCs w:val="24"/>
        </w:rPr>
        <w:t>已</w:t>
      </w:r>
      <w:proofErr w:type="gramStart"/>
      <w:r w:rsidR="00EF1AEF" w:rsidRPr="000E7C47">
        <w:rPr>
          <w:rFonts w:ascii="標楷體" w:hAnsi="標楷體" w:hint="eastAsia"/>
          <w:b w:val="0"/>
          <w:color w:val="000000" w:themeColor="text1"/>
          <w:sz w:val="24"/>
          <w:szCs w:val="24"/>
        </w:rPr>
        <w:t>研</w:t>
      </w:r>
      <w:proofErr w:type="gramEnd"/>
      <w:r w:rsidR="00EF1AEF" w:rsidRPr="000E7C47">
        <w:rPr>
          <w:rFonts w:ascii="標楷體" w:hAnsi="標楷體" w:hint="eastAsia"/>
          <w:b w:val="0"/>
          <w:color w:val="000000" w:themeColor="text1"/>
          <w:sz w:val="24"/>
          <w:szCs w:val="24"/>
        </w:rPr>
        <w:t>謀改善或依改善措施持續辦理者</w:t>
      </w:r>
      <w:r w:rsidR="00D53C51" w:rsidRPr="000E7C47">
        <w:rPr>
          <w:rFonts w:ascii="標楷體" w:hAnsi="標楷體"/>
          <w:b w:val="0"/>
          <w:color w:val="000000" w:themeColor="text1"/>
          <w:sz w:val="24"/>
          <w:szCs w:val="24"/>
        </w:rPr>
        <w:t>2</w:t>
      </w:r>
      <w:r w:rsidR="00190F0B">
        <w:rPr>
          <w:rFonts w:ascii="標楷體" w:hAnsi="標楷體" w:hint="eastAsia"/>
          <w:b w:val="0"/>
          <w:color w:val="000000" w:themeColor="text1"/>
          <w:sz w:val="24"/>
          <w:szCs w:val="24"/>
        </w:rPr>
        <w:t>8</w:t>
      </w:r>
      <w:r w:rsidR="00EF1AEF" w:rsidRPr="000E7C47">
        <w:rPr>
          <w:rFonts w:ascii="標楷體" w:hAnsi="標楷體" w:hint="eastAsia"/>
          <w:b w:val="0"/>
          <w:color w:val="000000" w:themeColor="text1"/>
          <w:sz w:val="24"/>
          <w:szCs w:val="24"/>
        </w:rPr>
        <w:t>項（</w:t>
      </w:r>
      <w:r w:rsidR="00821BB0" w:rsidRPr="000E7C47">
        <w:rPr>
          <w:rFonts w:ascii="標楷體" w:hAnsi="標楷體" w:hint="eastAsia"/>
          <w:b w:val="0"/>
          <w:color w:val="000000" w:themeColor="text1"/>
          <w:sz w:val="24"/>
          <w:szCs w:val="24"/>
        </w:rPr>
        <w:t>表</w:t>
      </w:r>
      <w:r w:rsidR="00857033" w:rsidRPr="000E7C47">
        <w:rPr>
          <w:rFonts w:ascii="標楷體" w:hAnsi="標楷體" w:hint="eastAsia"/>
          <w:b w:val="0"/>
          <w:color w:val="000000" w:themeColor="text1"/>
          <w:sz w:val="24"/>
          <w:szCs w:val="24"/>
        </w:rPr>
        <w:t>5</w:t>
      </w:r>
      <w:r w:rsidR="00FF6219">
        <w:rPr>
          <w:rFonts w:ascii="標楷體" w:hAnsi="標楷體" w:hint="eastAsia"/>
          <w:b w:val="0"/>
          <w:color w:val="000000" w:themeColor="text1"/>
          <w:sz w:val="24"/>
          <w:szCs w:val="24"/>
        </w:rPr>
        <w:t>9</w:t>
      </w:r>
      <w:r w:rsidR="00EF1AEF" w:rsidRPr="000E7C47">
        <w:rPr>
          <w:rFonts w:ascii="標楷體" w:hAnsi="標楷體" w:hint="eastAsia"/>
          <w:b w:val="0"/>
          <w:color w:val="000000" w:themeColor="text1"/>
          <w:sz w:val="24"/>
          <w:szCs w:val="24"/>
        </w:rPr>
        <w:t>），</w:t>
      </w:r>
      <w:r w:rsidR="00EF1AEF" w:rsidRPr="006D433E">
        <w:rPr>
          <w:rFonts w:ascii="標楷體" w:hAnsi="標楷體" w:hint="eastAsia"/>
          <w:b w:val="0"/>
          <w:color w:val="000000" w:themeColor="text1"/>
          <w:sz w:val="24"/>
          <w:szCs w:val="24"/>
        </w:rPr>
        <w:t>其中仍待繼續改善者，經再</w:t>
      </w:r>
      <w:proofErr w:type="gramStart"/>
      <w:r w:rsidR="00EF1AEF" w:rsidRPr="006D433E">
        <w:rPr>
          <w:rFonts w:ascii="標楷體" w:hAnsi="標楷體" w:hint="eastAsia"/>
          <w:b w:val="0"/>
          <w:color w:val="000000" w:themeColor="text1"/>
          <w:sz w:val="24"/>
          <w:szCs w:val="24"/>
        </w:rPr>
        <w:t>研</w:t>
      </w:r>
      <w:proofErr w:type="gramEnd"/>
      <w:r w:rsidR="00EF1AEF" w:rsidRPr="006D433E">
        <w:rPr>
          <w:rFonts w:ascii="標楷體" w:hAnsi="標楷體" w:hint="eastAsia"/>
          <w:b w:val="0"/>
          <w:color w:val="000000" w:themeColor="text1"/>
          <w:sz w:val="24"/>
          <w:szCs w:val="24"/>
        </w:rPr>
        <w:t>提審核意見</w:t>
      </w:r>
      <w:r w:rsidR="006D433E" w:rsidRPr="006D433E">
        <w:rPr>
          <w:rFonts w:ascii="標楷體" w:hAnsi="標楷體" w:hint="eastAsia"/>
          <w:b w:val="0"/>
          <w:color w:val="000000" w:themeColor="text1"/>
          <w:sz w:val="24"/>
          <w:szCs w:val="24"/>
        </w:rPr>
        <w:t>12</w:t>
      </w:r>
      <w:r w:rsidR="00EF1AEF" w:rsidRPr="006D433E">
        <w:rPr>
          <w:rFonts w:ascii="標楷體" w:hAnsi="標楷體" w:hint="eastAsia"/>
          <w:b w:val="0"/>
          <w:color w:val="000000" w:themeColor="text1"/>
          <w:sz w:val="24"/>
          <w:szCs w:val="24"/>
        </w:rPr>
        <w:t>項通知檢討改善。</w:t>
      </w:r>
    </w:p>
    <w:p w14:paraId="70E451F2" w14:textId="4E3CEF14" w:rsidR="00215CEF" w:rsidRPr="00FF0427" w:rsidRDefault="00821BB0" w:rsidP="00855376">
      <w:pPr>
        <w:overflowPunct w:val="0"/>
        <w:spacing w:beforeLines="50" w:before="180" w:afterLines="30" w:after="108" w:line="330" w:lineRule="exact"/>
        <w:jc w:val="center"/>
        <w:rPr>
          <w:rFonts w:ascii="標楷體" w:eastAsia="標楷體" w:hAnsi="標楷體"/>
          <w:b/>
          <w:color w:val="000000" w:themeColor="text1"/>
          <w:szCs w:val="24"/>
        </w:rPr>
      </w:pPr>
      <w:r w:rsidRPr="00FF0427">
        <w:rPr>
          <w:rFonts w:ascii="標楷體" w:eastAsia="標楷體" w:hAnsi="標楷體" w:hint="eastAsia"/>
          <w:b/>
          <w:color w:val="000000" w:themeColor="text1"/>
          <w:szCs w:val="24"/>
        </w:rPr>
        <w:t>表</w:t>
      </w:r>
      <w:r w:rsidR="00C114FE">
        <w:rPr>
          <w:rFonts w:ascii="標楷體" w:eastAsia="標楷體" w:hAnsi="標楷體" w:hint="eastAsia"/>
          <w:b/>
          <w:color w:val="000000" w:themeColor="text1"/>
          <w:szCs w:val="24"/>
        </w:rPr>
        <w:t>5</w:t>
      </w:r>
      <w:r w:rsidR="00FF6219">
        <w:rPr>
          <w:rFonts w:ascii="標楷體" w:eastAsia="標楷體" w:hAnsi="標楷體" w:hint="eastAsia"/>
          <w:b/>
          <w:color w:val="000000" w:themeColor="text1"/>
          <w:szCs w:val="24"/>
        </w:rPr>
        <w:t>9</w:t>
      </w:r>
      <w:r w:rsidR="00215CEF" w:rsidRPr="00FF0427">
        <w:rPr>
          <w:rFonts w:ascii="標楷體" w:eastAsia="標楷體" w:hAnsi="標楷體" w:hint="eastAsia"/>
          <w:b/>
          <w:color w:val="000000" w:themeColor="text1"/>
          <w:szCs w:val="24"/>
        </w:rPr>
        <w:t xml:space="preserve">　</w:t>
      </w:r>
      <w:proofErr w:type="gramStart"/>
      <w:r w:rsidR="00215CEF" w:rsidRPr="00FF0427">
        <w:rPr>
          <w:rFonts w:ascii="標楷體" w:eastAsia="標楷體" w:hAnsi="標楷體"/>
          <w:b/>
          <w:color w:val="000000" w:themeColor="text1"/>
          <w:szCs w:val="24"/>
        </w:rPr>
        <w:t>1</w:t>
      </w:r>
      <w:r w:rsidR="00516442" w:rsidRPr="00FF0427">
        <w:rPr>
          <w:rFonts w:ascii="標楷體" w:eastAsia="標楷體" w:hAnsi="標楷體" w:hint="eastAsia"/>
          <w:b/>
          <w:color w:val="000000" w:themeColor="text1"/>
          <w:szCs w:val="24"/>
        </w:rPr>
        <w:t>1</w:t>
      </w:r>
      <w:r w:rsidR="00C114FE">
        <w:rPr>
          <w:rFonts w:ascii="標楷體" w:eastAsia="標楷體" w:hAnsi="標楷體" w:hint="eastAsia"/>
          <w:b/>
          <w:color w:val="000000" w:themeColor="text1"/>
          <w:szCs w:val="24"/>
        </w:rPr>
        <w:t>2</w:t>
      </w:r>
      <w:proofErr w:type="gramEnd"/>
      <w:r w:rsidR="00940033" w:rsidRPr="00FF0427">
        <w:rPr>
          <w:rFonts w:ascii="標楷體" w:eastAsia="標楷體" w:hAnsi="標楷體" w:hint="eastAsia"/>
          <w:b/>
          <w:color w:val="000000" w:themeColor="text1"/>
          <w:szCs w:val="24"/>
        </w:rPr>
        <w:t>年度審核報告所</w:t>
      </w:r>
      <w:proofErr w:type="gramStart"/>
      <w:r w:rsidR="00940033" w:rsidRPr="00FF0427">
        <w:rPr>
          <w:rFonts w:ascii="標楷體" w:eastAsia="標楷體" w:hAnsi="標楷體" w:hint="eastAsia"/>
          <w:b/>
          <w:color w:val="000000" w:themeColor="text1"/>
          <w:szCs w:val="24"/>
        </w:rPr>
        <w:t>列行</w:t>
      </w:r>
      <w:proofErr w:type="gramEnd"/>
      <w:r w:rsidR="00940033" w:rsidRPr="00FF0427">
        <w:rPr>
          <w:rFonts w:ascii="標楷體" w:eastAsia="標楷體" w:hAnsi="標楷體" w:hint="eastAsia"/>
          <w:b/>
          <w:color w:val="000000" w:themeColor="text1"/>
          <w:szCs w:val="24"/>
        </w:rPr>
        <w:t>政院主管</w:t>
      </w:r>
      <w:r w:rsidR="00F76707" w:rsidRPr="00FF0427">
        <w:rPr>
          <w:rFonts w:ascii="標楷體" w:eastAsia="標楷體" w:hAnsi="標楷體" w:hint="eastAsia"/>
          <w:b/>
          <w:color w:val="000000" w:themeColor="text1"/>
          <w:szCs w:val="24"/>
        </w:rPr>
        <w:t>普通公務相關</w:t>
      </w:r>
      <w:r w:rsidR="00940033" w:rsidRPr="00FF0427">
        <w:rPr>
          <w:rFonts w:ascii="標楷體" w:eastAsia="標楷體" w:hAnsi="標楷體" w:hint="eastAsia"/>
          <w:b/>
          <w:color w:val="000000" w:themeColor="text1"/>
          <w:szCs w:val="24"/>
        </w:rPr>
        <w:t>重要審核意見覆核辦理情形</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6"/>
        <w:gridCol w:w="3827"/>
      </w:tblGrid>
      <w:tr w:rsidR="007A6350" w:rsidRPr="00FF0427" w14:paraId="6989050C" w14:textId="77777777" w:rsidTr="00DA2751">
        <w:trPr>
          <w:trHeight w:val="20"/>
          <w:tblHeader/>
        </w:trPr>
        <w:tc>
          <w:tcPr>
            <w:tcW w:w="6096" w:type="dxa"/>
            <w:tcBorders>
              <w:top w:val="single" w:sz="4" w:space="0" w:color="auto"/>
              <w:left w:val="single" w:sz="4" w:space="0" w:color="auto"/>
              <w:bottom w:val="single" w:sz="4" w:space="0" w:color="auto"/>
              <w:right w:val="single" w:sz="4" w:space="0" w:color="auto"/>
            </w:tcBorders>
            <w:vAlign w:val="center"/>
          </w:tcPr>
          <w:p w14:paraId="0228AFEC" w14:textId="77777777" w:rsidR="00215CEF" w:rsidRPr="00FF0427" w:rsidRDefault="00215CEF" w:rsidP="000E3076">
            <w:pPr>
              <w:overflowPunct w:val="0"/>
              <w:spacing w:line="340" w:lineRule="exact"/>
              <w:jc w:val="center"/>
              <w:rPr>
                <w:rFonts w:ascii="標楷體" w:eastAsia="標楷體" w:hAnsi="標楷體"/>
                <w:color w:val="000000" w:themeColor="text1"/>
                <w:sz w:val="20"/>
              </w:rPr>
            </w:pPr>
            <w:bookmarkStart w:id="45" w:name="_Hlk202170838"/>
            <w:r w:rsidRPr="00FF0427">
              <w:rPr>
                <w:rFonts w:ascii="標楷體" w:eastAsia="標楷體" w:hAnsi="標楷體" w:hint="eastAsia"/>
                <w:color w:val="000000" w:themeColor="text1"/>
                <w:sz w:val="20"/>
              </w:rPr>
              <w:t>重要審核意見標題</w:t>
            </w:r>
          </w:p>
        </w:tc>
        <w:tc>
          <w:tcPr>
            <w:tcW w:w="3827" w:type="dxa"/>
            <w:tcBorders>
              <w:top w:val="single" w:sz="4" w:space="0" w:color="auto"/>
              <w:left w:val="single" w:sz="4" w:space="0" w:color="auto"/>
              <w:bottom w:val="single" w:sz="4" w:space="0" w:color="auto"/>
              <w:right w:val="single" w:sz="4" w:space="0" w:color="auto"/>
            </w:tcBorders>
            <w:vAlign w:val="center"/>
          </w:tcPr>
          <w:p w14:paraId="6DF19FB6" w14:textId="77777777" w:rsidR="00215CEF" w:rsidRPr="00FF0427" w:rsidRDefault="00215CEF" w:rsidP="000E3076">
            <w:pPr>
              <w:overflowPunct w:val="0"/>
              <w:spacing w:line="34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說明</w:t>
            </w:r>
          </w:p>
        </w:tc>
      </w:tr>
      <w:bookmarkEnd w:id="45"/>
      <w:tr w:rsidR="007A6350" w:rsidRPr="00FF0427" w14:paraId="6C7204F7" w14:textId="77777777" w:rsidTr="00DA2751">
        <w:trPr>
          <w:trHeight w:val="20"/>
        </w:trPr>
        <w:tc>
          <w:tcPr>
            <w:tcW w:w="6096" w:type="dxa"/>
            <w:tcBorders>
              <w:top w:val="single" w:sz="4" w:space="0" w:color="auto"/>
              <w:left w:val="single" w:sz="4" w:space="0" w:color="auto"/>
              <w:bottom w:val="single" w:sz="4" w:space="0" w:color="auto"/>
              <w:right w:val="nil"/>
            </w:tcBorders>
            <w:vAlign w:val="center"/>
          </w:tcPr>
          <w:p w14:paraId="48939EE9" w14:textId="77777777" w:rsidR="00215CEF" w:rsidRPr="00FF0427" w:rsidRDefault="00215CEF" w:rsidP="000E3076">
            <w:pPr>
              <w:overflowPunct w:val="0"/>
              <w:spacing w:line="340" w:lineRule="exact"/>
              <w:ind w:left="294" w:hanging="318"/>
              <w:jc w:val="both"/>
              <w:rPr>
                <w:rFonts w:ascii="標楷體" w:eastAsia="標楷體" w:hAnsi="標楷體"/>
                <w:b/>
                <w:color w:val="000000" w:themeColor="text1"/>
                <w:sz w:val="20"/>
              </w:rPr>
            </w:pPr>
            <w:r w:rsidRPr="00FF0427">
              <w:rPr>
                <w:rFonts w:ascii="標楷體" w:eastAsia="標楷體" w:hAnsi="標楷體" w:hint="eastAsia"/>
                <w:b/>
                <w:noProof/>
                <w:color w:val="000000" w:themeColor="text1"/>
                <w:sz w:val="20"/>
              </w:rPr>
              <w:t>仍待繼續改善</w:t>
            </w:r>
          </w:p>
        </w:tc>
        <w:tc>
          <w:tcPr>
            <w:tcW w:w="3827" w:type="dxa"/>
            <w:tcBorders>
              <w:top w:val="single" w:sz="4" w:space="0" w:color="auto"/>
              <w:left w:val="nil"/>
              <w:bottom w:val="single" w:sz="4" w:space="0" w:color="auto"/>
              <w:right w:val="single" w:sz="4" w:space="0" w:color="auto"/>
            </w:tcBorders>
            <w:vAlign w:val="center"/>
          </w:tcPr>
          <w:p w14:paraId="62442CA8" w14:textId="77777777" w:rsidR="00215CEF" w:rsidRPr="00FF0427" w:rsidRDefault="00215CEF" w:rsidP="000E3076">
            <w:pPr>
              <w:overflowPunct w:val="0"/>
              <w:spacing w:line="340" w:lineRule="exact"/>
              <w:jc w:val="both"/>
              <w:rPr>
                <w:rFonts w:ascii="標楷體" w:eastAsia="標楷體" w:hAnsi="標楷體"/>
                <w:b/>
                <w:color w:val="000000" w:themeColor="text1"/>
                <w:sz w:val="20"/>
              </w:rPr>
            </w:pPr>
          </w:p>
        </w:tc>
      </w:tr>
      <w:tr w:rsidR="00B32084" w:rsidRPr="00FF0427" w14:paraId="14B19B07" w14:textId="77777777"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330C5576" w14:textId="5CDEB5F4" w:rsidR="00B32084" w:rsidRPr="008E44A7" w:rsidRDefault="00425723" w:rsidP="000E3076">
            <w:pPr>
              <w:overflowPunct w:val="0"/>
              <w:snapToGrid w:val="0"/>
              <w:spacing w:line="340" w:lineRule="exact"/>
              <w:ind w:left="600" w:hangingChars="300" w:hanging="600"/>
              <w:jc w:val="both"/>
              <w:rPr>
                <w:rFonts w:ascii="標楷體" w:eastAsia="標楷體" w:hAnsi="標楷體"/>
                <w:color w:val="000000" w:themeColor="text1"/>
                <w:sz w:val="20"/>
              </w:rPr>
            </w:pPr>
            <w:r w:rsidRPr="008E44A7">
              <w:rPr>
                <w:rFonts w:ascii="標楷體" w:eastAsia="標楷體" w:hAnsi="標楷體" w:hint="eastAsia"/>
                <w:noProof/>
                <w:color w:val="000000" w:themeColor="text1"/>
                <w:sz w:val="20"/>
              </w:rPr>
              <w:t>（一）</w:t>
            </w:r>
            <w:r w:rsidR="008E44A7" w:rsidRPr="008E44A7">
              <w:rPr>
                <w:rFonts w:ascii="標楷體" w:eastAsia="標楷體" w:hAnsi="標楷體" w:hint="eastAsia"/>
                <w:noProof/>
                <w:color w:val="000000" w:themeColor="text1"/>
                <w:sz w:val="20"/>
              </w:rPr>
              <w:t>我國近年來所得分配不均程度及所得差距倍數均微幅擴大，允宜研議重新恢復改善所得分配專案小組運作之可行性，俾強化協調及督導各部會落實執行改善所得分配相關計畫；又為提高弱勢族群之社會階層流動機會，突破貧窮世襲窘境，保障弱勢族群不受政策產生負面影響，允宜參考先進國家經驗，研議建立政策對弱勢族群之脆弱度或權益影響評估機制，並參照公正轉型作法，提出具體因應對策，以利政策推動及保障受影響對象權益。</w:t>
            </w:r>
          </w:p>
        </w:tc>
        <w:tc>
          <w:tcPr>
            <w:tcW w:w="3827" w:type="dxa"/>
            <w:tcBorders>
              <w:top w:val="single" w:sz="4" w:space="0" w:color="auto"/>
              <w:left w:val="single" w:sz="4" w:space="0" w:color="auto"/>
              <w:bottom w:val="single" w:sz="4" w:space="0" w:color="auto"/>
              <w:right w:val="single" w:sz="4" w:space="0" w:color="auto"/>
            </w:tcBorders>
          </w:tcPr>
          <w:p w14:paraId="7B375480" w14:textId="6FE46824" w:rsidR="00B32084" w:rsidRPr="008E44A7" w:rsidRDefault="008E44A7" w:rsidP="000E3076">
            <w:pPr>
              <w:overflowPunct w:val="0"/>
              <w:snapToGrid w:val="0"/>
              <w:spacing w:line="340" w:lineRule="exact"/>
              <w:jc w:val="both"/>
              <w:rPr>
                <w:rFonts w:ascii="標楷體" w:eastAsia="標楷體" w:hAnsi="標楷體"/>
                <w:noProof/>
                <w:color w:val="000000" w:themeColor="text1"/>
                <w:sz w:val="20"/>
              </w:rPr>
            </w:pPr>
            <w:r w:rsidRPr="008E44A7">
              <w:rPr>
                <w:rFonts w:ascii="標楷體" w:eastAsia="標楷體" w:hAnsi="標楷體" w:hint="eastAsia"/>
                <w:noProof/>
                <w:color w:val="000000" w:themeColor="text1"/>
                <w:sz w:val="20"/>
              </w:rPr>
              <w:t>因所得分配差距雖略有趨緩，惟分配不均現象持續，業再研提審核意見詳「四、重要審核意見（三）」。</w:t>
            </w:r>
          </w:p>
        </w:tc>
      </w:tr>
      <w:tr w:rsidR="007A6350" w:rsidRPr="00FF0427" w14:paraId="34D10773" w14:textId="77777777"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6D35730F" w14:textId="752EA050" w:rsidR="00E16D34" w:rsidRPr="005D7EA8" w:rsidRDefault="00B529E4" w:rsidP="000E3076">
            <w:pPr>
              <w:overflowPunct w:val="0"/>
              <w:snapToGrid w:val="0"/>
              <w:spacing w:line="340" w:lineRule="exact"/>
              <w:ind w:left="600" w:hangingChars="300" w:hanging="600"/>
              <w:jc w:val="both"/>
              <w:rPr>
                <w:rFonts w:ascii="標楷體" w:eastAsia="標楷體" w:hAnsi="標楷體"/>
                <w:color w:val="FF0000"/>
                <w:sz w:val="20"/>
              </w:rPr>
            </w:pPr>
            <w:r w:rsidRPr="009B4BB5">
              <w:rPr>
                <w:rFonts w:ascii="標楷體" w:eastAsia="標楷體" w:hAnsi="標楷體" w:hint="eastAsia"/>
                <w:color w:val="000000" w:themeColor="text1"/>
                <w:sz w:val="20"/>
              </w:rPr>
              <w:t>（</w:t>
            </w:r>
            <w:r w:rsidR="009F4E49" w:rsidRPr="009B4BB5">
              <w:rPr>
                <w:rFonts w:ascii="標楷體" w:eastAsia="標楷體" w:hAnsi="標楷體" w:hint="eastAsia"/>
                <w:color w:val="000000" w:themeColor="text1"/>
                <w:sz w:val="20"/>
              </w:rPr>
              <w:t>二</w:t>
            </w:r>
            <w:r w:rsidRPr="009B4BB5">
              <w:rPr>
                <w:rFonts w:ascii="標楷體" w:eastAsia="標楷體" w:hAnsi="標楷體" w:hint="eastAsia"/>
                <w:color w:val="000000" w:themeColor="text1"/>
                <w:sz w:val="20"/>
              </w:rPr>
              <w:t>）</w:t>
            </w:r>
            <w:r w:rsidR="009B4BB5" w:rsidRPr="009B4BB5">
              <w:rPr>
                <w:rFonts w:ascii="標楷體" w:eastAsia="標楷體" w:hAnsi="標楷體" w:hint="eastAsia"/>
                <w:color w:val="000000" w:themeColor="text1"/>
                <w:sz w:val="20"/>
              </w:rPr>
              <w:t>政府移轉收支已縮減所得差距，惟長期以來，政府為達成特定政策目標，實施各項租稅減免措施，致我國租稅負擔率持續偏低，且薪資所得占綜合所得稅比重偏高，部分資本利得未列入課稅，租稅制度改善所得分配效果有限，允宜督促檢討各項稅式支出之必要性及合宜性，持續精進稅制，</w:t>
            </w:r>
            <w:proofErr w:type="gramStart"/>
            <w:r w:rsidR="009B4BB5" w:rsidRPr="009B4BB5">
              <w:rPr>
                <w:rFonts w:ascii="標楷體" w:eastAsia="標楷體" w:hAnsi="標楷體" w:hint="eastAsia"/>
                <w:color w:val="000000" w:themeColor="text1"/>
                <w:sz w:val="20"/>
              </w:rPr>
              <w:t>俾</w:t>
            </w:r>
            <w:proofErr w:type="gramEnd"/>
            <w:r w:rsidR="009B4BB5" w:rsidRPr="009B4BB5">
              <w:rPr>
                <w:rFonts w:ascii="標楷體" w:eastAsia="標楷體" w:hAnsi="標楷體" w:hint="eastAsia"/>
                <w:color w:val="000000" w:themeColor="text1"/>
                <w:sz w:val="20"/>
              </w:rPr>
              <w:t>維租稅公平，並逐步減緩所得分配不均。</w:t>
            </w:r>
          </w:p>
        </w:tc>
        <w:tc>
          <w:tcPr>
            <w:tcW w:w="3827" w:type="dxa"/>
            <w:tcBorders>
              <w:top w:val="single" w:sz="4" w:space="0" w:color="auto"/>
              <w:left w:val="single" w:sz="4" w:space="0" w:color="auto"/>
              <w:bottom w:val="single" w:sz="4" w:space="0" w:color="auto"/>
              <w:right w:val="single" w:sz="4" w:space="0" w:color="auto"/>
            </w:tcBorders>
          </w:tcPr>
          <w:p w14:paraId="368C060E" w14:textId="1F3A8D65" w:rsidR="00886E37" w:rsidRPr="009B4BB5" w:rsidRDefault="009B4BB5" w:rsidP="000E3076">
            <w:pPr>
              <w:overflowPunct w:val="0"/>
              <w:snapToGrid w:val="0"/>
              <w:spacing w:line="340" w:lineRule="exact"/>
              <w:jc w:val="both"/>
              <w:rPr>
                <w:rFonts w:ascii="標楷體" w:eastAsia="標楷體" w:hAnsi="標楷體"/>
                <w:noProof/>
                <w:color w:val="FF0000"/>
                <w:sz w:val="20"/>
              </w:rPr>
            </w:pPr>
            <w:r w:rsidRPr="00D05FDD">
              <w:rPr>
                <w:rFonts w:ascii="標楷體" w:eastAsia="標楷體" w:hAnsi="標楷體" w:hint="eastAsia"/>
                <w:noProof/>
                <w:color w:val="000000" w:themeColor="text1"/>
                <w:sz w:val="20"/>
              </w:rPr>
              <w:t>我國國民租稅負擔率仍偏低且稅式支出規模龐鉅，加以長期人口結構轉變恐對政府稅收產生不利影響，業再研提審核意見詳</w:t>
            </w:r>
            <w:r w:rsidRPr="00490C14">
              <w:rPr>
                <w:rFonts w:ascii="標楷體" w:eastAsia="標楷體" w:hAnsi="標楷體" w:hint="eastAsia"/>
                <w:noProof/>
                <w:sz w:val="20"/>
              </w:rPr>
              <w:t>「拾、財政部主管</w:t>
            </w:r>
            <w:r w:rsidR="007B7FFA" w:rsidRPr="00490C14">
              <w:rPr>
                <w:rFonts w:ascii="標楷體" w:eastAsia="標楷體" w:hAnsi="標楷體" w:hint="eastAsia"/>
                <w:noProof/>
                <w:sz w:val="20"/>
              </w:rPr>
              <w:t>、</w:t>
            </w:r>
            <w:r w:rsidR="00490C14" w:rsidRPr="00490C14">
              <w:rPr>
                <w:rFonts w:ascii="標楷體" w:eastAsia="標楷體" w:hAnsi="標楷體" w:hint="eastAsia"/>
                <w:noProof/>
                <w:sz w:val="20"/>
              </w:rPr>
              <w:t>四</w:t>
            </w:r>
            <w:r w:rsidR="007B7FFA" w:rsidRPr="00490C14">
              <w:rPr>
                <w:rFonts w:ascii="標楷體" w:eastAsia="標楷體" w:hAnsi="標楷體" w:hint="eastAsia"/>
                <w:noProof/>
                <w:sz w:val="20"/>
              </w:rPr>
              <w:t>、</w:t>
            </w:r>
            <w:r w:rsidRPr="00490C14">
              <w:rPr>
                <w:rFonts w:ascii="標楷體" w:eastAsia="標楷體" w:hAnsi="標楷體" w:hint="eastAsia"/>
                <w:noProof/>
                <w:sz w:val="20"/>
              </w:rPr>
              <w:t>重要審核意見 （</w:t>
            </w:r>
            <w:r w:rsidR="00CC7BB0" w:rsidRPr="00490C14">
              <w:rPr>
                <w:rFonts w:ascii="標楷體" w:eastAsia="標楷體" w:hAnsi="標楷體" w:hint="eastAsia"/>
                <w:noProof/>
                <w:sz w:val="20"/>
              </w:rPr>
              <w:t>三</w:t>
            </w:r>
            <w:r w:rsidRPr="00490C14">
              <w:rPr>
                <w:rFonts w:ascii="標楷體" w:eastAsia="標楷體" w:hAnsi="標楷體" w:hint="eastAsia"/>
                <w:noProof/>
                <w:sz w:val="20"/>
              </w:rPr>
              <w:t>）」。</w:t>
            </w:r>
          </w:p>
        </w:tc>
      </w:tr>
      <w:tr w:rsidR="007A6350" w:rsidRPr="00FF0427" w14:paraId="1DF8834A" w14:textId="65BA2EC8"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5217A1BD" w14:textId="10B328D0" w:rsidR="00886E37" w:rsidRPr="005D7EA8" w:rsidRDefault="00E31009" w:rsidP="000E3076">
            <w:pPr>
              <w:overflowPunct w:val="0"/>
              <w:snapToGrid w:val="0"/>
              <w:spacing w:line="340" w:lineRule="exact"/>
              <w:ind w:left="600" w:hangingChars="300" w:hanging="600"/>
              <w:jc w:val="both"/>
              <w:rPr>
                <w:rFonts w:ascii="標楷體" w:eastAsia="標楷體" w:hAnsi="標楷體"/>
                <w:noProof/>
                <w:color w:val="FF0000"/>
                <w:sz w:val="20"/>
              </w:rPr>
            </w:pPr>
            <w:r w:rsidRPr="00450DBC">
              <w:rPr>
                <w:rFonts w:ascii="標楷體" w:eastAsia="標楷體" w:hAnsi="標楷體" w:hint="eastAsia"/>
                <w:noProof/>
                <w:color w:val="000000" w:themeColor="text1"/>
                <w:sz w:val="20"/>
              </w:rPr>
              <w:t>（</w:t>
            </w:r>
            <w:r w:rsidR="00620D0A">
              <w:rPr>
                <w:rFonts w:ascii="標楷體" w:eastAsia="標楷體" w:hAnsi="標楷體" w:hint="eastAsia"/>
                <w:noProof/>
                <w:color w:val="000000" w:themeColor="text1"/>
                <w:sz w:val="20"/>
              </w:rPr>
              <w:t>三</w:t>
            </w:r>
            <w:r w:rsidRPr="00450DBC">
              <w:rPr>
                <w:rFonts w:ascii="標楷體" w:eastAsia="標楷體" w:hAnsi="標楷體" w:hint="eastAsia"/>
                <w:noProof/>
                <w:color w:val="000000" w:themeColor="text1"/>
                <w:sz w:val="20"/>
              </w:rPr>
              <w:t>）</w:t>
            </w:r>
            <w:r w:rsidR="00450DBC" w:rsidRPr="00450DBC">
              <w:rPr>
                <w:rFonts w:ascii="標楷體" w:eastAsia="標楷體" w:hAnsi="標楷體" w:hint="eastAsia"/>
                <w:noProof/>
                <w:color w:val="000000" w:themeColor="text1"/>
                <w:sz w:val="20"/>
              </w:rPr>
              <w:t>行政院為有效打擊詐欺，訂頒新世代打擊詐欺行動綱領1.5版及推動打詐新4法之立法作業，已獲致相當成果，惟詐欺案件發生數及財損金額仍高，尤以投資詐欺最為嚴重，且外籍移工帳戶涉詐案件有增加情形，另境外網路業者管制及阻斷詐騙網站（域）作為尚乏法源依據及主政機關，又物流隱碼防詐技術推廣應用對象仍有不足等，均待督促研謀改善，以維護民眾財產安全，提升治安滿意度。</w:t>
            </w:r>
          </w:p>
        </w:tc>
        <w:tc>
          <w:tcPr>
            <w:tcW w:w="3827" w:type="dxa"/>
            <w:tcBorders>
              <w:top w:val="single" w:sz="4" w:space="0" w:color="auto"/>
              <w:left w:val="single" w:sz="4" w:space="0" w:color="auto"/>
              <w:bottom w:val="single" w:sz="4" w:space="0" w:color="auto"/>
              <w:right w:val="single" w:sz="4" w:space="0" w:color="auto"/>
            </w:tcBorders>
          </w:tcPr>
          <w:p w14:paraId="6FA4BD21" w14:textId="35B53545" w:rsidR="00886E37" w:rsidRPr="005D7EA8" w:rsidRDefault="00425723" w:rsidP="000E3076">
            <w:pPr>
              <w:overflowPunct w:val="0"/>
              <w:snapToGrid w:val="0"/>
              <w:spacing w:line="340" w:lineRule="exact"/>
              <w:jc w:val="both"/>
              <w:rPr>
                <w:rFonts w:ascii="標楷體" w:eastAsia="標楷體" w:hAnsi="標楷體"/>
                <w:noProof/>
                <w:color w:val="FF0000"/>
                <w:sz w:val="20"/>
              </w:rPr>
            </w:pPr>
            <w:r w:rsidRPr="00F55074">
              <w:rPr>
                <w:rFonts w:ascii="標楷體" w:eastAsia="標楷體" w:hAnsi="標楷體" w:hint="eastAsia"/>
                <w:noProof/>
                <w:color w:val="000000" w:themeColor="text1"/>
                <w:sz w:val="20"/>
              </w:rPr>
              <w:t>因</w:t>
            </w:r>
            <w:r w:rsidR="001441DA" w:rsidRPr="00F55074">
              <w:rPr>
                <w:rFonts w:ascii="標楷體" w:eastAsia="標楷體" w:hAnsi="標楷體" w:hint="eastAsia"/>
                <w:noProof/>
                <w:color w:val="000000" w:themeColor="text1"/>
                <w:sz w:val="20"/>
              </w:rPr>
              <w:t>詐欺案件及財損金額持續高發，業再研提審核意見</w:t>
            </w:r>
            <w:r w:rsidR="00EC39C2" w:rsidRPr="00F55074">
              <w:rPr>
                <w:rFonts w:ascii="標楷體" w:eastAsia="標楷體" w:hAnsi="標楷體" w:hint="eastAsia"/>
                <w:noProof/>
                <w:color w:val="000000" w:themeColor="text1"/>
                <w:sz w:val="20"/>
              </w:rPr>
              <w:t>詳「四、重要審核意見（七</w:t>
            </w:r>
            <w:r w:rsidRPr="00F55074">
              <w:rPr>
                <w:rFonts w:ascii="標楷體" w:eastAsia="標楷體" w:hAnsi="標楷體" w:hint="eastAsia"/>
                <w:noProof/>
                <w:color w:val="000000" w:themeColor="text1"/>
                <w:sz w:val="20"/>
              </w:rPr>
              <w:t>）」。</w:t>
            </w:r>
          </w:p>
        </w:tc>
      </w:tr>
      <w:tr w:rsidR="00B642B5" w:rsidRPr="00FF0427" w14:paraId="52CBAFE2"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51AC83EA" w14:textId="5DDB9C64" w:rsidR="00B642B5" w:rsidRPr="005D7EA8" w:rsidRDefault="00B642B5" w:rsidP="000E3076">
            <w:pPr>
              <w:overflowPunct w:val="0"/>
              <w:snapToGrid w:val="0"/>
              <w:spacing w:line="340" w:lineRule="exact"/>
              <w:ind w:left="600" w:hangingChars="300" w:hanging="600"/>
              <w:jc w:val="both"/>
              <w:rPr>
                <w:rFonts w:ascii="標楷體" w:eastAsia="標楷體" w:hAnsi="標楷體"/>
                <w:noProof/>
                <w:color w:val="FF0000"/>
                <w:sz w:val="20"/>
              </w:rPr>
            </w:pPr>
            <w:r w:rsidRPr="00B642B5">
              <w:rPr>
                <w:rFonts w:ascii="標楷體" w:eastAsia="標楷體" w:hAnsi="標楷體" w:hint="eastAsia"/>
                <w:noProof/>
                <w:color w:val="000000" w:themeColor="text1"/>
                <w:sz w:val="20"/>
              </w:rPr>
              <w:t>（</w:t>
            </w:r>
            <w:r w:rsidR="00620D0A">
              <w:rPr>
                <w:rFonts w:ascii="標楷體" w:eastAsia="標楷體" w:hAnsi="標楷體" w:hint="eastAsia"/>
                <w:noProof/>
                <w:color w:val="000000" w:themeColor="text1"/>
                <w:sz w:val="20"/>
              </w:rPr>
              <w:t>四</w:t>
            </w:r>
            <w:r w:rsidRPr="00B642B5">
              <w:rPr>
                <w:rFonts w:ascii="標楷體" w:eastAsia="標楷體" w:hAnsi="標楷體" w:hint="eastAsia"/>
                <w:noProof/>
                <w:color w:val="000000" w:themeColor="text1"/>
                <w:sz w:val="20"/>
              </w:rPr>
              <w:t>）國家通訊傳播委員會研擬相關策略防堵資通訊服務淪為犯罪工具，有助毀斷施詐管道，惟於績效指標訂定、補助作業前置規劃及督導電信事業落實風險管理等方面未臻周妥，允宜持續精進堵詐措施，俾有效遏止詐欺案件發生。</w:t>
            </w:r>
          </w:p>
        </w:tc>
        <w:tc>
          <w:tcPr>
            <w:tcW w:w="3827" w:type="dxa"/>
            <w:tcBorders>
              <w:top w:val="single" w:sz="4" w:space="0" w:color="auto"/>
              <w:left w:val="single" w:sz="4" w:space="0" w:color="auto"/>
              <w:bottom w:val="single" w:sz="4" w:space="0" w:color="auto"/>
              <w:right w:val="single" w:sz="4" w:space="0" w:color="auto"/>
            </w:tcBorders>
          </w:tcPr>
          <w:p w14:paraId="624D83F1" w14:textId="2E0BE149" w:rsidR="00B642B5" w:rsidRPr="005D7EA8" w:rsidRDefault="00B642B5" w:rsidP="000E3076">
            <w:pPr>
              <w:overflowPunct w:val="0"/>
              <w:snapToGrid w:val="0"/>
              <w:spacing w:line="340" w:lineRule="exact"/>
              <w:jc w:val="both"/>
              <w:rPr>
                <w:rFonts w:ascii="標楷體" w:eastAsia="標楷體" w:hAnsi="標楷體"/>
                <w:noProof/>
                <w:color w:val="FF0000"/>
                <w:sz w:val="20"/>
              </w:rPr>
            </w:pPr>
            <w:r w:rsidRPr="00B642B5">
              <w:rPr>
                <w:rFonts w:ascii="標楷體" w:eastAsia="標楷體" w:hAnsi="標楷體" w:hint="eastAsia"/>
                <w:noProof/>
                <w:color w:val="000000" w:themeColor="text1"/>
                <w:sz w:val="20"/>
              </w:rPr>
              <w:t>因修訂後分項指標與目標值，仍未能充分反映實際防詐成效，業再研提審核意見詳「四、重要審核意見（九）」。</w:t>
            </w:r>
          </w:p>
        </w:tc>
      </w:tr>
      <w:tr w:rsidR="009262D9" w:rsidRPr="00FF0427" w14:paraId="54E11844"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22B1879B" w14:textId="403391E5" w:rsidR="009262D9" w:rsidRPr="00B642B5" w:rsidRDefault="009262D9" w:rsidP="000E3076">
            <w:pPr>
              <w:overflowPunct w:val="0"/>
              <w:snapToGrid w:val="0"/>
              <w:spacing w:line="340" w:lineRule="exact"/>
              <w:ind w:left="600" w:hangingChars="300" w:hanging="600"/>
              <w:jc w:val="both"/>
              <w:rPr>
                <w:rFonts w:ascii="標楷體" w:eastAsia="標楷體" w:hAnsi="標楷體"/>
                <w:noProof/>
                <w:color w:val="000000" w:themeColor="text1"/>
                <w:sz w:val="20"/>
              </w:rPr>
            </w:pPr>
            <w:r>
              <w:rPr>
                <w:rFonts w:ascii="標楷體" w:eastAsia="標楷體" w:hAnsi="標楷體" w:hint="eastAsia"/>
                <w:noProof/>
                <w:color w:val="000000" w:themeColor="text1"/>
                <w:sz w:val="20"/>
              </w:rPr>
              <w:t>（</w:t>
            </w:r>
            <w:r w:rsidR="00620D0A">
              <w:rPr>
                <w:rFonts w:ascii="標楷體" w:eastAsia="標楷體" w:hAnsi="標楷體" w:hint="eastAsia"/>
                <w:noProof/>
                <w:color w:val="000000" w:themeColor="text1"/>
                <w:sz w:val="20"/>
              </w:rPr>
              <w:t>五</w:t>
            </w:r>
            <w:r>
              <w:rPr>
                <w:rFonts w:ascii="標楷體" w:eastAsia="標楷體" w:hAnsi="標楷體" w:hint="eastAsia"/>
                <w:noProof/>
                <w:color w:val="000000" w:themeColor="text1"/>
                <w:sz w:val="20"/>
              </w:rPr>
              <w:t>）</w:t>
            </w:r>
            <w:r w:rsidRPr="009262D9">
              <w:rPr>
                <w:rFonts w:ascii="標楷體" w:eastAsia="標楷體" w:hAnsi="標楷體" w:hint="eastAsia"/>
                <w:noProof/>
                <w:color w:val="000000" w:themeColor="text1"/>
                <w:sz w:val="20"/>
              </w:rPr>
              <w:t>中央各機關透過計畫型補助款挹注地方財源，以導引地方政府達成其政策目標，執行結果已具成效，惟近年來計畫型補助款之規模逐年擴增，部分計畫偏離原定範疇，且補助資訊及管考結果之公開未盡完整透明，又部分計畫執行結果未能達到預期效益，有待中央補助機關完備管考機制，允宜督促檢討改善，以強化補助款配置及運用效益</w:t>
            </w:r>
            <w:r w:rsidR="00F3375D">
              <w:rPr>
                <w:rFonts w:ascii="標楷體" w:eastAsia="標楷體" w:hAnsi="標楷體" w:hint="eastAsia"/>
                <w:noProof/>
                <w:color w:val="000000" w:themeColor="text1"/>
                <w:sz w:val="20"/>
              </w:rPr>
              <w:t>。</w:t>
            </w:r>
          </w:p>
        </w:tc>
        <w:tc>
          <w:tcPr>
            <w:tcW w:w="3827" w:type="dxa"/>
            <w:tcBorders>
              <w:top w:val="single" w:sz="4" w:space="0" w:color="auto"/>
              <w:left w:val="single" w:sz="4" w:space="0" w:color="auto"/>
              <w:bottom w:val="single" w:sz="4" w:space="0" w:color="auto"/>
              <w:right w:val="single" w:sz="4" w:space="0" w:color="auto"/>
            </w:tcBorders>
          </w:tcPr>
          <w:p w14:paraId="0FAC024E" w14:textId="31E1049B" w:rsidR="009262D9" w:rsidRPr="00B642B5" w:rsidRDefault="00C152AC" w:rsidP="000E3076">
            <w:pPr>
              <w:overflowPunct w:val="0"/>
              <w:snapToGrid w:val="0"/>
              <w:spacing w:line="340" w:lineRule="exact"/>
              <w:jc w:val="both"/>
              <w:rPr>
                <w:rFonts w:ascii="標楷體" w:eastAsia="標楷體" w:hAnsi="標楷體"/>
                <w:noProof/>
                <w:color w:val="000000" w:themeColor="text1"/>
                <w:sz w:val="20"/>
              </w:rPr>
            </w:pPr>
            <w:r w:rsidRPr="00C152AC">
              <w:rPr>
                <w:rFonts w:ascii="標楷體" w:eastAsia="標楷體" w:hAnsi="標楷體" w:hint="eastAsia"/>
                <w:noProof/>
                <w:sz w:val="20"/>
              </w:rPr>
              <w:t>因部分中央補助建置之設施完工後低度利用等效能過低情事，改善成效未如預</w:t>
            </w:r>
            <w:r w:rsidR="009262D9" w:rsidRPr="00C152AC">
              <w:rPr>
                <w:rFonts w:ascii="標楷體" w:eastAsia="標楷體" w:hAnsi="標楷體" w:hint="eastAsia"/>
                <w:noProof/>
                <w:sz w:val="20"/>
              </w:rPr>
              <w:t>，業再研提審核意見詳「</w:t>
            </w:r>
            <w:r w:rsidR="00D064C0" w:rsidRPr="00C152AC">
              <w:rPr>
                <w:rFonts w:ascii="標楷體" w:eastAsia="標楷體" w:hAnsi="標楷體" w:hint="eastAsia"/>
                <w:noProof/>
                <w:sz w:val="20"/>
              </w:rPr>
              <w:t>貳拾陸</w:t>
            </w:r>
            <w:r w:rsidR="009262D9" w:rsidRPr="00C152AC">
              <w:rPr>
                <w:rFonts w:ascii="標楷體" w:eastAsia="標楷體" w:hAnsi="標楷體" w:hint="eastAsia"/>
                <w:noProof/>
                <w:sz w:val="20"/>
              </w:rPr>
              <w:t>、</w:t>
            </w:r>
            <w:r w:rsidR="00D064C0" w:rsidRPr="00C152AC">
              <w:rPr>
                <w:rFonts w:ascii="標楷體" w:eastAsia="標楷體" w:hAnsi="標楷體" w:hint="eastAsia"/>
                <w:noProof/>
                <w:sz w:val="20"/>
              </w:rPr>
              <w:t>直轄市及縣市政府</w:t>
            </w:r>
            <w:r w:rsidR="009262D9" w:rsidRPr="00C152AC">
              <w:rPr>
                <w:rFonts w:ascii="標楷體" w:eastAsia="標楷體" w:hAnsi="標楷體" w:hint="eastAsia"/>
                <w:noProof/>
                <w:sz w:val="20"/>
              </w:rPr>
              <w:t>主管、</w:t>
            </w:r>
            <w:r w:rsidR="00D064C0" w:rsidRPr="00C152AC">
              <w:rPr>
                <w:rFonts w:ascii="標楷體" w:eastAsia="標楷體" w:hAnsi="標楷體" w:hint="eastAsia"/>
                <w:noProof/>
                <w:sz w:val="20"/>
              </w:rPr>
              <w:t>二</w:t>
            </w:r>
            <w:r w:rsidR="009262D9" w:rsidRPr="00C152AC">
              <w:rPr>
                <w:rFonts w:ascii="標楷體" w:eastAsia="標楷體" w:hAnsi="標楷體" w:hint="eastAsia"/>
                <w:noProof/>
                <w:sz w:val="20"/>
              </w:rPr>
              <w:t>、重要審核意見（</w:t>
            </w:r>
            <w:r w:rsidR="00D064C0" w:rsidRPr="00C152AC">
              <w:rPr>
                <w:rFonts w:ascii="標楷體" w:eastAsia="標楷體" w:hAnsi="標楷體" w:hint="eastAsia"/>
                <w:noProof/>
                <w:sz w:val="20"/>
              </w:rPr>
              <w:t>二</w:t>
            </w:r>
            <w:r w:rsidR="009262D9" w:rsidRPr="00C152AC">
              <w:rPr>
                <w:rFonts w:ascii="標楷體" w:eastAsia="標楷體" w:hAnsi="標楷體" w:hint="eastAsia"/>
                <w:noProof/>
                <w:sz w:val="20"/>
              </w:rPr>
              <w:t>）」。</w:t>
            </w:r>
          </w:p>
        </w:tc>
      </w:tr>
    </w:tbl>
    <w:p w14:paraId="063FF081" w14:textId="10CC0EAE" w:rsidR="00CC5C3E" w:rsidRDefault="00CC5C3E" w:rsidP="00CC5C3E">
      <w:pPr>
        <w:jc w:val="center"/>
      </w:pPr>
      <w:bookmarkStart w:id="46" w:name="_Hlk202171014"/>
      <w:r w:rsidRPr="00CC5C3E">
        <w:rPr>
          <w:rFonts w:ascii="標楷體" w:eastAsia="標楷體" w:hAnsi="標楷體" w:hint="eastAsia"/>
          <w:b/>
          <w:szCs w:val="24"/>
        </w:rPr>
        <w:lastRenderedPageBreak/>
        <w:t>表5</w:t>
      </w:r>
      <w:r w:rsidR="005C3237">
        <w:rPr>
          <w:rFonts w:ascii="標楷體" w:eastAsia="標楷體" w:hAnsi="標楷體" w:hint="eastAsia"/>
          <w:b/>
          <w:szCs w:val="24"/>
        </w:rPr>
        <w:t>9</w:t>
      </w:r>
      <w:r w:rsidRPr="00CC5C3E">
        <w:rPr>
          <w:rFonts w:ascii="標楷體" w:eastAsia="標楷體" w:hAnsi="標楷體" w:hint="eastAsia"/>
          <w:b/>
          <w:szCs w:val="24"/>
        </w:rPr>
        <w:t xml:space="preserve">　</w:t>
      </w:r>
      <w:proofErr w:type="gramStart"/>
      <w:r w:rsidRPr="00CC5C3E">
        <w:rPr>
          <w:rFonts w:ascii="標楷體" w:eastAsia="標楷體" w:hAnsi="標楷體"/>
          <w:b/>
          <w:szCs w:val="24"/>
        </w:rPr>
        <w:t>1</w:t>
      </w:r>
      <w:r w:rsidRPr="00CC5C3E">
        <w:rPr>
          <w:rFonts w:ascii="標楷體" w:eastAsia="標楷體" w:hAnsi="標楷體" w:hint="eastAsia"/>
          <w:b/>
          <w:szCs w:val="24"/>
        </w:rPr>
        <w:t>12</w:t>
      </w:r>
      <w:proofErr w:type="gramEnd"/>
      <w:r w:rsidRPr="00CC5C3E">
        <w:rPr>
          <w:rFonts w:ascii="標楷體" w:eastAsia="標楷體" w:hAnsi="標楷體" w:hint="eastAsia"/>
          <w:b/>
          <w:szCs w:val="24"/>
        </w:rPr>
        <w:t>年度審核報告所</w:t>
      </w:r>
      <w:proofErr w:type="gramStart"/>
      <w:r w:rsidRPr="00CC5C3E">
        <w:rPr>
          <w:rFonts w:ascii="標楷體" w:eastAsia="標楷體" w:hAnsi="標楷體" w:hint="eastAsia"/>
          <w:b/>
          <w:szCs w:val="24"/>
        </w:rPr>
        <w:t>列行</w:t>
      </w:r>
      <w:proofErr w:type="gramEnd"/>
      <w:r w:rsidRPr="00CC5C3E">
        <w:rPr>
          <w:rFonts w:ascii="標楷體" w:eastAsia="標楷體" w:hAnsi="標楷體" w:hint="eastAsia"/>
          <w:b/>
          <w:szCs w:val="24"/>
        </w:rPr>
        <w:t>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04"/>
        <w:gridCol w:w="3119"/>
      </w:tblGrid>
      <w:tr w:rsidR="00CC5C3E" w:rsidRPr="00FF0427" w14:paraId="72AB9E45" w14:textId="77777777" w:rsidTr="00C8615C">
        <w:trPr>
          <w:trHeight w:val="20"/>
        </w:trPr>
        <w:tc>
          <w:tcPr>
            <w:tcW w:w="6804" w:type="dxa"/>
            <w:tcBorders>
              <w:top w:val="single" w:sz="4" w:space="0" w:color="auto"/>
              <w:left w:val="single" w:sz="4" w:space="0" w:color="auto"/>
              <w:bottom w:val="single" w:sz="4" w:space="0" w:color="auto"/>
              <w:right w:val="single" w:sz="4" w:space="0" w:color="auto"/>
            </w:tcBorders>
            <w:vAlign w:val="center"/>
          </w:tcPr>
          <w:bookmarkEnd w:id="46"/>
          <w:p w14:paraId="69459D6B" w14:textId="4942C1A5" w:rsidR="00CC5C3E" w:rsidRPr="00647568" w:rsidRDefault="00CC5C3E" w:rsidP="00680112">
            <w:pPr>
              <w:overflowPunct w:val="0"/>
              <w:snapToGrid w:val="0"/>
              <w:spacing w:line="320" w:lineRule="exact"/>
              <w:ind w:left="600" w:hangingChars="300" w:hanging="600"/>
              <w:jc w:val="center"/>
              <w:rPr>
                <w:rFonts w:ascii="標楷體" w:eastAsia="標楷體" w:hAnsi="標楷體"/>
                <w:noProof/>
                <w:sz w:val="20"/>
              </w:rPr>
            </w:pPr>
            <w:r w:rsidRPr="00FF0427">
              <w:rPr>
                <w:rFonts w:ascii="標楷體" w:eastAsia="標楷體" w:hAnsi="標楷體" w:hint="eastAsia"/>
                <w:color w:val="000000" w:themeColor="text1"/>
                <w:sz w:val="20"/>
              </w:rPr>
              <w:t>重要審核意見標題</w:t>
            </w:r>
          </w:p>
        </w:tc>
        <w:tc>
          <w:tcPr>
            <w:tcW w:w="3119" w:type="dxa"/>
            <w:tcBorders>
              <w:top w:val="single" w:sz="4" w:space="0" w:color="auto"/>
              <w:left w:val="single" w:sz="4" w:space="0" w:color="auto"/>
              <w:bottom w:val="single" w:sz="4" w:space="0" w:color="auto"/>
              <w:right w:val="single" w:sz="4" w:space="0" w:color="auto"/>
            </w:tcBorders>
            <w:vAlign w:val="center"/>
          </w:tcPr>
          <w:p w14:paraId="2EB50C75" w14:textId="210BA219" w:rsidR="00CC5C3E" w:rsidRPr="00647568" w:rsidRDefault="00CC5C3E" w:rsidP="00680112">
            <w:pPr>
              <w:overflowPunct w:val="0"/>
              <w:snapToGrid w:val="0"/>
              <w:spacing w:line="320" w:lineRule="exact"/>
              <w:jc w:val="center"/>
              <w:rPr>
                <w:rFonts w:ascii="標楷體" w:eastAsia="標楷體" w:hAnsi="標楷體"/>
                <w:noProof/>
                <w:sz w:val="20"/>
              </w:rPr>
            </w:pPr>
            <w:r w:rsidRPr="00FF0427">
              <w:rPr>
                <w:rFonts w:ascii="標楷體" w:eastAsia="標楷體" w:hAnsi="標楷體" w:hint="eastAsia"/>
                <w:color w:val="000000" w:themeColor="text1"/>
                <w:sz w:val="20"/>
              </w:rPr>
              <w:t>說明</w:t>
            </w:r>
          </w:p>
        </w:tc>
      </w:tr>
      <w:tr w:rsidR="0089423C" w:rsidRPr="00FF0427" w14:paraId="12EB2575" w14:textId="77777777" w:rsidTr="004F3F10">
        <w:trPr>
          <w:trHeight w:val="20"/>
        </w:trPr>
        <w:tc>
          <w:tcPr>
            <w:tcW w:w="6804" w:type="dxa"/>
            <w:tcBorders>
              <w:top w:val="single" w:sz="4" w:space="0" w:color="auto"/>
              <w:left w:val="single" w:sz="4" w:space="0" w:color="auto"/>
              <w:bottom w:val="single" w:sz="4" w:space="0" w:color="auto"/>
              <w:right w:val="single" w:sz="4" w:space="0" w:color="auto"/>
            </w:tcBorders>
          </w:tcPr>
          <w:p w14:paraId="4008F8C0" w14:textId="08F3FFE2" w:rsidR="0089423C" w:rsidRPr="00647568" w:rsidRDefault="0089423C" w:rsidP="00680112">
            <w:pPr>
              <w:overflowPunct w:val="0"/>
              <w:snapToGrid w:val="0"/>
              <w:spacing w:line="320" w:lineRule="exact"/>
              <w:ind w:left="600" w:hangingChars="300" w:hanging="600"/>
              <w:jc w:val="both"/>
              <w:rPr>
                <w:rFonts w:ascii="標楷體" w:eastAsia="標楷體" w:hAnsi="標楷體"/>
                <w:noProof/>
                <w:sz w:val="20"/>
              </w:rPr>
            </w:pPr>
            <w:r w:rsidRPr="00620D0A">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六</w:t>
            </w:r>
            <w:r w:rsidRPr="00620D0A">
              <w:rPr>
                <w:rFonts w:ascii="標楷體" w:eastAsia="標楷體" w:hAnsi="標楷體" w:hint="eastAsia"/>
                <w:noProof/>
                <w:color w:val="000000" w:themeColor="text1"/>
                <w:sz w:val="20"/>
              </w:rPr>
              <w:t>）太陽光電建置容量逐年上升，有助提升能源自主及電力多元發展，惟仍未達成整體預計目標，且差額逐年擴大，又部分案場審查時間冗長、缺乏推動案源，或漁電共生專區規劃仍待精進等情，允宜督促研謀善策妥處，俾提升太陽光電設置成效，以達成能源轉型目標</w:t>
            </w:r>
            <w:r>
              <w:rPr>
                <w:rFonts w:ascii="標楷體" w:eastAsia="標楷體" w:hAnsi="標楷體" w:hint="eastAsia"/>
                <w:noProof/>
                <w:color w:val="000000" w:themeColor="text1"/>
                <w:sz w:val="20"/>
              </w:rPr>
              <w:t>。</w:t>
            </w:r>
          </w:p>
        </w:tc>
        <w:tc>
          <w:tcPr>
            <w:tcW w:w="3119" w:type="dxa"/>
            <w:tcBorders>
              <w:top w:val="single" w:sz="4" w:space="0" w:color="auto"/>
              <w:left w:val="single" w:sz="4" w:space="0" w:color="auto"/>
              <w:right w:val="single" w:sz="4" w:space="0" w:color="auto"/>
            </w:tcBorders>
          </w:tcPr>
          <w:p w14:paraId="333BA9BA" w14:textId="067B4CBB" w:rsidR="0089423C" w:rsidRPr="00647568" w:rsidRDefault="0089423C" w:rsidP="00680112">
            <w:pPr>
              <w:overflowPunct w:val="0"/>
              <w:snapToGrid w:val="0"/>
              <w:spacing w:line="320" w:lineRule="exact"/>
              <w:jc w:val="both"/>
              <w:rPr>
                <w:rFonts w:ascii="標楷體" w:eastAsia="標楷體" w:hAnsi="標楷體"/>
                <w:noProof/>
                <w:sz w:val="20"/>
              </w:rPr>
            </w:pPr>
            <w:r w:rsidRPr="00AF45EB">
              <w:rPr>
                <w:rFonts w:ascii="標楷體" w:eastAsia="標楷體" w:hAnsi="標楷體" w:hint="eastAsia"/>
                <w:noProof/>
                <w:sz w:val="20"/>
              </w:rPr>
              <w:t>因國內太陽光電裝置容量仍未達整體預計目標，又列管執行進度落後光電大型案件數量逐漸增加，改善成效未如預期，業再研提審核意見詳</w:t>
            </w:r>
            <w:r w:rsidRPr="00125C39">
              <w:rPr>
                <w:rFonts w:ascii="標楷體" w:eastAsia="標楷體" w:hAnsi="標楷體" w:hint="eastAsia"/>
                <w:noProof/>
                <w:sz w:val="20"/>
              </w:rPr>
              <w:t>「拾參、經濟部主管、</w:t>
            </w:r>
            <w:r w:rsidR="00125C39" w:rsidRPr="00125C39">
              <w:rPr>
                <w:rFonts w:ascii="標楷體" w:eastAsia="標楷體" w:hAnsi="標楷體" w:hint="eastAsia"/>
                <w:noProof/>
                <w:sz w:val="20"/>
              </w:rPr>
              <w:t>三</w:t>
            </w:r>
            <w:r w:rsidRPr="00125C39">
              <w:rPr>
                <w:rFonts w:ascii="標楷體" w:eastAsia="標楷體" w:hAnsi="標楷體" w:hint="eastAsia"/>
                <w:noProof/>
                <w:sz w:val="20"/>
              </w:rPr>
              <w:t>、重要審核意見（</w:t>
            </w:r>
            <w:r w:rsidR="00AC6221" w:rsidRPr="00125C39">
              <w:rPr>
                <w:rFonts w:ascii="標楷體" w:eastAsia="標楷體" w:hAnsi="標楷體" w:hint="eastAsia"/>
                <w:noProof/>
                <w:sz w:val="20"/>
              </w:rPr>
              <w:t>二</w:t>
            </w:r>
            <w:r w:rsidRPr="00125C39">
              <w:rPr>
                <w:rFonts w:ascii="標楷體" w:eastAsia="標楷體" w:hAnsi="標楷體" w:hint="eastAsia"/>
                <w:noProof/>
                <w:sz w:val="20"/>
              </w:rPr>
              <w:t>）</w:t>
            </w:r>
            <w:r w:rsidR="00AC6221" w:rsidRPr="00125C39">
              <w:rPr>
                <w:rFonts w:ascii="標楷體" w:eastAsia="標楷體" w:hAnsi="標楷體" w:hint="eastAsia"/>
                <w:noProof/>
                <w:sz w:val="20"/>
              </w:rPr>
              <w:t>1.</w:t>
            </w:r>
            <w:r w:rsidRPr="00125C39">
              <w:rPr>
                <w:rFonts w:ascii="標楷體" w:eastAsia="標楷體" w:hAnsi="標楷體" w:hint="eastAsia"/>
                <w:noProof/>
                <w:sz w:val="20"/>
              </w:rPr>
              <w:t>」。</w:t>
            </w:r>
          </w:p>
        </w:tc>
      </w:tr>
      <w:tr w:rsidR="00D66F89" w:rsidRPr="00FF0427" w14:paraId="14EA1737" w14:textId="77777777" w:rsidTr="00C8615C">
        <w:trPr>
          <w:trHeight w:val="20"/>
        </w:trPr>
        <w:tc>
          <w:tcPr>
            <w:tcW w:w="6804" w:type="dxa"/>
            <w:tcBorders>
              <w:top w:val="single" w:sz="4" w:space="0" w:color="auto"/>
              <w:left w:val="single" w:sz="4" w:space="0" w:color="auto"/>
              <w:bottom w:val="single" w:sz="4" w:space="0" w:color="auto"/>
              <w:right w:val="single" w:sz="4" w:space="0" w:color="auto"/>
            </w:tcBorders>
          </w:tcPr>
          <w:p w14:paraId="5E9B936C" w14:textId="44E98A6B" w:rsidR="00D66F89" w:rsidRPr="00647568" w:rsidRDefault="00D66F89" w:rsidP="00680112">
            <w:pPr>
              <w:overflowPunct w:val="0"/>
              <w:snapToGrid w:val="0"/>
              <w:spacing w:line="320" w:lineRule="exact"/>
              <w:ind w:left="600" w:hangingChars="300" w:hanging="600"/>
              <w:jc w:val="both"/>
              <w:rPr>
                <w:rFonts w:ascii="標楷體" w:eastAsia="標楷體" w:hAnsi="標楷體"/>
                <w:noProof/>
                <w:sz w:val="20"/>
              </w:rPr>
            </w:pPr>
            <w:r w:rsidRPr="00647568">
              <w:rPr>
                <w:rFonts w:ascii="標楷體" w:eastAsia="標楷體" w:hAnsi="標楷體" w:hint="eastAsia"/>
                <w:noProof/>
                <w:sz w:val="20"/>
              </w:rPr>
              <w:t>（</w:t>
            </w:r>
            <w:r w:rsidR="00647568" w:rsidRPr="00647568">
              <w:rPr>
                <w:rFonts w:ascii="標楷體" w:eastAsia="標楷體" w:hAnsi="標楷體" w:hint="eastAsia"/>
                <w:noProof/>
                <w:sz w:val="20"/>
              </w:rPr>
              <w:t>七</w:t>
            </w:r>
            <w:r w:rsidRPr="00647568">
              <w:rPr>
                <w:rFonts w:ascii="標楷體" w:eastAsia="標楷體" w:hAnsi="標楷體" w:hint="eastAsia"/>
                <w:noProof/>
                <w:sz w:val="20"/>
              </w:rPr>
              <w:t>）</w:t>
            </w:r>
            <w:r w:rsidR="00647568" w:rsidRPr="00647568">
              <w:rPr>
                <w:rFonts w:ascii="標楷體" w:eastAsia="標楷體" w:hAnsi="標楷體" w:hint="eastAsia"/>
                <w:noProof/>
                <w:sz w:val="20"/>
              </w:rPr>
              <w:t>國營事業肩負配合政府淨零轉型政策使命，惟部分事業溫室氣體排放量規模龐巨，係屬我國應盤查登錄及查驗之主要對象，及森林碳匯等相關減排措施尚未發揮實益，或經管場站設置太陽能光電及小水力發電進程未如預期，恐影響未來我國淨零轉型之目標，允宜督促妥謀善策因應。</w:t>
            </w:r>
          </w:p>
        </w:tc>
        <w:tc>
          <w:tcPr>
            <w:tcW w:w="3119" w:type="dxa"/>
            <w:tcBorders>
              <w:top w:val="single" w:sz="4" w:space="0" w:color="auto"/>
              <w:left w:val="single" w:sz="4" w:space="0" w:color="auto"/>
              <w:bottom w:val="single" w:sz="4" w:space="0" w:color="auto"/>
              <w:right w:val="single" w:sz="4" w:space="0" w:color="auto"/>
            </w:tcBorders>
          </w:tcPr>
          <w:p w14:paraId="11737206" w14:textId="2074A87F" w:rsidR="00D66F89" w:rsidRPr="005D7EA8" w:rsidRDefault="00647568" w:rsidP="00680112">
            <w:pPr>
              <w:overflowPunct w:val="0"/>
              <w:snapToGrid w:val="0"/>
              <w:spacing w:line="320" w:lineRule="exact"/>
              <w:jc w:val="both"/>
              <w:rPr>
                <w:rFonts w:ascii="標楷體" w:eastAsia="標楷體" w:hAnsi="標楷體"/>
                <w:noProof/>
                <w:color w:val="FF0000"/>
                <w:sz w:val="20"/>
              </w:rPr>
            </w:pPr>
            <w:r w:rsidRPr="00647568">
              <w:rPr>
                <w:rFonts w:ascii="標楷體" w:eastAsia="標楷體" w:hAnsi="標楷體" w:hint="eastAsia"/>
                <w:noProof/>
                <w:sz w:val="20"/>
              </w:rPr>
              <w:t>因各該事業尚未提出自主減量計畫，業再研提審核意見詳</w:t>
            </w:r>
            <w:r w:rsidR="004A564C" w:rsidRPr="00647568">
              <w:rPr>
                <w:rFonts w:ascii="標楷體" w:eastAsia="標楷體" w:hAnsi="標楷體" w:hint="eastAsia"/>
                <w:noProof/>
                <w:sz w:val="20"/>
              </w:rPr>
              <w:t>「</w:t>
            </w:r>
            <w:r w:rsidRPr="00647568">
              <w:rPr>
                <w:rFonts w:ascii="標楷體" w:eastAsia="標楷體" w:hAnsi="標楷體" w:hint="eastAsia"/>
                <w:noProof/>
                <w:sz w:val="20"/>
              </w:rPr>
              <w:t>四、重要審核意見（十四）</w:t>
            </w:r>
            <w:r w:rsidR="00425723" w:rsidRPr="00647568">
              <w:rPr>
                <w:rFonts w:ascii="標楷體" w:eastAsia="標楷體" w:hAnsi="標楷體" w:hint="eastAsia"/>
                <w:noProof/>
                <w:sz w:val="20"/>
              </w:rPr>
              <w:t>」</w:t>
            </w:r>
            <w:r w:rsidR="00B70D31" w:rsidRPr="00647568">
              <w:rPr>
                <w:rFonts w:ascii="標楷體" w:eastAsia="標楷體" w:hAnsi="標楷體" w:hint="eastAsia"/>
                <w:noProof/>
                <w:sz w:val="20"/>
              </w:rPr>
              <w:t>。</w:t>
            </w:r>
          </w:p>
        </w:tc>
      </w:tr>
      <w:tr w:rsidR="005868B4" w:rsidRPr="00FF0427" w14:paraId="4AE29395" w14:textId="77777777" w:rsidTr="00C8615C">
        <w:trPr>
          <w:trHeight w:val="20"/>
        </w:trPr>
        <w:tc>
          <w:tcPr>
            <w:tcW w:w="6804" w:type="dxa"/>
            <w:tcBorders>
              <w:top w:val="single" w:sz="4" w:space="0" w:color="auto"/>
              <w:left w:val="single" w:sz="4" w:space="0" w:color="auto"/>
              <w:bottom w:val="single" w:sz="4" w:space="0" w:color="auto"/>
              <w:right w:val="single" w:sz="4" w:space="0" w:color="auto"/>
            </w:tcBorders>
          </w:tcPr>
          <w:p w14:paraId="5B06FF5C" w14:textId="685F3D1E" w:rsidR="005868B4" w:rsidRPr="00647568" w:rsidRDefault="005868B4" w:rsidP="00680112">
            <w:pPr>
              <w:overflowPunct w:val="0"/>
              <w:snapToGrid w:val="0"/>
              <w:spacing w:line="320" w:lineRule="exact"/>
              <w:ind w:left="600" w:hangingChars="300" w:hanging="600"/>
              <w:jc w:val="both"/>
              <w:rPr>
                <w:rFonts w:ascii="標楷體" w:eastAsia="標楷體" w:hAnsi="標楷體"/>
                <w:noProof/>
                <w:sz w:val="20"/>
              </w:rPr>
            </w:pPr>
            <w:r>
              <w:rPr>
                <w:rFonts w:ascii="標楷體" w:eastAsia="標楷體" w:hAnsi="標楷體" w:hint="eastAsia"/>
                <w:noProof/>
                <w:sz w:val="20"/>
              </w:rPr>
              <w:t>（八）</w:t>
            </w:r>
            <w:r w:rsidRPr="008E7847">
              <w:rPr>
                <w:rFonts w:ascii="標楷體" w:eastAsia="標楷體" w:hAnsi="標楷體" w:hint="eastAsia"/>
                <w:noProof/>
                <w:sz w:val="20"/>
              </w:rPr>
              <w:t>政府致力推動性別主流化工作，整體性別預算經費規模及執行率均創新高，惟部分機關（構）、基金性別預算執行率或業務推動情形未盡理想，部分性別平等重要議題執行成效尚待提升或妥為追蹤揭露等，均待研謀改善</w:t>
            </w:r>
            <w:r>
              <w:rPr>
                <w:rFonts w:ascii="標楷體" w:eastAsia="標楷體" w:hAnsi="標楷體" w:hint="eastAsia"/>
                <w:noProof/>
                <w:sz w:val="20"/>
              </w:rPr>
              <w:t>。</w:t>
            </w:r>
          </w:p>
        </w:tc>
        <w:tc>
          <w:tcPr>
            <w:tcW w:w="3119" w:type="dxa"/>
            <w:tcBorders>
              <w:top w:val="single" w:sz="4" w:space="0" w:color="auto"/>
              <w:left w:val="single" w:sz="4" w:space="0" w:color="auto"/>
              <w:bottom w:val="single" w:sz="4" w:space="0" w:color="auto"/>
              <w:right w:val="single" w:sz="4" w:space="0" w:color="auto"/>
            </w:tcBorders>
          </w:tcPr>
          <w:p w14:paraId="367F40B8" w14:textId="60AE9143" w:rsidR="005868B4" w:rsidRPr="003E65B0" w:rsidRDefault="003E65B0" w:rsidP="00680112">
            <w:pPr>
              <w:overflowPunct w:val="0"/>
              <w:snapToGrid w:val="0"/>
              <w:spacing w:line="320" w:lineRule="exact"/>
              <w:jc w:val="both"/>
              <w:rPr>
                <w:rFonts w:ascii="標楷體" w:eastAsia="標楷體" w:hAnsi="標楷體"/>
                <w:noProof/>
                <w:color w:val="FF0000"/>
                <w:sz w:val="20"/>
              </w:rPr>
            </w:pPr>
            <w:r w:rsidRPr="003E65B0">
              <w:rPr>
                <w:rFonts w:ascii="標楷體" w:eastAsia="標楷體" w:hAnsi="標楷體" w:hint="eastAsia"/>
                <w:noProof/>
                <w:sz w:val="20"/>
              </w:rPr>
              <w:t>因部分性別平等業務執行成效尚待提升</w:t>
            </w:r>
            <w:r w:rsidR="005868B4" w:rsidRPr="003E65B0">
              <w:rPr>
                <w:rFonts w:ascii="標楷體" w:eastAsia="標楷體" w:hAnsi="標楷體" w:hint="eastAsia"/>
                <w:noProof/>
                <w:sz w:val="20"/>
              </w:rPr>
              <w:t>，業再研提審核意見詳「</w:t>
            </w:r>
            <w:r w:rsidR="008702FD" w:rsidRPr="003E65B0">
              <w:rPr>
                <w:rFonts w:ascii="標楷體" w:eastAsia="標楷體" w:hAnsi="標楷體" w:hint="eastAsia"/>
                <w:noProof/>
                <w:sz w:val="20"/>
              </w:rPr>
              <w:t>四</w:t>
            </w:r>
            <w:r w:rsidR="005868B4" w:rsidRPr="003E65B0">
              <w:rPr>
                <w:rFonts w:ascii="標楷體" w:eastAsia="標楷體" w:hAnsi="標楷體" w:hint="eastAsia"/>
                <w:noProof/>
                <w:sz w:val="20"/>
              </w:rPr>
              <w:t>、重要審核意見（</w:t>
            </w:r>
            <w:r w:rsidR="008702FD" w:rsidRPr="003E65B0">
              <w:rPr>
                <w:rFonts w:ascii="標楷體" w:eastAsia="標楷體" w:hAnsi="標楷體" w:hint="eastAsia"/>
                <w:noProof/>
                <w:sz w:val="20"/>
              </w:rPr>
              <w:t>三十一</w:t>
            </w:r>
            <w:r w:rsidR="005868B4" w:rsidRPr="003E65B0">
              <w:rPr>
                <w:rFonts w:ascii="標楷體" w:eastAsia="標楷體" w:hAnsi="標楷體" w:hint="eastAsia"/>
                <w:noProof/>
                <w:sz w:val="20"/>
              </w:rPr>
              <w:t>）」。</w:t>
            </w:r>
          </w:p>
        </w:tc>
      </w:tr>
      <w:tr w:rsidR="00262375" w:rsidRPr="00FF0427" w14:paraId="59B60103" w14:textId="77777777" w:rsidTr="00C8615C">
        <w:trPr>
          <w:trHeight w:val="20"/>
        </w:trPr>
        <w:tc>
          <w:tcPr>
            <w:tcW w:w="6804" w:type="dxa"/>
            <w:tcBorders>
              <w:top w:val="single" w:sz="4" w:space="0" w:color="auto"/>
              <w:left w:val="single" w:sz="4" w:space="0" w:color="auto"/>
              <w:bottom w:val="single" w:sz="4" w:space="0" w:color="auto"/>
              <w:right w:val="single" w:sz="4" w:space="0" w:color="auto"/>
            </w:tcBorders>
          </w:tcPr>
          <w:p w14:paraId="161F70AD" w14:textId="3B91FDB0" w:rsidR="00262375" w:rsidRDefault="00262375" w:rsidP="00680112">
            <w:pPr>
              <w:overflowPunct w:val="0"/>
              <w:snapToGrid w:val="0"/>
              <w:spacing w:line="320" w:lineRule="exact"/>
              <w:ind w:left="600" w:hangingChars="300" w:hanging="600"/>
              <w:jc w:val="both"/>
              <w:rPr>
                <w:rFonts w:ascii="標楷體" w:eastAsia="標楷體" w:hAnsi="標楷體"/>
                <w:noProof/>
                <w:sz w:val="20"/>
              </w:rPr>
            </w:pPr>
            <w:r>
              <w:rPr>
                <w:rFonts w:ascii="標楷體" w:eastAsia="標楷體" w:hAnsi="標楷體" w:hint="eastAsia"/>
                <w:noProof/>
                <w:sz w:val="20"/>
              </w:rPr>
              <w:t>（九）</w:t>
            </w:r>
            <w:r w:rsidRPr="008C25C3">
              <w:rPr>
                <w:rFonts w:ascii="標楷體" w:eastAsia="標楷體" w:hAnsi="標楷體" w:hint="eastAsia"/>
                <w:noProof/>
                <w:spacing w:val="-2"/>
                <w:sz w:val="20"/>
              </w:rPr>
              <w:t>政府為推動前瞻基礎建設計畫已編列4期特別預算，惟部分主管機關預算實現率欠佳，且部分工作計畫進度持續落後，預算保留多年仍未執行完竣，允宜督促積極研謀改善，以達計畫目標。</w:t>
            </w:r>
          </w:p>
        </w:tc>
        <w:tc>
          <w:tcPr>
            <w:tcW w:w="3119" w:type="dxa"/>
            <w:tcBorders>
              <w:top w:val="single" w:sz="4" w:space="0" w:color="auto"/>
              <w:left w:val="single" w:sz="4" w:space="0" w:color="auto"/>
              <w:bottom w:val="single" w:sz="4" w:space="0" w:color="auto"/>
              <w:right w:val="single" w:sz="4" w:space="0" w:color="auto"/>
            </w:tcBorders>
          </w:tcPr>
          <w:p w14:paraId="4F325A10" w14:textId="48C8922C" w:rsidR="00262375" w:rsidRPr="00262375" w:rsidRDefault="00262375" w:rsidP="00680112">
            <w:pPr>
              <w:overflowPunct w:val="0"/>
              <w:snapToGrid w:val="0"/>
              <w:spacing w:line="320" w:lineRule="exact"/>
              <w:jc w:val="both"/>
              <w:rPr>
                <w:rFonts w:ascii="標楷體" w:eastAsia="標楷體" w:hAnsi="標楷體"/>
                <w:noProof/>
                <w:color w:val="FF0000"/>
                <w:sz w:val="20"/>
              </w:rPr>
            </w:pPr>
            <w:r w:rsidRPr="008734F7">
              <w:rPr>
                <w:rFonts w:ascii="標楷體" w:eastAsia="標楷體" w:hAnsi="標楷體" w:hint="eastAsia"/>
                <w:noProof/>
                <w:sz w:val="20"/>
              </w:rPr>
              <w:t>因預算保留多年仍未執行完竣，業再研提審核意見詳「中央政府前瞻基礎建設計畫第</w:t>
            </w:r>
            <w:r w:rsidRPr="008734F7">
              <w:rPr>
                <w:rFonts w:ascii="標楷體" w:eastAsia="標楷體" w:hAnsi="標楷體"/>
                <w:noProof/>
                <w:sz w:val="20"/>
              </w:rPr>
              <w:t>4期特別決算審核報告甲、參、一、整體性意見</w:t>
            </w:r>
            <w:r w:rsidR="008734F7" w:rsidRPr="008734F7">
              <w:rPr>
                <w:rFonts w:ascii="標楷體" w:eastAsia="標楷體" w:hAnsi="標楷體" w:hint="eastAsia"/>
                <w:noProof/>
                <w:sz w:val="20"/>
              </w:rPr>
              <w:t>（一）</w:t>
            </w:r>
            <w:r w:rsidRPr="008734F7">
              <w:rPr>
                <w:rFonts w:ascii="標楷體" w:eastAsia="標楷體" w:hAnsi="標楷體"/>
                <w:noProof/>
                <w:sz w:val="20"/>
              </w:rPr>
              <w:t>」。</w:t>
            </w:r>
          </w:p>
        </w:tc>
      </w:tr>
      <w:tr w:rsidR="008E6F59" w:rsidRPr="005D7EA8" w14:paraId="7049EBCB" w14:textId="77777777" w:rsidTr="00150640">
        <w:trPr>
          <w:trHeight w:val="20"/>
          <w:tblHead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0643C0D9" w14:textId="2774E2D1" w:rsidR="008E6F59" w:rsidRPr="005D7EA8" w:rsidRDefault="008E6F59" w:rsidP="00680112">
            <w:pPr>
              <w:overflowPunct w:val="0"/>
              <w:spacing w:line="320" w:lineRule="exact"/>
              <w:rPr>
                <w:rFonts w:ascii="標楷體" w:eastAsia="標楷體" w:hAnsi="標楷體"/>
                <w:color w:val="FF0000"/>
                <w:sz w:val="20"/>
              </w:rPr>
            </w:pPr>
            <w:r w:rsidRPr="00FF0427">
              <w:rPr>
                <w:rFonts w:ascii="標楷體" w:eastAsia="標楷體" w:hAnsi="標楷體" w:hint="eastAsia"/>
                <w:b/>
                <w:noProof/>
                <w:color w:val="000000" w:themeColor="text1"/>
                <w:sz w:val="20"/>
              </w:rPr>
              <w:t>處理中</w:t>
            </w:r>
          </w:p>
        </w:tc>
      </w:tr>
      <w:tr w:rsidR="00292F1C" w:rsidRPr="005D7EA8" w14:paraId="605BBA05" w14:textId="77777777" w:rsidTr="00C8615C">
        <w:trPr>
          <w:trHeight w:val="340"/>
        </w:trPr>
        <w:tc>
          <w:tcPr>
            <w:tcW w:w="6804" w:type="dxa"/>
            <w:tcBorders>
              <w:top w:val="single" w:sz="4" w:space="0" w:color="auto"/>
              <w:left w:val="single" w:sz="4" w:space="0" w:color="auto"/>
              <w:bottom w:val="single" w:sz="4" w:space="0" w:color="auto"/>
              <w:right w:val="single" w:sz="4" w:space="0" w:color="auto"/>
            </w:tcBorders>
          </w:tcPr>
          <w:p w14:paraId="65D20418" w14:textId="17B00A73" w:rsidR="00292F1C" w:rsidRPr="00262C7B" w:rsidRDefault="00BE00E3" w:rsidP="00680112">
            <w:pPr>
              <w:overflowPunct w:val="0"/>
              <w:spacing w:line="320" w:lineRule="exact"/>
              <w:ind w:left="600" w:hangingChars="300" w:hanging="600"/>
              <w:jc w:val="both"/>
              <w:rPr>
                <w:rFonts w:ascii="標楷體" w:eastAsia="標楷體" w:hAnsi="標楷體"/>
                <w:noProof/>
                <w:sz w:val="20"/>
              </w:rPr>
            </w:pPr>
            <w:r>
              <w:rPr>
                <w:rFonts w:ascii="標楷體" w:eastAsia="標楷體" w:hAnsi="標楷體" w:hint="eastAsia"/>
                <w:noProof/>
                <w:sz w:val="20"/>
              </w:rPr>
              <w:t>（一）</w:t>
            </w:r>
            <w:r w:rsidRPr="00BE00E3">
              <w:rPr>
                <w:rFonts w:ascii="標楷體" w:eastAsia="標楷體" w:hAnsi="標楷體" w:hint="eastAsia"/>
                <w:noProof/>
                <w:sz w:val="20"/>
              </w:rPr>
              <w:t>我國已將綠色金融納入淨零轉型關鍵戰略，惟永續金融生態系之建構仍待相關部會共同推動，且各級政府發行永續債券檔數及金額仍低，又國營事業尚未規劃導入國際永續揭露準則，允宜研謀因應，以利深化我國永續發展與淨零轉型</w:t>
            </w:r>
            <w:r>
              <w:rPr>
                <w:rFonts w:ascii="標楷體" w:eastAsia="標楷體" w:hAnsi="標楷體" w:hint="eastAsia"/>
                <w:noProof/>
                <w:sz w:val="20"/>
              </w:rPr>
              <w:t>。</w:t>
            </w:r>
          </w:p>
        </w:tc>
        <w:tc>
          <w:tcPr>
            <w:tcW w:w="3119" w:type="dxa"/>
            <w:tcBorders>
              <w:top w:val="single" w:sz="4" w:space="0" w:color="auto"/>
              <w:left w:val="single" w:sz="4" w:space="0" w:color="auto"/>
              <w:bottom w:val="single" w:sz="4" w:space="0" w:color="auto"/>
              <w:right w:val="single" w:sz="4" w:space="0" w:color="auto"/>
            </w:tcBorders>
          </w:tcPr>
          <w:p w14:paraId="44F40474" w14:textId="2E9F9A05" w:rsidR="00292F1C" w:rsidRPr="00262C7B" w:rsidRDefault="00BE00E3" w:rsidP="00680112">
            <w:pPr>
              <w:overflowPunct w:val="0"/>
              <w:snapToGrid w:val="0"/>
              <w:spacing w:line="320" w:lineRule="exact"/>
              <w:jc w:val="both"/>
              <w:rPr>
                <w:rFonts w:ascii="標楷體" w:eastAsia="標楷體" w:hAnsi="標楷體"/>
                <w:noProof/>
                <w:sz w:val="20"/>
              </w:rPr>
            </w:pPr>
            <w:r w:rsidRPr="00BE00E3">
              <w:rPr>
                <w:rFonts w:ascii="標楷體" w:eastAsia="標楷體" w:hAnsi="標楷體" w:hint="eastAsia"/>
                <w:noProof/>
                <w:sz w:val="20"/>
              </w:rPr>
              <w:t>前經監察院立案調查，該院業</w:t>
            </w:r>
            <w:r>
              <w:rPr>
                <w:rFonts w:ascii="標楷體" w:eastAsia="標楷體" w:hAnsi="標楷體" w:hint="eastAsia"/>
                <w:noProof/>
                <w:sz w:val="20"/>
              </w:rPr>
              <w:t>提出調查報告</w:t>
            </w:r>
            <w:r w:rsidRPr="00BE00E3">
              <w:rPr>
                <w:rFonts w:ascii="標楷體" w:eastAsia="標楷體" w:hAnsi="標楷體" w:hint="eastAsia"/>
                <w:noProof/>
                <w:sz w:val="20"/>
              </w:rPr>
              <w:t>。</w:t>
            </w:r>
          </w:p>
        </w:tc>
      </w:tr>
      <w:tr w:rsidR="005D7EA8" w:rsidRPr="005D7EA8" w14:paraId="4EDC2AA9" w14:textId="77777777" w:rsidTr="00C8615C">
        <w:trPr>
          <w:trHeight w:val="340"/>
        </w:trPr>
        <w:tc>
          <w:tcPr>
            <w:tcW w:w="6804" w:type="dxa"/>
            <w:tcBorders>
              <w:top w:val="single" w:sz="4" w:space="0" w:color="auto"/>
              <w:left w:val="single" w:sz="4" w:space="0" w:color="auto"/>
              <w:bottom w:val="single" w:sz="4" w:space="0" w:color="auto"/>
              <w:right w:val="single" w:sz="4" w:space="0" w:color="auto"/>
            </w:tcBorders>
          </w:tcPr>
          <w:p w14:paraId="1A5B7DF4" w14:textId="6A22F066" w:rsidR="00255CDC" w:rsidRPr="00262C7B" w:rsidRDefault="00255CDC" w:rsidP="00680112">
            <w:pPr>
              <w:overflowPunct w:val="0"/>
              <w:spacing w:line="320" w:lineRule="exact"/>
              <w:ind w:left="600" w:hangingChars="300" w:hanging="600"/>
              <w:jc w:val="both"/>
              <w:rPr>
                <w:rFonts w:ascii="標楷體" w:eastAsia="標楷體" w:hAnsi="標楷體"/>
                <w:noProof/>
                <w:sz w:val="20"/>
              </w:rPr>
            </w:pPr>
            <w:r w:rsidRPr="00262C7B">
              <w:rPr>
                <w:rFonts w:ascii="標楷體" w:eastAsia="標楷體" w:hAnsi="標楷體" w:hint="eastAsia"/>
                <w:noProof/>
                <w:sz w:val="20"/>
              </w:rPr>
              <w:t>（</w:t>
            </w:r>
            <w:r w:rsidR="006255D5">
              <w:rPr>
                <w:rFonts w:ascii="標楷體" w:eastAsia="標楷體" w:hAnsi="標楷體" w:hint="eastAsia"/>
                <w:noProof/>
                <w:sz w:val="20"/>
              </w:rPr>
              <w:t>二</w:t>
            </w:r>
            <w:r w:rsidRPr="00262C7B">
              <w:rPr>
                <w:rFonts w:ascii="標楷體" w:eastAsia="標楷體" w:hAnsi="標楷體" w:hint="eastAsia"/>
                <w:noProof/>
                <w:sz w:val="20"/>
              </w:rPr>
              <w:t>）</w:t>
            </w:r>
            <w:r w:rsidR="00262C7B" w:rsidRPr="00262C7B">
              <w:rPr>
                <w:rFonts w:ascii="標楷體" w:eastAsia="標楷體" w:hAnsi="標楷體" w:hint="eastAsia"/>
                <w:noProof/>
                <w:sz w:val="20"/>
              </w:rPr>
              <w:t>政府推動營建事業廢棄物再利用，有助減少違法棄置，及促進資源有效利用，惟部分營建事業廢棄物清運車輛超重問題嚴重，執法取締量能有限，且交通部函釋得不適用砂石專用車輛亦未盡合理，允宜督促相關權責機關建立車輛管制與超載通報機制，及研商道路交通管理處罰條例對砂石土方定義之法律明確性。</w:t>
            </w:r>
          </w:p>
        </w:tc>
        <w:tc>
          <w:tcPr>
            <w:tcW w:w="3119" w:type="dxa"/>
            <w:tcBorders>
              <w:top w:val="single" w:sz="4" w:space="0" w:color="auto"/>
              <w:left w:val="single" w:sz="4" w:space="0" w:color="auto"/>
              <w:bottom w:val="single" w:sz="4" w:space="0" w:color="auto"/>
              <w:right w:val="single" w:sz="4" w:space="0" w:color="auto"/>
            </w:tcBorders>
          </w:tcPr>
          <w:p w14:paraId="42FBBF06" w14:textId="1ACA5A00" w:rsidR="00255CDC" w:rsidRPr="005D7EA8" w:rsidRDefault="00255CDC" w:rsidP="00680112">
            <w:pPr>
              <w:overflowPunct w:val="0"/>
              <w:snapToGrid w:val="0"/>
              <w:spacing w:line="320" w:lineRule="exact"/>
              <w:jc w:val="both"/>
              <w:rPr>
                <w:rFonts w:ascii="標楷體" w:eastAsia="標楷體" w:hAnsi="標楷體"/>
                <w:noProof/>
                <w:color w:val="FF0000"/>
                <w:sz w:val="20"/>
              </w:rPr>
            </w:pPr>
            <w:r w:rsidRPr="00262C7B">
              <w:rPr>
                <w:rFonts w:ascii="標楷體" w:eastAsia="標楷體" w:hAnsi="標楷體" w:hint="eastAsia"/>
                <w:noProof/>
                <w:sz w:val="20"/>
              </w:rPr>
              <w:t>前經監察院立案調查，該院業糾正，詳「六、其他事項」。</w:t>
            </w:r>
          </w:p>
        </w:tc>
      </w:tr>
      <w:tr w:rsidR="001833E3" w:rsidRPr="005D7EA8" w14:paraId="062E2715" w14:textId="77777777" w:rsidTr="00C8615C">
        <w:trPr>
          <w:trHeight w:val="340"/>
        </w:trPr>
        <w:tc>
          <w:tcPr>
            <w:tcW w:w="6804" w:type="dxa"/>
            <w:tcBorders>
              <w:top w:val="single" w:sz="4" w:space="0" w:color="auto"/>
              <w:left w:val="single" w:sz="4" w:space="0" w:color="auto"/>
              <w:bottom w:val="single" w:sz="4" w:space="0" w:color="auto"/>
              <w:right w:val="single" w:sz="4" w:space="0" w:color="auto"/>
            </w:tcBorders>
          </w:tcPr>
          <w:p w14:paraId="27E66755" w14:textId="736341FD" w:rsidR="001833E3" w:rsidRPr="00262C7B" w:rsidRDefault="008E6F59" w:rsidP="00680112">
            <w:pPr>
              <w:overflowPunct w:val="0"/>
              <w:spacing w:line="320" w:lineRule="exact"/>
              <w:ind w:left="600" w:hangingChars="300" w:hanging="600"/>
              <w:jc w:val="both"/>
              <w:rPr>
                <w:rFonts w:ascii="標楷體" w:eastAsia="標楷體" w:hAnsi="標楷體"/>
                <w:noProof/>
                <w:sz w:val="20"/>
              </w:rPr>
            </w:pPr>
            <w:r>
              <w:rPr>
                <w:rFonts w:ascii="標楷體" w:eastAsia="標楷體" w:hAnsi="標楷體" w:hint="eastAsia"/>
                <w:noProof/>
                <w:sz w:val="20"/>
              </w:rPr>
              <w:t>（</w:t>
            </w:r>
            <w:r w:rsidR="006255D5">
              <w:rPr>
                <w:rFonts w:ascii="標楷體" w:eastAsia="標楷體" w:hAnsi="標楷體" w:hint="eastAsia"/>
                <w:noProof/>
                <w:sz w:val="20"/>
              </w:rPr>
              <w:t>三</w:t>
            </w:r>
            <w:r>
              <w:rPr>
                <w:rFonts w:ascii="標楷體" w:eastAsia="標楷體" w:hAnsi="標楷體" w:hint="eastAsia"/>
                <w:noProof/>
                <w:sz w:val="20"/>
              </w:rPr>
              <w:t>）</w:t>
            </w:r>
            <w:r w:rsidR="001833E3" w:rsidRPr="001833E3">
              <w:rPr>
                <w:rFonts w:ascii="標楷體" w:eastAsia="標楷體" w:hAnsi="標楷體" w:hint="eastAsia"/>
                <w:noProof/>
                <w:sz w:val="20"/>
              </w:rPr>
              <w:t>原住民族委員會管理國有原住民保留地被占用清查及處理情形，間有未落實分年分區清查工作，恐存在相當未經列管被占用案件黑數；排除占用成效低落，列管被占用錄數、面積逐年攀升；未及時通知占用人繳納使用補償金，恐致政府債權受損等情，均待研謀改善</w:t>
            </w:r>
            <w:r>
              <w:rPr>
                <w:rFonts w:ascii="標楷體" w:eastAsia="標楷體" w:hAnsi="標楷體" w:hint="eastAsia"/>
                <w:noProof/>
                <w:sz w:val="20"/>
              </w:rPr>
              <w:t>。</w:t>
            </w:r>
          </w:p>
        </w:tc>
        <w:tc>
          <w:tcPr>
            <w:tcW w:w="3119" w:type="dxa"/>
            <w:tcBorders>
              <w:top w:val="single" w:sz="4" w:space="0" w:color="auto"/>
              <w:left w:val="single" w:sz="4" w:space="0" w:color="auto"/>
              <w:bottom w:val="single" w:sz="4" w:space="0" w:color="auto"/>
              <w:right w:val="single" w:sz="4" w:space="0" w:color="auto"/>
            </w:tcBorders>
          </w:tcPr>
          <w:p w14:paraId="4D16FE7F" w14:textId="4F4913A5" w:rsidR="001833E3" w:rsidRPr="00262C7B" w:rsidRDefault="001833E3" w:rsidP="00680112">
            <w:pPr>
              <w:overflowPunct w:val="0"/>
              <w:snapToGrid w:val="0"/>
              <w:spacing w:line="320" w:lineRule="exact"/>
              <w:jc w:val="both"/>
              <w:rPr>
                <w:rFonts w:ascii="標楷體" w:eastAsia="標楷體" w:hAnsi="標楷體"/>
                <w:noProof/>
                <w:sz w:val="20"/>
              </w:rPr>
            </w:pPr>
            <w:r w:rsidRPr="001833E3">
              <w:rPr>
                <w:rFonts w:ascii="標楷體" w:eastAsia="標楷體" w:hAnsi="標楷體" w:hint="eastAsia"/>
                <w:noProof/>
                <w:sz w:val="20"/>
              </w:rPr>
              <w:t>前經依法陳報監察院，該院</w:t>
            </w:r>
            <w:r>
              <w:rPr>
                <w:rFonts w:ascii="標楷體" w:eastAsia="標楷體" w:hAnsi="標楷體" w:hint="eastAsia"/>
                <w:noProof/>
                <w:sz w:val="20"/>
              </w:rPr>
              <w:t>尚在處理中</w:t>
            </w:r>
            <w:r w:rsidRPr="001833E3">
              <w:rPr>
                <w:rFonts w:ascii="標楷體" w:eastAsia="標楷體" w:hAnsi="標楷體" w:hint="eastAsia"/>
                <w:noProof/>
                <w:sz w:val="20"/>
              </w:rPr>
              <w:t>。</w:t>
            </w:r>
          </w:p>
        </w:tc>
      </w:tr>
      <w:tr w:rsidR="005D7EA8" w:rsidRPr="005D7EA8" w14:paraId="3F2DCCDA" w14:textId="77777777" w:rsidTr="00C8615C">
        <w:trPr>
          <w:trHeight w:val="340"/>
        </w:trPr>
        <w:tc>
          <w:tcPr>
            <w:tcW w:w="6804" w:type="dxa"/>
            <w:tcBorders>
              <w:top w:val="single" w:sz="4" w:space="0" w:color="auto"/>
              <w:left w:val="single" w:sz="4" w:space="0" w:color="auto"/>
              <w:bottom w:val="single" w:sz="4" w:space="0" w:color="auto"/>
              <w:right w:val="single" w:sz="4" w:space="0" w:color="auto"/>
            </w:tcBorders>
          </w:tcPr>
          <w:p w14:paraId="0E8CCC7F" w14:textId="3FC15191" w:rsidR="00255CDC" w:rsidRPr="005D7EA8" w:rsidRDefault="00255CDC" w:rsidP="00680112">
            <w:pPr>
              <w:overflowPunct w:val="0"/>
              <w:spacing w:line="320" w:lineRule="exact"/>
              <w:ind w:left="600" w:hangingChars="300" w:hanging="600"/>
              <w:jc w:val="both"/>
              <w:rPr>
                <w:rFonts w:ascii="標楷體" w:eastAsia="標楷體" w:hAnsi="標楷體"/>
                <w:noProof/>
                <w:color w:val="FF0000"/>
                <w:sz w:val="20"/>
              </w:rPr>
            </w:pPr>
            <w:r w:rsidRPr="00B45F30">
              <w:rPr>
                <w:rFonts w:ascii="標楷體" w:eastAsia="標楷體" w:hAnsi="標楷體" w:hint="eastAsia"/>
                <w:noProof/>
                <w:sz w:val="20"/>
              </w:rPr>
              <w:t>（</w:t>
            </w:r>
            <w:r w:rsidR="006255D5">
              <w:rPr>
                <w:rFonts w:ascii="標楷體" w:eastAsia="標楷體" w:hAnsi="標楷體" w:hint="eastAsia"/>
                <w:noProof/>
                <w:sz w:val="20"/>
              </w:rPr>
              <w:t>四</w:t>
            </w:r>
            <w:r w:rsidRPr="00B45F30">
              <w:rPr>
                <w:rFonts w:ascii="標楷體" w:eastAsia="標楷體" w:hAnsi="標楷體" w:hint="eastAsia"/>
                <w:noProof/>
                <w:sz w:val="20"/>
              </w:rPr>
              <w:t>）</w:t>
            </w:r>
            <w:r w:rsidR="00B45F30" w:rsidRPr="00B45F30">
              <w:rPr>
                <w:rFonts w:ascii="標楷體" w:eastAsia="標楷體" w:hAnsi="標楷體" w:hint="eastAsia"/>
                <w:noProof/>
                <w:sz w:val="20"/>
              </w:rPr>
              <w:t>連接臺灣本島與離島之海底通訊電纜攸關民眾生活與安全，近年電纜受損案件頻傳，國家通訊傳播委員會允宜持續督導電信業者強化海纜通信系統之備援機制與安全防護，以確保我國通訊安全與暢通。</w:t>
            </w:r>
          </w:p>
        </w:tc>
        <w:tc>
          <w:tcPr>
            <w:tcW w:w="3119" w:type="dxa"/>
            <w:tcBorders>
              <w:top w:val="single" w:sz="4" w:space="0" w:color="auto"/>
              <w:left w:val="single" w:sz="4" w:space="0" w:color="auto"/>
              <w:bottom w:val="single" w:sz="4" w:space="0" w:color="auto"/>
              <w:right w:val="single" w:sz="4" w:space="0" w:color="auto"/>
            </w:tcBorders>
          </w:tcPr>
          <w:p w14:paraId="4A8DDB95" w14:textId="29C57C5F" w:rsidR="00255CDC" w:rsidRPr="005D7EA8" w:rsidRDefault="00255CDC" w:rsidP="00680112">
            <w:pPr>
              <w:overflowPunct w:val="0"/>
              <w:snapToGrid w:val="0"/>
              <w:spacing w:line="320" w:lineRule="exact"/>
              <w:jc w:val="both"/>
              <w:rPr>
                <w:rFonts w:ascii="標楷體" w:eastAsia="標楷體" w:hAnsi="標楷體"/>
                <w:noProof/>
                <w:color w:val="FF0000"/>
                <w:sz w:val="20"/>
              </w:rPr>
            </w:pPr>
            <w:r w:rsidRPr="00E23F35">
              <w:rPr>
                <w:rFonts w:ascii="標楷體" w:eastAsia="標楷體" w:hAnsi="標楷體" w:hint="eastAsia"/>
                <w:noProof/>
                <w:sz w:val="20"/>
              </w:rPr>
              <w:t>前經監察院立案調查，該院尚在處理中。</w:t>
            </w:r>
          </w:p>
        </w:tc>
      </w:tr>
      <w:tr w:rsidR="00240574" w:rsidRPr="00FF0427" w14:paraId="178ED3D9" w14:textId="77777777" w:rsidTr="009F1BF7">
        <w:trPr>
          <w:trHeight w:val="340"/>
        </w:trPr>
        <w:tc>
          <w:tcPr>
            <w:tcW w:w="9923" w:type="dxa"/>
            <w:gridSpan w:val="2"/>
            <w:tcBorders>
              <w:top w:val="single" w:sz="4" w:space="0" w:color="auto"/>
              <w:left w:val="single" w:sz="4" w:space="0" w:color="auto"/>
              <w:bottom w:val="single" w:sz="4" w:space="0" w:color="auto"/>
              <w:right w:val="single" w:sz="4" w:space="0" w:color="auto"/>
            </w:tcBorders>
          </w:tcPr>
          <w:p w14:paraId="41F60E49" w14:textId="50C3DD17" w:rsidR="00240574" w:rsidRPr="00FF0427" w:rsidRDefault="00240574" w:rsidP="00680112">
            <w:pPr>
              <w:overflowPunct w:val="0"/>
              <w:snapToGrid w:val="0"/>
              <w:spacing w:line="320" w:lineRule="exact"/>
              <w:jc w:val="both"/>
              <w:rPr>
                <w:rFonts w:ascii="標楷體" w:eastAsia="標楷體" w:hAnsi="標楷體"/>
                <w:noProof/>
                <w:color w:val="000000" w:themeColor="text1"/>
                <w:sz w:val="20"/>
              </w:rPr>
            </w:pPr>
            <w:r w:rsidRPr="00FF0427">
              <w:rPr>
                <w:rFonts w:ascii="標楷體" w:eastAsia="標楷體" w:hAnsi="標楷體" w:hint="eastAsia"/>
                <w:b/>
                <w:noProof/>
                <w:color w:val="000000" w:themeColor="text1"/>
                <w:sz w:val="20"/>
              </w:rPr>
              <w:t>已研謀改善或依改善措施持續辦理</w:t>
            </w:r>
          </w:p>
        </w:tc>
      </w:tr>
      <w:tr w:rsidR="00B45F30" w:rsidRPr="00FF0427" w14:paraId="71381A58" w14:textId="77777777" w:rsidTr="00C8615C">
        <w:trPr>
          <w:trHeight w:val="340"/>
        </w:trPr>
        <w:tc>
          <w:tcPr>
            <w:tcW w:w="6804" w:type="dxa"/>
            <w:tcBorders>
              <w:top w:val="single" w:sz="4" w:space="0" w:color="auto"/>
              <w:left w:val="single" w:sz="4" w:space="0" w:color="auto"/>
              <w:bottom w:val="single" w:sz="4" w:space="0" w:color="auto"/>
              <w:right w:val="single" w:sz="4" w:space="0" w:color="auto"/>
            </w:tcBorders>
          </w:tcPr>
          <w:p w14:paraId="3389EE90" w14:textId="60BF1F59" w:rsidR="00B45F30" w:rsidRPr="00FF0427" w:rsidRDefault="002F6A60" w:rsidP="00680112">
            <w:pPr>
              <w:overflowPunct w:val="0"/>
              <w:spacing w:line="320" w:lineRule="exact"/>
              <w:ind w:left="600" w:hangingChars="300" w:hanging="600"/>
              <w:jc w:val="both"/>
              <w:rPr>
                <w:rFonts w:ascii="標楷體" w:eastAsia="標楷體" w:hAnsi="標楷體"/>
                <w:noProof/>
                <w:color w:val="000000" w:themeColor="text1"/>
                <w:sz w:val="20"/>
              </w:rPr>
            </w:pPr>
            <w:r>
              <w:rPr>
                <w:rFonts w:ascii="標楷體" w:eastAsia="標楷體" w:hAnsi="標楷體" w:hint="eastAsia"/>
                <w:noProof/>
                <w:color w:val="000000" w:themeColor="text1"/>
                <w:sz w:val="20"/>
              </w:rPr>
              <w:t>（一）</w:t>
            </w:r>
            <w:r w:rsidR="00B45F30" w:rsidRPr="00B45F30">
              <w:rPr>
                <w:rFonts w:ascii="標楷體" w:eastAsia="標楷體" w:hAnsi="標楷體" w:hint="eastAsia"/>
                <w:noProof/>
                <w:color w:val="000000" w:themeColor="text1"/>
                <w:sz w:val="20"/>
              </w:rPr>
              <w:t>國家運輸安全調查委員會規劃建置運安工程研究中心，有助提升整體運輸安全，惟因計畫先期作業未盡周延、基地選址及申請用地進度落後等情，暫緩計畫推動，允宜研謀改善，俾達原規劃避免重大運輸事故再發生之政策目的</w:t>
            </w:r>
            <w:r w:rsidR="00C000E7">
              <w:rPr>
                <w:rFonts w:ascii="標楷體" w:eastAsia="標楷體" w:hAnsi="標楷體" w:hint="eastAsia"/>
                <w:noProof/>
                <w:color w:val="000000" w:themeColor="text1"/>
                <w:sz w:val="20"/>
              </w:rPr>
              <w:t>。</w:t>
            </w:r>
          </w:p>
        </w:tc>
        <w:tc>
          <w:tcPr>
            <w:tcW w:w="3119" w:type="dxa"/>
            <w:tcBorders>
              <w:top w:val="single" w:sz="4" w:space="0" w:color="auto"/>
              <w:left w:val="single" w:sz="4" w:space="0" w:color="auto"/>
              <w:bottom w:val="single" w:sz="4" w:space="0" w:color="auto"/>
              <w:right w:val="single" w:sz="4" w:space="0" w:color="auto"/>
            </w:tcBorders>
          </w:tcPr>
          <w:p w14:paraId="4D91E62D" w14:textId="3D72208F" w:rsidR="00B45F30" w:rsidRPr="00B45F30" w:rsidRDefault="00B45F30" w:rsidP="00680112">
            <w:pPr>
              <w:overflowPunct w:val="0"/>
              <w:snapToGrid w:val="0"/>
              <w:spacing w:line="320" w:lineRule="exact"/>
              <w:jc w:val="both"/>
              <w:rPr>
                <w:rFonts w:ascii="標楷體" w:eastAsia="標楷體" w:hAnsi="標楷體"/>
                <w:noProof/>
                <w:sz w:val="20"/>
              </w:rPr>
            </w:pPr>
            <w:r w:rsidRPr="00B45F30">
              <w:rPr>
                <w:rFonts w:ascii="標楷體" w:eastAsia="標楷體" w:hAnsi="標楷體" w:hint="eastAsia"/>
                <w:noProof/>
                <w:sz w:val="20"/>
              </w:rPr>
              <w:t>前經依法陳報監察院，該院業同意備查。</w:t>
            </w:r>
          </w:p>
        </w:tc>
      </w:tr>
    </w:tbl>
    <w:p w14:paraId="7E9E63D5" w14:textId="02AC97EC" w:rsidR="001E231E" w:rsidRDefault="001E231E" w:rsidP="001E231E">
      <w:pPr>
        <w:jc w:val="center"/>
      </w:pPr>
      <w:r w:rsidRPr="00CC5C3E">
        <w:rPr>
          <w:rFonts w:ascii="標楷體" w:eastAsia="標楷體" w:hAnsi="標楷體" w:hint="eastAsia"/>
          <w:b/>
          <w:szCs w:val="24"/>
        </w:rPr>
        <w:lastRenderedPageBreak/>
        <w:t>表5</w:t>
      </w:r>
      <w:r w:rsidR="005C3237">
        <w:rPr>
          <w:rFonts w:ascii="標楷體" w:eastAsia="標楷體" w:hAnsi="標楷體" w:hint="eastAsia"/>
          <w:b/>
          <w:szCs w:val="24"/>
        </w:rPr>
        <w:t>9</w:t>
      </w:r>
      <w:r w:rsidRPr="00CC5C3E">
        <w:rPr>
          <w:rFonts w:ascii="標楷體" w:eastAsia="標楷體" w:hAnsi="標楷體" w:hint="eastAsia"/>
          <w:b/>
          <w:szCs w:val="24"/>
        </w:rPr>
        <w:t xml:space="preserve">　</w:t>
      </w:r>
      <w:proofErr w:type="gramStart"/>
      <w:r w:rsidRPr="00CC5C3E">
        <w:rPr>
          <w:rFonts w:ascii="標楷體" w:eastAsia="標楷體" w:hAnsi="標楷體"/>
          <w:b/>
          <w:szCs w:val="24"/>
        </w:rPr>
        <w:t>1</w:t>
      </w:r>
      <w:r w:rsidRPr="00CC5C3E">
        <w:rPr>
          <w:rFonts w:ascii="標楷體" w:eastAsia="標楷體" w:hAnsi="標楷體" w:hint="eastAsia"/>
          <w:b/>
          <w:szCs w:val="24"/>
        </w:rPr>
        <w:t>12</w:t>
      </w:r>
      <w:proofErr w:type="gramEnd"/>
      <w:r w:rsidRPr="00CC5C3E">
        <w:rPr>
          <w:rFonts w:ascii="標楷體" w:eastAsia="標楷體" w:hAnsi="標楷體" w:hint="eastAsia"/>
          <w:b/>
          <w:szCs w:val="24"/>
        </w:rPr>
        <w:t>年度審核報告所</w:t>
      </w:r>
      <w:proofErr w:type="gramStart"/>
      <w:r w:rsidRPr="00CC5C3E">
        <w:rPr>
          <w:rFonts w:ascii="標楷體" w:eastAsia="標楷體" w:hAnsi="標楷體" w:hint="eastAsia"/>
          <w:b/>
          <w:szCs w:val="24"/>
        </w:rPr>
        <w:t>列行</w:t>
      </w:r>
      <w:proofErr w:type="gramEnd"/>
      <w:r w:rsidRPr="00CC5C3E">
        <w:rPr>
          <w:rFonts w:ascii="標楷體" w:eastAsia="標楷體" w:hAnsi="標楷體" w:hint="eastAsia"/>
          <w:b/>
          <w:szCs w:val="24"/>
        </w:rPr>
        <w:t>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88"/>
        <w:gridCol w:w="2835"/>
      </w:tblGrid>
      <w:tr w:rsidR="001E231E" w:rsidRPr="00FF0427" w14:paraId="7C8A6ACC"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vAlign w:val="center"/>
          </w:tcPr>
          <w:p w14:paraId="4B4946FE" w14:textId="5C99C393" w:rsidR="001E231E" w:rsidRPr="00FF0427" w:rsidRDefault="001E231E" w:rsidP="00573698">
            <w:pPr>
              <w:overflowPunct w:val="0"/>
              <w:spacing w:line="314" w:lineRule="exact"/>
              <w:ind w:left="560" w:hangingChars="280" w:hanging="560"/>
              <w:jc w:val="center"/>
              <w:rPr>
                <w:rFonts w:ascii="標楷體" w:eastAsia="標楷體" w:hAnsi="標楷體"/>
                <w:noProof/>
                <w:color w:val="000000" w:themeColor="text1"/>
                <w:sz w:val="20"/>
              </w:rPr>
            </w:pPr>
            <w:r w:rsidRPr="00FF0427">
              <w:rPr>
                <w:rFonts w:ascii="標楷體" w:eastAsia="標楷體" w:hAnsi="標楷體" w:hint="eastAsia"/>
                <w:color w:val="000000" w:themeColor="text1"/>
                <w:sz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tcPr>
          <w:p w14:paraId="553565AC" w14:textId="11F0D0BF" w:rsidR="001E231E" w:rsidRPr="00FF0427" w:rsidRDefault="001E231E" w:rsidP="00573698">
            <w:pPr>
              <w:overflowPunct w:val="0"/>
              <w:snapToGrid w:val="0"/>
              <w:spacing w:line="314" w:lineRule="exact"/>
              <w:jc w:val="center"/>
              <w:rPr>
                <w:rFonts w:ascii="標楷體" w:eastAsia="標楷體" w:hAnsi="標楷體"/>
                <w:noProof/>
                <w:color w:val="000000" w:themeColor="text1"/>
                <w:sz w:val="20"/>
              </w:rPr>
            </w:pPr>
            <w:r w:rsidRPr="00FF0427">
              <w:rPr>
                <w:rFonts w:ascii="標楷體" w:eastAsia="標楷體" w:hAnsi="標楷體" w:hint="eastAsia"/>
                <w:color w:val="000000" w:themeColor="text1"/>
                <w:sz w:val="20"/>
              </w:rPr>
              <w:t>說明</w:t>
            </w:r>
          </w:p>
        </w:tc>
      </w:tr>
      <w:tr w:rsidR="000C4D84" w:rsidRPr="00FF0427" w14:paraId="2FDB91F9"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7C63FB03" w14:textId="23227641" w:rsidR="000C4D84" w:rsidRPr="00FF0427" w:rsidRDefault="000C4D84" w:rsidP="00573698">
            <w:pPr>
              <w:overflowPunct w:val="0"/>
              <w:spacing w:line="314"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二</w:t>
            </w:r>
            <w:r w:rsidRPr="00FF0427">
              <w:rPr>
                <w:rFonts w:ascii="標楷體" w:eastAsia="標楷體" w:hAnsi="標楷體" w:hint="eastAsia"/>
                <w:noProof/>
                <w:color w:val="000000" w:themeColor="text1"/>
                <w:sz w:val="20"/>
              </w:rPr>
              <w:t>）</w:t>
            </w:r>
            <w:r w:rsidRPr="005D7EA8">
              <w:rPr>
                <w:rFonts w:ascii="標楷體" w:eastAsia="標楷體" w:hAnsi="標楷體" w:hint="eastAsia"/>
                <w:noProof/>
                <w:color w:val="000000" w:themeColor="text1"/>
                <w:sz w:val="20"/>
              </w:rPr>
              <w:t>我國受全球終端商品消費需求不振等影響，112年度輸出動能疲軟，抑低民間投資意願，整體經濟成長趨緩。鑑於我國出口表現易受全球需求市場變化，連動國內民間投資及生產動能，影響經濟發展，允宜注意國際經貿發展趨勢對出口及國內產業之影響，持續推動產業升級創新，擴大出口動能，促進民間企業投資及生產，維繫經濟穩健成長</w:t>
            </w:r>
            <w:r>
              <w:rPr>
                <w:rFonts w:ascii="標楷體" w:eastAsia="標楷體" w:hAnsi="標楷體" w:hint="eastAsia"/>
                <w:noProof/>
                <w:color w:val="000000" w:themeColor="text1"/>
                <w:sz w:val="20"/>
              </w:rPr>
              <w:t>。</w:t>
            </w:r>
          </w:p>
        </w:tc>
        <w:tc>
          <w:tcPr>
            <w:tcW w:w="2835" w:type="dxa"/>
            <w:vMerge w:val="restart"/>
            <w:tcBorders>
              <w:top w:val="single" w:sz="4" w:space="0" w:color="auto"/>
              <w:left w:val="single" w:sz="4" w:space="0" w:color="auto"/>
              <w:right w:val="single" w:sz="4" w:space="0" w:color="auto"/>
              <w:tl2br w:val="single" w:sz="4" w:space="0" w:color="auto"/>
            </w:tcBorders>
          </w:tcPr>
          <w:p w14:paraId="22A1AFA2" w14:textId="46AA9F06" w:rsidR="000C4D84" w:rsidRPr="00FF0427" w:rsidRDefault="000C4D84" w:rsidP="00573698">
            <w:pPr>
              <w:overflowPunct w:val="0"/>
              <w:snapToGrid w:val="0"/>
              <w:spacing w:line="314" w:lineRule="exact"/>
              <w:jc w:val="both"/>
              <w:rPr>
                <w:rFonts w:ascii="標楷體" w:eastAsia="標楷體" w:hAnsi="標楷體"/>
                <w:noProof/>
                <w:color w:val="000000" w:themeColor="text1"/>
                <w:sz w:val="20"/>
              </w:rPr>
            </w:pPr>
          </w:p>
        </w:tc>
      </w:tr>
      <w:tr w:rsidR="000C4D84" w:rsidRPr="005D7EA8" w14:paraId="4E96E2FB"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2A152779" w14:textId="0472A94A" w:rsidR="000C4D84" w:rsidRPr="005D7EA8" w:rsidRDefault="000C4D84" w:rsidP="00573698">
            <w:pPr>
              <w:overflowPunct w:val="0"/>
              <w:spacing w:line="314" w:lineRule="exact"/>
              <w:ind w:left="600" w:hangingChars="300" w:hanging="600"/>
              <w:jc w:val="both"/>
              <w:rPr>
                <w:rFonts w:ascii="標楷體" w:eastAsia="標楷體" w:hAnsi="標楷體"/>
                <w:noProof/>
                <w:color w:val="FF0000"/>
                <w:sz w:val="20"/>
              </w:rPr>
            </w:pPr>
            <w:r w:rsidRPr="008729AC">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三</w:t>
            </w:r>
            <w:r w:rsidRPr="008729AC">
              <w:rPr>
                <w:rFonts w:ascii="標楷體" w:eastAsia="標楷體" w:hAnsi="標楷體" w:hint="eastAsia"/>
                <w:noProof/>
                <w:color w:val="000000" w:themeColor="text1"/>
                <w:sz w:val="20"/>
              </w:rPr>
              <w:t>）政府致力改善國內投資環境，協助臺商及僑外資回（來）臺投資，惟各界仍提出政策法規未明確之建言，又導引臺商匯回資金至實體投資成效待加強，融資貸款監督管理機制亦待強化，且產業技術仰賴美日仍甚深，允宜持續研謀改善，俾提升我國投資環境與國際競爭力，促進經濟發展。</w:t>
            </w:r>
          </w:p>
        </w:tc>
        <w:tc>
          <w:tcPr>
            <w:tcW w:w="2835" w:type="dxa"/>
            <w:vMerge/>
            <w:tcBorders>
              <w:left w:val="single" w:sz="4" w:space="0" w:color="auto"/>
              <w:right w:val="single" w:sz="4" w:space="0" w:color="auto"/>
              <w:tl2br w:val="single" w:sz="4" w:space="0" w:color="auto"/>
            </w:tcBorders>
          </w:tcPr>
          <w:p w14:paraId="08981CD6" w14:textId="7D23A58F"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69022F85"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69094591" w14:textId="34A8577B" w:rsidR="000C4D84" w:rsidRPr="008729AC" w:rsidRDefault="000C4D84" w:rsidP="00573698">
            <w:pPr>
              <w:overflowPunct w:val="0"/>
              <w:spacing w:line="314" w:lineRule="exact"/>
              <w:ind w:left="600" w:hangingChars="300" w:hanging="600"/>
              <w:jc w:val="both"/>
              <w:rPr>
                <w:rFonts w:ascii="標楷體" w:eastAsia="標楷體" w:hAnsi="標楷體"/>
                <w:noProof/>
                <w:color w:val="000000" w:themeColor="text1"/>
                <w:sz w:val="20"/>
              </w:rPr>
            </w:pPr>
            <w:r>
              <w:rPr>
                <w:rFonts w:ascii="標楷體" w:eastAsia="標楷體" w:hAnsi="標楷體" w:hint="eastAsia"/>
                <w:noProof/>
                <w:color w:val="000000" w:themeColor="text1"/>
                <w:sz w:val="20"/>
              </w:rPr>
              <w:t>（四）</w:t>
            </w:r>
            <w:r w:rsidRPr="007D2A26">
              <w:rPr>
                <w:rFonts w:ascii="標楷體" w:eastAsia="標楷體" w:hAnsi="標楷體" w:hint="eastAsia"/>
                <w:noProof/>
                <w:color w:val="000000" w:themeColor="text1"/>
                <w:sz w:val="20"/>
              </w:rPr>
              <w:t>政府因應高齡者多元需求推動因應超高齡社會對策方案，惟方案匡列經費偏重於醫療及長照服務，且各面向規劃工作比重差異頗大，又部分執行策略對應權責機關及政策措施仍有擴增空間，允宜滾動檢討方案經費配置及工作項目，並強化方案與其他重大計畫間之跨部會整合及協調機制，以完善高齡政策發展</w:t>
            </w:r>
            <w:r>
              <w:rPr>
                <w:rFonts w:ascii="標楷體" w:eastAsia="標楷體" w:hAnsi="標楷體" w:hint="eastAsia"/>
                <w:noProof/>
                <w:color w:val="000000" w:themeColor="text1"/>
                <w:sz w:val="20"/>
              </w:rPr>
              <w:t>。</w:t>
            </w:r>
          </w:p>
        </w:tc>
        <w:tc>
          <w:tcPr>
            <w:tcW w:w="2835" w:type="dxa"/>
            <w:vMerge/>
            <w:tcBorders>
              <w:left w:val="single" w:sz="4" w:space="0" w:color="auto"/>
              <w:right w:val="single" w:sz="4" w:space="0" w:color="auto"/>
              <w:tl2br w:val="single" w:sz="4" w:space="0" w:color="auto"/>
            </w:tcBorders>
          </w:tcPr>
          <w:p w14:paraId="23BEC7C2" w14:textId="77777777"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0184BFFD"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72DB4B48" w14:textId="16D8B5E3" w:rsidR="000C4D84" w:rsidRDefault="000C4D84" w:rsidP="00573698">
            <w:pPr>
              <w:overflowPunct w:val="0"/>
              <w:spacing w:line="314" w:lineRule="exact"/>
              <w:ind w:left="600" w:hangingChars="300" w:hanging="600"/>
              <w:jc w:val="both"/>
              <w:rPr>
                <w:rFonts w:ascii="標楷體" w:eastAsia="標楷體" w:hAnsi="標楷體"/>
                <w:noProof/>
                <w:color w:val="000000" w:themeColor="text1"/>
                <w:sz w:val="20"/>
              </w:rPr>
            </w:pPr>
            <w:r w:rsidRPr="00CB510B">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五</w:t>
            </w:r>
            <w:r w:rsidRPr="00CB510B">
              <w:rPr>
                <w:rFonts w:ascii="標楷體" w:eastAsia="標楷體" w:hAnsi="標楷體" w:hint="eastAsia"/>
                <w:noProof/>
                <w:color w:val="000000" w:themeColor="text1"/>
                <w:sz w:val="20"/>
              </w:rPr>
              <w:t>）政府持續推動生物多樣性保育工作，以減緩生物多樣性之消失，惟尚未依據昆明－蒙特婁全球生物多樣性框架（K-M GBF）擬訂國家生物多樣性目標與行動策略，亦無推動自然相關財務揭露（TNFD）之具體策略及揭露指引，且無主責機關統籌規劃及管考我國推動生物多樣性執行情形，允宜督促研謀改善。</w:t>
            </w:r>
          </w:p>
        </w:tc>
        <w:tc>
          <w:tcPr>
            <w:tcW w:w="2835" w:type="dxa"/>
            <w:vMerge/>
            <w:tcBorders>
              <w:left w:val="single" w:sz="4" w:space="0" w:color="auto"/>
              <w:right w:val="single" w:sz="4" w:space="0" w:color="auto"/>
              <w:tl2br w:val="single" w:sz="4" w:space="0" w:color="auto"/>
            </w:tcBorders>
          </w:tcPr>
          <w:p w14:paraId="61E3F6ED" w14:textId="77777777"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6BFFB3DE"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1CF700F5" w14:textId="561AC90E" w:rsidR="000C4D84" w:rsidRPr="005A3AA1" w:rsidRDefault="000C4D84" w:rsidP="00573698">
            <w:pPr>
              <w:overflowPunct w:val="0"/>
              <w:spacing w:line="314" w:lineRule="exact"/>
              <w:ind w:left="600" w:hangingChars="300" w:hanging="600"/>
              <w:jc w:val="both"/>
              <w:rPr>
                <w:rFonts w:ascii="標楷體" w:eastAsia="標楷體" w:hAnsi="標楷體"/>
                <w:noProof/>
                <w:sz w:val="20"/>
              </w:rPr>
            </w:pPr>
            <w:r w:rsidRPr="005A3AA1">
              <w:rPr>
                <w:rFonts w:ascii="標楷體" w:eastAsia="標楷體" w:hAnsi="標楷體" w:hint="eastAsia"/>
                <w:noProof/>
                <w:sz w:val="20"/>
              </w:rPr>
              <w:t>（六）政府推動航空產業節能有助降低碳排放量，惟國際永續航空燃料產能不足，國籍航空業者取得不易，允宜完備相關管理規範，推動建立國產永續航空燃料產銷供應鏈，俾利民航、運輸業者永續航空規律化，加速達成2050淨零排放目標。</w:t>
            </w:r>
          </w:p>
        </w:tc>
        <w:tc>
          <w:tcPr>
            <w:tcW w:w="2835" w:type="dxa"/>
            <w:vMerge/>
            <w:tcBorders>
              <w:left w:val="single" w:sz="4" w:space="0" w:color="auto"/>
              <w:right w:val="single" w:sz="4" w:space="0" w:color="auto"/>
              <w:tl2br w:val="single" w:sz="4" w:space="0" w:color="auto"/>
            </w:tcBorders>
          </w:tcPr>
          <w:p w14:paraId="4AEC72DF" w14:textId="77777777"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0BF431CE"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51903C12" w14:textId="0D8198DF" w:rsidR="000C4D84" w:rsidRPr="005A3AA1" w:rsidRDefault="000C4D84" w:rsidP="00573698">
            <w:pPr>
              <w:overflowPunct w:val="0"/>
              <w:spacing w:line="314" w:lineRule="exact"/>
              <w:ind w:left="600" w:hangingChars="300" w:hanging="600"/>
              <w:jc w:val="both"/>
              <w:rPr>
                <w:rFonts w:ascii="標楷體" w:eastAsia="標楷體" w:hAnsi="標楷體"/>
                <w:noProof/>
                <w:sz w:val="20"/>
              </w:rPr>
            </w:pPr>
            <w:r w:rsidRPr="005A3AA1">
              <w:rPr>
                <w:rFonts w:ascii="標楷體" w:eastAsia="標楷體" w:hAnsi="標楷體" w:hint="eastAsia"/>
                <w:noProof/>
                <w:sz w:val="20"/>
              </w:rPr>
              <w:t>（七）政府積極規劃及投入發展AI各項重點工作，惟部分部會尚未完備相關法制配套措施；另為改善AI運作環境，數位發展部數位產業署於112年底與相關單位合作設立AI產品與系統評測中心，並就數位發展部轄管5項產業研擬評測參考指引草案，惟非屬該部轄管之產業，仍待其他各目的事業主管機關討論後，始能確定評測項目，允宜持續督促有關機關儘速研議或推動個別領域AI法制相關指引與配套措施，以達成形塑可受信任之AI發展環境，厚植我國AI國力之目標。</w:t>
            </w:r>
          </w:p>
        </w:tc>
        <w:tc>
          <w:tcPr>
            <w:tcW w:w="2835" w:type="dxa"/>
            <w:vMerge/>
            <w:tcBorders>
              <w:left w:val="single" w:sz="4" w:space="0" w:color="auto"/>
              <w:right w:val="single" w:sz="4" w:space="0" w:color="auto"/>
              <w:tl2br w:val="single" w:sz="4" w:space="0" w:color="auto"/>
            </w:tcBorders>
          </w:tcPr>
          <w:p w14:paraId="255D6B90" w14:textId="77777777"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552DEE87"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249DDC19" w14:textId="4AAFB26F" w:rsidR="000C4D84" w:rsidRPr="005A3AA1" w:rsidRDefault="000C4D84" w:rsidP="00573698">
            <w:pPr>
              <w:overflowPunct w:val="0"/>
              <w:spacing w:line="314" w:lineRule="exact"/>
              <w:ind w:left="600" w:hangingChars="300" w:hanging="600"/>
              <w:jc w:val="both"/>
              <w:rPr>
                <w:rFonts w:ascii="標楷體" w:eastAsia="標楷體" w:hAnsi="標楷體"/>
                <w:noProof/>
                <w:sz w:val="20"/>
              </w:rPr>
            </w:pPr>
            <w:r w:rsidRPr="005A3AA1">
              <w:rPr>
                <w:rFonts w:ascii="標楷體" w:eastAsia="標楷體" w:hAnsi="標楷體" w:hint="eastAsia"/>
                <w:noProof/>
                <w:sz w:val="20"/>
              </w:rPr>
              <w:t>（八）政府推動科技發展計畫，有效提升整體競爭力及數位創新能力，惟部分計畫執行進度未如預期，或未達年度績效目標，又部分機關（單位）未確實辦理計畫評核，及落實檢討計畫退場與決算書表填報作業，且執行機關（單位）研究量能未相對應提升，允宜督促強化計畫執行及管考，俾政府科技資源驅動科技發展及產業動能</w:t>
            </w:r>
            <w:r>
              <w:rPr>
                <w:rFonts w:ascii="標楷體" w:eastAsia="標楷體" w:hAnsi="標楷體" w:hint="eastAsia"/>
                <w:noProof/>
                <w:sz w:val="20"/>
              </w:rPr>
              <w:t>。</w:t>
            </w:r>
          </w:p>
        </w:tc>
        <w:tc>
          <w:tcPr>
            <w:tcW w:w="2835" w:type="dxa"/>
            <w:vMerge/>
            <w:tcBorders>
              <w:left w:val="single" w:sz="4" w:space="0" w:color="auto"/>
              <w:right w:val="single" w:sz="4" w:space="0" w:color="auto"/>
              <w:tl2br w:val="single" w:sz="4" w:space="0" w:color="auto"/>
            </w:tcBorders>
          </w:tcPr>
          <w:p w14:paraId="57117E7A" w14:textId="7D252475"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32AC34CE"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79BF9FCF" w14:textId="2EFE865A" w:rsidR="000C4D84" w:rsidRPr="005A3AA1" w:rsidRDefault="000C4D84" w:rsidP="00573698">
            <w:pPr>
              <w:overflowPunct w:val="0"/>
              <w:spacing w:line="314" w:lineRule="exact"/>
              <w:ind w:left="600" w:hangingChars="300" w:hanging="600"/>
              <w:jc w:val="both"/>
              <w:rPr>
                <w:rFonts w:ascii="標楷體" w:eastAsia="標楷體" w:hAnsi="標楷體"/>
                <w:noProof/>
                <w:sz w:val="20"/>
              </w:rPr>
            </w:pPr>
            <w:r w:rsidRPr="005A3AA1">
              <w:rPr>
                <w:rFonts w:ascii="標楷體" w:eastAsia="標楷體" w:hAnsi="標楷體" w:hint="eastAsia"/>
                <w:noProof/>
                <w:sz w:val="20"/>
              </w:rPr>
              <w:t>（九）政府持續投入鉅額經費推動重大公共建設計畫，帶動經濟成長及提升國家競爭力，惟國內公共工程流廢標及營造業施工人力不足問題，與相關公共建設之計畫擬編及管控機制等，均待檢討改善，以提升計畫執行效能。</w:t>
            </w:r>
          </w:p>
        </w:tc>
        <w:tc>
          <w:tcPr>
            <w:tcW w:w="2835" w:type="dxa"/>
            <w:vMerge/>
            <w:tcBorders>
              <w:left w:val="single" w:sz="4" w:space="0" w:color="auto"/>
              <w:right w:val="single" w:sz="4" w:space="0" w:color="auto"/>
              <w:tl2br w:val="single" w:sz="4" w:space="0" w:color="auto"/>
            </w:tcBorders>
          </w:tcPr>
          <w:p w14:paraId="4762C1A8" w14:textId="77777777"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r w:rsidR="000C4D84" w:rsidRPr="005D7EA8" w14:paraId="57A46319" w14:textId="77777777" w:rsidTr="000C4D84">
        <w:trPr>
          <w:trHeight w:val="340"/>
        </w:trPr>
        <w:tc>
          <w:tcPr>
            <w:tcW w:w="7088" w:type="dxa"/>
            <w:tcBorders>
              <w:top w:val="single" w:sz="4" w:space="0" w:color="auto"/>
              <w:left w:val="single" w:sz="4" w:space="0" w:color="auto"/>
              <w:bottom w:val="single" w:sz="4" w:space="0" w:color="auto"/>
              <w:right w:val="single" w:sz="4" w:space="0" w:color="auto"/>
            </w:tcBorders>
          </w:tcPr>
          <w:p w14:paraId="1902589C" w14:textId="72416904" w:rsidR="000C4D84" w:rsidRPr="005A3AA1" w:rsidRDefault="000C4D84" w:rsidP="00573698">
            <w:pPr>
              <w:overflowPunct w:val="0"/>
              <w:spacing w:line="314" w:lineRule="exact"/>
              <w:ind w:left="600" w:hangingChars="300" w:hanging="600"/>
              <w:jc w:val="both"/>
              <w:rPr>
                <w:rFonts w:ascii="標楷體" w:eastAsia="標楷體" w:hAnsi="標楷體"/>
                <w:noProof/>
                <w:sz w:val="20"/>
              </w:rPr>
            </w:pPr>
            <w:r w:rsidRPr="005A3AA1">
              <w:rPr>
                <w:rFonts w:ascii="標楷體" w:eastAsia="標楷體" w:hAnsi="標楷體" w:hint="eastAsia"/>
                <w:noProof/>
                <w:sz w:val="20"/>
              </w:rPr>
              <w:t>（十）政府推動垃圾焚化底渣處理及公共工程再利用，有助落實資源循環政策，惟間有申報單位於管理系統申報資料仍有諸多缺漏及異常、焚化再生粒料用途使用手冊與施工規範尚須檢討修訂，及未研訂中央機關焚化再生粒料去化數量及績效衡量標準等情事，允宜檢討改進，以提升去化成效。</w:t>
            </w:r>
          </w:p>
        </w:tc>
        <w:tc>
          <w:tcPr>
            <w:tcW w:w="2835" w:type="dxa"/>
            <w:vMerge/>
            <w:tcBorders>
              <w:left w:val="single" w:sz="4" w:space="0" w:color="auto"/>
              <w:right w:val="single" w:sz="4" w:space="0" w:color="auto"/>
              <w:tl2br w:val="single" w:sz="4" w:space="0" w:color="auto"/>
            </w:tcBorders>
          </w:tcPr>
          <w:p w14:paraId="0A0E0A0E" w14:textId="77777777" w:rsidR="000C4D84" w:rsidRPr="005D7EA8" w:rsidRDefault="000C4D84" w:rsidP="00573698">
            <w:pPr>
              <w:overflowPunct w:val="0"/>
              <w:snapToGrid w:val="0"/>
              <w:spacing w:line="314" w:lineRule="exact"/>
              <w:jc w:val="both"/>
              <w:rPr>
                <w:rFonts w:ascii="標楷體" w:eastAsia="標楷體" w:hAnsi="標楷體"/>
                <w:noProof/>
                <w:color w:val="FF0000"/>
                <w:sz w:val="20"/>
              </w:rPr>
            </w:pPr>
          </w:p>
        </w:tc>
      </w:tr>
    </w:tbl>
    <w:p w14:paraId="5B31A525" w14:textId="4D9593B4" w:rsidR="00B82198" w:rsidRDefault="00B82198" w:rsidP="00B82198">
      <w:pPr>
        <w:jc w:val="center"/>
      </w:pPr>
      <w:r w:rsidRPr="00CC5C3E">
        <w:rPr>
          <w:rFonts w:ascii="標楷體" w:eastAsia="標楷體" w:hAnsi="標楷體" w:hint="eastAsia"/>
          <w:b/>
          <w:szCs w:val="24"/>
        </w:rPr>
        <w:lastRenderedPageBreak/>
        <w:t>表5</w:t>
      </w:r>
      <w:r w:rsidR="005C3237">
        <w:rPr>
          <w:rFonts w:ascii="標楷體" w:eastAsia="標楷體" w:hAnsi="標楷體" w:hint="eastAsia"/>
          <w:b/>
          <w:szCs w:val="24"/>
        </w:rPr>
        <w:t>9</w:t>
      </w:r>
      <w:r w:rsidRPr="00CC5C3E">
        <w:rPr>
          <w:rFonts w:ascii="標楷體" w:eastAsia="標楷體" w:hAnsi="標楷體" w:hint="eastAsia"/>
          <w:b/>
          <w:szCs w:val="24"/>
        </w:rPr>
        <w:t xml:space="preserve">　</w:t>
      </w:r>
      <w:proofErr w:type="gramStart"/>
      <w:r w:rsidRPr="00CC5C3E">
        <w:rPr>
          <w:rFonts w:ascii="標楷體" w:eastAsia="標楷體" w:hAnsi="標楷體"/>
          <w:b/>
          <w:szCs w:val="24"/>
        </w:rPr>
        <w:t>1</w:t>
      </w:r>
      <w:r w:rsidRPr="00CC5C3E">
        <w:rPr>
          <w:rFonts w:ascii="標楷體" w:eastAsia="標楷體" w:hAnsi="標楷體" w:hint="eastAsia"/>
          <w:b/>
          <w:szCs w:val="24"/>
        </w:rPr>
        <w:t>12</w:t>
      </w:r>
      <w:proofErr w:type="gramEnd"/>
      <w:r w:rsidRPr="00CC5C3E">
        <w:rPr>
          <w:rFonts w:ascii="標楷體" w:eastAsia="標楷體" w:hAnsi="標楷體" w:hint="eastAsia"/>
          <w:b/>
          <w:szCs w:val="24"/>
        </w:rPr>
        <w:t>年度審核報告所</w:t>
      </w:r>
      <w:proofErr w:type="gramStart"/>
      <w:r w:rsidRPr="00CC5C3E">
        <w:rPr>
          <w:rFonts w:ascii="標楷體" w:eastAsia="標楷體" w:hAnsi="標楷體" w:hint="eastAsia"/>
          <w:b/>
          <w:szCs w:val="24"/>
        </w:rPr>
        <w:t>列行</w:t>
      </w:r>
      <w:proofErr w:type="gramEnd"/>
      <w:r w:rsidRPr="00CC5C3E">
        <w:rPr>
          <w:rFonts w:ascii="標楷體" w:eastAsia="標楷體" w:hAnsi="標楷體" w:hint="eastAsia"/>
          <w:b/>
          <w:szCs w:val="24"/>
        </w:rPr>
        <w:t>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088"/>
        <w:gridCol w:w="2835"/>
      </w:tblGrid>
      <w:tr w:rsidR="00B82198" w:rsidRPr="005D7EA8" w14:paraId="34A270B4"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vAlign w:val="center"/>
          </w:tcPr>
          <w:p w14:paraId="24EE7745" w14:textId="5C10F7EF" w:rsidR="00B82198" w:rsidRPr="005A3AA1" w:rsidRDefault="00B82198" w:rsidP="00573698">
            <w:pPr>
              <w:overflowPunct w:val="0"/>
              <w:spacing w:line="298" w:lineRule="exact"/>
              <w:ind w:left="560" w:hangingChars="280" w:hanging="560"/>
              <w:jc w:val="center"/>
              <w:rPr>
                <w:rFonts w:ascii="標楷體" w:eastAsia="標楷體" w:hAnsi="標楷體"/>
                <w:noProof/>
                <w:sz w:val="20"/>
              </w:rPr>
            </w:pPr>
            <w:r w:rsidRPr="00FF0427">
              <w:rPr>
                <w:rFonts w:ascii="標楷體" w:eastAsia="標楷體" w:hAnsi="標楷體" w:hint="eastAsia"/>
                <w:color w:val="000000" w:themeColor="text1"/>
                <w:sz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tcPr>
          <w:p w14:paraId="6B624949" w14:textId="120483B6" w:rsidR="00B82198" w:rsidRPr="005D7EA8" w:rsidRDefault="00B82198" w:rsidP="00573698">
            <w:pPr>
              <w:overflowPunct w:val="0"/>
              <w:snapToGrid w:val="0"/>
              <w:spacing w:line="298" w:lineRule="exact"/>
              <w:jc w:val="center"/>
              <w:rPr>
                <w:rFonts w:ascii="標楷體" w:eastAsia="標楷體" w:hAnsi="標楷體"/>
                <w:noProof/>
                <w:color w:val="FF0000"/>
                <w:sz w:val="20"/>
              </w:rPr>
            </w:pPr>
            <w:r w:rsidRPr="00FF0427">
              <w:rPr>
                <w:rFonts w:ascii="標楷體" w:eastAsia="標楷體" w:hAnsi="標楷體" w:hint="eastAsia"/>
                <w:color w:val="000000" w:themeColor="text1"/>
                <w:sz w:val="20"/>
              </w:rPr>
              <w:t>說明</w:t>
            </w:r>
          </w:p>
        </w:tc>
      </w:tr>
      <w:tr w:rsidR="000C4D84" w:rsidRPr="005D7EA8" w14:paraId="39E1BC66"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503593FD" w14:textId="220C4C91"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一）政府公務預算編列出國計畫經費龐鉅，雖訂有相關管控機制並實施多年，惟各機關出國案件仍間有計畫變更頻仍，經費超支比率偏高，逾期提交出國報告或未公開出國計畫執行情形報告表等情，允宜研謀強化管考及監督作為，俾確保預算資源運用效益。</w:t>
            </w:r>
          </w:p>
        </w:tc>
        <w:tc>
          <w:tcPr>
            <w:tcW w:w="2835" w:type="dxa"/>
            <w:vMerge w:val="restart"/>
            <w:tcBorders>
              <w:left w:val="single" w:sz="4" w:space="0" w:color="auto"/>
              <w:right w:val="single" w:sz="4" w:space="0" w:color="auto"/>
              <w:tl2br w:val="single" w:sz="4" w:space="0" w:color="auto"/>
            </w:tcBorders>
          </w:tcPr>
          <w:p w14:paraId="327B2907"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350A29BF"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35EF8EFF" w14:textId="6C5CA8FC"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（十二）國家發展委員會成立Talent Taiwan中心，延攬國際關鍵人才及提供外籍人才在臺工作生活全方位諮詢服務，允宜加強掌握海外人才資料庫內有關人才就業金卡取得及來臺就業狀況或就業金卡申請意願，積極延攬國際人才，持續強化Talent Taiwan中心與各機關間之溝通聯繫機制，積極處理改善轉介問題，以提升國際人才來臺工作、生活及就業金卡申請流程之友善度，吸引全球人才留臺長期深耕，促進我國產業競爭力。</w:t>
            </w:r>
          </w:p>
        </w:tc>
        <w:tc>
          <w:tcPr>
            <w:tcW w:w="2835" w:type="dxa"/>
            <w:vMerge/>
            <w:tcBorders>
              <w:left w:val="single" w:sz="4" w:space="0" w:color="auto"/>
              <w:right w:val="single" w:sz="4" w:space="0" w:color="auto"/>
              <w:tl2br w:val="single" w:sz="4" w:space="0" w:color="auto"/>
            </w:tcBorders>
          </w:tcPr>
          <w:p w14:paraId="424D92EB"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79E85929"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7033306C" w14:textId="592F23B0"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（十三）國家發展委員會規劃以亞洲．矽谷 5G 創新應用計畫，強化智慧城市數據整合、加速5G及AIoT應用服務商業擴散，惟建構相關平臺預計介接之資料與規劃範疇有間，且部分採購案件執行結果無助計畫目標之達成，另部分補助計畫結案後逾1年無具體5G應用服務擴散成果，允宜檢討改善賡續加強推動辦理，以達計畫目標。</w:t>
            </w:r>
          </w:p>
        </w:tc>
        <w:tc>
          <w:tcPr>
            <w:tcW w:w="2835" w:type="dxa"/>
            <w:vMerge/>
            <w:tcBorders>
              <w:left w:val="single" w:sz="4" w:space="0" w:color="auto"/>
              <w:right w:val="single" w:sz="4" w:space="0" w:color="auto"/>
              <w:tl2br w:val="single" w:sz="4" w:space="0" w:color="auto"/>
            </w:tcBorders>
          </w:tcPr>
          <w:p w14:paraId="76D58F53"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014C6F2F"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75FDB6C4" w14:textId="3B74AB8F"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（十四）故宮因應數位時代趨勢，推動數位轉型，惟未依資訊安全管理規範，落實辦理資通系統變更管理及作業環境控制措施等情事，允宜研謀改善。</w:t>
            </w:r>
          </w:p>
        </w:tc>
        <w:tc>
          <w:tcPr>
            <w:tcW w:w="2835" w:type="dxa"/>
            <w:vMerge/>
            <w:tcBorders>
              <w:left w:val="single" w:sz="4" w:space="0" w:color="auto"/>
              <w:right w:val="single" w:sz="4" w:space="0" w:color="auto"/>
              <w:tl2br w:val="single" w:sz="4" w:space="0" w:color="auto"/>
            </w:tcBorders>
          </w:tcPr>
          <w:p w14:paraId="21597E3B"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0EB234D1"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073C8B76" w14:textId="730AD021"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五）原住民族委員會推動原住民族智慧治理計畫，建置行政決策支援系統，有助優化原住民族行政決策，惟系統基礎資料更新機制尚未完備，9成資料集為1至2年前統計數據，恐影響系統功能可用性，允宜研謀改善。</w:t>
            </w:r>
          </w:p>
        </w:tc>
        <w:tc>
          <w:tcPr>
            <w:tcW w:w="2835" w:type="dxa"/>
            <w:vMerge/>
            <w:tcBorders>
              <w:left w:val="single" w:sz="4" w:space="0" w:color="auto"/>
              <w:right w:val="single" w:sz="4" w:space="0" w:color="auto"/>
              <w:tl2br w:val="single" w:sz="4" w:space="0" w:color="auto"/>
            </w:tcBorders>
          </w:tcPr>
          <w:p w14:paraId="38BEE70A"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7613FE72"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63492624" w14:textId="16734781"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六）政府推動民族教育，有助於原住民學生學習傳統文化，惟權責機關尚未依法訂定課程內容，辦理推展民族教育相關補助計畫申請比率偏低，又發展原住民族知識體系委託開發各族群課程模組，間有未落實審議程序、尚待納為師資培育課程等情，均待研謀改善。</w:t>
            </w:r>
          </w:p>
        </w:tc>
        <w:tc>
          <w:tcPr>
            <w:tcW w:w="2835" w:type="dxa"/>
            <w:vMerge/>
            <w:tcBorders>
              <w:left w:val="single" w:sz="4" w:space="0" w:color="auto"/>
              <w:right w:val="single" w:sz="4" w:space="0" w:color="auto"/>
              <w:tl2br w:val="single" w:sz="4" w:space="0" w:color="auto"/>
            </w:tcBorders>
          </w:tcPr>
          <w:p w14:paraId="084910BE"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6C1784D6"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61A9A1F7" w14:textId="6C0B6B94"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w:t>
            </w:r>
            <w:r>
              <w:rPr>
                <w:rFonts w:ascii="標楷體" w:eastAsia="標楷體" w:hAnsi="標楷體" w:hint="eastAsia"/>
                <w:noProof/>
                <w:sz w:val="20"/>
              </w:rPr>
              <w:t>七</w:t>
            </w:r>
            <w:r w:rsidRPr="005A3AA1">
              <w:rPr>
                <w:rFonts w:ascii="標楷體" w:eastAsia="標楷體" w:hAnsi="標楷體" w:hint="eastAsia"/>
                <w:noProof/>
                <w:sz w:val="20"/>
              </w:rPr>
              <w:t>）</w:t>
            </w:r>
            <w:r w:rsidRPr="00300384">
              <w:rPr>
                <w:rFonts w:ascii="標楷體" w:eastAsia="標楷體" w:hAnsi="標楷體" w:hint="eastAsia"/>
                <w:noProof/>
                <w:sz w:val="20"/>
              </w:rPr>
              <w:t>政府推動多元措施，致力健全原住民學生及嬰幼兒學習原住民族語文環境，惟族語師資仍欠適足，原住民學生修習族語課程、收看（聽）族語節目、通過族語認證比率仍待提升，又族語保母、沉浸式族語教學幼兒園相關補助計畫，間有監督機制未盡落實致補助效益欠明，補助資源配置結果未盡符合需求，計畫申請普及率偏低等情，均待研謀改善。</w:t>
            </w:r>
          </w:p>
        </w:tc>
        <w:tc>
          <w:tcPr>
            <w:tcW w:w="2835" w:type="dxa"/>
            <w:vMerge/>
            <w:tcBorders>
              <w:left w:val="single" w:sz="4" w:space="0" w:color="auto"/>
              <w:right w:val="single" w:sz="4" w:space="0" w:color="auto"/>
              <w:tl2br w:val="single" w:sz="4" w:space="0" w:color="auto"/>
            </w:tcBorders>
          </w:tcPr>
          <w:p w14:paraId="43B75A7F"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75E2649D"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66C826BF" w14:textId="44FF960C" w:rsidR="000C4D84" w:rsidRPr="00E14B19"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w:t>
            </w:r>
            <w:r>
              <w:rPr>
                <w:rFonts w:ascii="標楷體" w:eastAsia="標楷體" w:hAnsi="標楷體" w:hint="eastAsia"/>
                <w:noProof/>
                <w:sz w:val="20"/>
              </w:rPr>
              <w:t>八</w:t>
            </w:r>
            <w:r w:rsidRPr="005A3AA1">
              <w:rPr>
                <w:rFonts w:ascii="標楷體" w:eastAsia="標楷體" w:hAnsi="標楷體" w:hint="eastAsia"/>
                <w:noProof/>
                <w:sz w:val="20"/>
              </w:rPr>
              <w:t>）</w:t>
            </w:r>
            <w:r w:rsidRPr="00E974F8">
              <w:rPr>
                <w:rFonts w:ascii="標楷體" w:eastAsia="標楷體" w:hAnsi="標楷體" w:hint="eastAsia"/>
                <w:noProof/>
                <w:sz w:val="20"/>
              </w:rPr>
              <w:t>客家委員會補助幼兒園辦理客語沉浸式教學計畫，惟實施「全客語幼兒園」之比率偏低，且近4成未參與幼童客語認證，允宜持續鼓勵受補助幼兒園營造全客語教學環境，落實客語及文化向下扎根傳承；另部分服務於中央部會、國立學校、市縣政府及鄉（鎮、市、區）公所之公教人員通過客語能力認證比率，距客語為通行語實施辦法所定目標仍有落差，允宜落實管考及加強辦理</w:t>
            </w:r>
            <w:r>
              <w:rPr>
                <w:rFonts w:ascii="標楷體" w:eastAsia="標楷體" w:hAnsi="標楷體" w:hint="eastAsia"/>
                <w:noProof/>
                <w:sz w:val="20"/>
              </w:rPr>
              <w:t>。</w:t>
            </w:r>
          </w:p>
        </w:tc>
        <w:tc>
          <w:tcPr>
            <w:tcW w:w="2835" w:type="dxa"/>
            <w:vMerge/>
            <w:tcBorders>
              <w:left w:val="single" w:sz="4" w:space="0" w:color="auto"/>
              <w:right w:val="single" w:sz="4" w:space="0" w:color="auto"/>
              <w:tl2br w:val="single" w:sz="4" w:space="0" w:color="auto"/>
            </w:tcBorders>
          </w:tcPr>
          <w:p w14:paraId="27835F0E"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6EA55872"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141FC606" w14:textId="04CCD243"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（十</w:t>
            </w:r>
            <w:r>
              <w:rPr>
                <w:rFonts w:ascii="標楷體" w:eastAsia="標楷體" w:hAnsi="標楷體" w:hint="eastAsia"/>
                <w:noProof/>
                <w:sz w:val="20"/>
              </w:rPr>
              <w:t>九</w:t>
            </w:r>
            <w:r w:rsidRPr="005A3AA1">
              <w:rPr>
                <w:rFonts w:ascii="標楷體" w:eastAsia="標楷體" w:hAnsi="標楷體" w:hint="eastAsia"/>
                <w:noProof/>
                <w:sz w:val="20"/>
              </w:rPr>
              <w:t>）</w:t>
            </w:r>
            <w:r w:rsidRPr="00E974F8">
              <w:rPr>
                <w:rFonts w:ascii="標楷體" w:eastAsia="標楷體" w:hAnsi="標楷體" w:hint="eastAsia"/>
                <w:noProof/>
                <w:sz w:val="20"/>
              </w:rPr>
              <w:t>客家委員會為發展客家知識體系，推動客家知識主流化相關工作項目，惟成立全球客家研究聯盟辦理跨國客家比較研究計畫未有進度，又聯盟成員間之合作交流方式尚未充分發揮多元性，另客家研究獎補助計畫成果回饋於政策參考之應用性不足，允宜研謀善策因應，以強化客家知識發展脈絡</w:t>
            </w:r>
            <w:r>
              <w:rPr>
                <w:rFonts w:ascii="標楷體" w:eastAsia="標楷體" w:hAnsi="標楷體" w:hint="eastAsia"/>
                <w:noProof/>
                <w:sz w:val="20"/>
              </w:rPr>
              <w:t>。</w:t>
            </w:r>
          </w:p>
        </w:tc>
        <w:tc>
          <w:tcPr>
            <w:tcW w:w="2835" w:type="dxa"/>
            <w:vMerge/>
            <w:tcBorders>
              <w:left w:val="single" w:sz="4" w:space="0" w:color="auto"/>
              <w:right w:val="single" w:sz="4" w:space="0" w:color="auto"/>
              <w:tl2br w:val="single" w:sz="4" w:space="0" w:color="auto"/>
            </w:tcBorders>
          </w:tcPr>
          <w:p w14:paraId="21FC7F1E"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r w:rsidR="000C4D84" w:rsidRPr="005D7EA8" w14:paraId="12207D21" w14:textId="77777777" w:rsidTr="006F492C">
        <w:trPr>
          <w:trHeight w:val="340"/>
        </w:trPr>
        <w:tc>
          <w:tcPr>
            <w:tcW w:w="7088" w:type="dxa"/>
            <w:tcBorders>
              <w:top w:val="single" w:sz="4" w:space="0" w:color="auto"/>
              <w:left w:val="single" w:sz="4" w:space="0" w:color="auto"/>
              <w:bottom w:val="single" w:sz="4" w:space="0" w:color="auto"/>
              <w:right w:val="single" w:sz="4" w:space="0" w:color="auto"/>
            </w:tcBorders>
          </w:tcPr>
          <w:p w14:paraId="0AED3464" w14:textId="0DABB8FA" w:rsidR="000C4D84" w:rsidRPr="005A3AA1" w:rsidRDefault="000C4D84" w:rsidP="00573698">
            <w:pPr>
              <w:overflowPunct w:val="0"/>
              <w:spacing w:line="298" w:lineRule="exact"/>
              <w:ind w:left="800" w:hangingChars="400" w:hanging="800"/>
              <w:jc w:val="both"/>
              <w:rPr>
                <w:rFonts w:ascii="標楷體" w:eastAsia="標楷體" w:hAnsi="標楷體"/>
                <w:noProof/>
                <w:sz w:val="20"/>
              </w:rPr>
            </w:pPr>
            <w:r w:rsidRPr="005A3AA1">
              <w:rPr>
                <w:rFonts w:ascii="標楷體" w:eastAsia="標楷體" w:hAnsi="標楷體" w:hint="eastAsia"/>
                <w:noProof/>
                <w:sz w:val="20"/>
              </w:rPr>
              <w:t>（</w:t>
            </w:r>
            <w:r>
              <w:rPr>
                <w:rFonts w:ascii="標楷體" w:eastAsia="標楷體" w:hAnsi="標楷體" w:hint="eastAsia"/>
                <w:noProof/>
                <w:sz w:val="20"/>
              </w:rPr>
              <w:t>二十</w:t>
            </w:r>
            <w:r w:rsidRPr="005A3AA1">
              <w:rPr>
                <w:rFonts w:ascii="標楷體" w:eastAsia="標楷體" w:hAnsi="標楷體" w:hint="eastAsia"/>
                <w:noProof/>
                <w:sz w:val="20"/>
              </w:rPr>
              <w:t>）</w:t>
            </w:r>
            <w:r w:rsidRPr="00E974F8">
              <w:rPr>
                <w:rFonts w:ascii="標楷體" w:eastAsia="標楷體" w:hAnsi="標楷體" w:hint="eastAsia"/>
                <w:noProof/>
                <w:sz w:val="20"/>
              </w:rPr>
              <w:t>政府推動「向山致敬」、「向海致敬」政策，開放山林及鼓勵民眾親近海洋，為提升山區及海上意外事故搜救效率，已建置無線電示標管理資訊系統，惟相關設備登錄及管理機制有欠完善、主管機關檢查權責亦未盡明確，允宜督促研謀妥處，以確保船舶航行及民眾生命安全</w:t>
            </w:r>
            <w:r>
              <w:rPr>
                <w:rFonts w:ascii="標楷體" w:eastAsia="標楷體" w:hAnsi="標楷體" w:hint="eastAsia"/>
                <w:noProof/>
                <w:sz w:val="20"/>
              </w:rPr>
              <w:t>。</w:t>
            </w:r>
          </w:p>
        </w:tc>
        <w:tc>
          <w:tcPr>
            <w:tcW w:w="2835" w:type="dxa"/>
            <w:vMerge/>
            <w:tcBorders>
              <w:left w:val="single" w:sz="4" w:space="0" w:color="auto"/>
              <w:right w:val="single" w:sz="4" w:space="0" w:color="auto"/>
              <w:tl2br w:val="single" w:sz="4" w:space="0" w:color="auto"/>
            </w:tcBorders>
          </w:tcPr>
          <w:p w14:paraId="48FFA317" w14:textId="77777777" w:rsidR="000C4D84" w:rsidRPr="005D7EA8" w:rsidRDefault="000C4D84" w:rsidP="00573698">
            <w:pPr>
              <w:overflowPunct w:val="0"/>
              <w:snapToGrid w:val="0"/>
              <w:spacing w:line="298" w:lineRule="exact"/>
              <w:jc w:val="both"/>
              <w:rPr>
                <w:rFonts w:ascii="標楷體" w:eastAsia="標楷體" w:hAnsi="標楷體"/>
                <w:noProof/>
                <w:color w:val="FF0000"/>
                <w:sz w:val="20"/>
              </w:rPr>
            </w:pPr>
          </w:p>
        </w:tc>
      </w:tr>
    </w:tbl>
    <w:p w14:paraId="4E04CD6A" w14:textId="66B71C87" w:rsidR="00861B70" w:rsidRDefault="00861B70" w:rsidP="00861B70">
      <w:pPr>
        <w:jc w:val="center"/>
      </w:pPr>
      <w:r w:rsidRPr="00CC5C3E">
        <w:rPr>
          <w:rFonts w:ascii="標楷體" w:eastAsia="標楷體" w:hAnsi="標楷體" w:hint="eastAsia"/>
          <w:b/>
          <w:szCs w:val="24"/>
        </w:rPr>
        <w:lastRenderedPageBreak/>
        <w:t>表5</w:t>
      </w:r>
      <w:r w:rsidR="005C3237">
        <w:rPr>
          <w:rFonts w:ascii="標楷體" w:eastAsia="標楷體" w:hAnsi="標楷體" w:hint="eastAsia"/>
          <w:b/>
          <w:szCs w:val="24"/>
        </w:rPr>
        <w:t>9</w:t>
      </w:r>
      <w:r w:rsidRPr="00CC5C3E">
        <w:rPr>
          <w:rFonts w:ascii="標楷體" w:eastAsia="標楷體" w:hAnsi="標楷體" w:hint="eastAsia"/>
          <w:b/>
          <w:szCs w:val="24"/>
        </w:rPr>
        <w:t xml:space="preserve">　</w:t>
      </w:r>
      <w:proofErr w:type="gramStart"/>
      <w:r w:rsidRPr="00CC5C3E">
        <w:rPr>
          <w:rFonts w:ascii="標楷體" w:eastAsia="標楷體" w:hAnsi="標楷體"/>
          <w:b/>
          <w:szCs w:val="24"/>
        </w:rPr>
        <w:t>1</w:t>
      </w:r>
      <w:r w:rsidRPr="00CC5C3E">
        <w:rPr>
          <w:rFonts w:ascii="標楷體" w:eastAsia="標楷體" w:hAnsi="標楷體" w:hint="eastAsia"/>
          <w:b/>
          <w:szCs w:val="24"/>
        </w:rPr>
        <w:t>12</w:t>
      </w:r>
      <w:proofErr w:type="gramEnd"/>
      <w:r w:rsidRPr="00CC5C3E">
        <w:rPr>
          <w:rFonts w:ascii="標楷體" w:eastAsia="標楷體" w:hAnsi="標楷體" w:hint="eastAsia"/>
          <w:b/>
          <w:szCs w:val="24"/>
        </w:rPr>
        <w:t>年度審核報告所</w:t>
      </w:r>
      <w:proofErr w:type="gramStart"/>
      <w:r w:rsidRPr="00CC5C3E">
        <w:rPr>
          <w:rFonts w:ascii="標楷體" w:eastAsia="標楷體" w:hAnsi="標楷體" w:hint="eastAsia"/>
          <w:b/>
          <w:szCs w:val="24"/>
        </w:rPr>
        <w:t>列行</w:t>
      </w:r>
      <w:proofErr w:type="gramEnd"/>
      <w:r w:rsidRPr="00CC5C3E">
        <w:rPr>
          <w:rFonts w:ascii="標楷體" w:eastAsia="標楷體" w:hAnsi="標楷體" w:hint="eastAsia"/>
          <w:b/>
          <w:szCs w:val="24"/>
        </w:rPr>
        <w:t>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222"/>
        <w:gridCol w:w="1701"/>
      </w:tblGrid>
      <w:tr w:rsidR="00861B70" w:rsidRPr="005D7EA8" w14:paraId="390A5251" w14:textId="77777777" w:rsidTr="00694B6E">
        <w:trPr>
          <w:trHeight w:val="340"/>
        </w:trPr>
        <w:tc>
          <w:tcPr>
            <w:tcW w:w="8222" w:type="dxa"/>
            <w:tcBorders>
              <w:top w:val="single" w:sz="4" w:space="0" w:color="auto"/>
              <w:left w:val="single" w:sz="4" w:space="0" w:color="auto"/>
              <w:bottom w:val="single" w:sz="4" w:space="0" w:color="auto"/>
              <w:right w:val="single" w:sz="4" w:space="0" w:color="auto"/>
            </w:tcBorders>
            <w:vAlign w:val="center"/>
          </w:tcPr>
          <w:p w14:paraId="1D851A02" w14:textId="5B9CF4A5" w:rsidR="00861B70" w:rsidRPr="005A3AA1" w:rsidRDefault="00861B70" w:rsidP="00987C0C">
            <w:pPr>
              <w:overflowPunct w:val="0"/>
              <w:spacing w:line="312" w:lineRule="exact"/>
              <w:ind w:left="800" w:hangingChars="400" w:hanging="800"/>
              <w:jc w:val="center"/>
              <w:rPr>
                <w:rFonts w:ascii="標楷體" w:eastAsia="標楷體" w:hAnsi="標楷體"/>
                <w:noProof/>
                <w:sz w:val="20"/>
              </w:rPr>
            </w:pPr>
            <w:r w:rsidRPr="00FF0427">
              <w:rPr>
                <w:rFonts w:ascii="標楷體" w:eastAsia="標楷體" w:hAnsi="標楷體" w:hint="eastAsia"/>
                <w:color w:val="000000" w:themeColor="text1"/>
                <w:sz w:val="20"/>
              </w:rPr>
              <w:t>重要審核意見標題</w:t>
            </w:r>
          </w:p>
        </w:tc>
        <w:tc>
          <w:tcPr>
            <w:tcW w:w="1701" w:type="dxa"/>
            <w:tcBorders>
              <w:top w:val="single" w:sz="4" w:space="0" w:color="auto"/>
              <w:left w:val="single" w:sz="4" w:space="0" w:color="auto"/>
              <w:bottom w:val="single" w:sz="4" w:space="0" w:color="auto"/>
              <w:right w:val="single" w:sz="4" w:space="0" w:color="auto"/>
            </w:tcBorders>
            <w:vAlign w:val="center"/>
          </w:tcPr>
          <w:p w14:paraId="1643907A" w14:textId="2F62450B" w:rsidR="00861B70" w:rsidRPr="005D7EA8" w:rsidRDefault="00861B70" w:rsidP="00987C0C">
            <w:pPr>
              <w:overflowPunct w:val="0"/>
              <w:snapToGrid w:val="0"/>
              <w:spacing w:line="312" w:lineRule="exact"/>
              <w:jc w:val="center"/>
              <w:rPr>
                <w:rFonts w:ascii="標楷體" w:eastAsia="標楷體" w:hAnsi="標楷體"/>
                <w:noProof/>
                <w:color w:val="FF0000"/>
                <w:sz w:val="20"/>
              </w:rPr>
            </w:pPr>
            <w:r w:rsidRPr="00FF0427">
              <w:rPr>
                <w:rFonts w:ascii="標楷體" w:eastAsia="標楷體" w:hAnsi="標楷體" w:hint="eastAsia"/>
                <w:color w:val="000000" w:themeColor="text1"/>
                <w:sz w:val="20"/>
              </w:rPr>
              <w:t>說明</w:t>
            </w:r>
          </w:p>
        </w:tc>
      </w:tr>
      <w:tr w:rsidR="00573698" w:rsidRPr="005D7EA8" w14:paraId="14EB0315" w14:textId="77777777" w:rsidTr="00694B6E">
        <w:trPr>
          <w:trHeight w:val="340"/>
        </w:trPr>
        <w:tc>
          <w:tcPr>
            <w:tcW w:w="8222" w:type="dxa"/>
            <w:tcBorders>
              <w:top w:val="single" w:sz="4" w:space="0" w:color="auto"/>
              <w:left w:val="single" w:sz="4" w:space="0" w:color="auto"/>
              <w:bottom w:val="single" w:sz="4" w:space="0" w:color="auto"/>
              <w:right w:val="single" w:sz="4" w:space="0" w:color="auto"/>
            </w:tcBorders>
          </w:tcPr>
          <w:p w14:paraId="0732BF8C" w14:textId="14B8D884" w:rsidR="00573698" w:rsidRPr="00E974F8" w:rsidRDefault="00573698" w:rsidP="003456A5">
            <w:pPr>
              <w:overflowPunct w:val="0"/>
              <w:spacing w:line="306" w:lineRule="exact"/>
              <w:ind w:left="950" w:hangingChars="475" w:hanging="950"/>
              <w:jc w:val="both"/>
              <w:rPr>
                <w:rFonts w:ascii="標楷體" w:eastAsia="標楷體" w:hAnsi="標楷體"/>
                <w:noProof/>
                <w:sz w:val="20"/>
              </w:rPr>
            </w:pPr>
            <w:r w:rsidRPr="005A3AA1">
              <w:rPr>
                <w:rFonts w:ascii="標楷體" w:eastAsia="標楷體" w:hAnsi="標楷體" w:hint="eastAsia"/>
                <w:noProof/>
                <w:sz w:val="20"/>
              </w:rPr>
              <w:t>（</w:t>
            </w:r>
            <w:r>
              <w:rPr>
                <w:rFonts w:ascii="標楷體" w:eastAsia="標楷體" w:hAnsi="標楷體" w:hint="eastAsia"/>
                <w:noProof/>
                <w:sz w:val="20"/>
              </w:rPr>
              <w:t>二十一</w:t>
            </w:r>
            <w:r w:rsidRPr="005A3AA1">
              <w:rPr>
                <w:rFonts w:ascii="標楷體" w:eastAsia="標楷體" w:hAnsi="標楷體" w:hint="eastAsia"/>
                <w:noProof/>
                <w:sz w:val="20"/>
              </w:rPr>
              <w:t>）</w:t>
            </w:r>
            <w:r w:rsidRPr="00B90773">
              <w:rPr>
                <w:rFonts w:ascii="標楷體" w:eastAsia="標楷體" w:hAnsi="標楷體" w:hint="eastAsia"/>
                <w:noProof/>
                <w:sz w:val="20"/>
              </w:rPr>
              <w:t>各市縣鄉鎮區公所受中央機關補助辦理公告金額以上工程，有助地方發展，惟間有部分受補助機關於同一工址以不同提案向相同或不同之中央機關申請補助，造成短時間內拆（移）除已興建設施或植栽，且未落實財產產籍登記等情事，允宜督促相關機關研謀改善</w:t>
            </w:r>
            <w:r>
              <w:rPr>
                <w:rFonts w:ascii="標楷體" w:eastAsia="標楷體" w:hAnsi="標楷體" w:hint="eastAsia"/>
                <w:noProof/>
                <w:sz w:val="20"/>
              </w:rPr>
              <w:t>。</w:t>
            </w:r>
          </w:p>
        </w:tc>
        <w:tc>
          <w:tcPr>
            <w:tcW w:w="1701" w:type="dxa"/>
            <w:vMerge w:val="restart"/>
            <w:tcBorders>
              <w:left w:val="single" w:sz="4" w:space="0" w:color="auto"/>
              <w:right w:val="single" w:sz="4" w:space="0" w:color="auto"/>
              <w:tl2br w:val="single" w:sz="4" w:space="0" w:color="auto"/>
            </w:tcBorders>
          </w:tcPr>
          <w:p w14:paraId="40EB10A9"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24387307" w14:textId="77777777" w:rsidTr="00694B6E">
        <w:trPr>
          <w:trHeight w:val="340"/>
        </w:trPr>
        <w:tc>
          <w:tcPr>
            <w:tcW w:w="8222" w:type="dxa"/>
            <w:tcBorders>
              <w:top w:val="single" w:sz="4" w:space="0" w:color="auto"/>
              <w:left w:val="single" w:sz="4" w:space="0" w:color="auto"/>
              <w:bottom w:val="single" w:sz="4" w:space="0" w:color="auto"/>
              <w:right w:val="single" w:sz="4" w:space="0" w:color="auto"/>
            </w:tcBorders>
          </w:tcPr>
          <w:p w14:paraId="774BD763" w14:textId="217F8C6F" w:rsidR="00573698" w:rsidRPr="00B90773" w:rsidRDefault="00573698" w:rsidP="003456A5">
            <w:pPr>
              <w:overflowPunct w:val="0"/>
              <w:spacing w:line="306" w:lineRule="exact"/>
              <w:ind w:left="950" w:hangingChars="475" w:hanging="950"/>
              <w:jc w:val="both"/>
              <w:rPr>
                <w:rFonts w:ascii="標楷體" w:eastAsia="標楷體" w:hAnsi="標楷體"/>
                <w:noProof/>
                <w:sz w:val="20"/>
              </w:rPr>
            </w:pPr>
            <w:r w:rsidRPr="005A3AA1">
              <w:rPr>
                <w:rFonts w:ascii="標楷體" w:eastAsia="標楷體" w:hAnsi="標楷體" w:hint="eastAsia"/>
                <w:noProof/>
                <w:sz w:val="20"/>
              </w:rPr>
              <w:t>（</w:t>
            </w:r>
            <w:r>
              <w:rPr>
                <w:rFonts w:ascii="標楷體" w:eastAsia="標楷體" w:hAnsi="標楷體" w:hint="eastAsia"/>
                <w:noProof/>
                <w:sz w:val="20"/>
              </w:rPr>
              <w:t>二十二</w:t>
            </w:r>
            <w:r w:rsidRPr="005A3AA1">
              <w:rPr>
                <w:rFonts w:ascii="標楷體" w:eastAsia="標楷體" w:hAnsi="標楷體" w:hint="eastAsia"/>
                <w:noProof/>
                <w:sz w:val="20"/>
              </w:rPr>
              <w:t>）</w:t>
            </w:r>
            <w:r w:rsidRPr="00B90773">
              <w:rPr>
                <w:rFonts w:ascii="標楷體" w:eastAsia="標楷體" w:hAnsi="標楷體" w:hint="eastAsia"/>
                <w:noProof/>
                <w:sz w:val="20"/>
              </w:rPr>
              <w:t>行政院公共工程委員會為鼓勵參與政府採購之廠商重視其企業社會責任，請各機關將廠商為員工加薪或提供合理薪資等納入政府採購案評選加分項目，惟部分機關採行情形欠佳，允宜加強宣導辦理，以提升企業加薪意願，帶動薪資水準之提升</w:t>
            </w:r>
            <w:r>
              <w:rPr>
                <w:rFonts w:ascii="標楷體" w:eastAsia="標楷體" w:hAnsi="標楷體" w:hint="eastAsia"/>
                <w:noProof/>
                <w:sz w:val="20"/>
              </w:rPr>
              <w:t>。</w:t>
            </w:r>
          </w:p>
        </w:tc>
        <w:tc>
          <w:tcPr>
            <w:tcW w:w="1701" w:type="dxa"/>
            <w:vMerge/>
            <w:tcBorders>
              <w:left w:val="single" w:sz="4" w:space="0" w:color="auto"/>
              <w:right w:val="single" w:sz="4" w:space="0" w:color="auto"/>
              <w:tl2br w:val="single" w:sz="4" w:space="0" w:color="auto"/>
            </w:tcBorders>
          </w:tcPr>
          <w:p w14:paraId="3392DD16"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2CB32639" w14:textId="77777777" w:rsidTr="00694B6E">
        <w:trPr>
          <w:trHeight w:val="340"/>
        </w:trPr>
        <w:tc>
          <w:tcPr>
            <w:tcW w:w="8222" w:type="dxa"/>
            <w:tcBorders>
              <w:top w:val="single" w:sz="4" w:space="0" w:color="auto"/>
              <w:left w:val="single" w:sz="4" w:space="0" w:color="auto"/>
              <w:bottom w:val="single" w:sz="4" w:space="0" w:color="auto"/>
              <w:right w:val="single" w:sz="4" w:space="0" w:color="auto"/>
            </w:tcBorders>
          </w:tcPr>
          <w:p w14:paraId="044A1148" w14:textId="096CA9F8" w:rsidR="00573698" w:rsidRPr="00B90773" w:rsidRDefault="00573698" w:rsidP="003456A5">
            <w:pPr>
              <w:overflowPunct w:val="0"/>
              <w:spacing w:line="306" w:lineRule="exact"/>
              <w:ind w:left="950" w:hangingChars="475" w:hanging="950"/>
              <w:jc w:val="both"/>
              <w:rPr>
                <w:rFonts w:ascii="標楷體" w:eastAsia="標楷體" w:hAnsi="標楷體"/>
                <w:noProof/>
                <w:sz w:val="20"/>
              </w:rPr>
            </w:pPr>
            <w:r w:rsidRPr="005A3AA1">
              <w:rPr>
                <w:rFonts w:ascii="標楷體" w:eastAsia="標楷體" w:hAnsi="標楷體" w:hint="eastAsia"/>
                <w:noProof/>
                <w:sz w:val="20"/>
              </w:rPr>
              <w:t>（</w:t>
            </w:r>
            <w:r>
              <w:rPr>
                <w:rFonts w:ascii="標楷體" w:eastAsia="標楷體" w:hAnsi="標楷體" w:hint="eastAsia"/>
                <w:noProof/>
                <w:sz w:val="20"/>
              </w:rPr>
              <w:t>二十三</w:t>
            </w:r>
            <w:r w:rsidRPr="005A3AA1">
              <w:rPr>
                <w:rFonts w:ascii="標楷體" w:eastAsia="標楷體" w:hAnsi="標楷體" w:hint="eastAsia"/>
                <w:noProof/>
                <w:sz w:val="20"/>
              </w:rPr>
              <w:t>）</w:t>
            </w:r>
            <w:r w:rsidRPr="006E2177">
              <w:rPr>
                <w:rFonts w:ascii="標楷體" w:eastAsia="標楷體" w:hAnsi="標楷體" w:hint="eastAsia"/>
                <w:noProof/>
                <w:sz w:val="20"/>
              </w:rPr>
              <w:t>行政院公共工程委員會建置價格資料庫，提供工料預算及決標價格供各機關參考運用，惟未於該資料庫提供標比資訊、未明訂編碼正確率進階目標、相關制度規章未盡完善等情；另迄未因應2050淨零碳排目標，建立大宗資材之碳排係數及估算系統，允宜妥謀善策</w:t>
            </w:r>
            <w:r>
              <w:rPr>
                <w:rFonts w:ascii="標楷體" w:eastAsia="標楷體" w:hAnsi="標楷體" w:hint="eastAsia"/>
                <w:noProof/>
                <w:sz w:val="20"/>
              </w:rPr>
              <w:t>。</w:t>
            </w:r>
          </w:p>
        </w:tc>
        <w:tc>
          <w:tcPr>
            <w:tcW w:w="1701" w:type="dxa"/>
            <w:vMerge/>
            <w:tcBorders>
              <w:left w:val="single" w:sz="4" w:space="0" w:color="auto"/>
              <w:right w:val="single" w:sz="4" w:space="0" w:color="auto"/>
              <w:tl2br w:val="single" w:sz="4" w:space="0" w:color="auto"/>
            </w:tcBorders>
          </w:tcPr>
          <w:p w14:paraId="2885B666"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022E9C51" w14:textId="77777777" w:rsidTr="00694B6E">
        <w:tc>
          <w:tcPr>
            <w:tcW w:w="8222" w:type="dxa"/>
            <w:tcBorders>
              <w:top w:val="single" w:sz="4" w:space="0" w:color="auto"/>
              <w:left w:val="single" w:sz="4" w:space="0" w:color="auto"/>
              <w:bottom w:val="single" w:sz="4" w:space="0" w:color="auto"/>
              <w:right w:val="single" w:sz="4" w:space="0" w:color="auto"/>
            </w:tcBorders>
          </w:tcPr>
          <w:p w14:paraId="2B1E0AD1" w14:textId="6967399E" w:rsidR="00573698" w:rsidRPr="006A2B9E" w:rsidRDefault="00573698" w:rsidP="003456A5">
            <w:pPr>
              <w:overflowPunct w:val="0"/>
              <w:snapToGrid w:val="0"/>
              <w:spacing w:line="306" w:lineRule="exact"/>
              <w:ind w:left="950" w:hangingChars="475" w:hanging="950"/>
              <w:jc w:val="both"/>
              <w:rPr>
                <w:rFonts w:ascii="標楷體" w:eastAsia="標楷體" w:hAnsi="標楷體"/>
                <w:noProof/>
                <w:sz w:val="20"/>
              </w:rPr>
            </w:pPr>
            <w:r w:rsidRPr="006A2B9E">
              <w:rPr>
                <w:rFonts w:ascii="標楷體" w:eastAsia="標楷體" w:hAnsi="標楷體" w:hint="eastAsia"/>
                <w:noProof/>
                <w:sz w:val="20"/>
              </w:rPr>
              <w:t>（二十四）各機關採購進口貨品，於驗收階段查驗進口報單，以確保貨品來源與品質符合實需，惟受限於關稅法規定，進口報單內容真偽不易查證，衍生廠商變造進口報單，藉以繳交不明來源貨品冒充原廠新品情事發生，允宜研謀改善。</w:t>
            </w:r>
          </w:p>
        </w:tc>
        <w:tc>
          <w:tcPr>
            <w:tcW w:w="1701" w:type="dxa"/>
            <w:vMerge/>
            <w:tcBorders>
              <w:left w:val="single" w:sz="4" w:space="0" w:color="auto"/>
              <w:right w:val="single" w:sz="4" w:space="0" w:color="auto"/>
              <w:tl2br w:val="single" w:sz="4" w:space="0" w:color="auto"/>
            </w:tcBorders>
          </w:tcPr>
          <w:p w14:paraId="3A91B08B"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6B04191D" w14:textId="77777777" w:rsidTr="00694B6E">
        <w:tc>
          <w:tcPr>
            <w:tcW w:w="8222" w:type="dxa"/>
            <w:tcBorders>
              <w:top w:val="single" w:sz="4" w:space="0" w:color="auto"/>
              <w:left w:val="single" w:sz="4" w:space="0" w:color="auto"/>
              <w:bottom w:val="single" w:sz="4" w:space="0" w:color="auto"/>
              <w:right w:val="single" w:sz="4" w:space="0" w:color="auto"/>
            </w:tcBorders>
          </w:tcPr>
          <w:p w14:paraId="3CF1F7EC" w14:textId="72120B90" w:rsidR="00573698" w:rsidRPr="006A2B9E" w:rsidRDefault="00573698" w:rsidP="003456A5">
            <w:pPr>
              <w:overflowPunct w:val="0"/>
              <w:snapToGrid w:val="0"/>
              <w:spacing w:line="306" w:lineRule="exact"/>
              <w:ind w:left="950" w:hangingChars="475" w:hanging="950"/>
              <w:jc w:val="both"/>
              <w:rPr>
                <w:rFonts w:ascii="標楷體" w:eastAsia="標楷體" w:hAnsi="標楷體"/>
                <w:noProof/>
                <w:sz w:val="20"/>
              </w:rPr>
            </w:pPr>
            <w:r w:rsidRPr="006A2B9E">
              <w:rPr>
                <w:rFonts w:ascii="標楷體" w:eastAsia="標楷體" w:hAnsi="標楷體" w:hint="eastAsia"/>
                <w:noProof/>
                <w:sz w:val="20"/>
              </w:rPr>
              <w:t>（二十五）行政院公共工程委員會為協助各機關辦理財物採購，訂定財物採購契約範本，另為避免採購作業錯漏，令頒政府採購錯誤行為態樣提醒機關注意，惟該契約範本及錯誤行為態樣尚未針對進口貨品履約驗收作業訂定相關規範，衍生部分機關作業疏漏等情，允宜研謀改善。</w:t>
            </w:r>
          </w:p>
        </w:tc>
        <w:tc>
          <w:tcPr>
            <w:tcW w:w="1701" w:type="dxa"/>
            <w:vMerge/>
            <w:tcBorders>
              <w:left w:val="single" w:sz="4" w:space="0" w:color="auto"/>
              <w:right w:val="single" w:sz="4" w:space="0" w:color="auto"/>
              <w:tl2br w:val="single" w:sz="4" w:space="0" w:color="auto"/>
            </w:tcBorders>
          </w:tcPr>
          <w:p w14:paraId="29C0F858"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12982A6E" w14:textId="77777777" w:rsidTr="00694B6E">
        <w:tc>
          <w:tcPr>
            <w:tcW w:w="8222" w:type="dxa"/>
            <w:tcBorders>
              <w:top w:val="single" w:sz="4" w:space="0" w:color="auto"/>
              <w:left w:val="single" w:sz="4" w:space="0" w:color="auto"/>
              <w:bottom w:val="single" w:sz="4" w:space="0" w:color="auto"/>
              <w:right w:val="single" w:sz="4" w:space="0" w:color="auto"/>
            </w:tcBorders>
          </w:tcPr>
          <w:p w14:paraId="02DB61D0" w14:textId="4E78EF1C" w:rsidR="00573698" w:rsidRPr="006A2B9E" w:rsidRDefault="00573698" w:rsidP="006514B1">
            <w:pPr>
              <w:overflowPunct w:val="0"/>
              <w:snapToGrid w:val="0"/>
              <w:spacing w:line="306" w:lineRule="exact"/>
              <w:ind w:leftChars="-19" w:left="950" w:hangingChars="498" w:hanging="996"/>
              <w:jc w:val="both"/>
              <w:rPr>
                <w:rFonts w:ascii="標楷體" w:eastAsia="標楷體" w:hAnsi="標楷體"/>
                <w:noProof/>
                <w:sz w:val="20"/>
              </w:rPr>
            </w:pPr>
            <w:r w:rsidRPr="006A2B9E">
              <w:rPr>
                <w:rFonts w:ascii="標楷體" w:eastAsia="標楷體" w:hAnsi="標楷體" w:hint="eastAsia"/>
                <w:noProof/>
                <w:sz w:val="20"/>
              </w:rPr>
              <w:t>（二十六）</w:t>
            </w:r>
            <w:r w:rsidRPr="003456A5">
              <w:rPr>
                <w:rFonts w:ascii="標楷體" w:eastAsia="標楷體" w:hAnsi="標楷體" w:hint="eastAsia"/>
                <w:noProof/>
                <w:spacing w:val="-2"/>
                <w:sz w:val="20"/>
              </w:rPr>
              <w:t>政府為確保採購履約品質及效益，已於採購契約範本，針對「履約管理」及「履約標的品管」訂定相關執行規定，惟各級政府辦理以照片輔助履約管理與驗收之勞務採購，間有偽造或變造照片履約情事，其履約管理及驗收作業未盡嚴謹，允宜研謀改善。</w:t>
            </w:r>
          </w:p>
        </w:tc>
        <w:tc>
          <w:tcPr>
            <w:tcW w:w="1701" w:type="dxa"/>
            <w:vMerge/>
            <w:tcBorders>
              <w:left w:val="single" w:sz="4" w:space="0" w:color="auto"/>
              <w:right w:val="single" w:sz="4" w:space="0" w:color="auto"/>
              <w:tl2br w:val="single" w:sz="4" w:space="0" w:color="auto"/>
            </w:tcBorders>
          </w:tcPr>
          <w:p w14:paraId="354426FB"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390874AF" w14:textId="77777777" w:rsidTr="00694B6E">
        <w:tc>
          <w:tcPr>
            <w:tcW w:w="8222" w:type="dxa"/>
            <w:tcBorders>
              <w:top w:val="single" w:sz="4" w:space="0" w:color="auto"/>
              <w:left w:val="single" w:sz="4" w:space="0" w:color="auto"/>
              <w:bottom w:val="single" w:sz="4" w:space="0" w:color="auto"/>
              <w:right w:val="single" w:sz="4" w:space="0" w:color="auto"/>
            </w:tcBorders>
          </w:tcPr>
          <w:p w14:paraId="43418036" w14:textId="183B792C" w:rsidR="00573698" w:rsidRPr="006A2B9E" w:rsidRDefault="00573698" w:rsidP="006514B1">
            <w:pPr>
              <w:overflowPunct w:val="0"/>
              <w:snapToGrid w:val="0"/>
              <w:spacing w:line="306" w:lineRule="exact"/>
              <w:ind w:leftChars="-7" w:left="951" w:hangingChars="484" w:hanging="968"/>
              <w:jc w:val="both"/>
              <w:rPr>
                <w:rFonts w:ascii="標楷體" w:eastAsia="標楷體" w:hAnsi="標楷體"/>
                <w:noProof/>
                <w:sz w:val="20"/>
              </w:rPr>
            </w:pPr>
            <w:r w:rsidRPr="006A2B9E">
              <w:rPr>
                <w:rFonts w:ascii="標楷體" w:eastAsia="標楷體" w:hAnsi="標楷體" w:hint="eastAsia"/>
                <w:noProof/>
                <w:sz w:val="20"/>
              </w:rPr>
              <w:t>（二十</w:t>
            </w:r>
            <w:r>
              <w:rPr>
                <w:rFonts w:ascii="標楷體" w:eastAsia="標楷體" w:hAnsi="標楷體" w:hint="eastAsia"/>
                <w:noProof/>
                <w:sz w:val="20"/>
              </w:rPr>
              <w:t>七</w:t>
            </w:r>
            <w:r w:rsidRPr="006A2B9E">
              <w:rPr>
                <w:rFonts w:ascii="標楷體" w:eastAsia="標楷體" w:hAnsi="標楷體" w:hint="eastAsia"/>
                <w:noProof/>
                <w:sz w:val="20"/>
              </w:rPr>
              <w:t>）</w:t>
            </w:r>
            <w:r w:rsidRPr="001B337B">
              <w:rPr>
                <w:rFonts w:ascii="標楷體" w:eastAsia="標楷體" w:hAnsi="標楷體" w:hint="eastAsia"/>
                <w:noProof/>
                <w:sz w:val="20"/>
              </w:rPr>
              <w:t>低放最終處置設施及暫時貯存設施之選址作業迄無具體進展，國原院小產源低放射性廢棄物貯存設施容量亦漸趨飽和，允宜促請經濟部督促台電公司積極推動公眾溝通工作，根本解決選址作業停滯問題，並研議將小產源低放射性廢棄物納入台電公司規劃之暫時貯存設施應變方案，俾確保低放射性廢棄物之安全存管。</w:t>
            </w:r>
          </w:p>
        </w:tc>
        <w:tc>
          <w:tcPr>
            <w:tcW w:w="1701" w:type="dxa"/>
            <w:vMerge/>
            <w:tcBorders>
              <w:left w:val="single" w:sz="4" w:space="0" w:color="auto"/>
              <w:right w:val="single" w:sz="4" w:space="0" w:color="auto"/>
              <w:tl2br w:val="single" w:sz="4" w:space="0" w:color="auto"/>
            </w:tcBorders>
          </w:tcPr>
          <w:p w14:paraId="42E07C2C"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573698" w:rsidRPr="005D7EA8" w14:paraId="7E4D82C1" w14:textId="77777777" w:rsidTr="003456A5">
        <w:tc>
          <w:tcPr>
            <w:tcW w:w="8222" w:type="dxa"/>
            <w:tcBorders>
              <w:top w:val="single" w:sz="4" w:space="0" w:color="auto"/>
              <w:left w:val="single" w:sz="4" w:space="0" w:color="auto"/>
              <w:bottom w:val="single" w:sz="4" w:space="0" w:color="auto"/>
              <w:right w:val="single" w:sz="4" w:space="0" w:color="auto"/>
            </w:tcBorders>
          </w:tcPr>
          <w:p w14:paraId="1C2F4FFC" w14:textId="6A7AFABB" w:rsidR="00573698" w:rsidRPr="006A2B9E" w:rsidRDefault="00D2493A" w:rsidP="001B31C1">
            <w:pPr>
              <w:overflowPunct w:val="0"/>
              <w:snapToGrid w:val="0"/>
              <w:spacing w:line="306" w:lineRule="exact"/>
              <w:ind w:leftChars="-24" w:left="962" w:hangingChars="510" w:hanging="1020"/>
              <w:jc w:val="both"/>
              <w:rPr>
                <w:rFonts w:ascii="標楷體" w:eastAsia="標楷體" w:hAnsi="標楷體"/>
                <w:noProof/>
                <w:sz w:val="20"/>
              </w:rPr>
            </w:pPr>
            <w:r w:rsidRPr="006A2B9E">
              <w:rPr>
                <w:rFonts w:ascii="標楷體" w:eastAsia="標楷體" w:hAnsi="標楷體" w:hint="eastAsia"/>
                <w:noProof/>
                <w:sz w:val="20"/>
              </w:rPr>
              <w:t>（二十</w:t>
            </w:r>
            <w:r>
              <w:rPr>
                <w:rFonts w:ascii="標楷體" w:eastAsia="標楷體" w:hAnsi="標楷體" w:hint="eastAsia"/>
                <w:noProof/>
                <w:sz w:val="20"/>
              </w:rPr>
              <w:t>八</w:t>
            </w:r>
            <w:r w:rsidRPr="006A2B9E">
              <w:rPr>
                <w:rFonts w:ascii="標楷體" w:eastAsia="標楷體" w:hAnsi="標楷體" w:hint="eastAsia"/>
                <w:noProof/>
                <w:sz w:val="20"/>
              </w:rPr>
              <w:t>）</w:t>
            </w:r>
            <w:r w:rsidR="00573698" w:rsidRPr="001B337B">
              <w:rPr>
                <w:rFonts w:ascii="標楷體" w:eastAsia="標楷體" w:hAnsi="標楷體" w:hint="eastAsia"/>
                <w:noProof/>
                <w:sz w:val="20"/>
              </w:rPr>
              <w:t>核安會稽核鋼鐵業輻射偵檢作業及輻射防護偵測業者偵檢業務之比率容有提升空間，另經公告「有遭受放射性污染之虞」建築物，尚有少數未完成輻射偵測作業，污染建築物居民健康檢查受檢率亦偏低，允宜研議擴增稽核量能之可行性，並持續加強與住戶溝通協調，以落實輻射源安全管制及照護居民健康。</w:t>
            </w:r>
          </w:p>
        </w:tc>
        <w:tc>
          <w:tcPr>
            <w:tcW w:w="1701" w:type="dxa"/>
            <w:vMerge/>
            <w:tcBorders>
              <w:left w:val="single" w:sz="4" w:space="0" w:color="auto"/>
              <w:bottom w:val="single" w:sz="4" w:space="0" w:color="auto"/>
              <w:right w:val="single" w:sz="4" w:space="0" w:color="auto"/>
              <w:tl2br w:val="single" w:sz="4" w:space="0" w:color="auto"/>
            </w:tcBorders>
          </w:tcPr>
          <w:p w14:paraId="5E1C49F1" w14:textId="77777777" w:rsidR="00573698" w:rsidRPr="005D7EA8" w:rsidRDefault="00573698" w:rsidP="00987C0C">
            <w:pPr>
              <w:overflowPunct w:val="0"/>
              <w:snapToGrid w:val="0"/>
              <w:spacing w:line="312" w:lineRule="exact"/>
              <w:jc w:val="both"/>
              <w:rPr>
                <w:rFonts w:ascii="標楷體" w:eastAsia="標楷體" w:hAnsi="標楷體"/>
                <w:noProof/>
                <w:color w:val="FF0000"/>
                <w:sz w:val="20"/>
              </w:rPr>
            </w:pPr>
          </w:p>
        </w:tc>
      </w:tr>
      <w:tr w:rsidR="003456A5" w:rsidRPr="005D7EA8" w14:paraId="4F906BEC" w14:textId="77777777" w:rsidTr="003456A5">
        <w:tc>
          <w:tcPr>
            <w:tcW w:w="9923" w:type="dxa"/>
            <w:gridSpan w:val="2"/>
            <w:tcBorders>
              <w:top w:val="single" w:sz="4" w:space="0" w:color="auto"/>
              <w:left w:val="nil"/>
              <w:bottom w:val="nil"/>
              <w:right w:val="nil"/>
            </w:tcBorders>
          </w:tcPr>
          <w:p w14:paraId="7D8E1A35" w14:textId="6200FF06" w:rsidR="003456A5" w:rsidRPr="003456A5" w:rsidRDefault="003456A5" w:rsidP="003456A5">
            <w:pPr>
              <w:overflowPunct w:val="0"/>
              <w:snapToGrid w:val="0"/>
              <w:spacing w:line="260" w:lineRule="exact"/>
              <w:ind w:left="360" w:hangingChars="200" w:hanging="360"/>
              <w:jc w:val="both"/>
              <w:rPr>
                <w:rFonts w:ascii="標楷體" w:eastAsia="標楷體" w:hAnsi="標楷體"/>
                <w:noProof/>
                <w:color w:val="FF0000"/>
                <w:sz w:val="18"/>
                <w:szCs w:val="18"/>
              </w:rPr>
            </w:pPr>
            <w:r w:rsidRPr="003456A5">
              <w:rPr>
                <w:rFonts w:ascii="標楷體" w:eastAsia="標楷體" w:hAnsi="標楷體" w:hint="eastAsia"/>
                <w:noProof/>
                <w:sz w:val="18"/>
                <w:szCs w:val="18"/>
              </w:rPr>
              <w:t>註：原子能委員會於112年9月27日改制更名為核能安全委員會，113年度決算列於行政院主管項下，爰本表包括112年度審核報告所列原子能委員會（核能安全委員會及所屬）主管重要審核意見。</w:t>
            </w:r>
          </w:p>
        </w:tc>
      </w:tr>
    </w:tbl>
    <w:p w14:paraId="0C3F71DC" w14:textId="37C8AFB2" w:rsidR="007E4578" w:rsidRPr="00893770" w:rsidRDefault="007E4578" w:rsidP="00CA55FD">
      <w:pPr>
        <w:pStyle w:val="10"/>
        <w:overflowPunct w:val="0"/>
        <w:spacing w:beforeLines="20" w:before="72" w:afterLines="20" w:after="72" w:line="460" w:lineRule="exact"/>
        <w:ind w:firstLineChars="100" w:firstLine="320"/>
        <w:rPr>
          <w:rFonts w:ascii="標楷體" w:eastAsia="標楷體" w:hAnsi="標楷體"/>
          <w:color w:val="000000" w:themeColor="text1"/>
          <w:sz w:val="32"/>
          <w:szCs w:val="32"/>
        </w:rPr>
      </w:pPr>
      <w:r w:rsidRPr="00893770">
        <w:rPr>
          <w:rFonts w:ascii="標楷體" w:eastAsia="標楷體" w:hAnsi="標楷體" w:hint="eastAsia"/>
          <w:color w:val="000000" w:themeColor="text1"/>
          <w:sz w:val="32"/>
          <w:szCs w:val="32"/>
        </w:rPr>
        <w:t>六、其他事項</w:t>
      </w:r>
    </w:p>
    <w:p w14:paraId="752E78F6" w14:textId="77777777" w:rsidR="00FA1FC8" w:rsidRPr="00FA1FC8" w:rsidRDefault="00FA1FC8" w:rsidP="00987C0C">
      <w:pPr>
        <w:overflowPunct w:val="0"/>
        <w:snapToGrid w:val="0"/>
        <w:spacing w:line="400" w:lineRule="exact"/>
        <w:ind w:firstLineChars="200" w:firstLine="480"/>
        <w:jc w:val="both"/>
        <w:rPr>
          <w:rFonts w:ascii="標楷體" w:eastAsia="標楷體" w:hAnsi="標楷體" w:cs="細明體"/>
          <w:color w:val="000000"/>
          <w:szCs w:val="24"/>
        </w:rPr>
      </w:pPr>
      <w:r w:rsidRPr="00FA1FC8">
        <w:rPr>
          <w:rFonts w:ascii="標楷體" w:eastAsia="標楷體" w:hAnsi="標楷體" w:hint="eastAsia"/>
          <w:color w:val="000000"/>
          <w:szCs w:val="24"/>
        </w:rPr>
        <w:t>行政院主管推動施政計畫之執行成果，前經本部查核後於審核報告揭露，監察院請本部提供資料，</w:t>
      </w:r>
      <w:proofErr w:type="gramStart"/>
      <w:r w:rsidRPr="00FA1FC8">
        <w:rPr>
          <w:rFonts w:ascii="標楷體" w:eastAsia="標楷體" w:hAnsi="標楷體" w:hint="eastAsia"/>
          <w:color w:val="000000"/>
          <w:szCs w:val="24"/>
        </w:rPr>
        <w:t>嗣</w:t>
      </w:r>
      <w:proofErr w:type="gramEnd"/>
      <w:r w:rsidRPr="00FA1FC8">
        <w:rPr>
          <w:rFonts w:ascii="標楷體" w:eastAsia="標楷體" w:hAnsi="標楷體" w:hint="eastAsia"/>
          <w:color w:val="000000"/>
          <w:szCs w:val="24"/>
        </w:rPr>
        <w:t>經監察院於113年7月1日至114年6月30日間糾正者，</w:t>
      </w:r>
      <w:proofErr w:type="gramStart"/>
      <w:r w:rsidRPr="00FA1FC8">
        <w:rPr>
          <w:rFonts w:ascii="標楷體" w:eastAsia="標楷體" w:hAnsi="標楷體" w:hint="eastAsia"/>
          <w:color w:val="000000"/>
          <w:szCs w:val="24"/>
        </w:rPr>
        <w:t>摘述如次</w:t>
      </w:r>
      <w:proofErr w:type="gramEnd"/>
      <w:r w:rsidRPr="00FA1FC8">
        <w:rPr>
          <w:rFonts w:ascii="標楷體" w:eastAsia="標楷體" w:hAnsi="標楷體" w:hint="eastAsia"/>
          <w:color w:val="000000"/>
          <w:szCs w:val="24"/>
        </w:rPr>
        <w:t>：</w:t>
      </w:r>
    </w:p>
    <w:p w14:paraId="6E44DE7D" w14:textId="0C32834A" w:rsidR="005C22EC" w:rsidRPr="00FA1FC8" w:rsidRDefault="00FA1FC8" w:rsidP="00987C0C">
      <w:pPr>
        <w:widowControl/>
        <w:overflowPunct w:val="0"/>
        <w:spacing w:line="400" w:lineRule="exact"/>
        <w:ind w:firstLineChars="200" w:firstLine="480"/>
        <w:jc w:val="both"/>
        <w:rPr>
          <w:rFonts w:ascii="標楷體" w:eastAsia="標楷體" w:hAnsi="標楷體"/>
          <w:b/>
          <w:color w:val="000000"/>
          <w:kern w:val="0"/>
          <w:sz w:val="32"/>
          <w:szCs w:val="32"/>
          <w:shd w:val="pct15" w:color="auto" w:fill="FFFFFF"/>
        </w:rPr>
      </w:pPr>
      <w:r w:rsidRPr="00FA1FC8">
        <w:rPr>
          <w:rFonts w:ascii="標楷體" w:eastAsia="標楷體" w:hAnsi="標楷體" w:hint="eastAsia"/>
          <w:color w:val="000000"/>
          <w:kern w:val="0"/>
          <w:szCs w:val="24"/>
        </w:rPr>
        <w:t>行政院推動營建剩餘土石方管理與再利用，對於營建剩餘土石方處理法草案之審議及政策指導未能積極有效，致立法進程延宕；內政部暨所屬國土管理署（前營建署）訂定之營建剩餘土石方處理方案位階過低，缺乏法律授權且與相關法規範疇重疊，且權責不清、廢棄物認定標準模糊，造成執法困難及地方標準不一；又該方案欠缺有效追蹤及科技監測系統，導致非法棄置頻傳等，核有欠當，經監察院糾正行政院、內政部暨所屬國土管理署</w:t>
      </w:r>
      <w:r w:rsidR="00202910" w:rsidRPr="00FA1FC8">
        <w:rPr>
          <w:rFonts w:ascii="標楷體" w:eastAsia="標楷體" w:hAnsi="標楷體" w:hint="eastAsia"/>
          <w:color w:val="000000"/>
          <w:kern w:val="0"/>
          <w:szCs w:val="24"/>
        </w:rPr>
        <w:t>。</w:t>
      </w:r>
      <w:r w:rsidR="007511D7">
        <w:rPr>
          <w:rFonts w:ascii="標楷體" w:eastAsia="標楷體" w:hAnsi="標楷體" w:hint="eastAsia"/>
          <w:color w:val="000000"/>
          <w:kern w:val="0"/>
          <w:szCs w:val="24"/>
        </w:rPr>
        <w:t>（</w:t>
      </w:r>
      <w:r w:rsidR="00694B6E" w:rsidRPr="007511D7">
        <w:rPr>
          <w:rFonts w:ascii="標楷體" w:eastAsia="標楷體" w:hAnsi="標楷體" w:hint="eastAsia"/>
          <w:color w:val="000000"/>
          <w:kern w:val="0"/>
          <w:szCs w:val="24"/>
        </w:rPr>
        <w:t>截至114年6月30日止，監察院公報尚未刊</w:t>
      </w:r>
      <w:r w:rsidR="007511D7" w:rsidRPr="007511D7">
        <w:rPr>
          <w:rFonts w:ascii="標楷體" w:eastAsia="標楷體" w:hAnsi="標楷體" w:hint="eastAsia"/>
          <w:color w:val="000000"/>
          <w:kern w:val="0"/>
          <w:szCs w:val="24"/>
        </w:rPr>
        <w:t>載）</w:t>
      </w:r>
    </w:p>
    <w:sectPr w:rsidR="005C22EC" w:rsidRPr="00FA1FC8" w:rsidSect="000D0096">
      <w:pgSz w:w="11906" w:h="16838" w:code="9"/>
      <w:pgMar w:top="1418" w:right="851" w:bottom="1418" w:left="851" w:header="1021" w:footer="737" w:gutter="28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15CD8" w14:textId="77777777" w:rsidR="0028375D" w:rsidRDefault="0028375D">
      <w:r>
        <w:separator/>
      </w:r>
    </w:p>
  </w:endnote>
  <w:endnote w:type="continuationSeparator" w:id="0">
    <w:p w14:paraId="64A430E0" w14:textId="77777777" w:rsidR="0028375D" w:rsidRDefault="00283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華康楷書體W5">
    <w:altName w:val="全字庫正楷體"/>
    <w:panose1 w:val="00000000000000000000"/>
    <w:charset w:val="88"/>
    <w:family w:val="roman"/>
    <w:notTrueType/>
    <w:pitch w:val="default"/>
  </w:font>
  <w:font w:name="Arial Narrow">
    <w:panose1 w:val="020B0606020202030204"/>
    <w:charset w:val="00"/>
    <w:family w:val="swiss"/>
    <w:pitch w:val="variable"/>
    <w:sig w:usb0="00000287" w:usb1="00000800" w:usb2="00000000" w:usb3="00000000" w:csb0="0000009F" w:csb1="00000000"/>
  </w:font>
  <w:font w:name="華康儷中黑">
    <w:altName w:val="新細明體"/>
    <w:charset w:val="88"/>
    <w:family w:val="modern"/>
    <w:pitch w:val="fixed"/>
    <w:sig w:usb0="80000001" w:usb1="28091800" w:usb2="00000016" w:usb3="00000000" w:csb0="00100000" w:csb1="00000000"/>
  </w:font>
  <w:font w:name="Century">
    <w:panose1 w:val="02040604050505020304"/>
    <w:charset w:val="00"/>
    <w:family w:val="roman"/>
    <w:pitch w:val="variable"/>
    <w:sig w:usb0="00000287" w:usb1="00000000" w:usb2="00000000" w:usb3="00000000" w:csb0="0000009F" w:csb1="00000000"/>
  </w:font>
  <w:font w:name="標楷體a分...">
    <w:altName w:val="標楷體"/>
    <w:panose1 w:val="00000000000000000000"/>
    <w:charset w:val="88"/>
    <w:family w:val="script"/>
    <w:notTrueType/>
    <w:pitch w:val="default"/>
    <w:sig w:usb0="00000001" w:usb1="08080000" w:usb2="00000010" w:usb3="00000000" w:csb0="00100000" w:csb1="00000000"/>
  </w:font>
  <w:font w:name="DFKaiShu-SB-Estd-BF">
    <w:altName w:val="細明體"/>
    <w:panose1 w:val="00000000000000000000"/>
    <w:charset w:val="00"/>
    <w:family w:val="roman"/>
    <w:notTrueType/>
    <w:pitch w:val="default"/>
    <w:sig w:usb0="00000003" w:usb1="080F0000" w:usb2="00000010" w:usb3="00000000" w:csb0="0012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8"/>
    <w:family w:val="swiss"/>
    <w:pitch w:val="variable"/>
    <w:sig w:usb0="F7FFAFFF" w:usb1="E9DFFFFF" w:usb2="0000003F" w:usb3="00000000" w:csb0="003F01FF" w:csb1="00000000"/>
  </w:font>
  <w:font w:name="微軟正黑體">
    <w:panose1 w:val="020B0604030504040204"/>
    <w:charset w:val="88"/>
    <w:family w:val="swiss"/>
    <w:pitch w:val="variable"/>
    <w:sig w:usb0="000002A7" w:usb1="28CF4400" w:usb2="00000016" w:usb3="00000000" w:csb0="00100009" w:csb1="00000000"/>
  </w:font>
  <w:font w:name="+mn-cs">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New Gulim">
    <w:charset w:val="81"/>
    <w:family w:val="roman"/>
    <w:pitch w:val="variable"/>
    <w:sig w:usb0="B00002AF" w:usb1="7FD77CFB" w:usb2="00000030" w:usb3="00000000" w:csb0="0008009F" w:csb1="00000000"/>
  </w:font>
  <w:font w:name="新細明體-ExtB">
    <w:panose1 w:val="02020500000000000000"/>
    <w:charset w:val="88"/>
    <w:family w:val="roman"/>
    <w:pitch w:val="variable"/>
    <w:sig w:usb0="8000002F" w:usb1="0A080008" w:usb2="00000010" w:usb3="00000000" w:csb0="00100001" w:csb1="00000000"/>
  </w:font>
  <w:font w:name="BiauKaiTC Regular">
    <w:altName w:val="微軟正黑體"/>
    <w:charset w:val="88"/>
    <w:family w:val="script"/>
    <w:pitch w:val="variable"/>
    <w:sig w:usb0="800000E3" w:usb1="38CFFD7A" w:usb2="00000016" w:usb3="00000000" w:csb0="0010000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3804991"/>
      <w:docPartObj>
        <w:docPartGallery w:val="Page Numbers (Bottom of Page)"/>
        <w:docPartUnique/>
      </w:docPartObj>
    </w:sdtPr>
    <w:sdtEndPr>
      <w:rPr>
        <w:rFonts w:ascii="標楷體" w:eastAsia="標楷體" w:hAnsi="標楷體"/>
      </w:rPr>
    </w:sdtEndPr>
    <w:sdtContent>
      <w:p w14:paraId="361E0F8A" w14:textId="52C315BD" w:rsidR="00A2675B" w:rsidRPr="00883B45" w:rsidRDefault="00A2675B" w:rsidP="00883B45">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277722" w:rsidRPr="00277722">
          <w:rPr>
            <w:rFonts w:ascii="標楷體" w:eastAsia="標楷體" w:hAnsi="標楷體"/>
            <w:noProof/>
            <w:lang w:val="zh-TW"/>
          </w:rPr>
          <w:t>26</w:t>
        </w:r>
        <w:r w:rsidRPr="0076344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4824339"/>
      <w:docPartObj>
        <w:docPartGallery w:val="Page Numbers (Bottom of Page)"/>
        <w:docPartUnique/>
      </w:docPartObj>
    </w:sdtPr>
    <w:sdtEndPr>
      <w:rPr>
        <w:rFonts w:ascii="標楷體" w:eastAsia="標楷體" w:hAnsi="標楷體"/>
      </w:rPr>
    </w:sdtEndPr>
    <w:sdtContent>
      <w:p w14:paraId="4C625ECE" w14:textId="4617ED55" w:rsidR="00A2675B" w:rsidRPr="00763442" w:rsidRDefault="00A2675B">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277722" w:rsidRPr="00277722">
          <w:rPr>
            <w:rFonts w:ascii="標楷體" w:eastAsia="標楷體" w:hAnsi="標楷體"/>
            <w:noProof/>
            <w:lang w:val="zh-TW"/>
          </w:rPr>
          <w:t>27</w:t>
        </w:r>
        <w:r w:rsidRPr="00763442">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87B8A" w14:textId="77777777" w:rsidR="0028375D" w:rsidRDefault="0028375D">
      <w:r>
        <w:separator/>
      </w:r>
    </w:p>
  </w:footnote>
  <w:footnote w:type="continuationSeparator" w:id="0">
    <w:p w14:paraId="20DB394B" w14:textId="77777777" w:rsidR="0028375D" w:rsidRDefault="002837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A0AA5"/>
    <w:multiLevelType w:val="hybridMultilevel"/>
    <w:tmpl w:val="407A1AA4"/>
    <w:lvl w:ilvl="0" w:tplc="117635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676A6D"/>
    <w:multiLevelType w:val="hybridMultilevel"/>
    <w:tmpl w:val="8B90A1D2"/>
    <w:lvl w:ilvl="0" w:tplc="D2DA733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0A9631B"/>
    <w:multiLevelType w:val="hybridMultilevel"/>
    <w:tmpl w:val="BF6C09C4"/>
    <w:lvl w:ilvl="0" w:tplc="429CE3B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6031EEB"/>
    <w:multiLevelType w:val="hybridMultilevel"/>
    <w:tmpl w:val="3E98BC00"/>
    <w:lvl w:ilvl="0" w:tplc="DF3ECCE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14A10C7"/>
    <w:multiLevelType w:val="hybridMultilevel"/>
    <w:tmpl w:val="55480F02"/>
    <w:lvl w:ilvl="0" w:tplc="22DEE54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B6A0CB6"/>
    <w:multiLevelType w:val="hybridMultilevel"/>
    <w:tmpl w:val="AAD0830C"/>
    <w:lvl w:ilvl="0" w:tplc="8A36BC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0B771D9"/>
    <w:multiLevelType w:val="hybridMultilevel"/>
    <w:tmpl w:val="7BE0DB2C"/>
    <w:lvl w:ilvl="0" w:tplc="B024E2B2">
      <w:start w:val="1"/>
      <w:numFmt w:val="decimal"/>
      <w:pStyle w:val="1"/>
      <w:lvlText w:val="%1."/>
      <w:lvlJc w:val="left"/>
      <w:pPr>
        <w:tabs>
          <w:tab w:val="num" w:pos="1320"/>
        </w:tabs>
        <w:ind w:left="1320" w:hanging="360"/>
      </w:pPr>
      <w:rPr>
        <w:rFonts w:hint="eastAsia"/>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539659C1"/>
    <w:multiLevelType w:val="hybridMultilevel"/>
    <w:tmpl w:val="9F062644"/>
    <w:lvl w:ilvl="0" w:tplc="C2D2743C">
      <w:start w:val="1"/>
      <w:numFmt w:val="decimal"/>
      <w:lvlText w:val="%1."/>
      <w:lvlJc w:val="left"/>
      <w:pPr>
        <w:ind w:left="1920" w:hanging="360"/>
      </w:pPr>
      <w:rPr>
        <w:b/>
      </w:rPr>
    </w:lvl>
    <w:lvl w:ilvl="1" w:tplc="04090019">
      <w:start w:val="1"/>
      <w:numFmt w:val="ideographTraditional"/>
      <w:lvlText w:val="%2、"/>
      <w:lvlJc w:val="left"/>
      <w:pPr>
        <w:ind w:left="2520" w:hanging="480"/>
      </w:pPr>
    </w:lvl>
    <w:lvl w:ilvl="2" w:tplc="0409001B">
      <w:start w:val="1"/>
      <w:numFmt w:val="lowerRoman"/>
      <w:lvlText w:val="%3."/>
      <w:lvlJc w:val="right"/>
      <w:pPr>
        <w:ind w:left="3000" w:hanging="480"/>
      </w:pPr>
    </w:lvl>
    <w:lvl w:ilvl="3" w:tplc="0409000F">
      <w:start w:val="1"/>
      <w:numFmt w:val="decimal"/>
      <w:lvlText w:val="%4."/>
      <w:lvlJc w:val="left"/>
      <w:pPr>
        <w:ind w:left="3480" w:hanging="480"/>
      </w:pPr>
    </w:lvl>
    <w:lvl w:ilvl="4" w:tplc="04090019">
      <w:start w:val="1"/>
      <w:numFmt w:val="ideographTraditional"/>
      <w:lvlText w:val="%5、"/>
      <w:lvlJc w:val="left"/>
      <w:pPr>
        <w:ind w:left="3960" w:hanging="480"/>
      </w:pPr>
    </w:lvl>
    <w:lvl w:ilvl="5" w:tplc="0409001B">
      <w:start w:val="1"/>
      <w:numFmt w:val="lowerRoman"/>
      <w:lvlText w:val="%6."/>
      <w:lvlJc w:val="right"/>
      <w:pPr>
        <w:ind w:left="4440" w:hanging="480"/>
      </w:pPr>
    </w:lvl>
    <w:lvl w:ilvl="6" w:tplc="0409000F">
      <w:start w:val="1"/>
      <w:numFmt w:val="decimal"/>
      <w:lvlText w:val="%7."/>
      <w:lvlJc w:val="left"/>
      <w:pPr>
        <w:ind w:left="4920" w:hanging="480"/>
      </w:pPr>
    </w:lvl>
    <w:lvl w:ilvl="7" w:tplc="04090019">
      <w:start w:val="1"/>
      <w:numFmt w:val="ideographTraditional"/>
      <w:lvlText w:val="%8、"/>
      <w:lvlJc w:val="left"/>
      <w:pPr>
        <w:ind w:left="5400" w:hanging="480"/>
      </w:pPr>
    </w:lvl>
    <w:lvl w:ilvl="8" w:tplc="0409001B">
      <w:start w:val="1"/>
      <w:numFmt w:val="lowerRoman"/>
      <w:lvlText w:val="%9."/>
      <w:lvlJc w:val="right"/>
      <w:pPr>
        <w:ind w:left="5880" w:hanging="480"/>
      </w:pPr>
    </w:lvl>
  </w:abstractNum>
  <w:abstractNum w:abstractNumId="8" w15:restartNumberingAfterBreak="0">
    <w:nsid w:val="5E122B75"/>
    <w:multiLevelType w:val="hybridMultilevel"/>
    <w:tmpl w:val="6172CB10"/>
    <w:lvl w:ilvl="0" w:tplc="D680701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6469589A"/>
    <w:multiLevelType w:val="hybridMultilevel"/>
    <w:tmpl w:val="D96A4186"/>
    <w:lvl w:ilvl="0" w:tplc="6F1ACB40">
      <w:start w:val="1"/>
      <w:numFmt w:val="decimal"/>
      <w:lvlText w:val="%1."/>
      <w:lvlJc w:val="left"/>
      <w:pPr>
        <w:ind w:left="1609" w:hanging="528"/>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num w:numId="1">
    <w:abstractNumId w:val="6"/>
  </w:num>
  <w:num w:numId="2">
    <w:abstractNumId w:val="0"/>
  </w:num>
  <w:num w:numId="3">
    <w:abstractNumId w:val="1"/>
  </w:num>
  <w:num w:numId="4">
    <w:abstractNumId w:val="4"/>
  </w:num>
  <w:num w:numId="5">
    <w:abstractNumId w:val="2"/>
  </w:num>
  <w:num w:numId="6">
    <w:abstractNumId w:val="8"/>
  </w:num>
  <w:num w:numId="7">
    <w:abstractNumId w:val="5"/>
  </w:num>
  <w:num w:numId="8">
    <w:abstractNumId w:val="3"/>
  </w:num>
  <w:num w:numId="9">
    <w:abstractNumId w:val="9"/>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8193"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36AC"/>
    <w:rsid w:val="000001AB"/>
    <w:rsid w:val="000005AB"/>
    <w:rsid w:val="000007D6"/>
    <w:rsid w:val="00000AD1"/>
    <w:rsid w:val="00000E19"/>
    <w:rsid w:val="0000117A"/>
    <w:rsid w:val="00001469"/>
    <w:rsid w:val="000016A4"/>
    <w:rsid w:val="00001797"/>
    <w:rsid w:val="00001928"/>
    <w:rsid w:val="00001E3F"/>
    <w:rsid w:val="00001E54"/>
    <w:rsid w:val="00002588"/>
    <w:rsid w:val="000026C7"/>
    <w:rsid w:val="0000287C"/>
    <w:rsid w:val="0000289B"/>
    <w:rsid w:val="000029E8"/>
    <w:rsid w:val="00002A50"/>
    <w:rsid w:val="00002AD5"/>
    <w:rsid w:val="00002F66"/>
    <w:rsid w:val="00002FA8"/>
    <w:rsid w:val="00002FE8"/>
    <w:rsid w:val="00002FF3"/>
    <w:rsid w:val="00003062"/>
    <w:rsid w:val="00003092"/>
    <w:rsid w:val="000030E3"/>
    <w:rsid w:val="000030E8"/>
    <w:rsid w:val="0000332A"/>
    <w:rsid w:val="00003414"/>
    <w:rsid w:val="000035BC"/>
    <w:rsid w:val="00003A15"/>
    <w:rsid w:val="00003BB8"/>
    <w:rsid w:val="00003C31"/>
    <w:rsid w:val="00003D52"/>
    <w:rsid w:val="00003DFC"/>
    <w:rsid w:val="00003E0F"/>
    <w:rsid w:val="0000409D"/>
    <w:rsid w:val="00004225"/>
    <w:rsid w:val="00004256"/>
    <w:rsid w:val="0000459D"/>
    <w:rsid w:val="000045D9"/>
    <w:rsid w:val="00004898"/>
    <w:rsid w:val="00004A85"/>
    <w:rsid w:val="00004AEE"/>
    <w:rsid w:val="00004BA2"/>
    <w:rsid w:val="00004BC8"/>
    <w:rsid w:val="00004CB6"/>
    <w:rsid w:val="00004DC7"/>
    <w:rsid w:val="00004EB0"/>
    <w:rsid w:val="00005086"/>
    <w:rsid w:val="00005185"/>
    <w:rsid w:val="00005591"/>
    <w:rsid w:val="000056BE"/>
    <w:rsid w:val="00005A35"/>
    <w:rsid w:val="00005BA0"/>
    <w:rsid w:val="00005C92"/>
    <w:rsid w:val="00005F92"/>
    <w:rsid w:val="0000669E"/>
    <w:rsid w:val="00006897"/>
    <w:rsid w:val="00006977"/>
    <w:rsid w:val="00006E45"/>
    <w:rsid w:val="0000707C"/>
    <w:rsid w:val="00007106"/>
    <w:rsid w:val="000071B4"/>
    <w:rsid w:val="00007732"/>
    <w:rsid w:val="00007940"/>
    <w:rsid w:val="00007A8C"/>
    <w:rsid w:val="00007F5E"/>
    <w:rsid w:val="000102E5"/>
    <w:rsid w:val="00010B35"/>
    <w:rsid w:val="00010B5E"/>
    <w:rsid w:val="00011062"/>
    <w:rsid w:val="0001129C"/>
    <w:rsid w:val="00011558"/>
    <w:rsid w:val="000118CE"/>
    <w:rsid w:val="000118F5"/>
    <w:rsid w:val="00011B62"/>
    <w:rsid w:val="00011FA8"/>
    <w:rsid w:val="0001203E"/>
    <w:rsid w:val="0001208F"/>
    <w:rsid w:val="000121F7"/>
    <w:rsid w:val="00012225"/>
    <w:rsid w:val="00012491"/>
    <w:rsid w:val="0001253D"/>
    <w:rsid w:val="000128D6"/>
    <w:rsid w:val="00012D77"/>
    <w:rsid w:val="00012DBF"/>
    <w:rsid w:val="00012E2E"/>
    <w:rsid w:val="000130A3"/>
    <w:rsid w:val="00013130"/>
    <w:rsid w:val="000131EC"/>
    <w:rsid w:val="00013276"/>
    <w:rsid w:val="00013457"/>
    <w:rsid w:val="000135A9"/>
    <w:rsid w:val="000135FE"/>
    <w:rsid w:val="00013620"/>
    <w:rsid w:val="00013773"/>
    <w:rsid w:val="000137E7"/>
    <w:rsid w:val="00013CDE"/>
    <w:rsid w:val="00013D65"/>
    <w:rsid w:val="00013F86"/>
    <w:rsid w:val="000140A1"/>
    <w:rsid w:val="000142A7"/>
    <w:rsid w:val="0001436A"/>
    <w:rsid w:val="00014570"/>
    <w:rsid w:val="00014672"/>
    <w:rsid w:val="00014688"/>
    <w:rsid w:val="00014702"/>
    <w:rsid w:val="000148C3"/>
    <w:rsid w:val="00014AF3"/>
    <w:rsid w:val="00014BA0"/>
    <w:rsid w:val="00014E7A"/>
    <w:rsid w:val="00014F93"/>
    <w:rsid w:val="00015157"/>
    <w:rsid w:val="0001520D"/>
    <w:rsid w:val="00015405"/>
    <w:rsid w:val="000158DD"/>
    <w:rsid w:val="00015C65"/>
    <w:rsid w:val="00015EFF"/>
    <w:rsid w:val="00015F0B"/>
    <w:rsid w:val="00016087"/>
    <w:rsid w:val="00016220"/>
    <w:rsid w:val="000165BF"/>
    <w:rsid w:val="000165E1"/>
    <w:rsid w:val="000166B0"/>
    <w:rsid w:val="00016719"/>
    <w:rsid w:val="00016A03"/>
    <w:rsid w:val="00016C37"/>
    <w:rsid w:val="00016D72"/>
    <w:rsid w:val="00016D90"/>
    <w:rsid w:val="00016EC6"/>
    <w:rsid w:val="000172B9"/>
    <w:rsid w:val="0001733C"/>
    <w:rsid w:val="00017808"/>
    <w:rsid w:val="0001797C"/>
    <w:rsid w:val="00017A3C"/>
    <w:rsid w:val="00017F2D"/>
    <w:rsid w:val="0002043D"/>
    <w:rsid w:val="000206F1"/>
    <w:rsid w:val="000208E2"/>
    <w:rsid w:val="000208E4"/>
    <w:rsid w:val="00020921"/>
    <w:rsid w:val="0002092E"/>
    <w:rsid w:val="00020C53"/>
    <w:rsid w:val="00020C80"/>
    <w:rsid w:val="00020D10"/>
    <w:rsid w:val="00020DB3"/>
    <w:rsid w:val="00021479"/>
    <w:rsid w:val="00021547"/>
    <w:rsid w:val="000215BD"/>
    <w:rsid w:val="0002176D"/>
    <w:rsid w:val="00021B47"/>
    <w:rsid w:val="00021D02"/>
    <w:rsid w:val="00021E53"/>
    <w:rsid w:val="00022463"/>
    <w:rsid w:val="00022530"/>
    <w:rsid w:val="000226DE"/>
    <w:rsid w:val="00022A84"/>
    <w:rsid w:val="00022B9D"/>
    <w:rsid w:val="00022E4B"/>
    <w:rsid w:val="00023079"/>
    <w:rsid w:val="000231C0"/>
    <w:rsid w:val="00023222"/>
    <w:rsid w:val="0002358B"/>
    <w:rsid w:val="0002392C"/>
    <w:rsid w:val="00023AE4"/>
    <w:rsid w:val="00023B49"/>
    <w:rsid w:val="00023D7E"/>
    <w:rsid w:val="00023E46"/>
    <w:rsid w:val="0002418E"/>
    <w:rsid w:val="00024241"/>
    <w:rsid w:val="00024372"/>
    <w:rsid w:val="0002449A"/>
    <w:rsid w:val="0002450A"/>
    <w:rsid w:val="0002466E"/>
    <w:rsid w:val="00024951"/>
    <w:rsid w:val="00024F0C"/>
    <w:rsid w:val="00025356"/>
    <w:rsid w:val="0002545C"/>
    <w:rsid w:val="000254CD"/>
    <w:rsid w:val="00025670"/>
    <w:rsid w:val="00025729"/>
    <w:rsid w:val="00025730"/>
    <w:rsid w:val="00025BD3"/>
    <w:rsid w:val="00025D0E"/>
    <w:rsid w:val="00025DDA"/>
    <w:rsid w:val="00025DE4"/>
    <w:rsid w:val="00025EF1"/>
    <w:rsid w:val="00025F3D"/>
    <w:rsid w:val="00025FBB"/>
    <w:rsid w:val="00026135"/>
    <w:rsid w:val="00026170"/>
    <w:rsid w:val="000266CE"/>
    <w:rsid w:val="000267E5"/>
    <w:rsid w:val="000268C5"/>
    <w:rsid w:val="00026AAC"/>
    <w:rsid w:val="00026ADB"/>
    <w:rsid w:val="00026B29"/>
    <w:rsid w:val="00026E66"/>
    <w:rsid w:val="00026E9A"/>
    <w:rsid w:val="000270A7"/>
    <w:rsid w:val="00027341"/>
    <w:rsid w:val="0002769A"/>
    <w:rsid w:val="000277AE"/>
    <w:rsid w:val="000278BE"/>
    <w:rsid w:val="00027E52"/>
    <w:rsid w:val="00027FB1"/>
    <w:rsid w:val="00030011"/>
    <w:rsid w:val="0003029A"/>
    <w:rsid w:val="000305FC"/>
    <w:rsid w:val="000306A7"/>
    <w:rsid w:val="00030701"/>
    <w:rsid w:val="0003092E"/>
    <w:rsid w:val="00030ABC"/>
    <w:rsid w:val="00030C85"/>
    <w:rsid w:val="00030D92"/>
    <w:rsid w:val="00030E57"/>
    <w:rsid w:val="00030E8C"/>
    <w:rsid w:val="00030FA4"/>
    <w:rsid w:val="00031048"/>
    <w:rsid w:val="000310BF"/>
    <w:rsid w:val="00031149"/>
    <w:rsid w:val="00031298"/>
    <w:rsid w:val="00031384"/>
    <w:rsid w:val="000314AA"/>
    <w:rsid w:val="00031612"/>
    <w:rsid w:val="00031822"/>
    <w:rsid w:val="000318E6"/>
    <w:rsid w:val="00031A52"/>
    <w:rsid w:val="000322D4"/>
    <w:rsid w:val="000324FE"/>
    <w:rsid w:val="00032853"/>
    <w:rsid w:val="00032871"/>
    <w:rsid w:val="000329F3"/>
    <w:rsid w:val="00032AA6"/>
    <w:rsid w:val="00032DB3"/>
    <w:rsid w:val="00033185"/>
    <w:rsid w:val="0003330E"/>
    <w:rsid w:val="000333BD"/>
    <w:rsid w:val="000333EF"/>
    <w:rsid w:val="00033644"/>
    <w:rsid w:val="0003372F"/>
    <w:rsid w:val="00033863"/>
    <w:rsid w:val="0003386B"/>
    <w:rsid w:val="000338BD"/>
    <w:rsid w:val="00033A6F"/>
    <w:rsid w:val="00033AB2"/>
    <w:rsid w:val="00033BED"/>
    <w:rsid w:val="00033DD8"/>
    <w:rsid w:val="0003417A"/>
    <w:rsid w:val="0003494B"/>
    <w:rsid w:val="00034A03"/>
    <w:rsid w:val="00034A86"/>
    <w:rsid w:val="00034B4C"/>
    <w:rsid w:val="00034BF5"/>
    <w:rsid w:val="00034CBF"/>
    <w:rsid w:val="00034FA8"/>
    <w:rsid w:val="0003500F"/>
    <w:rsid w:val="000352C2"/>
    <w:rsid w:val="00035348"/>
    <w:rsid w:val="000355F4"/>
    <w:rsid w:val="000356B6"/>
    <w:rsid w:val="00035856"/>
    <w:rsid w:val="0003585F"/>
    <w:rsid w:val="0003587E"/>
    <w:rsid w:val="000358EF"/>
    <w:rsid w:val="00035E31"/>
    <w:rsid w:val="00035EFB"/>
    <w:rsid w:val="000360C1"/>
    <w:rsid w:val="000361B3"/>
    <w:rsid w:val="000361E5"/>
    <w:rsid w:val="00036495"/>
    <w:rsid w:val="0003650C"/>
    <w:rsid w:val="00036804"/>
    <w:rsid w:val="00036A14"/>
    <w:rsid w:val="00036AD2"/>
    <w:rsid w:val="000370BB"/>
    <w:rsid w:val="000372B3"/>
    <w:rsid w:val="000373ED"/>
    <w:rsid w:val="00037584"/>
    <w:rsid w:val="00037674"/>
    <w:rsid w:val="000377BF"/>
    <w:rsid w:val="000379E7"/>
    <w:rsid w:val="00037A0D"/>
    <w:rsid w:val="00037A1B"/>
    <w:rsid w:val="00037A3B"/>
    <w:rsid w:val="00037A66"/>
    <w:rsid w:val="00037DCF"/>
    <w:rsid w:val="00037E73"/>
    <w:rsid w:val="00037EA1"/>
    <w:rsid w:val="00037F26"/>
    <w:rsid w:val="00040225"/>
    <w:rsid w:val="00040281"/>
    <w:rsid w:val="00040687"/>
    <w:rsid w:val="000406E7"/>
    <w:rsid w:val="00040725"/>
    <w:rsid w:val="00040764"/>
    <w:rsid w:val="000407FA"/>
    <w:rsid w:val="000409B8"/>
    <w:rsid w:val="00040A55"/>
    <w:rsid w:val="00040BA1"/>
    <w:rsid w:val="00040BEC"/>
    <w:rsid w:val="00041128"/>
    <w:rsid w:val="00041245"/>
    <w:rsid w:val="0004155A"/>
    <w:rsid w:val="00041654"/>
    <w:rsid w:val="0004176D"/>
    <w:rsid w:val="00041955"/>
    <w:rsid w:val="00041989"/>
    <w:rsid w:val="00041B21"/>
    <w:rsid w:val="00041D0D"/>
    <w:rsid w:val="00041D1E"/>
    <w:rsid w:val="0004210D"/>
    <w:rsid w:val="00042136"/>
    <w:rsid w:val="000421FE"/>
    <w:rsid w:val="00042319"/>
    <w:rsid w:val="00042584"/>
    <w:rsid w:val="00042610"/>
    <w:rsid w:val="0004283B"/>
    <w:rsid w:val="000428D8"/>
    <w:rsid w:val="00042902"/>
    <w:rsid w:val="00042A05"/>
    <w:rsid w:val="00042D6C"/>
    <w:rsid w:val="000432D2"/>
    <w:rsid w:val="00043315"/>
    <w:rsid w:val="0004347A"/>
    <w:rsid w:val="00043595"/>
    <w:rsid w:val="00043776"/>
    <w:rsid w:val="00043AFF"/>
    <w:rsid w:val="00043ED0"/>
    <w:rsid w:val="000441B9"/>
    <w:rsid w:val="00044352"/>
    <w:rsid w:val="0004455E"/>
    <w:rsid w:val="00044779"/>
    <w:rsid w:val="00044842"/>
    <w:rsid w:val="0004486C"/>
    <w:rsid w:val="00044ABB"/>
    <w:rsid w:val="00044BB6"/>
    <w:rsid w:val="00044E54"/>
    <w:rsid w:val="00045265"/>
    <w:rsid w:val="000455BE"/>
    <w:rsid w:val="000455C8"/>
    <w:rsid w:val="0004585E"/>
    <w:rsid w:val="00045951"/>
    <w:rsid w:val="00045A22"/>
    <w:rsid w:val="00045A45"/>
    <w:rsid w:val="00045A7E"/>
    <w:rsid w:val="00045AD7"/>
    <w:rsid w:val="00045B04"/>
    <w:rsid w:val="00045BB4"/>
    <w:rsid w:val="00045C0D"/>
    <w:rsid w:val="00045C67"/>
    <w:rsid w:val="00045DFD"/>
    <w:rsid w:val="0004628F"/>
    <w:rsid w:val="000462DE"/>
    <w:rsid w:val="000465A7"/>
    <w:rsid w:val="000465CA"/>
    <w:rsid w:val="00046757"/>
    <w:rsid w:val="00046782"/>
    <w:rsid w:val="00046796"/>
    <w:rsid w:val="00046823"/>
    <w:rsid w:val="00046925"/>
    <w:rsid w:val="000469FD"/>
    <w:rsid w:val="00046B8E"/>
    <w:rsid w:val="00046BA4"/>
    <w:rsid w:val="00046BAE"/>
    <w:rsid w:val="00046BFF"/>
    <w:rsid w:val="00046C94"/>
    <w:rsid w:val="00046CD0"/>
    <w:rsid w:val="00046D1F"/>
    <w:rsid w:val="00046ED0"/>
    <w:rsid w:val="00046F01"/>
    <w:rsid w:val="000470D6"/>
    <w:rsid w:val="000472D1"/>
    <w:rsid w:val="0004754F"/>
    <w:rsid w:val="0004765D"/>
    <w:rsid w:val="0004766A"/>
    <w:rsid w:val="00047B09"/>
    <w:rsid w:val="00047DF0"/>
    <w:rsid w:val="0005012C"/>
    <w:rsid w:val="00050192"/>
    <w:rsid w:val="000503FF"/>
    <w:rsid w:val="0005064A"/>
    <w:rsid w:val="000506A4"/>
    <w:rsid w:val="000506B4"/>
    <w:rsid w:val="000506CA"/>
    <w:rsid w:val="000507CC"/>
    <w:rsid w:val="00050874"/>
    <w:rsid w:val="00050902"/>
    <w:rsid w:val="0005108E"/>
    <w:rsid w:val="0005117B"/>
    <w:rsid w:val="00051211"/>
    <w:rsid w:val="0005135C"/>
    <w:rsid w:val="000514BA"/>
    <w:rsid w:val="0005165D"/>
    <w:rsid w:val="00051814"/>
    <w:rsid w:val="00051B42"/>
    <w:rsid w:val="00052039"/>
    <w:rsid w:val="000521D5"/>
    <w:rsid w:val="000521EE"/>
    <w:rsid w:val="000522F9"/>
    <w:rsid w:val="000523CE"/>
    <w:rsid w:val="000523DD"/>
    <w:rsid w:val="00052742"/>
    <w:rsid w:val="000528DF"/>
    <w:rsid w:val="00052959"/>
    <w:rsid w:val="000529AA"/>
    <w:rsid w:val="00052A1D"/>
    <w:rsid w:val="00052AD5"/>
    <w:rsid w:val="00052D78"/>
    <w:rsid w:val="00052E40"/>
    <w:rsid w:val="00052F31"/>
    <w:rsid w:val="000530CB"/>
    <w:rsid w:val="000532D9"/>
    <w:rsid w:val="0005344C"/>
    <w:rsid w:val="000536E5"/>
    <w:rsid w:val="000537EA"/>
    <w:rsid w:val="0005399C"/>
    <w:rsid w:val="00053DC6"/>
    <w:rsid w:val="00053DFC"/>
    <w:rsid w:val="00053F05"/>
    <w:rsid w:val="00053F6B"/>
    <w:rsid w:val="00053F89"/>
    <w:rsid w:val="0005452F"/>
    <w:rsid w:val="00054746"/>
    <w:rsid w:val="0005487E"/>
    <w:rsid w:val="000548AF"/>
    <w:rsid w:val="000548D0"/>
    <w:rsid w:val="000549B9"/>
    <w:rsid w:val="00054A85"/>
    <w:rsid w:val="00054C67"/>
    <w:rsid w:val="00054D9C"/>
    <w:rsid w:val="00054DAD"/>
    <w:rsid w:val="00054EB3"/>
    <w:rsid w:val="00054FBB"/>
    <w:rsid w:val="0005522E"/>
    <w:rsid w:val="00055309"/>
    <w:rsid w:val="00055317"/>
    <w:rsid w:val="0005549A"/>
    <w:rsid w:val="000554A0"/>
    <w:rsid w:val="000554CC"/>
    <w:rsid w:val="000557E6"/>
    <w:rsid w:val="00055A07"/>
    <w:rsid w:val="00055AD5"/>
    <w:rsid w:val="00055E42"/>
    <w:rsid w:val="00055EA4"/>
    <w:rsid w:val="00056248"/>
    <w:rsid w:val="0005643D"/>
    <w:rsid w:val="0005655F"/>
    <w:rsid w:val="000568C2"/>
    <w:rsid w:val="000569C0"/>
    <w:rsid w:val="00056A10"/>
    <w:rsid w:val="00056C2E"/>
    <w:rsid w:val="00056EFE"/>
    <w:rsid w:val="00056F73"/>
    <w:rsid w:val="0005751F"/>
    <w:rsid w:val="000575EC"/>
    <w:rsid w:val="00060019"/>
    <w:rsid w:val="000600A1"/>
    <w:rsid w:val="000601EB"/>
    <w:rsid w:val="00060297"/>
    <w:rsid w:val="000602CE"/>
    <w:rsid w:val="0006041D"/>
    <w:rsid w:val="00060459"/>
    <w:rsid w:val="000606DF"/>
    <w:rsid w:val="0006080A"/>
    <w:rsid w:val="00060831"/>
    <w:rsid w:val="000608C3"/>
    <w:rsid w:val="00060C5C"/>
    <w:rsid w:val="00060D45"/>
    <w:rsid w:val="00060F11"/>
    <w:rsid w:val="00060F27"/>
    <w:rsid w:val="0006135D"/>
    <w:rsid w:val="00061397"/>
    <w:rsid w:val="000613AB"/>
    <w:rsid w:val="00061746"/>
    <w:rsid w:val="00061AB6"/>
    <w:rsid w:val="00061D63"/>
    <w:rsid w:val="00061E4E"/>
    <w:rsid w:val="00061ED6"/>
    <w:rsid w:val="000620FD"/>
    <w:rsid w:val="0006228F"/>
    <w:rsid w:val="000624EB"/>
    <w:rsid w:val="00062647"/>
    <w:rsid w:val="000628B7"/>
    <w:rsid w:val="00062AD4"/>
    <w:rsid w:val="00062B5A"/>
    <w:rsid w:val="00062B8C"/>
    <w:rsid w:val="00062EE5"/>
    <w:rsid w:val="000630A3"/>
    <w:rsid w:val="000630D8"/>
    <w:rsid w:val="000632F3"/>
    <w:rsid w:val="0006351A"/>
    <w:rsid w:val="00063557"/>
    <w:rsid w:val="00063AAB"/>
    <w:rsid w:val="00063B43"/>
    <w:rsid w:val="00063B5C"/>
    <w:rsid w:val="000642C5"/>
    <w:rsid w:val="000643AA"/>
    <w:rsid w:val="000646BC"/>
    <w:rsid w:val="00064723"/>
    <w:rsid w:val="000648B3"/>
    <w:rsid w:val="00064907"/>
    <w:rsid w:val="0006493F"/>
    <w:rsid w:val="0006497C"/>
    <w:rsid w:val="000649DB"/>
    <w:rsid w:val="00064FBD"/>
    <w:rsid w:val="00064FD3"/>
    <w:rsid w:val="000654A7"/>
    <w:rsid w:val="0006559D"/>
    <w:rsid w:val="00065784"/>
    <w:rsid w:val="000657F8"/>
    <w:rsid w:val="00065927"/>
    <w:rsid w:val="00065CFB"/>
    <w:rsid w:val="00065E26"/>
    <w:rsid w:val="000661AE"/>
    <w:rsid w:val="000661EE"/>
    <w:rsid w:val="000661FC"/>
    <w:rsid w:val="000663D7"/>
    <w:rsid w:val="00066498"/>
    <w:rsid w:val="00066602"/>
    <w:rsid w:val="00066647"/>
    <w:rsid w:val="00066684"/>
    <w:rsid w:val="00066860"/>
    <w:rsid w:val="00066A9B"/>
    <w:rsid w:val="00066BA2"/>
    <w:rsid w:val="00066C29"/>
    <w:rsid w:val="00066CC7"/>
    <w:rsid w:val="00066E21"/>
    <w:rsid w:val="0006719A"/>
    <w:rsid w:val="0006745D"/>
    <w:rsid w:val="00067460"/>
    <w:rsid w:val="00067476"/>
    <w:rsid w:val="0006753F"/>
    <w:rsid w:val="00067550"/>
    <w:rsid w:val="000675DD"/>
    <w:rsid w:val="00067686"/>
    <w:rsid w:val="00067931"/>
    <w:rsid w:val="00067BB3"/>
    <w:rsid w:val="00067BDF"/>
    <w:rsid w:val="00067BFA"/>
    <w:rsid w:val="00067CA0"/>
    <w:rsid w:val="00067D83"/>
    <w:rsid w:val="00067D95"/>
    <w:rsid w:val="00070024"/>
    <w:rsid w:val="0007010A"/>
    <w:rsid w:val="000703B9"/>
    <w:rsid w:val="00070469"/>
    <w:rsid w:val="00070494"/>
    <w:rsid w:val="00070719"/>
    <w:rsid w:val="00070723"/>
    <w:rsid w:val="00070979"/>
    <w:rsid w:val="00070E7A"/>
    <w:rsid w:val="00070E8D"/>
    <w:rsid w:val="000711FD"/>
    <w:rsid w:val="000713E5"/>
    <w:rsid w:val="00071712"/>
    <w:rsid w:val="0007194B"/>
    <w:rsid w:val="00071992"/>
    <w:rsid w:val="00071A95"/>
    <w:rsid w:val="00071AAD"/>
    <w:rsid w:val="00071B13"/>
    <w:rsid w:val="00071C3E"/>
    <w:rsid w:val="00071DE3"/>
    <w:rsid w:val="00071E7D"/>
    <w:rsid w:val="00071EC6"/>
    <w:rsid w:val="0007209C"/>
    <w:rsid w:val="000721A9"/>
    <w:rsid w:val="000721CE"/>
    <w:rsid w:val="00072890"/>
    <w:rsid w:val="00072B44"/>
    <w:rsid w:val="00072D68"/>
    <w:rsid w:val="00072F2E"/>
    <w:rsid w:val="00073047"/>
    <w:rsid w:val="0007333F"/>
    <w:rsid w:val="00073728"/>
    <w:rsid w:val="00073985"/>
    <w:rsid w:val="00073A53"/>
    <w:rsid w:val="00073A62"/>
    <w:rsid w:val="00073B6E"/>
    <w:rsid w:val="000740A4"/>
    <w:rsid w:val="000741B2"/>
    <w:rsid w:val="00074602"/>
    <w:rsid w:val="000746B4"/>
    <w:rsid w:val="00074846"/>
    <w:rsid w:val="000749F1"/>
    <w:rsid w:val="00074C9B"/>
    <w:rsid w:val="00074F27"/>
    <w:rsid w:val="00074FE9"/>
    <w:rsid w:val="00074FF7"/>
    <w:rsid w:val="000751EB"/>
    <w:rsid w:val="00075618"/>
    <w:rsid w:val="0007589D"/>
    <w:rsid w:val="00075A12"/>
    <w:rsid w:val="000760F0"/>
    <w:rsid w:val="00076231"/>
    <w:rsid w:val="000765C9"/>
    <w:rsid w:val="0007695F"/>
    <w:rsid w:val="00076BE4"/>
    <w:rsid w:val="00076C65"/>
    <w:rsid w:val="00076F5B"/>
    <w:rsid w:val="00077628"/>
    <w:rsid w:val="000777DD"/>
    <w:rsid w:val="0007792A"/>
    <w:rsid w:val="00077A0F"/>
    <w:rsid w:val="00077A5D"/>
    <w:rsid w:val="00077B08"/>
    <w:rsid w:val="00077B10"/>
    <w:rsid w:val="00077B62"/>
    <w:rsid w:val="00077DFB"/>
    <w:rsid w:val="00077EA0"/>
    <w:rsid w:val="000801FC"/>
    <w:rsid w:val="0008020D"/>
    <w:rsid w:val="00080237"/>
    <w:rsid w:val="000802EC"/>
    <w:rsid w:val="000803E6"/>
    <w:rsid w:val="00080581"/>
    <w:rsid w:val="000808C7"/>
    <w:rsid w:val="00080A73"/>
    <w:rsid w:val="00080D6C"/>
    <w:rsid w:val="00080E1D"/>
    <w:rsid w:val="00080ED1"/>
    <w:rsid w:val="00080F48"/>
    <w:rsid w:val="000811DF"/>
    <w:rsid w:val="000813DA"/>
    <w:rsid w:val="000815FC"/>
    <w:rsid w:val="000818EF"/>
    <w:rsid w:val="00081A61"/>
    <w:rsid w:val="00081AC8"/>
    <w:rsid w:val="00081C87"/>
    <w:rsid w:val="00081F55"/>
    <w:rsid w:val="000821D6"/>
    <w:rsid w:val="00082231"/>
    <w:rsid w:val="00082260"/>
    <w:rsid w:val="000826C9"/>
    <w:rsid w:val="000828E8"/>
    <w:rsid w:val="00082B2C"/>
    <w:rsid w:val="00082CFA"/>
    <w:rsid w:val="00082D33"/>
    <w:rsid w:val="00082FBF"/>
    <w:rsid w:val="00083034"/>
    <w:rsid w:val="000830FD"/>
    <w:rsid w:val="000831E8"/>
    <w:rsid w:val="00083485"/>
    <w:rsid w:val="00083810"/>
    <w:rsid w:val="0008381C"/>
    <w:rsid w:val="00083D8B"/>
    <w:rsid w:val="00083E5F"/>
    <w:rsid w:val="00083F0A"/>
    <w:rsid w:val="0008400A"/>
    <w:rsid w:val="00084151"/>
    <w:rsid w:val="0008434B"/>
    <w:rsid w:val="00084450"/>
    <w:rsid w:val="000845A3"/>
    <w:rsid w:val="0008478F"/>
    <w:rsid w:val="000848BD"/>
    <w:rsid w:val="00084A45"/>
    <w:rsid w:val="00084A5B"/>
    <w:rsid w:val="00084AC7"/>
    <w:rsid w:val="000850A8"/>
    <w:rsid w:val="0008514A"/>
    <w:rsid w:val="0008519F"/>
    <w:rsid w:val="0008559C"/>
    <w:rsid w:val="00085932"/>
    <w:rsid w:val="00085B50"/>
    <w:rsid w:val="00085B73"/>
    <w:rsid w:val="00085D35"/>
    <w:rsid w:val="00085D86"/>
    <w:rsid w:val="00085EB2"/>
    <w:rsid w:val="000860F8"/>
    <w:rsid w:val="0008660C"/>
    <w:rsid w:val="0008692E"/>
    <w:rsid w:val="00086955"/>
    <w:rsid w:val="00086AFE"/>
    <w:rsid w:val="00086CAE"/>
    <w:rsid w:val="00086DA0"/>
    <w:rsid w:val="000875ED"/>
    <w:rsid w:val="000876EE"/>
    <w:rsid w:val="0008771D"/>
    <w:rsid w:val="0008773D"/>
    <w:rsid w:val="000879F1"/>
    <w:rsid w:val="00087A02"/>
    <w:rsid w:val="00087A64"/>
    <w:rsid w:val="00087D8A"/>
    <w:rsid w:val="00087DC9"/>
    <w:rsid w:val="000904C4"/>
    <w:rsid w:val="000904FC"/>
    <w:rsid w:val="0009061E"/>
    <w:rsid w:val="0009090C"/>
    <w:rsid w:val="00090B58"/>
    <w:rsid w:val="000910B7"/>
    <w:rsid w:val="0009143B"/>
    <w:rsid w:val="00091696"/>
    <w:rsid w:val="000917A2"/>
    <w:rsid w:val="00091970"/>
    <w:rsid w:val="00091B2C"/>
    <w:rsid w:val="00091DB3"/>
    <w:rsid w:val="00091E6F"/>
    <w:rsid w:val="00092420"/>
    <w:rsid w:val="00092490"/>
    <w:rsid w:val="000924D9"/>
    <w:rsid w:val="0009261A"/>
    <w:rsid w:val="000927DA"/>
    <w:rsid w:val="000928A2"/>
    <w:rsid w:val="000928DE"/>
    <w:rsid w:val="00092A3B"/>
    <w:rsid w:val="00092A65"/>
    <w:rsid w:val="00092C62"/>
    <w:rsid w:val="0009300F"/>
    <w:rsid w:val="0009321D"/>
    <w:rsid w:val="000934FA"/>
    <w:rsid w:val="00093709"/>
    <w:rsid w:val="00093817"/>
    <w:rsid w:val="000938B8"/>
    <w:rsid w:val="000939BA"/>
    <w:rsid w:val="00093AC9"/>
    <w:rsid w:val="00093D31"/>
    <w:rsid w:val="00093E90"/>
    <w:rsid w:val="00093F5F"/>
    <w:rsid w:val="0009443F"/>
    <w:rsid w:val="00094637"/>
    <w:rsid w:val="00094837"/>
    <w:rsid w:val="00094873"/>
    <w:rsid w:val="00094875"/>
    <w:rsid w:val="000948A1"/>
    <w:rsid w:val="00094A8D"/>
    <w:rsid w:val="00094B88"/>
    <w:rsid w:val="00094C95"/>
    <w:rsid w:val="00094CDE"/>
    <w:rsid w:val="00094DB5"/>
    <w:rsid w:val="00095073"/>
    <w:rsid w:val="00095290"/>
    <w:rsid w:val="000955D9"/>
    <w:rsid w:val="000957E4"/>
    <w:rsid w:val="00095AB4"/>
    <w:rsid w:val="00095B39"/>
    <w:rsid w:val="00095B9D"/>
    <w:rsid w:val="00095BE9"/>
    <w:rsid w:val="00095E64"/>
    <w:rsid w:val="00096021"/>
    <w:rsid w:val="000961B9"/>
    <w:rsid w:val="000961BB"/>
    <w:rsid w:val="00096714"/>
    <w:rsid w:val="00096734"/>
    <w:rsid w:val="000967DE"/>
    <w:rsid w:val="0009706F"/>
    <w:rsid w:val="00097083"/>
    <w:rsid w:val="000971F6"/>
    <w:rsid w:val="000975CD"/>
    <w:rsid w:val="000978B5"/>
    <w:rsid w:val="000979FB"/>
    <w:rsid w:val="00097BFB"/>
    <w:rsid w:val="00097D75"/>
    <w:rsid w:val="00097DA9"/>
    <w:rsid w:val="00097E65"/>
    <w:rsid w:val="00097E93"/>
    <w:rsid w:val="000A0384"/>
    <w:rsid w:val="000A05DC"/>
    <w:rsid w:val="000A082E"/>
    <w:rsid w:val="000A0ACA"/>
    <w:rsid w:val="000A0DB8"/>
    <w:rsid w:val="000A0E49"/>
    <w:rsid w:val="000A155D"/>
    <w:rsid w:val="000A1885"/>
    <w:rsid w:val="000A194C"/>
    <w:rsid w:val="000A19F3"/>
    <w:rsid w:val="000A1A8E"/>
    <w:rsid w:val="000A1B6B"/>
    <w:rsid w:val="000A1CDB"/>
    <w:rsid w:val="000A24D5"/>
    <w:rsid w:val="000A253B"/>
    <w:rsid w:val="000A2648"/>
    <w:rsid w:val="000A26B2"/>
    <w:rsid w:val="000A2823"/>
    <w:rsid w:val="000A2C2E"/>
    <w:rsid w:val="000A2D5D"/>
    <w:rsid w:val="000A2FD9"/>
    <w:rsid w:val="000A321B"/>
    <w:rsid w:val="000A325E"/>
    <w:rsid w:val="000A330A"/>
    <w:rsid w:val="000A3416"/>
    <w:rsid w:val="000A34C3"/>
    <w:rsid w:val="000A354F"/>
    <w:rsid w:val="000A393C"/>
    <w:rsid w:val="000A3985"/>
    <w:rsid w:val="000A4166"/>
    <w:rsid w:val="000A451F"/>
    <w:rsid w:val="000A4942"/>
    <w:rsid w:val="000A4C96"/>
    <w:rsid w:val="000A54C8"/>
    <w:rsid w:val="000A55FE"/>
    <w:rsid w:val="000A562C"/>
    <w:rsid w:val="000A56F7"/>
    <w:rsid w:val="000A5787"/>
    <w:rsid w:val="000A582D"/>
    <w:rsid w:val="000A596D"/>
    <w:rsid w:val="000A5C75"/>
    <w:rsid w:val="000A60F1"/>
    <w:rsid w:val="000A65A1"/>
    <w:rsid w:val="000A6621"/>
    <w:rsid w:val="000A67BB"/>
    <w:rsid w:val="000A6A39"/>
    <w:rsid w:val="000A6BB5"/>
    <w:rsid w:val="000A6BBF"/>
    <w:rsid w:val="000A6F45"/>
    <w:rsid w:val="000A70C4"/>
    <w:rsid w:val="000A75B8"/>
    <w:rsid w:val="000A7C3C"/>
    <w:rsid w:val="000A7C75"/>
    <w:rsid w:val="000A7E3F"/>
    <w:rsid w:val="000A7F3E"/>
    <w:rsid w:val="000B00E0"/>
    <w:rsid w:val="000B02B9"/>
    <w:rsid w:val="000B04AF"/>
    <w:rsid w:val="000B0598"/>
    <w:rsid w:val="000B0B67"/>
    <w:rsid w:val="000B0D6B"/>
    <w:rsid w:val="000B0DEB"/>
    <w:rsid w:val="000B1517"/>
    <w:rsid w:val="000B1629"/>
    <w:rsid w:val="000B176D"/>
    <w:rsid w:val="000B186B"/>
    <w:rsid w:val="000B18B3"/>
    <w:rsid w:val="000B1AA1"/>
    <w:rsid w:val="000B1B6D"/>
    <w:rsid w:val="000B1D61"/>
    <w:rsid w:val="000B20B9"/>
    <w:rsid w:val="000B2324"/>
    <w:rsid w:val="000B24F3"/>
    <w:rsid w:val="000B2A11"/>
    <w:rsid w:val="000B2AFF"/>
    <w:rsid w:val="000B2CEC"/>
    <w:rsid w:val="000B31DB"/>
    <w:rsid w:val="000B3306"/>
    <w:rsid w:val="000B34C7"/>
    <w:rsid w:val="000B35C4"/>
    <w:rsid w:val="000B37DC"/>
    <w:rsid w:val="000B3850"/>
    <w:rsid w:val="000B4001"/>
    <w:rsid w:val="000B410F"/>
    <w:rsid w:val="000B41D4"/>
    <w:rsid w:val="000B422E"/>
    <w:rsid w:val="000B4398"/>
    <w:rsid w:val="000B453F"/>
    <w:rsid w:val="000B485A"/>
    <w:rsid w:val="000B4A13"/>
    <w:rsid w:val="000B4B13"/>
    <w:rsid w:val="000B4D14"/>
    <w:rsid w:val="000B4D7F"/>
    <w:rsid w:val="000B4E39"/>
    <w:rsid w:val="000B5039"/>
    <w:rsid w:val="000B538C"/>
    <w:rsid w:val="000B54CA"/>
    <w:rsid w:val="000B5559"/>
    <w:rsid w:val="000B5599"/>
    <w:rsid w:val="000B5606"/>
    <w:rsid w:val="000B567C"/>
    <w:rsid w:val="000B585B"/>
    <w:rsid w:val="000B5989"/>
    <w:rsid w:val="000B59E3"/>
    <w:rsid w:val="000B5B5A"/>
    <w:rsid w:val="000B5D05"/>
    <w:rsid w:val="000B5E79"/>
    <w:rsid w:val="000B5F86"/>
    <w:rsid w:val="000B61FD"/>
    <w:rsid w:val="000B63A8"/>
    <w:rsid w:val="000B675F"/>
    <w:rsid w:val="000B67D1"/>
    <w:rsid w:val="000B712E"/>
    <w:rsid w:val="000B715E"/>
    <w:rsid w:val="000B7503"/>
    <w:rsid w:val="000B75C1"/>
    <w:rsid w:val="000B7720"/>
    <w:rsid w:val="000B7987"/>
    <w:rsid w:val="000B7B76"/>
    <w:rsid w:val="000B7C74"/>
    <w:rsid w:val="000B7F35"/>
    <w:rsid w:val="000C0263"/>
    <w:rsid w:val="000C036E"/>
    <w:rsid w:val="000C03E4"/>
    <w:rsid w:val="000C03FE"/>
    <w:rsid w:val="000C0451"/>
    <w:rsid w:val="000C0871"/>
    <w:rsid w:val="000C0939"/>
    <w:rsid w:val="000C0B29"/>
    <w:rsid w:val="000C0C0E"/>
    <w:rsid w:val="000C0C98"/>
    <w:rsid w:val="000C0CD5"/>
    <w:rsid w:val="000C0E1F"/>
    <w:rsid w:val="000C0F14"/>
    <w:rsid w:val="000C162A"/>
    <w:rsid w:val="000C1878"/>
    <w:rsid w:val="000C1BE1"/>
    <w:rsid w:val="000C1BF5"/>
    <w:rsid w:val="000C1D75"/>
    <w:rsid w:val="000C1DB2"/>
    <w:rsid w:val="000C26F4"/>
    <w:rsid w:val="000C27AE"/>
    <w:rsid w:val="000C27BA"/>
    <w:rsid w:val="000C2830"/>
    <w:rsid w:val="000C2923"/>
    <w:rsid w:val="000C2BA9"/>
    <w:rsid w:val="000C2D2D"/>
    <w:rsid w:val="000C2E83"/>
    <w:rsid w:val="000C2EE5"/>
    <w:rsid w:val="000C2F55"/>
    <w:rsid w:val="000C3488"/>
    <w:rsid w:val="000C35DF"/>
    <w:rsid w:val="000C3AD7"/>
    <w:rsid w:val="000C3B13"/>
    <w:rsid w:val="000C3CA0"/>
    <w:rsid w:val="000C3EE2"/>
    <w:rsid w:val="000C4292"/>
    <w:rsid w:val="000C42F0"/>
    <w:rsid w:val="000C44E9"/>
    <w:rsid w:val="000C458D"/>
    <w:rsid w:val="000C469B"/>
    <w:rsid w:val="000C491B"/>
    <w:rsid w:val="000C4A64"/>
    <w:rsid w:val="000C4B09"/>
    <w:rsid w:val="000C4D6B"/>
    <w:rsid w:val="000C4D79"/>
    <w:rsid w:val="000C4D84"/>
    <w:rsid w:val="000C4FB1"/>
    <w:rsid w:val="000C5709"/>
    <w:rsid w:val="000C5713"/>
    <w:rsid w:val="000C5932"/>
    <w:rsid w:val="000C5E22"/>
    <w:rsid w:val="000C60A7"/>
    <w:rsid w:val="000C6372"/>
    <w:rsid w:val="000C6567"/>
    <w:rsid w:val="000C6A6C"/>
    <w:rsid w:val="000C6E73"/>
    <w:rsid w:val="000C719F"/>
    <w:rsid w:val="000C71BF"/>
    <w:rsid w:val="000C7550"/>
    <w:rsid w:val="000D0096"/>
    <w:rsid w:val="000D0560"/>
    <w:rsid w:val="000D079B"/>
    <w:rsid w:val="000D1829"/>
    <w:rsid w:val="000D1958"/>
    <w:rsid w:val="000D19D7"/>
    <w:rsid w:val="000D1A2F"/>
    <w:rsid w:val="000D1A89"/>
    <w:rsid w:val="000D1B00"/>
    <w:rsid w:val="000D1C13"/>
    <w:rsid w:val="000D1E35"/>
    <w:rsid w:val="000D1E43"/>
    <w:rsid w:val="000D1F0E"/>
    <w:rsid w:val="000D22D2"/>
    <w:rsid w:val="000D2417"/>
    <w:rsid w:val="000D257F"/>
    <w:rsid w:val="000D25FA"/>
    <w:rsid w:val="000D2719"/>
    <w:rsid w:val="000D27CF"/>
    <w:rsid w:val="000D283D"/>
    <w:rsid w:val="000D2B6E"/>
    <w:rsid w:val="000D2CAA"/>
    <w:rsid w:val="000D2CAF"/>
    <w:rsid w:val="000D2F54"/>
    <w:rsid w:val="000D35A5"/>
    <w:rsid w:val="000D37B5"/>
    <w:rsid w:val="000D3EE3"/>
    <w:rsid w:val="000D3F20"/>
    <w:rsid w:val="000D4387"/>
    <w:rsid w:val="000D4A46"/>
    <w:rsid w:val="000D4BAE"/>
    <w:rsid w:val="000D4C33"/>
    <w:rsid w:val="000D51F6"/>
    <w:rsid w:val="000D5205"/>
    <w:rsid w:val="000D58D1"/>
    <w:rsid w:val="000D590A"/>
    <w:rsid w:val="000D5936"/>
    <w:rsid w:val="000D5DE5"/>
    <w:rsid w:val="000D5F2C"/>
    <w:rsid w:val="000D5F51"/>
    <w:rsid w:val="000D6044"/>
    <w:rsid w:val="000D6088"/>
    <w:rsid w:val="000D62D8"/>
    <w:rsid w:val="000D63E1"/>
    <w:rsid w:val="000D6530"/>
    <w:rsid w:val="000D6661"/>
    <w:rsid w:val="000D67C1"/>
    <w:rsid w:val="000D6D46"/>
    <w:rsid w:val="000D7015"/>
    <w:rsid w:val="000D7538"/>
    <w:rsid w:val="000D7665"/>
    <w:rsid w:val="000D7979"/>
    <w:rsid w:val="000D79DC"/>
    <w:rsid w:val="000D7C2F"/>
    <w:rsid w:val="000D7C39"/>
    <w:rsid w:val="000D7C4A"/>
    <w:rsid w:val="000E0040"/>
    <w:rsid w:val="000E0383"/>
    <w:rsid w:val="000E04AA"/>
    <w:rsid w:val="000E067D"/>
    <w:rsid w:val="000E0763"/>
    <w:rsid w:val="000E0907"/>
    <w:rsid w:val="000E0ACC"/>
    <w:rsid w:val="000E0D77"/>
    <w:rsid w:val="000E0E6E"/>
    <w:rsid w:val="000E0F8C"/>
    <w:rsid w:val="000E1174"/>
    <w:rsid w:val="000E1383"/>
    <w:rsid w:val="000E1422"/>
    <w:rsid w:val="000E1695"/>
    <w:rsid w:val="000E16F3"/>
    <w:rsid w:val="000E1854"/>
    <w:rsid w:val="000E1914"/>
    <w:rsid w:val="000E1B63"/>
    <w:rsid w:val="000E1DAA"/>
    <w:rsid w:val="000E24CA"/>
    <w:rsid w:val="000E2552"/>
    <w:rsid w:val="000E2643"/>
    <w:rsid w:val="000E29A8"/>
    <w:rsid w:val="000E2A63"/>
    <w:rsid w:val="000E2ADE"/>
    <w:rsid w:val="000E2C9B"/>
    <w:rsid w:val="000E2D58"/>
    <w:rsid w:val="000E3076"/>
    <w:rsid w:val="000E30AC"/>
    <w:rsid w:val="000E332F"/>
    <w:rsid w:val="000E3679"/>
    <w:rsid w:val="000E3787"/>
    <w:rsid w:val="000E38D7"/>
    <w:rsid w:val="000E3AD3"/>
    <w:rsid w:val="000E3B43"/>
    <w:rsid w:val="000E3BD7"/>
    <w:rsid w:val="000E3C3B"/>
    <w:rsid w:val="000E3DD9"/>
    <w:rsid w:val="000E4057"/>
    <w:rsid w:val="000E425D"/>
    <w:rsid w:val="000E4357"/>
    <w:rsid w:val="000E4425"/>
    <w:rsid w:val="000E45CB"/>
    <w:rsid w:val="000E4655"/>
    <w:rsid w:val="000E46BF"/>
    <w:rsid w:val="000E475F"/>
    <w:rsid w:val="000E4B6E"/>
    <w:rsid w:val="000E4C60"/>
    <w:rsid w:val="000E4D41"/>
    <w:rsid w:val="000E4E08"/>
    <w:rsid w:val="000E5022"/>
    <w:rsid w:val="000E5039"/>
    <w:rsid w:val="000E50A5"/>
    <w:rsid w:val="000E513F"/>
    <w:rsid w:val="000E5491"/>
    <w:rsid w:val="000E5A4B"/>
    <w:rsid w:val="000E5B66"/>
    <w:rsid w:val="000E5F32"/>
    <w:rsid w:val="000E610D"/>
    <w:rsid w:val="000E618C"/>
    <w:rsid w:val="000E61F3"/>
    <w:rsid w:val="000E621D"/>
    <w:rsid w:val="000E6256"/>
    <w:rsid w:val="000E6311"/>
    <w:rsid w:val="000E65AC"/>
    <w:rsid w:val="000E66AE"/>
    <w:rsid w:val="000E67CC"/>
    <w:rsid w:val="000E6882"/>
    <w:rsid w:val="000E6C74"/>
    <w:rsid w:val="000E718D"/>
    <w:rsid w:val="000E7198"/>
    <w:rsid w:val="000E72B1"/>
    <w:rsid w:val="000E72DC"/>
    <w:rsid w:val="000E7403"/>
    <w:rsid w:val="000E784E"/>
    <w:rsid w:val="000E78E9"/>
    <w:rsid w:val="000E7AE2"/>
    <w:rsid w:val="000E7B50"/>
    <w:rsid w:val="000E7C47"/>
    <w:rsid w:val="000F036C"/>
    <w:rsid w:val="000F039C"/>
    <w:rsid w:val="000F04AA"/>
    <w:rsid w:val="000F0783"/>
    <w:rsid w:val="000F092E"/>
    <w:rsid w:val="000F0C16"/>
    <w:rsid w:val="000F1519"/>
    <w:rsid w:val="000F15CB"/>
    <w:rsid w:val="000F1729"/>
    <w:rsid w:val="000F1787"/>
    <w:rsid w:val="000F1BFE"/>
    <w:rsid w:val="000F1D48"/>
    <w:rsid w:val="000F1DC8"/>
    <w:rsid w:val="000F1E28"/>
    <w:rsid w:val="000F22DD"/>
    <w:rsid w:val="000F230B"/>
    <w:rsid w:val="000F238A"/>
    <w:rsid w:val="000F267B"/>
    <w:rsid w:val="000F2798"/>
    <w:rsid w:val="000F29A2"/>
    <w:rsid w:val="000F2B43"/>
    <w:rsid w:val="000F2B45"/>
    <w:rsid w:val="000F2B94"/>
    <w:rsid w:val="000F2D6A"/>
    <w:rsid w:val="000F3017"/>
    <w:rsid w:val="000F3189"/>
    <w:rsid w:val="000F3391"/>
    <w:rsid w:val="000F37B1"/>
    <w:rsid w:val="000F37C8"/>
    <w:rsid w:val="000F392B"/>
    <w:rsid w:val="000F3B66"/>
    <w:rsid w:val="000F3BE5"/>
    <w:rsid w:val="000F3C6F"/>
    <w:rsid w:val="000F3CA6"/>
    <w:rsid w:val="000F3ED9"/>
    <w:rsid w:val="000F4057"/>
    <w:rsid w:val="000F44DC"/>
    <w:rsid w:val="000F4502"/>
    <w:rsid w:val="000F4540"/>
    <w:rsid w:val="000F475E"/>
    <w:rsid w:val="000F4BA2"/>
    <w:rsid w:val="000F4BE0"/>
    <w:rsid w:val="000F4C77"/>
    <w:rsid w:val="000F4E82"/>
    <w:rsid w:val="000F4FC6"/>
    <w:rsid w:val="000F4FCA"/>
    <w:rsid w:val="000F5256"/>
    <w:rsid w:val="000F53EA"/>
    <w:rsid w:val="000F589C"/>
    <w:rsid w:val="000F5BFC"/>
    <w:rsid w:val="000F5E5E"/>
    <w:rsid w:val="000F5E7B"/>
    <w:rsid w:val="000F5F25"/>
    <w:rsid w:val="000F5F27"/>
    <w:rsid w:val="000F600F"/>
    <w:rsid w:val="000F602E"/>
    <w:rsid w:val="000F6323"/>
    <w:rsid w:val="000F6357"/>
    <w:rsid w:val="000F635D"/>
    <w:rsid w:val="000F65EB"/>
    <w:rsid w:val="000F66EC"/>
    <w:rsid w:val="000F6774"/>
    <w:rsid w:val="000F6DA0"/>
    <w:rsid w:val="000F6E5E"/>
    <w:rsid w:val="000F6E8B"/>
    <w:rsid w:val="000F6FF6"/>
    <w:rsid w:val="000F70DF"/>
    <w:rsid w:val="000F71CB"/>
    <w:rsid w:val="000F71F1"/>
    <w:rsid w:val="000F73BE"/>
    <w:rsid w:val="000F7466"/>
    <w:rsid w:val="000F79E6"/>
    <w:rsid w:val="000F7B4A"/>
    <w:rsid w:val="000F7D09"/>
    <w:rsid w:val="00100166"/>
    <w:rsid w:val="0010023D"/>
    <w:rsid w:val="00100256"/>
    <w:rsid w:val="0010040B"/>
    <w:rsid w:val="001005C0"/>
    <w:rsid w:val="001005F4"/>
    <w:rsid w:val="001009AF"/>
    <w:rsid w:val="00100A4E"/>
    <w:rsid w:val="00100B57"/>
    <w:rsid w:val="00100FBC"/>
    <w:rsid w:val="001010E2"/>
    <w:rsid w:val="00101929"/>
    <w:rsid w:val="0010197F"/>
    <w:rsid w:val="00101A8C"/>
    <w:rsid w:val="00101C33"/>
    <w:rsid w:val="00101FE4"/>
    <w:rsid w:val="001020D3"/>
    <w:rsid w:val="00102315"/>
    <w:rsid w:val="00102323"/>
    <w:rsid w:val="00102395"/>
    <w:rsid w:val="0010284E"/>
    <w:rsid w:val="001028F1"/>
    <w:rsid w:val="0010296D"/>
    <w:rsid w:val="0010299F"/>
    <w:rsid w:val="001029CC"/>
    <w:rsid w:val="00102A4B"/>
    <w:rsid w:val="00102D2B"/>
    <w:rsid w:val="00102E28"/>
    <w:rsid w:val="00102FA1"/>
    <w:rsid w:val="001035B1"/>
    <w:rsid w:val="00103A27"/>
    <w:rsid w:val="00103C71"/>
    <w:rsid w:val="00103C87"/>
    <w:rsid w:val="00103EF5"/>
    <w:rsid w:val="00104380"/>
    <w:rsid w:val="00104669"/>
    <w:rsid w:val="001046BE"/>
    <w:rsid w:val="0010475D"/>
    <w:rsid w:val="00104898"/>
    <w:rsid w:val="00104A75"/>
    <w:rsid w:val="00104C38"/>
    <w:rsid w:val="00105077"/>
    <w:rsid w:val="0010527E"/>
    <w:rsid w:val="001053A1"/>
    <w:rsid w:val="0010541B"/>
    <w:rsid w:val="0010548D"/>
    <w:rsid w:val="001054BC"/>
    <w:rsid w:val="00105507"/>
    <w:rsid w:val="00105763"/>
    <w:rsid w:val="00105BAA"/>
    <w:rsid w:val="00105BFB"/>
    <w:rsid w:val="00105F0E"/>
    <w:rsid w:val="0010621B"/>
    <w:rsid w:val="001065D4"/>
    <w:rsid w:val="00106649"/>
    <w:rsid w:val="00106A51"/>
    <w:rsid w:val="00107202"/>
    <w:rsid w:val="00107363"/>
    <w:rsid w:val="0010757D"/>
    <w:rsid w:val="00107581"/>
    <w:rsid w:val="001075AE"/>
    <w:rsid w:val="00107900"/>
    <w:rsid w:val="00107996"/>
    <w:rsid w:val="00107A8F"/>
    <w:rsid w:val="00107ABC"/>
    <w:rsid w:val="00107AC8"/>
    <w:rsid w:val="00107E57"/>
    <w:rsid w:val="00107F3D"/>
    <w:rsid w:val="00107FFD"/>
    <w:rsid w:val="001103E0"/>
    <w:rsid w:val="001103E9"/>
    <w:rsid w:val="0011045B"/>
    <w:rsid w:val="00110618"/>
    <w:rsid w:val="001106FA"/>
    <w:rsid w:val="00110783"/>
    <w:rsid w:val="00110BBC"/>
    <w:rsid w:val="00110F39"/>
    <w:rsid w:val="00110F5A"/>
    <w:rsid w:val="00111068"/>
    <w:rsid w:val="001114BD"/>
    <w:rsid w:val="001115CB"/>
    <w:rsid w:val="0011177F"/>
    <w:rsid w:val="00111811"/>
    <w:rsid w:val="00111877"/>
    <w:rsid w:val="00111C71"/>
    <w:rsid w:val="00111CF1"/>
    <w:rsid w:val="001120DB"/>
    <w:rsid w:val="00112425"/>
    <w:rsid w:val="00112745"/>
    <w:rsid w:val="00112785"/>
    <w:rsid w:val="0011282A"/>
    <w:rsid w:val="00112857"/>
    <w:rsid w:val="00112A90"/>
    <w:rsid w:val="00112ADA"/>
    <w:rsid w:val="00112CE7"/>
    <w:rsid w:val="001132C2"/>
    <w:rsid w:val="00113583"/>
    <w:rsid w:val="00113681"/>
    <w:rsid w:val="00113A7C"/>
    <w:rsid w:val="00113B80"/>
    <w:rsid w:val="00113C20"/>
    <w:rsid w:val="00113D7B"/>
    <w:rsid w:val="00113EB2"/>
    <w:rsid w:val="00113EDA"/>
    <w:rsid w:val="00113F4F"/>
    <w:rsid w:val="0011421B"/>
    <w:rsid w:val="001142A0"/>
    <w:rsid w:val="00114403"/>
    <w:rsid w:val="0011459D"/>
    <w:rsid w:val="001145F5"/>
    <w:rsid w:val="001146B6"/>
    <w:rsid w:val="00114736"/>
    <w:rsid w:val="001149F5"/>
    <w:rsid w:val="00114D12"/>
    <w:rsid w:val="00114DF7"/>
    <w:rsid w:val="00114E80"/>
    <w:rsid w:val="00115043"/>
    <w:rsid w:val="00115551"/>
    <w:rsid w:val="00115AE8"/>
    <w:rsid w:val="00115B15"/>
    <w:rsid w:val="00115D65"/>
    <w:rsid w:val="00115DA9"/>
    <w:rsid w:val="001161E0"/>
    <w:rsid w:val="00116339"/>
    <w:rsid w:val="001166E1"/>
    <w:rsid w:val="0011679A"/>
    <w:rsid w:val="00116A1C"/>
    <w:rsid w:val="00116CA2"/>
    <w:rsid w:val="00116E92"/>
    <w:rsid w:val="001174E7"/>
    <w:rsid w:val="00117794"/>
    <w:rsid w:val="001178BE"/>
    <w:rsid w:val="00117A28"/>
    <w:rsid w:val="00117ADA"/>
    <w:rsid w:val="00117CE7"/>
    <w:rsid w:val="00117D02"/>
    <w:rsid w:val="00117D47"/>
    <w:rsid w:val="00117E59"/>
    <w:rsid w:val="001200CE"/>
    <w:rsid w:val="001201E5"/>
    <w:rsid w:val="00120399"/>
    <w:rsid w:val="00120588"/>
    <w:rsid w:val="001206F5"/>
    <w:rsid w:val="00120C09"/>
    <w:rsid w:val="00120E23"/>
    <w:rsid w:val="0012130A"/>
    <w:rsid w:val="001213A8"/>
    <w:rsid w:val="001214B5"/>
    <w:rsid w:val="00121605"/>
    <w:rsid w:val="001216DC"/>
    <w:rsid w:val="001217C3"/>
    <w:rsid w:val="001219A9"/>
    <w:rsid w:val="00121A1F"/>
    <w:rsid w:val="00121AAA"/>
    <w:rsid w:val="00121E71"/>
    <w:rsid w:val="00122140"/>
    <w:rsid w:val="001223FC"/>
    <w:rsid w:val="00122456"/>
    <w:rsid w:val="00122919"/>
    <w:rsid w:val="00122AB2"/>
    <w:rsid w:val="001233CE"/>
    <w:rsid w:val="001235A8"/>
    <w:rsid w:val="001236F0"/>
    <w:rsid w:val="00123CE4"/>
    <w:rsid w:val="00123CFE"/>
    <w:rsid w:val="001240F8"/>
    <w:rsid w:val="001242A1"/>
    <w:rsid w:val="001242BC"/>
    <w:rsid w:val="00124326"/>
    <w:rsid w:val="00124FF6"/>
    <w:rsid w:val="00125385"/>
    <w:rsid w:val="00125834"/>
    <w:rsid w:val="00125B5A"/>
    <w:rsid w:val="00125C1E"/>
    <w:rsid w:val="00125C39"/>
    <w:rsid w:val="00125E9E"/>
    <w:rsid w:val="0012628A"/>
    <w:rsid w:val="00126327"/>
    <w:rsid w:val="001268CD"/>
    <w:rsid w:val="00126A66"/>
    <w:rsid w:val="00126ADC"/>
    <w:rsid w:val="00126B52"/>
    <w:rsid w:val="00126DC9"/>
    <w:rsid w:val="00126E59"/>
    <w:rsid w:val="00126EFB"/>
    <w:rsid w:val="00126FE6"/>
    <w:rsid w:val="0012704A"/>
    <w:rsid w:val="00127232"/>
    <w:rsid w:val="001275B7"/>
    <w:rsid w:val="00127774"/>
    <w:rsid w:val="00127A5C"/>
    <w:rsid w:val="00127B48"/>
    <w:rsid w:val="00127D3B"/>
    <w:rsid w:val="00127DCA"/>
    <w:rsid w:val="00127E69"/>
    <w:rsid w:val="00127EC9"/>
    <w:rsid w:val="001306C6"/>
    <w:rsid w:val="00130719"/>
    <w:rsid w:val="00130765"/>
    <w:rsid w:val="001307F9"/>
    <w:rsid w:val="00130A89"/>
    <w:rsid w:val="00130D8B"/>
    <w:rsid w:val="00131052"/>
    <w:rsid w:val="0013107E"/>
    <w:rsid w:val="00131285"/>
    <w:rsid w:val="00131415"/>
    <w:rsid w:val="00131647"/>
    <w:rsid w:val="001318E6"/>
    <w:rsid w:val="00131A47"/>
    <w:rsid w:val="00131D34"/>
    <w:rsid w:val="00131D8E"/>
    <w:rsid w:val="0013218F"/>
    <w:rsid w:val="0013240B"/>
    <w:rsid w:val="001325DA"/>
    <w:rsid w:val="0013260E"/>
    <w:rsid w:val="00132730"/>
    <w:rsid w:val="0013273F"/>
    <w:rsid w:val="0013298D"/>
    <w:rsid w:val="00132B46"/>
    <w:rsid w:val="00132D8A"/>
    <w:rsid w:val="00132DEE"/>
    <w:rsid w:val="0013303E"/>
    <w:rsid w:val="00133094"/>
    <w:rsid w:val="00133662"/>
    <w:rsid w:val="00133A56"/>
    <w:rsid w:val="00133D6C"/>
    <w:rsid w:val="00133F87"/>
    <w:rsid w:val="00134333"/>
    <w:rsid w:val="001344B4"/>
    <w:rsid w:val="001347BB"/>
    <w:rsid w:val="0013492D"/>
    <w:rsid w:val="001349DF"/>
    <w:rsid w:val="00134AA5"/>
    <w:rsid w:val="00134B70"/>
    <w:rsid w:val="00134C56"/>
    <w:rsid w:val="00134CB2"/>
    <w:rsid w:val="00134FD9"/>
    <w:rsid w:val="00135133"/>
    <w:rsid w:val="00135333"/>
    <w:rsid w:val="00135355"/>
    <w:rsid w:val="00135387"/>
    <w:rsid w:val="00135471"/>
    <w:rsid w:val="0013547A"/>
    <w:rsid w:val="001357D4"/>
    <w:rsid w:val="001357FA"/>
    <w:rsid w:val="001358C4"/>
    <w:rsid w:val="0013592D"/>
    <w:rsid w:val="0013596D"/>
    <w:rsid w:val="001359DC"/>
    <w:rsid w:val="00135A5E"/>
    <w:rsid w:val="00135A6B"/>
    <w:rsid w:val="00135BA3"/>
    <w:rsid w:val="0013607C"/>
    <w:rsid w:val="001361BE"/>
    <w:rsid w:val="001363C5"/>
    <w:rsid w:val="0013667D"/>
    <w:rsid w:val="001366E5"/>
    <w:rsid w:val="00136900"/>
    <w:rsid w:val="00136956"/>
    <w:rsid w:val="00136D76"/>
    <w:rsid w:val="001372EB"/>
    <w:rsid w:val="00137533"/>
    <w:rsid w:val="001375A4"/>
    <w:rsid w:val="00137A45"/>
    <w:rsid w:val="00137B95"/>
    <w:rsid w:val="00137CB2"/>
    <w:rsid w:val="00137E66"/>
    <w:rsid w:val="00137E75"/>
    <w:rsid w:val="00137EED"/>
    <w:rsid w:val="00137F3B"/>
    <w:rsid w:val="00137F40"/>
    <w:rsid w:val="00140290"/>
    <w:rsid w:val="00140AEE"/>
    <w:rsid w:val="00140D33"/>
    <w:rsid w:val="00140F9F"/>
    <w:rsid w:val="00141144"/>
    <w:rsid w:val="00141200"/>
    <w:rsid w:val="00141519"/>
    <w:rsid w:val="001417F8"/>
    <w:rsid w:val="0014189B"/>
    <w:rsid w:val="00142115"/>
    <w:rsid w:val="001421B9"/>
    <w:rsid w:val="00142372"/>
    <w:rsid w:val="00142439"/>
    <w:rsid w:val="001424AE"/>
    <w:rsid w:val="0014253D"/>
    <w:rsid w:val="00142672"/>
    <w:rsid w:val="00142942"/>
    <w:rsid w:val="00143216"/>
    <w:rsid w:val="00143381"/>
    <w:rsid w:val="00143828"/>
    <w:rsid w:val="00143BAA"/>
    <w:rsid w:val="00143C96"/>
    <w:rsid w:val="00143E02"/>
    <w:rsid w:val="001441DA"/>
    <w:rsid w:val="001442DE"/>
    <w:rsid w:val="001442EA"/>
    <w:rsid w:val="0014459A"/>
    <w:rsid w:val="001445CA"/>
    <w:rsid w:val="001446C9"/>
    <w:rsid w:val="00144C8B"/>
    <w:rsid w:val="00144E38"/>
    <w:rsid w:val="00144E5A"/>
    <w:rsid w:val="001453C1"/>
    <w:rsid w:val="00145403"/>
    <w:rsid w:val="001454D2"/>
    <w:rsid w:val="001455C0"/>
    <w:rsid w:val="00145653"/>
    <w:rsid w:val="00145960"/>
    <w:rsid w:val="00145987"/>
    <w:rsid w:val="00145F12"/>
    <w:rsid w:val="00145FC1"/>
    <w:rsid w:val="001460B3"/>
    <w:rsid w:val="00146383"/>
    <w:rsid w:val="001466B3"/>
    <w:rsid w:val="00146E5F"/>
    <w:rsid w:val="001470C8"/>
    <w:rsid w:val="001472EB"/>
    <w:rsid w:val="0014779B"/>
    <w:rsid w:val="00147BB2"/>
    <w:rsid w:val="00147BE3"/>
    <w:rsid w:val="00147E1E"/>
    <w:rsid w:val="00150007"/>
    <w:rsid w:val="00150008"/>
    <w:rsid w:val="00150439"/>
    <w:rsid w:val="00150447"/>
    <w:rsid w:val="00150481"/>
    <w:rsid w:val="0015074F"/>
    <w:rsid w:val="00150762"/>
    <w:rsid w:val="0015083C"/>
    <w:rsid w:val="001509F9"/>
    <w:rsid w:val="00150A9D"/>
    <w:rsid w:val="00150DD3"/>
    <w:rsid w:val="001511B9"/>
    <w:rsid w:val="001512F4"/>
    <w:rsid w:val="0015166F"/>
    <w:rsid w:val="00151814"/>
    <w:rsid w:val="001518EC"/>
    <w:rsid w:val="00151CB5"/>
    <w:rsid w:val="00151DC7"/>
    <w:rsid w:val="00151E6B"/>
    <w:rsid w:val="00151F4B"/>
    <w:rsid w:val="00151F62"/>
    <w:rsid w:val="00152014"/>
    <w:rsid w:val="00152824"/>
    <w:rsid w:val="00152E6D"/>
    <w:rsid w:val="001533C9"/>
    <w:rsid w:val="001534C1"/>
    <w:rsid w:val="001537F4"/>
    <w:rsid w:val="00153956"/>
    <w:rsid w:val="00153C99"/>
    <w:rsid w:val="00153D27"/>
    <w:rsid w:val="00153D3A"/>
    <w:rsid w:val="00153F75"/>
    <w:rsid w:val="00154010"/>
    <w:rsid w:val="00154159"/>
    <w:rsid w:val="001541E6"/>
    <w:rsid w:val="001543D8"/>
    <w:rsid w:val="00154459"/>
    <w:rsid w:val="0015497A"/>
    <w:rsid w:val="00154A40"/>
    <w:rsid w:val="00154AF3"/>
    <w:rsid w:val="00154D42"/>
    <w:rsid w:val="00154DED"/>
    <w:rsid w:val="001551E3"/>
    <w:rsid w:val="00155914"/>
    <w:rsid w:val="00155BCF"/>
    <w:rsid w:val="001562A1"/>
    <w:rsid w:val="0015654D"/>
    <w:rsid w:val="00156555"/>
    <w:rsid w:val="0015679E"/>
    <w:rsid w:val="00156923"/>
    <w:rsid w:val="00156A58"/>
    <w:rsid w:val="00156A85"/>
    <w:rsid w:val="00156D93"/>
    <w:rsid w:val="00156E05"/>
    <w:rsid w:val="001574E8"/>
    <w:rsid w:val="001576D4"/>
    <w:rsid w:val="001576FF"/>
    <w:rsid w:val="00157A6B"/>
    <w:rsid w:val="00157D1C"/>
    <w:rsid w:val="00157E9E"/>
    <w:rsid w:val="00157EA6"/>
    <w:rsid w:val="00157F0F"/>
    <w:rsid w:val="00157FE2"/>
    <w:rsid w:val="001601AF"/>
    <w:rsid w:val="001602AF"/>
    <w:rsid w:val="0016041A"/>
    <w:rsid w:val="00160936"/>
    <w:rsid w:val="00160948"/>
    <w:rsid w:val="00160B5F"/>
    <w:rsid w:val="00160D4B"/>
    <w:rsid w:val="00161101"/>
    <w:rsid w:val="0016110F"/>
    <w:rsid w:val="001612F2"/>
    <w:rsid w:val="00161521"/>
    <w:rsid w:val="001615A2"/>
    <w:rsid w:val="0016164A"/>
    <w:rsid w:val="001617B7"/>
    <w:rsid w:val="001619E2"/>
    <w:rsid w:val="001619FE"/>
    <w:rsid w:val="001619FF"/>
    <w:rsid w:val="00161A52"/>
    <w:rsid w:val="00162027"/>
    <w:rsid w:val="00162169"/>
    <w:rsid w:val="001621BD"/>
    <w:rsid w:val="00162475"/>
    <w:rsid w:val="0016283D"/>
    <w:rsid w:val="00162A7D"/>
    <w:rsid w:val="00162AB4"/>
    <w:rsid w:val="00162BA7"/>
    <w:rsid w:val="00162BB1"/>
    <w:rsid w:val="00162DA2"/>
    <w:rsid w:val="00162DFF"/>
    <w:rsid w:val="00162F24"/>
    <w:rsid w:val="001630A1"/>
    <w:rsid w:val="001630EE"/>
    <w:rsid w:val="00163335"/>
    <w:rsid w:val="0016334B"/>
    <w:rsid w:val="001633EC"/>
    <w:rsid w:val="00163927"/>
    <w:rsid w:val="00163A97"/>
    <w:rsid w:val="00164060"/>
    <w:rsid w:val="00164475"/>
    <w:rsid w:val="0016490E"/>
    <w:rsid w:val="00164A84"/>
    <w:rsid w:val="00164AFA"/>
    <w:rsid w:val="00164B34"/>
    <w:rsid w:val="00164C7F"/>
    <w:rsid w:val="00164CEB"/>
    <w:rsid w:val="00164D24"/>
    <w:rsid w:val="00164E03"/>
    <w:rsid w:val="00164F92"/>
    <w:rsid w:val="0016509C"/>
    <w:rsid w:val="00165574"/>
    <w:rsid w:val="001655F3"/>
    <w:rsid w:val="00165873"/>
    <w:rsid w:val="0016595C"/>
    <w:rsid w:val="00165DAB"/>
    <w:rsid w:val="00165FC6"/>
    <w:rsid w:val="00166388"/>
    <w:rsid w:val="0016639E"/>
    <w:rsid w:val="00166541"/>
    <w:rsid w:val="00166895"/>
    <w:rsid w:val="00166B0E"/>
    <w:rsid w:val="00166B5B"/>
    <w:rsid w:val="00166BF0"/>
    <w:rsid w:val="00166E17"/>
    <w:rsid w:val="00167017"/>
    <w:rsid w:val="00167151"/>
    <w:rsid w:val="00167169"/>
    <w:rsid w:val="001671D0"/>
    <w:rsid w:val="001675EE"/>
    <w:rsid w:val="00167961"/>
    <w:rsid w:val="00167B65"/>
    <w:rsid w:val="00167DCF"/>
    <w:rsid w:val="00167F78"/>
    <w:rsid w:val="00170142"/>
    <w:rsid w:val="0017042C"/>
    <w:rsid w:val="0017094A"/>
    <w:rsid w:val="001709A5"/>
    <w:rsid w:val="00170CC3"/>
    <w:rsid w:val="00170DD8"/>
    <w:rsid w:val="001711B4"/>
    <w:rsid w:val="0017124C"/>
    <w:rsid w:val="001712C6"/>
    <w:rsid w:val="00171358"/>
    <w:rsid w:val="001716CD"/>
    <w:rsid w:val="00171795"/>
    <w:rsid w:val="001717CE"/>
    <w:rsid w:val="00171DD8"/>
    <w:rsid w:val="00171E47"/>
    <w:rsid w:val="00171E6D"/>
    <w:rsid w:val="00171E8C"/>
    <w:rsid w:val="00171FA3"/>
    <w:rsid w:val="001722ED"/>
    <w:rsid w:val="001723AC"/>
    <w:rsid w:val="0017272C"/>
    <w:rsid w:val="00173149"/>
    <w:rsid w:val="0017358F"/>
    <w:rsid w:val="0017362F"/>
    <w:rsid w:val="001736B2"/>
    <w:rsid w:val="001736DE"/>
    <w:rsid w:val="0017378E"/>
    <w:rsid w:val="00173808"/>
    <w:rsid w:val="00173862"/>
    <w:rsid w:val="00173A07"/>
    <w:rsid w:val="00173B14"/>
    <w:rsid w:val="00173DF5"/>
    <w:rsid w:val="00174218"/>
    <w:rsid w:val="001742CB"/>
    <w:rsid w:val="001742CD"/>
    <w:rsid w:val="00174350"/>
    <w:rsid w:val="00174352"/>
    <w:rsid w:val="0017481E"/>
    <w:rsid w:val="0017484D"/>
    <w:rsid w:val="00174A7C"/>
    <w:rsid w:val="00174B07"/>
    <w:rsid w:val="00174F20"/>
    <w:rsid w:val="00174F74"/>
    <w:rsid w:val="001752E4"/>
    <w:rsid w:val="001754B3"/>
    <w:rsid w:val="0017553F"/>
    <w:rsid w:val="0017554A"/>
    <w:rsid w:val="00175720"/>
    <w:rsid w:val="00175B60"/>
    <w:rsid w:val="00175C94"/>
    <w:rsid w:val="00175DAF"/>
    <w:rsid w:val="001761D6"/>
    <w:rsid w:val="001761FD"/>
    <w:rsid w:val="00176228"/>
    <w:rsid w:val="00176275"/>
    <w:rsid w:val="00176435"/>
    <w:rsid w:val="0017644D"/>
    <w:rsid w:val="001764D6"/>
    <w:rsid w:val="001769AA"/>
    <w:rsid w:val="00176A19"/>
    <w:rsid w:val="00176AD9"/>
    <w:rsid w:val="00176C45"/>
    <w:rsid w:val="00176D1D"/>
    <w:rsid w:val="00176DED"/>
    <w:rsid w:val="00176DEE"/>
    <w:rsid w:val="00176E1F"/>
    <w:rsid w:val="00176F9C"/>
    <w:rsid w:val="00176FDA"/>
    <w:rsid w:val="001770E8"/>
    <w:rsid w:val="00177221"/>
    <w:rsid w:val="001774A2"/>
    <w:rsid w:val="001774B7"/>
    <w:rsid w:val="001775B1"/>
    <w:rsid w:val="00177649"/>
    <w:rsid w:val="00177BD2"/>
    <w:rsid w:val="00180179"/>
    <w:rsid w:val="00180524"/>
    <w:rsid w:val="0018077B"/>
    <w:rsid w:val="00180A2F"/>
    <w:rsid w:val="00180AF7"/>
    <w:rsid w:val="00180B62"/>
    <w:rsid w:val="00180B99"/>
    <w:rsid w:val="00180EB6"/>
    <w:rsid w:val="00180F69"/>
    <w:rsid w:val="00181197"/>
    <w:rsid w:val="00181388"/>
    <w:rsid w:val="00181398"/>
    <w:rsid w:val="0018170B"/>
    <w:rsid w:val="001819E4"/>
    <w:rsid w:val="00181F7D"/>
    <w:rsid w:val="00181F92"/>
    <w:rsid w:val="00182376"/>
    <w:rsid w:val="0018247C"/>
    <w:rsid w:val="001824E2"/>
    <w:rsid w:val="001826BD"/>
    <w:rsid w:val="001827F2"/>
    <w:rsid w:val="001829A6"/>
    <w:rsid w:val="00182A63"/>
    <w:rsid w:val="00182B67"/>
    <w:rsid w:val="00182C3F"/>
    <w:rsid w:val="00182D9F"/>
    <w:rsid w:val="00182E1D"/>
    <w:rsid w:val="00182E51"/>
    <w:rsid w:val="0018309C"/>
    <w:rsid w:val="00183366"/>
    <w:rsid w:val="0018338A"/>
    <w:rsid w:val="001833E3"/>
    <w:rsid w:val="00183517"/>
    <w:rsid w:val="0018365E"/>
    <w:rsid w:val="001837B5"/>
    <w:rsid w:val="00183C13"/>
    <w:rsid w:val="00183C7A"/>
    <w:rsid w:val="001840B4"/>
    <w:rsid w:val="001840E3"/>
    <w:rsid w:val="001844D8"/>
    <w:rsid w:val="00184739"/>
    <w:rsid w:val="001847B6"/>
    <w:rsid w:val="001847ED"/>
    <w:rsid w:val="001849E8"/>
    <w:rsid w:val="00184A8F"/>
    <w:rsid w:val="00184C4F"/>
    <w:rsid w:val="00184E33"/>
    <w:rsid w:val="00185049"/>
    <w:rsid w:val="00185144"/>
    <w:rsid w:val="00185220"/>
    <w:rsid w:val="00185222"/>
    <w:rsid w:val="00185241"/>
    <w:rsid w:val="0018529E"/>
    <w:rsid w:val="0018541D"/>
    <w:rsid w:val="001855D2"/>
    <w:rsid w:val="00185691"/>
    <w:rsid w:val="001858C0"/>
    <w:rsid w:val="001858D1"/>
    <w:rsid w:val="00185A01"/>
    <w:rsid w:val="001865AC"/>
    <w:rsid w:val="00186664"/>
    <w:rsid w:val="0018680D"/>
    <w:rsid w:val="001868DB"/>
    <w:rsid w:val="00186BD0"/>
    <w:rsid w:val="00186C38"/>
    <w:rsid w:val="00186CFA"/>
    <w:rsid w:val="00187160"/>
    <w:rsid w:val="0018716B"/>
    <w:rsid w:val="0018768A"/>
    <w:rsid w:val="0018785C"/>
    <w:rsid w:val="00187A49"/>
    <w:rsid w:val="00187C2C"/>
    <w:rsid w:val="00187D3F"/>
    <w:rsid w:val="0019042F"/>
    <w:rsid w:val="0019079D"/>
    <w:rsid w:val="00190A79"/>
    <w:rsid w:val="00190BA2"/>
    <w:rsid w:val="00190CB7"/>
    <w:rsid w:val="00190F0B"/>
    <w:rsid w:val="001914A9"/>
    <w:rsid w:val="001915B0"/>
    <w:rsid w:val="001916B3"/>
    <w:rsid w:val="001918F4"/>
    <w:rsid w:val="0019199B"/>
    <w:rsid w:val="00191BAD"/>
    <w:rsid w:val="00191C0B"/>
    <w:rsid w:val="00191E0F"/>
    <w:rsid w:val="00192078"/>
    <w:rsid w:val="00192187"/>
    <w:rsid w:val="0019219D"/>
    <w:rsid w:val="00192251"/>
    <w:rsid w:val="00192372"/>
    <w:rsid w:val="001923C3"/>
    <w:rsid w:val="001923F6"/>
    <w:rsid w:val="001924CC"/>
    <w:rsid w:val="0019271E"/>
    <w:rsid w:val="001929D9"/>
    <w:rsid w:val="00192BD3"/>
    <w:rsid w:val="00192C3F"/>
    <w:rsid w:val="00192C7E"/>
    <w:rsid w:val="00192D27"/>
    <w:rsid w:val="001931E1"/>
    <w:rsid w:val="0019337B"/>
    <w:rsid w:val="00193509"/>
    <w:rsid w:val="001935C6"/>
    <w:rsid w:val="0019368C"/>
    <w:rsid w:val="001936FD"/>
    <w:rsid w:val="0019375A"/>
    <w:rsid w:val="00193785"/>
    <w:rsid w:val="001937AD"/>
    <w:rsid w:val="00193AE8"/>
    <w:rsid w:val="00193BC4"/>
    <w:rsid w:val="00193CA0"/>
    <w:rsid w:val="00193FEC"/>
    <w:rsid w:val="0019411D"/>
    <w:rsid w:val="00194169"/>
    <w:rsid w:val="00194234"/>
    <w:rsid w:val="00194448"/>
    <w:rsid w:val="001945D9"/>
    <w:rsid w:val="001946C9"/>
    <w:rsid w:val="00194853"/>
    <w:rsid w:val="00194A7D"/>
    <w:rsid w:val="00194C69"/>
    <w:rsid w:val="00194F0B"/>
    <w:rsid w:val="00194F58"/>
    <w:rsid w:val="00194FBA"/>
    <w:rsid w:val="001950E1"/>
    <w:rsid w:val="0019529A"/>
    <w:rsid w:val="001953D2"/>
    <w:rsid w:val="001954C9"/>
    <w:rsid w:val="00195633"/>
    <w:rsid w:val="00195675"/>
    <w:rsid w:val="001957B8"/>
    <w:rsid w:val="00195B5F"/>
    <w:rsid w:val="00195DB2"/>
    <w:rsid w:val="00195E12"/>
    <w:rsid w:val="00195F09"/>
    <w:rsid w:val="0019605F"/>
    <w:rsid w:val="0019612C"/>
    <w:rsid w:val="0019631D"/>
    <w:rsid w:val="0019635F"/>
    <w:rsid w:val="001963D2"/>
    <w:rsid w:val="00196491"/>
    <w:rsid w:val="0019660A"/>
    <w:rsid w:val="00196696"/>
    <w:rsid w:val="001966C0"/>
    <w:rsid w:val="001967F4"/>
    <w:rsid w:val="001967F5"/>
    <w:rsid w:val="0019686F"/>
    <w:rsid w:val="00196FF1"/>
    <w:rsid w:val="001971EA"/>
    <w:rsid w:val="001978EF"/>
    <w:rsid w:val="00197926"/>
    <w:rsid w:val="00197B07"/>
    <w:rsid w:val="00197C14"/>
    <w:rsid w:val="00197DFB"/>
    <w:rsid w:val="00197E30"/>
    <w:rsid w:val="00197EBB"/>
    <w:rsid w:val="00197EC0"/>
    <w:rsid w:val="001A012A"/>
    <w:rsid w:val="001A016E"/>
    <w:rsid w:val="001A02E4"/>
    <w:rsid w:val="001A04F9"/>
    <w:rsid w:val="001A07B1"/>
    <w:rsid w:val="001A07BF"/>
    <w:rsid w:val="001A0A15"/>
    <w:rsid w:val="001A0EEB"/>
    <w:rsid w:val="001A10A5"/>
    <w:rsid w:val="001A1372"/>
    <w:rsid w:val="001A13EC"/>
    <w:rsid w:val="001A14A4"/>
    <w:rsid w:val="001A15F7"/>
    <w:rsid w:val="001A1762"/>
    <w:rsid w:val="001A1AB2"/>
    <w:rsid w:val="001A1F3B"/>
    <w:rsid w:val="001A245C"/>
    <w:rsid w:val="001A25AD"/>
    <w:rsid w:val="001A2897"/>
    <w:rsid w:val="001A2959"/>
    <w:rsid w:val="001A2997"/>
    <w:rsid w:val="001A2A39"/>
    <w:rsid w:val="001A2A4D"/>
    <w:rsid w:val="001A2B55"/>
    <w:rsid w:val="001A2BAF"/>
    <w:rsid w:val="001A2C25"/>
    <w:rsid w:val="001A2D1A"/>
    <w:rsid w:val="001A2E1A"/>
    <w:rsid w:val="001A316F"/>
    <w:rsid w:val="001A31CD"/>
    <w:rsid w:val="001A3346"/>
    <w:rsid w:val="001A3503"/>
    <w:rsid w:val="001A351F"/>
    <w:rsid w:val="001A373F"/>
    <w:rsid w:val="001A3799"/>
    <w:rsid w:val="001A3A33"/>
    <w:rsid w:val="001A3AD8"/>
    <w:rsid w:val="001A3D72"/>
    <w:rsid w:val="001A3DBF"/>
    <w:rsid w:val="001A3E0B"/>
    <w:rsid w:val="001A4493"/>
    <w:rsid w:val="001A47A7"/>
    <w:rsid w:val="001A4DB6"/>
    <w:rsid w:val="001A4E56"/>
    <w:rsid w:val="001A4F4C"/>
    <w:rsid w:val="001A4FE1"/>
    <w:rsid w:val="001A52A4"/>
    <w:rsid w:val="001A539F"/>
    <w:rsid w:val="001A55A3"/>
    <w:rsid w:val="001A566F"/>
    <w:rsid w:val="001A5C44"/>
    <w:rsid w:val="001A5D87"/>
    <w:rsid w:val="001A60FE"/>
    <w:rsid w:val="001A615C"/>
    <w:rsid w:val="001A6199"/>
    <w:rsid w:val="001A647F"/>
    <w:rsid w:val="001A64E7"/>
    <w:rsid w:val="001A65C0"/>
    <w:rsid w:val="001A6602"/>
    <w:rsid w:val="001A6763"/>
    <w:rsid w:val="001A6846"/>
    <w:rsid w:val="001A6849"/>
    <w:rsid w:val="001A6880"/>
    <w:rsid w:val="001A6AEC"/>
    <w:rsid w:val="001A6C86"/>
    <w:rsid w:val="001A6D3C"/>
    <w:rsid w:val="001A6D4F"/>
    <w:rsid w:val="001A6DCE"/>
    <w:rsid w:val="001A6E53"/>
    <w:rsid w:val="001A704F"/>
    <w:rsid w:val="001A73BE"/>
    <w:rsid w:val="001A766B"/>
    <w:rsid w:val="001A7866"/>
    <w:rsid w:val="001A7F14"/>
    <w:rsid w:val="001B0034"/>
    <w:rsid w:val="001B00B3"/>
    <w:rsid w:val="001B00F6"/>
    <w:rsid w:val="001B0176"/>
    <w:rsid w:val="001B04D1"/>
    <w:rsid w:val="001B05C7"/>
    <w:rsid w:val="001B063C"/>
    <w:rsid w:val="001B0686"/>
    <w:rsid w:val="001B0820"/>
    <w:rsid w:val="001B096B"/>
    <w:rsid w:val="001B0B75"/>
    <w:rsid w:val="001B0E2E"/>
    <w:rsid w:val="001B1175"/>
    <w:rsid w:val="001B1180"/>
    <w:rsid w:val="001B11FA"/>
    <w:rsid w:val="001B131E"/>
    <w:rsid w:val="001B136F"/>
    <w:rsid w:val="001B1596"/>
    <w:rsid w:val="001B173E"/>
    <w:rsid w:val="001B17C7"/>
    <w:rsid w:val="001B1BE6"/>
    <w:rsid w:val="001B1D6F"/>
    <w:rsid w:val="001B1F74"/>
    <w:rsid w:val="001B1F8D"/>
    <w:rsid w:val="001B21C5"/>
    <w:rsid w:val="001B231C"/>
    <w:rsid w:val="001B23EC"/>
    <w:rsid w:val="001B242A"/>
    <w:rsid w:val="001B24B3"/>
    <w:rsid w:val="001B25DF"/>
    <w:rsid w:val="001B2DE2"/>
    <w:rsid w:val="001B2E99"/>
    <w:rsid w:val="001B31C1"/>
    <w:rsid w:val="001B337B"/>
    <w:rsid w:val="001B33C7"/>
    <w:rsid w:val="001B3745"/>
    <w:rsid w:val="001B37D7"/>
    <w:rsid w:val="001B3862"/>
    <w:rsid w:val="001B3C20"/>
    <w:rsid w:val="001B40A0"/>
    <w:rsid w:val="001B40B4"/>
    <w:rsid w:val="001B41EE"/>
    <w:rsid w:val="001B4754"/>
    <w:rsid w:val="001B4896"/>
    <w:rsid w:val="001B4A64"/>
    <w:rsid w:val="001B4A7A"/>
    <w:rsid w:val="001B4B62"/>
    <w:rsid w:val="001B4BB7"/>
    <w:rsid w:val="001B4D93"/>
    <w:rsid w:val="001B4D9E"/>
    <w:rsid w:val="001B4DCA"/>
    <w:rsid w:val="001B5570"/>
    <w:rsid w:val="001B5654"/>
    <w:rsid w:val="001B59A2"/>
    <w:rsid w:val="001B59EB"/>
    <w:rsid w:val="001B5E65"/>
    <w:rsid w:val="001B5F07"/>
    <w:rsid w:val="001B5F4B"/>
    <w:rsid w:val="001B6036"/>
    <w:rsid w:val="001B6038"/>
    <w:rsid w:val="001B60EC"/>
    <w:rsid w:val="001B616A"/>
    <w:rsid w:val="001B664B"/>
    <w:rsid w:val="001B666A"/>
    <w:rsid w:val="001B675D"/>
    <w:rsid w:val="001B6836"/>
    <w:rsid w:val="001B6950"/>
    <w:rsid w:val="001B6E52"/>
    <w:rsid w:val="001B6EB1"/>
    <w:rsid w:val="001B74CF"/>
    <w:rsid w:val="001B7619"/>
    <w:rsid w:val="001B7882"/>
    <w:rsid w:val="001B7A03"/>
    <w:rsid w:val="001B7C10"/>
    <w:rsid w:val="001B7C33"/>
    <w:rsid w:val="001B7D5B"/>
    <w:rsid w:val="001B7F78"/>
    <w:rsid w:val="001B7F9C"/>
    <w:rsid w:val="001C0031"/>
    <w:rsid w:val="001C0061"/>
    <w:rsid w:val="001C0214"/>
    <w:rsid w:val="001C0296"/>
    <w:rsid w:val="001C02FB"/>
    <w:rsid w:val="001C061A"/>
    <w:rsid w:val="001C0661"/>
    <w:rsid w:val="001C073F"/>
    <w:rsid w:val="001C0802"/>
    <w:rsid w:val="001C08F5"/>
    <w:rsid w:val="001C0953"/>
    <w:rsid w:val="001C0C06"/>
    <w:rsid w:val="001C0C35"/>
    <w:rsid w:val="001C0E77"/>
    <w:rsid w:val="001C0F40"/>
    <w:rsid w:val="001C1158"/>
    <w:rsid w:val="001C11FA"/>
    <w:rsid w:val="001C12C3"/>
    <w:rsid w:val="001C1431"/>
    <w:rsid w:val="001C17B9"/>
    <w:rsid w:val="001C1A82"/>
    <w:rsid w:val="001C1ABD"/>
    <w:rsid w:val="001C20D0"/>
    <w:rsid w:val="001C20FB"/>
    <w:rsid w:val="001C2152"/>
    <w:rsid w:val="001C2153"/>
    <w:rsid w:val="001C25F5"/>
    <w:rsid w:val="001C26F5"/>
    <w:rsid w:val="001C285E"/>
    <w:rsid w:val="001C2886"/>
    <w:rsid w:val="001C2BAC"/>
    <w:rsid w:val="001C2BCC"/>
    <w:rsid w:val="001C2C49"/>
    <w:rsid w:val="001C3051"/>
    <w:rsid w:val="001C3095"/>
    <w:rsid w:val="001C3290"/>
    <w:rsid w:val="001C3485"/>
    <w:rsid w:val="001C3589"/>
    <w:rsid w:val="001C35A6"/>
    <w:rsid w:val="001C3649"/>
    <w:rsid w:val="001C3777"/>
    <w:rsid w:val="001C3CAA"/>
    <w:rsid w:val="001C4235"/>
    <w:rsid w:val="001C4316"/>
    <w:rsid w:val="001C4521"/>
    <w:rsid w:val="001C4582"/>
    <w:rsid w:val="001C45CD"/>
    <w:rsid w:val="001C4AF2"/>
    <w:rsid w:val="001C4C0C"/>
    <w:rsid w:val="001C4E38"/>
    <w:rsid w:val="001C4E5F"/>
    <w:rsid w:val="001C51A6"/>
    <w:rsid w:val="001C51EE"/>
    <w:rsid w:val="001C529C"/>
    <w:rsid w:val="001C52B2"/>
    <w:rsid w:val="001C5427"/>
    <w:rsid w:val="001C5917"/>
    <w:rsid w:val="001C59E7"/>
    <w:rsid w:val="001C5A1A"/>
    <w:rsid w:val="001C5A33"/>
    <w:rsid w:val="001C5D50"/>
    <w:rsid w:val="001C5FE1"/>
    <w:rsid w:val="001C6452"/>
    <w:rsid w:val="001C64E8"/>
    <w:rsid w:val="001C6861"/>
    <w:rsid w:val="001C690A"/>
    <w:rsid w:val="001C6AA1"/>
    <w:rsid w:val="001C6B6B"/>
    <w:rsid w:val="001C6C94"/>
    <w:rsid w:val="001C6D65"/>
    <w:rsid w:val="001C6E0F"/>
    <w:rsid w:val="001C73E2"/>
    <w:rsid w:val="001C7417"/>
    <w:rsid w:val="001C7B7A"/>
    <w:rsid w:val="001C7BF8"/>
    <w:rsid w:val="001C7C49"/>
    <w:rsid w:val="001D038A"/>
    <w:rsid w:val="001D0491"/>
    <w:rsid w:val="001D074D"/>
    <w:rsid w:val="001D085C"/>
    <w:rsid w:val="001D09B3"/>
    <w:rsid w:val="001D0BB9"/>
    <w:rsid w:val="001D0C86"/>
    <w:rsid w:val="001D0D04"/>
    <w:rsid w:val="001D0D45"/>
    <w:rsid w:val="001D0F97"/>
    <w:rsid w:val="001D1050"/>
    <w:rsid w:val="001D109B"/>
    <w:rsid w:val="001D15D6"/>
    <w:rsid w:val="001D16B9"/>
    <w:rsid w:val="001D171E"/>
    <w:rsid w:val="001D18A4"/>
    <w:rsid w:val="001D1A47"/>
    <w:rsid w:val="001D1D6B"/>
    <w:rsid w:val="001D1D7C"/>
    <w:rsid w:val="001D1E63"/>
    <w:rsid w:val="001D1F3A"/>
    <w:rsid w:val="001D219B"/>
    <w:rsid w:val="001D2352"/>
    <w:rsid w:val="001D2395"/>
    <w:rsid w:val="001D258E"/>
    <w:rsid w:val="001D2734"/>
    <w:rsid w:val="001D28C2"/>
    <w:rsid w:val="001D29F0"/>
    <w:rsid w:val="001D2BF1"/>
    <w:rsid w:val="001D32D0"/>
    <w:rsid w:val="001D3508"/>
    <w:rsid w:val="001D3959"/>
    <w:rsid w:val="001D3A62"/>
    <w:rsid w:val="001D3A8C"/>
    <w:rsid w:val="001D3ACF"/>
    <w:rsid w:val="001D3AEF"/>
    <w:rsid w:val="001D3DD2"/>
    <w:rsid w:val="001D3EFD"/>
    <w:rsid w:val="001D3FE7"/>
    <w:rsid w:val="001D4056"/>
    <w:rsid w:val="001D4156"/>
    <w:rsid w:val="001D4207"/>
    <w:rsid w:val="001D4311"/>
    <w:rsid w:val="001D4682"/>
    <w:rsid w:val="001D48F6"/>
    <w:rsid w:val="001D49A6"/>
    <w:rsid w:val="001D539D"/>
    <w:rsid w:val="001D5457"/>
    <w:rsid w:val="001D54D2"/>
    <w:rsid w:val="001D5538"/>
    <w:rsid w:val="001D5574"/>
    <w:rsid w:val="001D5609"/>
    <w:rsid w:val="001D565E"/>
    <w:rsid w:val="001D5696"/>
    <w:rsid w:val="001D59A1"/>
    <w:rsid w:val="001D5AD3"/>
    <w:rsid w:val="001D5B04"/>
    <w:rsid w:val="001D5C52"/>
    <w:rsid w:val="001D5DE9"/>
    <w:rsid w:val="001D60FE"/>
    <w:rsid w:val="001D627F"/>
    <w:rsid w:val="001D6743"/>
    <w:rsid w:val="001D6933"/>
    <w:rsid w:val="001D6978"/>
    <w:rsid w:val="001D6B23"/>
    <w:rsid w:val="001D6BCB"/>
    <w:rsid w:val="001D6D64"/>
    <w:rsid w:val="001D6F2B"/>
    <w:rsid w:val="001D6F9B"/>
    <w:rsid w:val="001D7115"/>
    <w:rsid w:val="001D71F5"/>
    <w:rsid w:val="001D72CE"/>
    <w:rsid w:val="001D753D"/>
    <w:rsid w:val="001D7556"/>
    <w:rsid w:val="001D7728"/>
    <w:rsid w:val="001D7AB1"/>
    <w:rsid w:val="001D7C46"/>
    <w:rsid w:val="001E0073"/>
    <w:rsid w:val="001E01B0"/>
    <w:rsid w:val="001E030E"/>
    <w:rsid w:val="001E0576"/>
    <w:rsid w:val="001E0707"/>
    <w:rsid w:val="001E0840"/>
    <w:rsid w:val="001E08E2"/>
    <w:rsid w:val="001E0983"/>
    <w:rsid w:val="001E0AEC"/>
    <w:rsid w:val="001E0BA2"/>
    <w:rsid w:val="001E0C18"/>
    <w:rsid w:val="001E0DE6"/>
    <w:rsid w:val="001E0FCE"/>
    <w:rsid w:val="001E100B"/>
    <w:rsid w:val="001E135E"/>
    <w:rsid w:val="001E140F"/>
    <w:rsid w:val="001E14BF"/>
    <w:rsid w:val="001E157A"/>
    <w:rsid w:val="001E1930"/>
    <w:rsid w:val="001E1B3D"/>
    <w:rsid w:val="001E1B49"/>
    <w:rsid w:val="001E1B58"/>
    <w:rsid w:val="001E1D8F"/>
    <w:rsid w:val="001E225B"/>
    <w:rsid w:val="001E22F7"/>
    <w:rsid w:val="001E231E"/>
    <w:rsid w:val="001E26ED"/>
    <w:rsid w:val="001E28AA"/>
    <w:rsid w:val="001E2966"/>
    <w:rsid w:val="001E2998"/>
    <w:rsid w:val="001E2A61"/>
    <w:rsid w:val="001E2E06"/>
    <w:rsid w:val="001E3394"/>
    <w:rsid w:val="001E353D"/>
    <w:rsid w:val="001E367B"/>
    <w:rsid w:val="001E39A8"/>
    <w:rsid w:val="001E3A32"/>
    <w:rsid w:val="001E3DC8"/>
    <w:rsid w:val="001E3DE2"/>
    <w:rsid w:val="001E3E2D"/>
    <w:rsid w:val="001E4245"/>
    <w:rsid w:val="001E4715"/>
    <w:rsid w:val="001E4C26"/>
    <w:rsid w:val="001E4C8B"/>
    <w:rsid w:val="001E4CE3"/>
    <w:rsid w:val="001E4E51"/>
    <w:rsid w:val="001E51D3"/>
    <w:rsid w:val="001E51F6"/>
    <w:rsid w:val="001E52C5"/>
    <w:rsid w:val="001E5531"/>
    <w:rsid w:val="001E5813"/>
    <w:rsid w:val="001E585B"/>
    <w:rsid w:val="001E58AB"/>
    <w:rsid w:val="001E5A67"/>
    <w:rsid w:val="001E5CB5"/>
    <w:rsid w:val="001E6047"/>
    <w:rsid w:val="001E6552"/>
    <w:rsid w:val="001E6874"/>
    <w:rsid w:val="001E68E1"/>
    <w:rsid w:val="001E6F2E"/>
    <w:rsid w:val="001E7055"/>
    <w:rsid w:val="001E744E"/>
    <w:rsid w:val="001E7744"/>
    <w:rsid w:val="001E782A"/>
    <w:rsid w:val="001E78EE"/>
    <w:rsid w:val="001E7BB5"/>
    <w:rsid w:val="001E7BEB"/>
    <w:rsid w:val="001F01FB"/>
    <w:rsid w:val="001F067B"/>
    <w:rsid w:val="001F0910"/>
    <w:rsid w:val="001F0932"/>
    <w:rsid w:val="001F09D1"/>
    <w:rsid w:val="001F0AEC"/>
    <w:rsid w:val="001F0EA1"/>
    <w:rsid w:val="001F0FCB"/>
    <w:rsid w:val="001F1025"/>
    <w:rsid w:val="001F1032"/>
    <w:rsid w:val="001F1079"/>
    <w:rsid w:val="001F10A4"/>
    <w:rsid w:val="001F10C4"/>
    <w:rsid w:val="001F10F4"/>
    <w:rsid w:val="001F1363"/>
    <w:rsid w:val="001F1397"/>
    <w:rsid w:val="001F15F2"/>
    <w:rsid w:val="001F1679"/>
    <w:rsid w:val="001F17A5"/>
    <w:rsid w:val="001F1843"/>
    <w:rsid w:val="001F2025"/>
    <w:rsid w:val="001F205E"/>
    <w:rsid w:val="001F209B"/>
    <w:rsid w:val="001F20E9"/>
    <w:rsid w:val="001F2291"/>
    <w:rsid w:val="001F22F8"/>
    <w:rsid w:val="001F237D"/>
    <w:rsid w:val="001F259A"/>
    <w:rsid w:val="001F25D9"/>
    <w:rsid w:val="001F2AAF"/>
    <w:rsid w:val="001F2B3D"/>
    <w:rsid w:val="001F2BF2"/>
    <w:rsid w:val="001F2E8F"/>
    <w:rsid w:val="001F2FE2"/>
    <w:rsid w:val="001F3759"/>
    <w:rsid w:val="001F3A9D"/>
    <w:rsid w:val="001F3B17"/>
    <w:rsid w:val="001F3BC8"/>
    <w:rsid w:val="001F3D33"/>
    <w:rsid w:val="001F4025"/>
    <w:rsid w:val="001F40AF"/>
    <w:rsid w:val="001F41DB"/>
    <w:rsid w:val="001F44F1"/>
    <w:rsid w:val="001F4852"/>
    <w:rsid w:val="001F4C56"/>
    <w:rsid w:val="001F4E34"/>
    <w:rsid w:val="001F4F62"/>
    <w:rsid w:val="001F4FAC"/>
    <w:rsid w:val="001F5B22"/>
    <w:rsid w:val="001F5D51"/>
    <w:rsid w:val="001F5DEC"/>
    <w:rsid w:val="001F6275"/>
    <w:rsid w:val="001F62C3"/>
    <w:rsid w:val="001F6778"/>
    <w:rsid w:val="001F67D9"/>
    <w:rsid w:val="001F6A01"/>
    <w:rsid w:val="001F6C7B"/>
    <w:rsid w:val="001F6D9E"/>
    <w:rsid w:val="001F6D9F"/>
    <w:rsid w:val="001F708E"/>
    <w:rsid w:val="001F7115"/>
    <w:rsid w:val="001F765A"/>
    <w:rsid w:val="001F7802"/>
    <w:rsid w:val="001F7DBC"/>
    <w:rsid w:val="001F7DE8"/>
    <w:rsid w:val="001F7FA3"/>
    <w:rsid w:val="0020040C"/>
    <w:rsid w:val="0020081F"/>
    <w:rsid w:val="002008DB"/>
    <w:rsid w:val="00200EED"/>
    <w:rsid w:val="00200EF8"/>
    <w:rsid w:val="002012FC"/>
    <w:rsid w:val="00201C80"/>
    <w:rsid w:val="00201E2A"/>
    <w:rsid w:val="00201ECF"/>
    <w:rsid w:val="00201FED"/>
    <w:rsid w:val="002022CA"/>
    <w:rsid w:val="002022FD"/>
    <w:rsid w:val="002025E5"/>
    <w:rsid w:val="0020263A"/>
    <w:rsid w:val="002026C2"/>
    <w:rsid w:val="002027A8"/>
    <w:rsid w:val="00202910"/>
    <w:rsid w:val="00202936"/>
    <w:rsid w:val="002029B8"/>
    <w:rsid w:val="00202AA4"/>
    <w:rsid w:val="00202B9E"/>
    <w:rsid w:val="00202ED4"/>
    <w:rsid w:val="0020349F"/>
    <w:rsid w:val="002035D2"/>
    <w:rsid w:val="002036D1"/>
    <w:rsid w:val="00203781"/>
    <w:rsid w:val="00203837"/>
    <w:rsid w:val="002038CD"/>
    <w:rsid w:val="00203977"/>
    <w:rsid w:val="00203A54"/>
    <w:rsid w:val="00203B9F"/>
    <w:rsid w:val="002043B6"/>
    <w:rsid w:val="002044B1"/>
    <w:rsid w:val="002045CE"/>
    <w:rsid w:val="00204755"/>
    <w:rsid w:val="00204B9A"/>
    <w:rsid w:val="00204F2B"/>
    <w:rsid w:val="00204FB4"/>
    <w:rsid w:val="002054E3"/>
    <w:rsid w:val="0020592B"/>
    <w:rsid w:val="00205B4F"/>
    <w:rsid w:val="00205E6F"/>
    <w:rsid w:val="00206298"/>
    <w:rsid w:val="002062DC"/>
    <w:rsid w:val="00206459"/>
    <w:rsid w:val="00206476"/>
    <w:rsid w:val="00206525"/>
    <w:rsid w:val="00206843"/>
    <w:rsid w:val="002069C4"/>
    <w:rsid w:val="00206A6F"/>
    <w:rsid w:val="00206F8D"/>
    <w:rsid w:val="00207069"/>
    <w:rsid w:val="00207092"/>
    <w:rsid w:val="0020723C"/>
    <w:rsid w:val="0020728E"/>
    <w:rsid w:val="00207478"/>
    <w:rsid w:val="002076AD"/>
    <w:rsid w:val="002077B6"/>
    <w:rsid w:val="00207DD7"/>
    <w:rsid w:val="00207F13"/>
    <w:rsid w:val="002100F8"/>
    <w:rsid w:val="002105FA"/>
    <w:rsid w:val="0021070A"/>
    <w:rsid w:val="002111E8"/>
    <w:rsid w:val="00211737"/>
    <w:rsid w:val="00211778"/>
    <w:rsid w:val="00211915"/>
    <w:rsid w:val="00211E49"/>
    <w:rsid w:val="00211F7D"/>
    <w:rsid w:val="002120ED"/>
    <w:rsid w:val="002123D6"/>
    <w:rsid w:val="002127D5"/>
    <w:rsid w:val="002128CB"/>
    <w:rsid w:val="00212B5A"/>
    <w:rsid w:val="00212E83"/>
    <w:rsid w:val="00212F37"/>
    <w:rsid w:val="00212FF3"/>
    <w:rsid w:val="0021301D"/>
    <w:rsid w:val="00213289"/>
    <w:rsid w:val="002133FA"/>
    <w:rsid w:val="00213734"/>
    <w:rsid w:val="002139EC"/>
    <w:rsid w:val="00213BB6"/>
    <w:rsid w:val="00213F3B"/>
    <w:rsid w:val="00214152"/>
    <w:rsid w:val="0021460B"/>
    <w:rsid w:val="00214653"/>
    <w:rsid w:val="0021467D"/>
    <w:rsid w:val="002146E7"/>
    <w:rsid w:val="00214BD1"/>
    <w:rsid w:val="00214E0E"/>
    <w:rsid w:val="00214E38"/>
    <w:rsid w:val="00214E95"/>
    <w:rsid w:val="00214ED3"/>
    <w:rsid w:val="00214F41"/>
    <w:rsid w:val="00214FE6"/>
    <w:rsid w:val="0021503E"/>
    <w:rsid w:val="0021576A"/>
    <w:rsid w:val="00215791"/>
    <w:rsid w:val="0021587C"/>
    <w:rsid w:val="00215A14"/>
    <w:rsid w:val="00215CEF"/>
    <w:rsid w:val="00215D3B"/>
    <w:rsid w:val="00215E40"/>
    <w:rsid w:val="00215E86"/>
    <w:rsid w:val="002164CE"/>
    <w:rsid w:val="0021669B"/>
    <w:rsid w:val="002166F7"/>
    <w:rsid w:val="0021675F"/>
    <w:rsid w:val="00216A7E"/>
    <w:rsid w:val="00216D89"/>
    <w:rsid w:val="00216DD8"/>
    <w:rsid w:val="00216E14"/>
    <w:rsid w:val="00216F49"/>
    <w:rsid w:val="0021707E"/>
    <w:rsid w:val="0021719A"/>
    <w:rsid w:val="00217325"/>
    <w:rsid w:val="00217926"/>
    <w:rsid w:val="00217A0B"/>
    <w:rsid w:val="00217A67"/>
    <w:rsid w:val="00217C96"/>
    <w:rsid w:val="00217EBE"/>
    <w:rsid w:val="00220135"/>
    <w:rsid w:val="00220196"/>
    <w:rsid w:val="00220211"/>
    <w:rsid w:val="002202BD"/>
    <w:rsid w:val="002202DE"/>
    <w:rsid w:val="002205B9"/>
    <w:rsid w:val="00220617"/>
    <w:rsid w:val="00220737"/>
    <w:rsid w:val="00220789"/>
    <w:rsid w:val="002208F3"/>
    <w:rsid w:val="002209C1"/>
    <w:rsid w:val="00220C51"/>
    <w:rsid w:val="00220E7C"/>
    <w:rsid w:val="00221259"/>
    <w:rsid w:val="00221424"/>
    <w:rsid w:val="00221481"/>
    <w:rsid w:val="00221828"/>
    <w:rsid w:val="00221A3A"/>
    <w:rsid w:val="00221BB4"/>
    <w:rsid w:val="00221C04"/>
    <w:rsid w:val="002220E2"/>
    <w:rsid w:val="00222145"/>
    <w:rsid w:val="00222594"/>
    <w:rsid w:val="00222802"/>
    <w:rsid w:val="00222857"/>
    <w:rsid w:val="0022289E"/>
    <w:rsid w:val="00222A61"/>
    <w:rsid w:val="00222A96"/>
    <w:rsid w:val="00222BC2"/>
    <w:rsid w:val="00222BE2"/>
    <w:rsid w:val="00222C89"/>
    <w:rsid w:val="00222D53"/>
    <w:rsid w:val="00222D63"/>
    <w:rsid w:val="00222E04"/>
    <w:rsid w:val="0022300D"/>
    <w:rsid w:val="0022304F"/>
    <w:rsid w:val="00223122"/>
    <w:rsid w:val="0022315B"/>
    <w:rsid w:val="002232CA"/>
    <w:rsid w:val="002232D9"/>
    <w:rsid w:val="00223371"/>
    <w:rsid w:val="002233A3"/>
    <w:rsid w:val="00223E09"/>
    <w:rsid w:val="00224115"/>
    <w:rsid w:val="002241BC"/>
    <w:rsid w:val="00224255"/>
    <w:rsid w:val="00224481"/>
    <w:rsid w:val="002244B7"/>
    <w:rsid w:val="00224865"/>
    <w:rsid w:val="00224997"/>
    <w:rsid w:val="002249E4"/>
    <w:rsid w:val="00224DDB"/>
    <w:rsid w:val="00224E52"/>
    <w:rsid w:val="00224EBA"/>
    <w:rsid w:val="0022557E"/>
    <w:rsid w:val="002258DA"/>
    <w:rsid w:val="002259AF"/>
    <w:rsid w:val="00225B8B"/>
    <w:rsid w:val="00225E41"/>
    <w:rsid w:val="00225EC4"/>
    <w:rsid w:val="00225FD3"/>
    <w:rsid w:val="00226469"/>
    <w:rsid w:val="0022659B"/>
    <w:rsid w:val="002265CF"/>
    <w:rsid w:val="0022684F"/>
    <w:rsid w:val="00226977"/>
    <w:rsid w:val="002269AD"/>
    <w:rsid w:val="00226BDD"/>
    <w:rsid w:val="00226CFD"/>
    <w:rsid w:val="00226ECF"/>
    <w:rsid w:val="002276D5"/>
    <w:rsid w:val="00227A96"/>
    <w:rsid w:val="00227B88"/>
    <w:rsid w:val="002300FD"/>
    <w:rsid w:val="0023058A"/>
    <w:rsid w:val="00230771"/>
    <w:rsid w:val="00230BCA"/>
    <w:rsid w:val="00230C5B"/>
    <w:rsid w:val="00230D60"/>
    <w:rsid w:val="00230E23"/>
    <w:rsid w:val="00230E3F"/>
    <w:rsid w:val="00230F83"/>
    <w:rsid w:val="0023110E"/>
    <w:rsid w:val="002311E7"/>
    <w:rsid w:val="002314E4"/>
    <w:rsid w:val="00231529"/>
    <w:rsid w:val="00231545"/>
    <w:rsid w:val="0023190D"/>
    <w:rsid w:val="002319E3"/>
    <w:rsid w:val="00231A42"/>
    <w:rsid w:val="00231CAF"/>
    <w:rsid w:val="00232162"/>
    <w:rsid w:val="0023232D"/>
    <w:rsid w:val="00232428"/>
    <w:rsid w:val="00232562"/>
    <w:rsid w:val="00232A69"/>
    <w:rsid w:val="00232B7D"/>
    <w:rsid w:val="00232CC3"/>
    <w:rsid w:val="00232E38"/>
    <w:rsid w:val="00232FA7"/>
    <w:rsid w:val="00233209"/>
    <w:rsid w:val="0023329C"/>
    <w:rsid w:val="00233349"/>
    <w:rsid w:val="00233483"/>
    <w:rsid w:val="0023349C"/>
    <w:rsid w:val="002334A4"/>
    <w:rsid w:val="002338C5"/>
    <w:rsid w:val="00233A17"/>
    <w:rsid w:val="00233AFE"/>
    <w:rsid w:val="00233B17"/>
    <w:rsid w:val="00233C01"/>
    <w:rsid w:val="00233C48"/>
    <w:rsid w:val="00233E56"/>
    <w:rsid w:val="00233E77"/>
    <w:rsid w:val="00234230"/>
    <w:rsid w:val="0023424C"/>
    <w:rsid w:val="00234286"/>
    <w:rsid w:val="00234386"/>
    <w:rsid w:val="0023453B"/>
    <w:rsid w:val="0023469A"/>
    <w:rsid w:val="002346A1"/>
    <w:rsid w:val="00234792"/>
    <w:rsid w:val="00234E0C"/>
    <w:rsid w:val="00235064"/>
    <w:rsid w:val="002351C5"/>
    <w:rsid w:val="00235768"/>
    <w:rsid w:val="002357A6"/>
    <w:rsid w:val="00235A6C"/>
    <w:rsid w:val="00235B94"/>
    <w:rsid w:val="00235C16"/>
    <w:rsid w:val="00235CF3"/>
    <w:rsid w:val="00235D7B"/>
    <w:rsid w:val="00236046"/>
    <w:rsid w:val="002364C6"/>
    <w:rsid w:val="00236A42"/>
    <w:rsid w:val="00236F4E"/>
    <w:rsid w:val="00237035"/>
    <w:rsid w:val="0023725C"/>
    <w:rsid w:val="0023725E"/>
    <w:rsid w:val="002372DC"/>
    <w:rsid w:val="00237531"/>
    <w:rsid w:val="00237660"/>
    <w:rsid w:val="002378F2"/>
    <w:rsid w:val="00237E69"/>
    <w:rsid w:val="00237EFE"/>
    <w:rsid w:val="00237F52"/>
    <w:rsid w:val="00240328"/>
    <w:rsid w:val="00240435"/>
    <w:rsid w:val="00240574"/>
    <w:rsid w:val="002405EB"/>
    <w:rsid w:val="0024064C"/>
    <w:rsid w:val="0024077F"/>
    <w:rsid w:val="002409B4"/>
    <w:rsid w:val="00240DA6"/>
    <w:rsid w:val="00240E02"/>
    <w:rsid w:val="00240FB5"/>
    <w:rsid w:val="0024120C"/>
    <w:rsid w:val="00241394"/>
    <w:rsid w:val="00241892"/>
    <w:rsid w:val="002418B8"/>
    <w:rsid w:val="00241FEB"/>
    <w:rsid w:val="002420CD"/>
    <w:rsid w:val="00242259"/>
    <w:rsid w:val="0024239F"/>
    <w:rsid w:val="0024248C"/>
    <w:rsid w:val="002424AF"/>
    <w:rsid w:val="0024268C"/>
    <w:rsid w:val="00242894"/>
    <w:rsid w:val="002429B5"/>
    <w:rsid w:val="00242BCA"/>
    <w:rsid w:val="00242C01"/>
    <w:rsid w:val="00242C86"/>
    <w:rsid w:val="00243024"/>
    <w:rsid w:val="002434F3"/>
    <w:rsid w:val="00243ABF"/>
    <w:rsid w:val="00243C4D"/>
    <w:rsid w:val="00244093"/>
    <w:rsid w:val="00244212"/>
    <w:rsid w:val="00244300"/>
    <w:rsid w:val="002443E6"/>
    <w:rsid w:val="002445A9"/>
    <w:rsid w:val="002445E2"/>
    <w:rsid w:val="002447E8"/>
    <w:rsid w:val="0024485C"/>
    <w:rsid w:val="00244B11"/>
    <w:rsid w:val="00244D14"/>
    <w:rsid w:val="00244F3B"/>
    <w:rsid w:val="002450A9"/>
    <w:rsid w:val="00245100"/>
    <w:rsid w:val="002452EF"/>
    <w:rsid w:val="00245896"/>
    <w:rsid w:val="00245929"/>
    <w:rsid w:val="00245AA9"/>
    <w:rsid w:val="00245B79"/>
    <w:rsid w:val="00245BB2"/>
    <w:rsid w:val="00246104"/>
    <w:rsid w:val="00246349"/>
    <w:rsid w:val="002463DA"/>
    <w:rsid w:val="002464BD"/>
    <w:rsid w:val="00246657"/>
    <w:rsid w:val="002466B6"/>
    <w:rsid w:val="002466E3"/>
    <w:rsid w:val="00246881"/>
    <w:rsid w:val="002468F8"/>
    <w:rsid w:val="0024707A"/>
    <w:rsid w:val="0024709B"/>
    <w:rsid w:val="00247204"/>
    <w:rsid w:val="00247330"/>
    <w:rsid w:val="0024774C"/>
    <w:rsid w:val="002477BF"/>
    <w:rsid w:val="002477D9"/>
    <w:rsid w:val="00247B6B"/>
    <w:rsid w:val="00247C3F"/>
    <w:rsid w:val="00247DDD"/>
    <w:rsid w:val="00247E0E"/>
    <w:rsid w:val="00247E4F"/>
    <w:rsid w:val="00247F31"/>
    <w:rsid w:val="002500AE"/>
    <w:rsid w:val="002502DD"/>
    <w:rsid w:val="0025041A"/>
    <w:rsid w:val="00250596"/>
    <w:rsid w:val="002505EA"/>
    <w:rsid w:val="002506C7"/>
    <w:rsid w:val="00250BAE"/>
    <w:rsid w:val="0025105A"/>
    <w:rsid w:val="002514B2"/>
    <w:rsid w:val="002514F6"/>
    <w:rsid w:val="00251535"/>
    <w:rsid w:val="00251AE4"/>
    <w:rsid w:val="00251B1D"/>
    <w:rsid w:val="00251B7F"/>
    <w:rsid w:val="00251D55"/>
    <w:rsid w:val="00251D75"/>
    <w:rsid w:val="00251D77"/>
    <w:rsid w:val="00251EAE"/>
    <w:rsid w:val="00252060"/>
    <w:rsid w:val="00252147"/>
    <w:rsid w:val="00252629"/>
    <w:rsid w:val="00252894"/>
    <w:rsid w:val="0025291D"/>
    <w:rsid w:val="0025295B"/>
    <w:rsid w:val="00252966"/>
    <w:rsid w:val="00252B35"/>
    <w:rsid w:val="00252B97"/>
    <w:rsid w:val="00252C3C"/>
    <w:rsid w:val="00252C42"/>
    <w:rsid w:val="00252DC0"/>
    <w:rsid w:val="00253238"/>
    <w:rsid w:val="00253458"/>
    <w:rsid w:val="0025346B"/>
    <w:rsid w:val="002534C4"/>
    <w:rsid w:val="00253615"/>
    <w:rsid w:val="0025367A"/>
    <w:rsid w:val="0025376B"/>
    <w:rsid w:val="00253785"/>
    <w:rsid w:val="00253847"/>
    <w:rsid w:val="00253B9F"/>
    <w:rsid w:val="00253FF8"/>
    <w:rsid w:val="0025404D"/>
    <w:rsid w:val="00254269"/>
    <w:rsid w:val="002542A5"/>
    <w:rsid w:val="002542E9"/>
    <w:rsid w:val="00254454"/>
    <w:rsid w:val="0025469F"/>
    <w:rsid w:val="002546AE"/>
    <w:rsid w:val="002546F9"/>
    <w:rsid w:val="00254711"/>
    <w:rsid w:val="00254EB0"/>
    <w:rsid w:val="00255283"/>
    <w:rsid w:val="00255308"/>
    <w:rsid w:val="00255447"/>
    <w:rsid w:val="00255587"/>
    <w:rsid w:val="002556B0"/>
    <w:rsid w:val="0025586D"/>
    <w:rsid w:val="002558A1"/>
    <w:rsid w:val="00255B82"/>
    <w:rsid w:val="00255CDC"/>
    <w:rsid w:val="0025600E"/>
    <w:rsid w:val="00256613"/>
    <w:rsid w:val="00256758"/>
    <w:rsid w:val="00256B81"/>
    <w:rsid w:val="00256CA5"/>
    <w:rsid w:val="00256D80"/>
    <w:rsid w:val="00256D81"/>
    <w:rsid w:val="00256DE2"/>
    <w:rsid w:val="00256FEE"/>
    <w:rsid w:val="00257225"/>
    <w:rsid w:val="00257693"/>
    <w:rsid w:val="00257877"/>
    <w:rsid w:val="0025795E"/>
    <w:rsid w:val="00257EB1"/>
    <w:rsid w:val="00257F15"/>
    <w:rsid w:val="00257F23"/>
    <w:rsid w:val="00257FB2"/>
    <w:rsid w:val="00260346"/>
    <w:rsid w:val="002605FF"/>
    <w:rsid w:val="00260674"/>
    <w:rsid w:val="00260D4C"/>
    <w:rsid w:val="00260EC4"/>
    <w:rsid w:val="002610AC"/>
    <w:rsid w:val="0026148C"/>
    <w:rsid w:val="002614B7"/>
    <w:rsid w:val="002615FD"/>
    <w:rsid w:val="00261AAC"/>
    <w:rsid w:val="00261E51"/>
    <w:rsid w:val="00261E87"/>
    <w:rsid w:val="00261FBF"/>
    <w:rsid w:val="002621E8"/>
    <w:rsid w:val="00262375"/>
    <w:rsid w:val="002628BF"/>
    <w:rsid w:val="00262B22"/>
    <w:rsid w:val="00262C7B"/>
    <w:rsid w:val="00262C98"/>
    <w:rsid w:val="00262D3D"/>
    <w:rsid w:val="00262EA9"/>
    <w:rsid w:val="002630CE"/>
    <w:rsid w:val="002631F9"/>
    <w:rsid w:val="00263367"/>
    <w:rsid w:val="00263591"/>
    <w:rsid w:val="002635AE"/>
    <w:rsid w:val="0026363A"/>
    <w:rsid w:val="00263731"/>
    <w:rsid w:val="00263940"/>
    <w:rsid w:val="00263979"/>
    <w:rsid w:val="00263BA3"/>
    <w:rsid w:val="00263BC9"/>
    <w:rsid w:val="00264046"/>
    <w:rsid w:val="002644FB"/>
    <w:rsid w:val="002645B8"/>
    <w:rsid w:val="00264CC6"/>
    <w:rsid w:val="00264DBE"/>
    <w:rsid w:val="00264DF5"/>
    <w:rsid w:val="00264E8A"/>
    <w:rsid w:val="00264F29"/>
    <w:rsid w:val="002654A5"/>
    <w:rsid w:val="002655C8"/>
    <w:rsid w:val="0026569E"/>
    <w:rsid w:val="00265ADC"/>
    <w:rsid w:val="00265FC8"/>
    <w:rsid w:val="002661CE"/>
    <w:rsid w:val="002665BD"/>
    <w:rsid w:val="00266701"/>
    <w:rsid w:val="00266726"/>
    <w:rsid w:val="0026682E"/>
    <w:rsid w:val="00266C07"/>
    <w:rsid w:val="00266F6E"/>
    <w:rsid w:val="00267169"/>
    <w:rsid w:val="002677E9"/>
    <w:rsid w:val="002701DA"/>
    <w:rsid w:val="0027024E"/>
    <w:rsid w:val="002702EB"/>
    <w:rsid w:val="002704B5"/>
    <w:rsid w:val="002705C7"/>
    <w:rsid w:val="00270629"/>
    <w:rsid w:val="002706BF"/>
    <w:rsid w:val="002706ED"/>
    <w:rsid w:val="0027076F"/>
    <w:rsid w:val="002708DC"/>
    <w:rsid w:val="00270BA4"/>
    <w:rsid w:val="00270BE7"/>
    <w:rsid w:val="00270C1A"/>
    <w:rsid w:val="00270C73"/>
    <w:rsid w:val="002710A1"/>
    <w:rsid w:val="00271371"/>
    <w:rsid w:val="002713B3"/>
    <w:rsid w:val="0027143C"/>
    <w:rsid w:val="002715B5"/>
    <w:rsid w:val="0027193B"/>
    <w:rsid w:val="002719CD"/>
    <w:rsid w:val="00271B85"/>
    <w:rsid w:val="00271BE5"/>
    <w:rsid w:val="00271CE6"/>
    <w:rsid w:val="00271FD1"/>
    <w:rsid w:val="002723FF"/>
    <w:rsid w:val="002726C3"/>
    <w:rsid w:val="00272798"/>
    <w:rsid w:val="00272B8B"/>
    <w:rsid w:val="00272C3F"/>
    <w:rsid w:val="002732E7"/>
    <w:rsid w:val="00273503"/>
    <w:rsid w:val="00273557"/>
    <w:rsid w:val="002739BD"/>
    <w:rsid w:val="00273A15"/>
    <w:rsid w:val="00273BDD"/>
    <w:rsid w:val="00273C31"/>
    <w:rsid w:val="00273E24"/>
    <w:rsid w:val="00273F3B"/>
    <w:rsid w:val="002740FB"/>
    <w:rsid w:val="0027437B"/>
    <w:rsid w:val="002747B2"/>
    <w:rsid w:val="00274EE5"/>
    <w:rsid w:val="00275A79"/>
    <w:rsid w:val="00275B66"/>
    <w:rsid w:val="00275C4E"/>
    <w:rsid w:val="00275E1F"/>
    <w:rsid w:val="00275E34"/>
    <w:rsid w:val="00275F02"/>
    <w:rsid w:val="00276098"/>
    <w:rsid w:val="002760D8"/>
    <w:rsid w:val="002761E2"/>
    <w:rsid w:val="002763C0"/>
    <w:rsid w:val="002765E5"/>
    <w:rsid w:val="00276629"/>
    <w:rsid w:val="00276641"/>
    <w:rsid w:val="0027689C"/>
    <w:rsid w:val="002768B2"/>
    <w:rsid w:val="00276CD5"/>
    <w:rsid w:val="00276E23"/>
    <w:rsid w:val="00276E44"/>
    <w:rsid w:val="00276EEB"/>
    <w:rsid w:val="002770DC"/>
    <w:rsid w:val="002771F7"/>
    <w:rsid w:val="00277722"/>
    <w:rsid w:val="002777DE"/>
    <w:rsid w:val="0027790F"/>
    <w:rsid w:val="00277A44"/>
    <w:rsid w:val="00277B35"/>
    <w:rsid w:val="00277B9C"/>
    <w:rsid w:val="00277BE2"/>
    <w:rsid w:val="00277BF0"/>
    <w:rsid w:val="00277DA4"/>
    <w:rsid w:val="00277E33"/>
    <w:rsid w:val="002803BA"/>
    <w:rsid w:val="00280983"/>
    <w:rsid w:val="00280AAF"/>
    <w:rsid w:val="00280C79"/>
    <w:rsid w:val="00280CA5"/>
    <w:rsid w:val="00280FF5"/>
    <w:rsid w:val="00281648"/>
    <w:rsid w:val="002817A3"/>
    <w:rsid w:val="00281947"/>
    <w:rsid w:val="0028197D"/>
    <w:rsid w:val="00281F96"/>
    <w:rsid w:val="002822FC"/>
    <w:rsid w:val="002824F1"/>
    <w:rsid w:val="002829A0"/>
    <w:rsid w:val="00282CDC"/>
    <w:rsid w:val="00282CE6"/>
    <w:rsid w:val="00282D26"/>
    <w:rsid w:val="00282D7D"/>
    <w:rsid w:val="00282D82"/>
    <w:rsid w:val="00282E71"/>
    <w:rsid w:val="00282F36"/>
    <w:rsid w:val="00282F83"/>
    <w:rsid w:val="002830DE"/>
    <w:rsid w:val="0028323C"/>
    <w:rsid w:val="002832AC"/>
    <w:rsid w:val="002832F3"/>
    <w:rsid w:val="0028365D"/>
    <w:rsid w:val="0028375D"/>
    <w:rsid w:val="00283895"/>
    <w:rsid w:val="002839D5"/>
    <w:rsid w:val="002839EF"/>
    <w:rsid w:val="00283A86"/>
    <w:rsid w:val="00283C9F"/>
    <w:rsid w:val="00283CE1"/>
    <w:rsid w:val="00283ED5"/>
    <w:rsid w:val="00283FDA"/>
    <w:rsid w:val="00284312"/>
    <w:rsid w:val="00284460"/>
    <w:rsid w:val="00284695"/>
    <w:rsid w:val="00284788"/>
    <w:rsid w:val="00284FFB"/>
    <w:rsid w:val="0028502C"/>
    <w:rsid w:val="0028514A"/>
    <w:rsid w:val="002854F7"/>
    <w:rsid w:val="0028557D"/>
    <w:rsid w:val="002855CD"/>
    <w:rsid w:val="00285A65"/>
    <w:rsid w:val="00285E7D"/>
    <w:rsid w:val="00286053"/>
    <w:rsid w:val="002860AB"/>
    <w:rsid w:val="002860EA"/>
    <w:rsid w:val="002862E7"/>
    <w:rsid w:val="002863D2"/>
    <w:rsid w:val="002866DB"/>
    <w:rsid w:val="00286703"/>
    <w:rsid w:val="00286907"/>
    <w:rsid w:val="00286B6F"/>
    <w:rsid w:val="00286E9A"/>
    <w:rsid w:val="00287312"/>
    <w:rsid w:val="0028737A"/>
    <w:rsid w:val="002873A5"/>
    <w:rsid w:val="00287435"/>
    <w:rsid w:val="00287459"/>
    <w:rsid w:val="00287764"/>
    <w:rsid w:val="00287B8F"/>
    <w:rsid w:val="00287BCB"/>
    <w:rsid w:val="00287BF3"/>
    <w:rsid w:val="00287CDB"/>
    <w:rsid w:val="00287CF8"/>
    <w:rsid w:val="002901B3"/>
    <w:rsid w:val="002907CD"/>
    <w:rsid w:val="002909E4"/>
    <w:rsid w:val="00290A58"/>
    <w:rsid w:val="00290B71"/>
    <w:rsid w:val="00290EC7"/>
    <w:rsid w:val="00290EE5"/>
    <w:rsid w:val="0029102D"/>
    <w:rsid w:val="0029114D"/>
    <w:rsid w:val="00291279"/>
    <w:rsid w:val="00291678"/>
    <w:rsid w:val="002916AA"/>
    <w:rsid w:val="002916D9"/>
    <w:rsid w:val="00291771"/>
    <w:rsid w:val="0029179B"/>
    <w:rsid w:val="002918AF"/>
    <w:rsid w:val="002918C3"/>
    <w:rsid w:val="00291900"/>
    <w:rsid w:val="0029199A"/>
    <w:rsid w:val="00291C15"/>
    <w:rsid w:val="00291C86"/>
    <w:rsid w:val="00291DEB"/>
    <w:rsid w:val="00291E6B"/>
    <w:rsid w:val="00292064"/>
    <w:rsid w:val="00292106"/>
    <w:rsid w:val="002924C4"/>
    <w:rsid w:val="00292901"/>
    <w:rsid w:val="002929F9"/>
    <w:rsid w:val="00292B15"/>
    <w:rsid w:val="00292B37"/>
    <w:rsid w:val="00292B8B"/>
    <w:rsid w:val="00292BC2"/>
    <w:rsid w:val="00292F1C"/>
    <w:rsid w:val="00292F50"/>
    <w:rsid w:val="0029305A"/>
    <w:rsid w:val="002931E2"/>
    <w:rsid w:val="002932A6"/>
    <w:rsid w:val="00293838"/>
    <w:rsid w:val="002938CE"/>
    <w:rsid w:val="00293F01"/>
    <w:rsid w:val="00294228"/>
    <w:rsid w:val="0029432B"/>
    <w:rsid w:val="0029450B"/>
    <w:rsid w:val="0029472C"/>
    <w:rsid w:val="00294862"/>
    <w:rsid w:val="00294878"/>
    <w:rsid w:val="0029499A"/>
    <w:rsid w:val="00294EBD"/>
    <w:rsid w:val="00294F1D"/>
    <w:rsid w:val="00294F64"/>
    <w:rsid w:val="002950EC"/>
    <w:rsid w:val="00295689"/>
    <w:rsid w:val="00295A59"/>
    <w:rsid w:val="00295A7C"/>
    <w:rsid w:val="00295D35"/>
    <w:rsid w:val="00295F1E"/>
    <w:rsid w:val="002960F9"/>
    <w:rsid w:val="0029619D"/>
    <w:rsid w:val="00296316"/>
    <w:rsid w:val="00296319"/>
    <w:rsid w:val="00296785"/>
    <w:rsid w:val="002969DC"/>
    <w:rsid w:val="00296BEE"/>
    <w:rsid w:val="00296D6C"/>
    <w:rsid w:val="00296ECE"/>
    <w:rsid w:val="00297030"/>
    <w:rsid w:val="002974C1"/>
    <w:rsid w:val="0029759B"/>
    <w:rsid w:val="00297768"/>
    <w:rsid w:val="0029784E"/>
    <w:rsid w:val="00297C1F"/>
    <w:rsid w:val="00297C9C"/>
    <w:rsid w:val="00297EC8"/>
    <w:rsid w:val="002A00AD"/>
    <w:rsid w:val="002A0127"/>
    <w:rsid w:val="002A0192"/>
    <w:rsid w:val="002A0371"/>
    <w:rsid w:val="002A060C"/>
    <w:rsid w:val="002A0848"/>
    <w:rsid w:val="002A0886"/>
    <w:rsid w:val="002A0981"/>
    <w:rsid w:val="002A0B2F"/>
    <w:rsid w:val="002A0C96"/>
    <w:rsid w:val="002A0D02"/>
    <w:rsid w:val="002A1142"/>
    <w:rsid w:val="002A124D"/>
    <w:rsid w:val="002A1453"/>
    <w:rsid w:val="002A17F1"/>
    <w:rsid w:val="002A188D"/>
    <w:rsid w:val="002A1A65"/>
    <w:rsid w:val="002A1C69"/>
    <w:rsid w:val="002A1D46"/>
    <w:rsid w:val="002A20C1"/>
    <w:rsid w:val="002A20E5"/>
    <w:rsid w:val="002A2373"/>
    <w:rsid w:val="002A23F2"/>
    <w:rsid w:val="002A286E"/>
    <w:rsid w:val="002A28BC"/>
    <w:rsid w:val="002A2993"/>
    <w:rsid w:val="002A2CC1"/>
    <w:rsid w:val="002A2E5D"/>
    <w:rsid w:val="002A2E60"/>
    <w:rsid w:val="002A2F16"/>
    <w:rsid w:val="002A33B4"/>
    <w:rsid w:val="002A3690"/>
    <w:rsid w:val="002A36FF"/>
    <w:rsid w:val="002A38A6"/>
    <w:rsid w:val="002A38FE"/>
    <w:rsid w:val="002A3986"/>
    <w:rsid w:val="002A3A28"/>
    <w:rsid w:val="002A3ABB"/>
    <w:rsid w:val="002A3B87"/>
    <w:rsid w:val="002A3B9E"/>
    <w:rsid w:val="002A3CE9"/>
    <w:rsid w:val="002A3DF0"/>
    <w:rsid w:val="002A410A"/>
    <w:rsid w:val="002A4187"/>
    <w:rsid w:val="002A42F5"/>
    <w:rsid w:val="002A457E"/>
    <w:rsid w:val="002A46C4"/>
    <w:rsid w:val="002A47D6"/>
    <w:rsid w:val="002A4B2D"/>
    <w:rsid w:val="002A4B34"/>
    <w:rsid w:val="002A4BA6"/>
    <w:rsid w:val="002A4F2A"/>
    <w:rsid w:val="002A5215"/>
    <w:rsid w:val="002A568B"/>
    <w:rsid w:val="002A5696"/>
    <w:rsid w:val="002A5C62"/>
    <w:rsid w:val="002A5DDF"/>
    <w:rsid w:val="002A5F7F"/>
    <w:rsid w:val="002A62D8"/>
    <w:rsid w:val="002A6301"/>
    <w:rsid w:val="002A6328"/>
    <w:rsid w:val="002A637F"/>
    <w:rsid w:val="002A66D3"/>
    <w:rsid w:val="002A6805"/>
    <w:rsid w:val="002A6A44"/>
    <w:rsid w:val="002A6D57"/>
    <w:rsid w:val="002A6DB6"/>
    <w:rsid w:val="002A6E55"/>
    <w:rsid w:val="002A6ED8"/>
    <w:rsid w:val="002A7572"/>
    <w:rsid w:val="002A76BE"/>
    <w:rsid w:val="002A7770"/>
    <w:rsid w:val="002A7A6C"/>
    <w:rsid w:val="002A7AA6"/>
    <w:rsid w:val="002A7BF2"/>
    <w:rsid w:val="002A7CCA"/>
    <w:rsid w:val="002A7EA7"/>
    <w:rsid w:val="002B011D"/>
    <w:rsid w:val="002B0212"/>
    <w:rsid w:val="002B0400"/>
    <w:rsid w:val="002B04A7"/>
    <w:rsid w:val="002B04AB"/>
    <w:rsid w:val="002B0603"/>
    <w:rsid w:val="002B069F"/>
    <w:rsid w:val="002B06F3"/>
    <w:rsid w:val="002B099E"/>
    <w:rsid w:val="002B0A7D"/>
    <w:rsid w:val="002B0C68"/>
    <w:rsid w:val="002B0F58"/>
    <w:rsid w:val="002B16E8"/>
    <w:rsid w:val="002B2085"/>
    <w:rsid w:val="002B20D9"/>
    <w:rsid w:val="002B2105"/>
    <w:rsid w:val="002B2126"/>
    <w:rsid w:val="002B21E1"/>
    <w:rsid w:val="002B2435"/>
    <w:rsid w:val="002B25F6"/>
    <w:rsid w:val="002B29E0"/>
    <w:rsid w:val="002B2A34"/>
    <w:rsid w:val="002B2BE5"/>
    <w:rsid w:val="002B2D66"/>
    <w:rsid w:val="002B2FD0"/>
    <w:rsid w:val="002B3274"/>
    <w:rsid w:val="002B35FB"/>
    <w:rsid w:val="002B3609"/>
    <w:rsid w:val="002B37D9"/>
    <w:rsid w:val="002B3812"/>
    <w:rsid w:val="002B3930"/>
    <w:rsid w:val="002B3A33"/>
    <w:rsid w:val="002B4890"/>
    <w:rsid w:val="002B49F6"/>
    <w:rsid w:val="002B4A5E"/>
    <w:rsid w:val="002B4B29"/>
    <w:rsid w:val="002B4D37"/>
    <w:rsid w:val="002B4E42"/>
    <w:rsid w:val="002B4F1A"/>
    <w:rsid w:val="002B5274"/>
    <w:rsid w:val="002B52F0"/>
    <w:rsid w:val="002B561B"/>
    <w:rsid w:val="002B5870"/>
    <w:rsid w:val="002B5B3D"/>
    <w:rsid w:val="002B5D51"/>
    <w:rsid w:val="002B5FCF"/>
    <w:rsid w:val="002B6473"/>
    <w:rsid w:val="002B6508"/>
    <w:rsid w:val="002B6703"/>
    <w:rsid w:val="002B6B23"/>
    <w:rsid w:val="002B6B36"/>
    <w:rsid w:val="002B6C40"/>
    <w:rsid w:val="002B7112"/>
    <w:rsid w:val="002B738E"/>
    <w:rsid w:val="002B74DA"/>
    <w:rsid w:val="002B7810"/>
    <w:rsid w:val="002B7855"/>
    <w:rsid w:val="002B7B45"/>
    <w:rsid w:val="002B7B63"/>
    <w:rsid w:val="002B7D3B"/>
    <w:rsid w:val="002B7FEB"/>
    <w:rsid w:val="002C016E"/>
    <w:rsid w:val="002C0651"/>
    <w:rsid w:val="002C0713"/>
    <w:rsid w:val="002C090F"/>
    <w:rsid w:val="002C09C9"/>
    <w:rsid w:val="002C0DF4"/>
    <w:rsid w:val="002C0E5B"/>
    <w:rsid w:val="002C0EE8"/>
    <w:rsid w:val="002C12F4"/>
    <w:rsid w:val="002C1465"/>
    <w:rsid w:val="002C15D2"/>
    <w:rsid w:val="002C182F"/>
    <w:rsid w:val="002C184F"/>
    <w:rsid w:val="002C1A1A"/>
    <w:rsid w:val="002C1AE3"/>
    <w:rsid w:val="002C1CA2"/>
    <w:rsid w:val="002C1D83"/>
    <w:rsid w:val="002C1DE5"/>
    <w:rsid w:val="002C22F9"/>
    <w:rsid w:val="002C2388"/>
    <w:rsid w:val="002C2392"/>
    <w:rsid w:val="002C29D5"/>
    <w:rsid w:val="002C2ADD"/>
    <w:rsid w:val="002C2E5A"/>
    <w:rsid w:val="002C2E7C"/>
    <w:rsid w:val="002C2F73"/>
    <w:rsid w:val="002C31EE"/>
    <w:rsid w:val="002C329B"/>
    <w:rsid w:val="002C32AC"/>
    <w:rsid w:val="002C33B9"/>
    <w:rsid w:val="002C369B"/>
    <w:rsid w:val="002C37A6"/>
    <w:rsid w:val="002C389C"/>
    <w:rsid w:val="002C38AB"/>
    <w:rsid w:val="002C3F51"/>
    <w:rsid w:val="002C419E"/>
    <w:rsid w:val="002C435F"/>
    <w:rsid w:val="002C471F"/>
    <w:rsid w:val="002C47D1"/>
    <w:rsid w:val="002C48C5"/>
    <w:rsid w:val="002C49F3"/>
    <w:rsid w:val="002C4A04"/>
    <w:rsid w:val="002C4BE7"/>
    <w:rsid w:val="002C4BE8"/>
    <w:rsid w:val="002C4C4C"/>
    <w:rsid w:val="002C4D43"/>
    <w:rsid w:val="002C509E"/>
    <w:rsid w:val="002C521B"/>
    <w:rsid w:val="002C5364"/>
    <w:rsid w:val="002C556B"/>
    <w:rsid w:val="002C56EB"/>
    <w:rsid w:val="002C5994"/>
    <w:rsid w:val="002C5A72"/>
    <w:rsid w:val="002C5B55"/>
    <w:rsid w:val="002C5D0D"/>
    <w:rsid w:val="002C5E47"/>
    <w:rsid w:val="002C5EAB"/>
    <w:rsid w:val="002C5ECA"/>
    <w:rsid w:val="002C5FCA"/>
    <w:rsid w:val="002C606E"/>
    <w:rsid w:val="002C60C1"/>
    <w:rsid w:val="002C6782"/>
    <w:rsid w:val="002C696E"/>
    <w:rsid w:val="002C6AA6"/>
    <w:rsid w:val="002C6B31"/>
    <w:rsid w:val="002C6B4A"/>
    <w:rsid w:val="002C6C13"/>
    <w:rsid w:val="002C6CC2"/>
    <w:rsid w:val="002C6DAA"/>
    <w:rsid w:val="002C6DE4"/>
    <w:rsid w:val="002C6E21"/>
    <w:rsid w:val="002C7979"/>
    <w:rsid w:val="002C7A46"/>
    <w:rsid w:val="002C7C5F"/>
    <w:rsid w:val="002C7C76"/>
    <w:rsid w:val="002C7D46"/>
    <w:rsid w:val="002C7FCB"/>
    <w:rsid w:val="002D02AB"/>
    <w:rsid w:val="002D0426"/>
    <w:rsid w:val="002D060E"/>
    <w:rsid w:val="002D0A57"/>
    <w:rsid w:val="002D0B13"/>
    <w:rsid w:val="002D0D8D"/>
    <w:rsid w:val="002D10DB"/>
    <w:rsid w:val="002D1299"/>
    <w:rsid w:val="002D1461"/>
    <w:rsid w:val="002D1611"/>
    <w:rsid w:val="002D17D4"/>
    <w:rsid w:val="002D184A"/>
    <w:rsid w:val="002D19BF"/>
    <w:rsid w:val="002D1DAB"/>
    <w:rsid w:val="002D1FA1"/>
    <w:rsid w:val="002D1FA4"/>
    <w:rsid w:val="002D2206"/>
    <w:rsid w:val="002D2405"/>
    <w:rsid w:val="002D2A88"/>
    <w:rsid w:val="002D2AB0"/>
    <w:rsid w:val="002D2BC9"/>
    <w:rsid w:val="002D2D6B"/>
    <w:rsid w:val="002D2E3D"/>
    <w:rsid w:val="002D2E69"/>
    <w:rsid w:val="002D2E9E"/>
    <w:rsid w:val="002D35C4"/>
    <w:rsid w:val="002D3756"/>
    <w:rsid w:val="002D3879"/>
    <w:rsid w:val="002D3B02"/>
    <w:rsid w:val="002D3E0B"/>
    <w:rsid w:val="002D3F64"/>
    <w:rsid w:val="002D4020"/>
    <w:rsid w:val="002D4091"/>
    <w:rsid w:val="002D41DD"/>
    <w:rsid w:val="002D441B"/>
    <w:rsid w:val="002D459C"/>
    <w:rsid w:val="002D4740"/>
    <w:rsid w:val="002D47FA"/>
    <w:rsid w:val="002D48FE"/>
    <w:rsid w:val="002D4A30"/>
    <w:rsid w:val="002D4C43"/>
    <w:rsid w:val="002D4E4F"/>
    <w:rsid w:val="002D503C"/>
    <w:rsid w:val="002D50E5"/>
    <w:rsid w:val="002D516B"/>
    <w:rsid w:val="002D529E"/>
    <w:rsid w:val="002D55C7"/>
    <w:rsid w:val="002D56D5"/>
    <w:rsid w:val="002D5799"/>
    <w:rsid w:val="002D5B31"/>
    <w:rsid w:val="002D5BFB"/>
    <w:rsid w:val="002D5FD4"/>
    <w:rsid w:val="002D607D"/>
    <w:rsid w:val="002D61B9"/>
    <w:rsid w:val="002D6202"/>
    <w:rsid w:val="002D6373"/>
    <w:rsid w:val="002D637E"/>
    <w:rsid w:val="002D639B"/>
    <w:rsid w:val="002D642C"/>
    <w:rsid w:val="002D65B7"/>
    <w:rsid w:val="002D6691"/>
    <w:rsid w:val="002D6697"/>
    <w:rsid w:val="002D6793"/>
    <w:rsid w:val="002D69E1"/>
    <w:rsid w:val="002D6E61"/>
    <w:rsid w:val="002D6EC2"/>
    <w:rsid w:val="002D7046"/>
    <w:rsid w:val="002D7164"/>
    <w:rsid w:val="002D7293"/>
    <w:rsid w:val="002D74D1"/>
    <w:rsid w:val="002D7556"/>
    <w:rsid w:val="002D7647"/>
    <w:rsid w:val="002D7889"/>
    <w:rsid w:val="002D78D3"/>
    <w:rsid w:val="002D7B1B"/>
    <w:rsid w:val="002D7BAB"/>
    <w:rsid w:val="002D7F4C"/>
    <w:rsid w:val="002E010B"/>
    <w:rsid w:val="002E01DC"/>
    <w:rsid w:val="002E0354"/>
    <w:rsid w:val="002E0610"/>
    <w:rsid w:val="002E0D8B"/>
    <w:rsid w:val="002E0DDF"/>
    <w:rsid w:val="002E0E19"/>
    <w:rsid w:val="002E0F5A"/>
    <w:rsid w:val="002E10E6"/>
    <w:rsid w:val="002E1668"/>
    <w:rsid w:val="002E16E9"/>
    <w:rsid w:val="002E1714"/>
    <w:rsid w:val="002E171A"/>
    <w:rsid w:val="002E1B0E"/>
    <w:rsid w:val="002E1E39"/>
    <w:rsid w:val="002E1F15"/>
    <w:rsid w:val="002E1F3D"/>
    <w:rsid w:val="002E2006"/>
    <w:rsid w:val="002E2191"/>
    <w:rsid w:val="002E21D0"/>
    <w:rsid w:val="002E24C8"/>
    <w:rsid w:val="002E24E1"/>
    <w:rsid w:val="002E2505"/>
    <w:rsid w:val="002E2589"/>
    <w:rsid w:val="002E2599"/>
    <w:rsid w:val="002E2606"/>
    <w:rsid w:val="002E27B7"/>
    <w:rsid w:val="002E29C7"/>
    <w:rsid w:val="002E2AA9"/>
    <w:rsid w:val="002E2B75"/>
    <w:rsid w:val="002E2C6F"/>
    <w:rsid w:val="002E343E"/>
    <w:rsid w:val="002E35A3"/>
    <w:rsid w:val="002E35F5"/>
    <w:rsid w:val="002E3B07"/>
    <w:rsid w:val="002E3D53"/>
    <w:rsid w:val="002E3EB4"/>
    <w:rsid w:val="002E4030"/>
    <w:rsid w:val="002E409C"/>
    <w:rsid w:val="002E426B"/>
    <w:rsid w:val="002E45A1"/>
    <w:rsid w:val="002E4660"/>
    <w:rsid w:val="002E4895"/>
    <w:rsid w:val="002E5171"/>
    <w:rsid w:val="002E52D3"/>
    <w:rsid w:val="002E551F"/>
    <w:rsid w:val="002E5649"/>
    <w:rsid w:val="002E591D"/>
    <w:rsid w:val="002E59B9"/>
    <w:rsid w:val="002E59C1"/>
    <w:rsid w:val="002E5C3E"/>
    <w:rsid w:val="002E5D5B"/>
    <w:rsid w:val="002E5DA3"/>
    <w:rsid w:val="002E5FD0"/>
    <w:rsid w:val="002E60E3"/>
    <w:rsid w:val="002E617C"/>
    <w:rsid w:val="002E628D"/>
    <w:rsid w:val="002E6327"/>
    <w:rsid w:val="002E6473"/>
    <w:rsid w:val="002E64C8"/>
    <w:rsid w:val="002E6872"/>
    <w:rsid w:val="002E6C53"/>
    <w:rsid w:val="002E6CDA"/>
    <w:rsid w:val="002E6DCF"/>
    <w:rsid w:val="002E6E78"/>
    <w:rsid w:val="002E70CC"/>
    <w:rsid w:val="002E70F5"/>
    <w:rsid w:val="002E74FE"/>
    <w:rsid w:val="002E75FB"/>
    <w:rsid w:val="002E77FC"/>
    <w:rsid w:val="002E7AB5"/>
    <w:rsid w:val="002E7AFA"/>
    <w:rsid w:val="002F00A7"/>
    <w:rsid w:val="002F00DA"/>
    <w:rsid w:val="002F0172"/>
    <w:rsid w:val="002F040C"/>
    <w:rsid w:val="002F04A0"/>
    <w:rsid w:val="002F04BD"/>
    <w:rsid w:val="002F0755"/>
    <w:rsid w:val="002F07D0"/>
    <w:rsid w:val="002F097D"/>
    <w:rsid w:val="002F0A9D"/>
    <w:rsid w:val="002F0B1C"/>
    <w:rsid w:val="002F0BA3"/>
    <w:rsid w:val="002F10B6"/>
    <w:rsid w:val="002F170C"/>
    <w:rsid w:val="002F1770"/>
    <w:rsid w:val="002F185B"/>
    <w:rsid w:val="002F19E1"/>
    <w:rsid w:val="002F1AB7"/>
    <w:rsid w:val="002F1CCF"/>
    <w:rsid w:val="002F2095"/>
    <w:rsid w:val="002F234A"/>
    <w:rsid w:val="002F2471"/>
    <w:rsid w:val="002F2488"/>
    <w:rsid w:val="002F25CF"/>
    <w:rsid w:val="002F2796"/>
    <w:rsid w:val="002F27E2"/>
    <w:rsid w:val="002F2821"/>
    <w:rsid w:val="002F28F3"/>
    <w:rsid w:val="002F28FF"/>
    <w:rsid w:val="002F29FF"/>
    <w:rsid w:val="002F2B3A"/>
    <w:rsid w:val="002F2BA5"/>
    <w:rsid w:val="002F2BF7"/>
    <w:rsid w:val="002F307E"/>
    <w:rsid w:val="002F31C4"/>
    <w:rsid w:val="002F3399"/>
    <w:rsid w:val="002F3855"/>
    <w:rsid w:val="002F3B7C"/>
    <w:rsid w:val="002F3DC7"/>
    <w:rsid w:val="002F3ECD"/>
    <w:rsid w:val="002F4183"/>
    <w:rsid w:val="002F4721"/>
    <w:rsid w:val="002F4974"/>
    <w:rsid w:val="002F49DA"/>
    <w:rsid w:val="002F49F5"/>
    <w:rsid w:val="002F4AC3"/>
    <w:rsid w:val="002F4C5D"/>
    <w:rsid w:val="002F4CB8"/>
    <w:rsid w:val="002F4CF3"/>
    <w:rsid w:val="002F4E74"/>
    <w:rsid w:val="002F5068"/>
    <w:rsid w:val="002F5386"/>
    <w:rsid w:val="002F5555"/>
    <w:rsid w:val="002F55B1"/>
    <w:rsid w:val="002F55DD"/>
    <w:rsid w:val="002F58AA"/>
    <w:rsid w:val="002F598F"/>
    <w:rsid w:val="002F5B80"/>
    <w:rsid w:val="002F5B87"/>
    <w:rsid w:val="002F5D3D"/>
    <w:rsid w:val="002F5DDB"/>
    <w:rsid w:val="002F5DF1"/>
    <w:rsid w:val="002F611D"/>
    <w:rsid w:val="002F624A"/>
    <w:rsid w:val="002F6A60"/>
    <w:rsid w:val="002F6D9C"/>
    <w:rsid w:val="002F6D9D"/>
    <w:rsid w:val="002F7362"/>
    <w:rsid w:val="002F7891"/>
    <w:rsid w:val="002F790F"/>
    <w:rsid w:val="002F7C27"/>
    <w:rsid w:val="002F7EFA"/>
    <w:rsid w:val="003000CC"/>
    <w:rsid w:val="003001C0"/>
    <w:rsid w:val="0030034D"/>
    <w:rsid w:val="00300384"/>
    <w:rsid w:val="00300385"/>
    <w:rsid w:val="003003C4"/>
    <w:rsid w:val="00300526"/>
    <w:rsid w:val="00300571"/>
    <w:rsid w:val="00300719"/>
    <w:rsid w:val="003007C5"/>
    <w:rsid w:val="00300968"/>
    <w:rsid w:val="00300B66"/>
    <w:rsid w:val="00300CAE"/>
    <w:rsid w:val="00300DF1"/>
    <w:rsid w:val="00300EEE"/>
    <w:rsid w:val="00300F91"/>
    <w:rsid w:val="00301070"/>
    <w:rsid w:val="003017DD"/>
    <w:rsid w:val="00301820"/>
    <w:rsid w:val="00301A4D"/>
    <w:rsid w:val="00301CFB"/>
    <w:rsid w:val="00301F50"/>
    <w:rsid w:val="0030210B"/>
    <w:rsid w:val="003027B4"/>
    <w:rsid w:val="00302D62"/>
    <w:rsid w:val="00302FDC"/>
    <w:rsid w:val="00302FEF"/>
    <w:rsid w:val="0030331B"/>
    <w:rsid w:val="00303353"/>
    <w:rsid w:val="00303402"/>
    <w:rsid w:val="003035A1"/>
    <w:rsid w:val="0030366D"/>
    <w:rsid w:val="0030368B"/>
    <w:rsid w:val="003037E7"/>
    <w:rsid w:val="0030384A"/>
    <w:rsid w:val="00303A52"/>
    <w:rsid w:val="00303AC1"/>
    <w:rsid w:val="00303E0A"/>
    <w:rsid w:val="00303F82"/>
    <w:rsid w:val="00304129"/>
    <w:rsid w:val="00304718"/>
    <w:rsid w:val="00304F83"/>
    <w:rsid w:val="0030500E"/>
    <w:rsid w:val="003055E6"/>
    <w:rsid w:val="00305FBA"/>
    <w:rsid w:val="00306325"/>
    <w:rsid w:val="00306712"/>
    <w:rsid w:val="0030690B"/>
    <w:rsid w:val="00306B2F"/>
    <w:rsid w:val="00306DE5"/>
    <w:rsid w:val="00306F84"/>
    <w:rsid w:val="003072D7"/>
    <w:rsid w:val="00307357"/>
    <w:rsid w:val="0030755F"/>
    <w:rsid w:val="003076F1"/>
    <w:rsid w:val="00307C64"/>
    <w:rsid w:val="00307E4D"/>
    <w:rsid w:val="00307F9D"/>
    <w:rsid w:val="003103F2"/>
    <w:rsid w:val="00310550"/>
    <w:rsid w:val="0031065D"/>
    <w:rsid w:val="00310D29"/>
    <w:rsid w:val="00310E21"/>
    <w:rsid w:val="0031181A"/>
    <w:rsid w:val="00311BBE"/>
    <w:rsid w:val="00311E10"/>
    <w:rsid w:val="00311E5F"/>
    <w:rsid w:val="00312129"/>
    <w:rsid w:val="0031215D"/>
    <w:rsid w:val="003121DA"/>
    <w:rsid w:val="003124C6"/>
    <w:rsid w:val="00312580"/>
    <w:rsid w:val="00312A7C"/>
    <w:rsid w:val="00312F54"/>
    <w:rsid w:val="00312FCF"/>
    <w:rsid w:val="00312FFF"/>
    <w:rsid w:val="0031373F"/>
    <w:rsid w:val="003139C3"/>
    <w:rsid w:val="00313A1E"/>
    <w:rsid w:val="00313B2E"/>
    <w:rsid w:val="003140FD"/>
    <w:rsid w:val="0031415E"/>
    <w:rsid w:val="0031425C"/>
    <w:rsid w:val="003144C6"/>
    <w:rsid w:val="00314797"/>
    <w:rsid w:val="00314A45"/>
    <w:rsid w:val="00314D71"/>
    <w:rsid w:val="0031511B"/>
    <w:rsid w:val="003152FF"/>
    <w:rsid w:val="0031530A"/>
    <w:rsid w:val="0031534E"/>
    <w:rsid w:val="0031549D"/>
    <w:rsid w:val="003154D7"/>
    <w:rsid w:val="00315742"/>
    <w:rsid w:val="00315867"/>
    <w:rsid w:val="0031591F"/>
    <w:rsid w:val="00315976"/>
    <w:rsid w:val="00315C0D"/>
    <w:rsid w:val="00315DFD"/>
    <w:rsid w:val="00316061"/>
    <w:rsid w:val="003162F2"/>
    <w:rsid w:val="003163EB"/>
    <w:rsid w:val="00316872"/>
    <w:rsid w:val="00316875"/>
    <w:rsid w:val="00316A9C"/>
    <w:rsid w:val="00316C28"/>
    <w:rsid w:val="00316E00"/>
    <w:rsid w:val="00316E9B"/>
    <w:rsid w:val="00316F51"/>
    <w:rsid w:val="003173EA"/>
    <w:rsid w:val="00317490"/>
    <w:rsid w:val="003176AE"/>
    <w:rsid w:val="0031770B"/>
    <w:rsid w:val="00317ACA"/>
    <w:rsid w:val="00317B70"/>
    <w:rsid w:val="00317B79"/>
    <w:rsid w:val="00317FA3"/>
    <w:rsid w:val="00317FF4"/>
    <w:rsid w:val="00320000"/>
    <w:rsid w:val="0032029C"/>
    <w:rsid w:val="00320641"/>
    <w:rsid w:val="0032069D"/>
    <w:rsid w:val="003207C1"/>
    <w:rsid w:val="00320926"/>
    <w:rsid w:val="003209B1"/>
    <w:rsid w:val="00320E42"/>
    <w:rsid w:val="00320F14"/>
    <w:rsid w:val="003211A1"/>
    <w:rsid w:val="003212BB"/>
    <w:rsid w:val="00321576"/>
    <w:rsid w:val="003215A5"/>
    <w:rsid w:val="00321ABF"/>
    <w:rsid w:val="00321B6E"/>
    <w:rsid w:val="00321B80"/>
    <w:rsid w:val="00321BAE"/>
    <w:rsid w:val="00321F66"/>
    <w:rsid w:val="00321FC8"/>
    <w:rsid w:val="00321FD2"/>
    <w:rsid w:val="0032222E"/>
    <w:rsid w:val="0032246E"/>
    <w:rsid w:val="0032265B"/>
    <w:rsid w:val="0032283D"/>
    <w:rsid w:val="00322B5B"/>
    <w:rsid w:val="00323571"/>
    <w:rsid w:val="00323705"/>
    <w:rsid w:val="003237DA"/>
    <w:rsid w:val="0032380A"/>
    <w:rsid w:val="00323891"/>
    <w:rsid w:val="00323A37"/>
    <w:rsid w:val="00323BAC"/>
    <w:rsid w:val="00323BB8"/>
    <w:rsid w:val="00323E3E"/>
    <w:rsid w:val="00324410"/>
    <w:rsid w:val="00324678"/>
    <w:rsid w:val="0032491F"/>
    <w:rsid w:val="00324A4F"/>
    <w:rsid w:val="00324ED2"/>
    <w:rsid w:val="00324FDD"/>
    <w:rsid w:val="0032514B"/>
    <w:rsid w:val="00325162"/>
    <w:rsid w:val="0032518C"/>
    <w:rsid w:val="00325392"/>
    <w:rsid w:val="003257EB"/>
    <w:rsid w:val="0032599D"/>
    <w:rsid w:val="00325C46"/>
    <w:rsid w:val="00325C84"/>
    <w:rsid w:val="0032669B"/>
    <w:rsid w:val="003268C1"/>
    <w:rsid w:val="00326974"/>
    <w:rsid w:val="0032697F"/>
    <w:rsid w:val="003269B0"/>
    <w:rsid w:val="003269F6"/>
    <w:rsid w:val="00326A18"/>
    <w:rsid w:val="00326A25"/>
    <w:rsid w:val="00326A7A"/>
    <w:rsid w:val="00326A84"/>
    <w:rsid w:val="00326C51"/>
    <w:rsid w:val="003270B5"/>
    <w:rsid w:val="0032723D"/>
    <w:rsid w:val="003272A4"/>
    <w:rsid w:val="00327574"/>
    <w:rsid w:val="0032760F"/>
    <w:rsid w:val="00327761"/>
    <w:rsid w:val="00327820"/>
    <w:rsid w:val="00327840"/>
    <w:rsid w:val="00327867"/>
    <w:rsid w:val="003278CA"/>
    <w:rsid w:val="00327A4E"/>
    <w:rsid w:val="00327B73"/>
    <w:rsid w:val="00327C72"/>
    <w:rsid w:val="00327D15"/>
    <w:rsid w:val="00327D63"/>
    <w:rsid w:val="00327DC2"/>
    <w:rsid w:val="00327FBC"/>
    <w:rsid w:val="003301EF"/>
    <w:rsid w:val="003303F6"/>
    <w:rsid w:val="0033051F"/>
    <w:rsid w:val="00330833"/>
    <w:rsid w:val="00330BB1"/>
    <w:rsid w:val="00330BC0"/>
    <w:rsid w:val="00330D7E"/>
    <w:rsid w:val="0033101F"/>
    <w:rsid w:val="0033147F"/>
    <w:rsid w:val="00331566"/>
    <w:rsid w:val="003315F9"/>
    <w:rsid w:val="00331741"/>
    <w:rsid w:val="00331901"/>
    <w:rsid w:val="00331949"/>
    <w:rsid w:val="003319CE"/>
    <w:rsid w:val="00331AEE"/>
    <w:rsid w:val="00331B4C"/>
    <w:rsid w:val="00331B6C"/>
    <w:rsid w:val="00331BA8"/>
    <w:rsid w:val="00331FC7"/>
    <w:rsid w:val="003322CA"/>
    <w:rsid w:val="00332352"/>
    <w:rsid w:val="003323BF"/>
    <w:rsid w:val="00332742"/>
    <w:rsid w:val="0033281C"/>
    <w:rsid w:val="00332B04"/>
    <w:rsid w:val="00332B80"/>
    <w:rsid w:val="00332BE5"/>
    <w:rsid w:val="00332CB6"/>
    <w:rsid w:val="003332FD"/>
    <w:rsid w:val="00333532"/>
    <w:rsid w:val="00333777"/>
    <w:rsid w:val="003337D3"/>
    <w:rsid w:val="00333898"/>
    <w:rsid w:val="00333BEE"/>
    <w:rsid w:val="0033415B"/>
    <w:rsid w:val="003344B3"/>
    <w:rsid w:val="00334905"/>
    <w:rsid w:val="00334B6E"/>
    <w:rsid w:val="00334BC3"/>
    <w:rsid w:val="00334CD1"/>
    <w:rsid w:val="003352B7"/>
    <w:rsid w:val="0033590F"/>
    <w:rsid w:val="00335B6C"/>
    <w:rsid w:val="00335CA8"/>
    <w:rsid w:val="00335E60"/>
    <w:rsid w:val="00336241"/>
    <w:rsid w:val="0033624F"/>
    <w:rsid w:val="0033669B"/>
    <w:rsid w:val="00336785"/>
    <w:rsid w:val="00336BE6"/>
    <w:rsid w:val="00336CA2"/>
    <w:rsid w:val="00336E2D"/>
    <w:rsid w:val="00336E63"/>
    <w:rsid w:val="00336EBB"/>
    <w:rsid w:val="00336EF6"/>
    <w:rsid w:val="003372DD"/>
    <w:rsid w:val="0033737D"/>
    <w:rsid w:val="003373E2"/>
    <w:rsid w:val="003374B8"/>
    <w:rsid w:val="003375D4"/>
    <w:rsid w:val="003375F2"/>
    <w:rsid w:val="00337B8E"/>
    <w:rsid w:val="00337BE2"/>
    <w:rsid w:val="00337C52"/>
    <w:rsid w:val="00337CDB"/>
    <w:rsid w:val="00337D7E"/>
    <w:rsid w:val="00337DF3"/>
    <w:rsid w:val="00340074"/>
    <w:rsid w:val="00340156"/>
    <w:rsid w:val="00340172"/>
    <w:rsid w:val="003401A5"/>
    <w:rsid w:val="0034020A"/>
    <w:rsid w:val="003404B5"/>
    <w:rsid w:val="0034050B"/>
    <w:rsid w:val="003405DB"/>
    <w:rsid w:val="003407AA"/>
    <w:rsid w:val="00340A7D"/>
    <w:rsid w:val="00340B48"/>
    <w:rsid w:val="00340DB9"/>
    <w:rsid w:val="00341150"/>
    <w:rsid w:val="00341236"/>
    <w:rsid w:val="0034131A"/>
    <w:rsid w:val="003413FA"/>
    <w:rsid w:val="0034177F"/>
    <w:rsid w:val="0034179C"/>
    <w:rsid w:val="003419F0"/>
    <w:rsid w:val="00341BA8"/>
    <w:rsid w:val="00341C8E"/>
    <w:rsid w:val="00341C90"/>
    <w:rsid w:val="00341CC4"/>
    <w:rsid w:val="00342719"/>
    <w:rsid w:val="003427DF"/>
    <w:rsid w:val="00342AA0"/>
    <w:rsid w:val="00342E9D"/>
    <w:rsid w:val="00343033"/>
    <w:rsid w:val="003431CA"/>
    <w:rsid w:val="0034325E"/>
    <w:rsid w:val="0034327B"/>
    <w:rsid w:val="0034363A"/>
    <w:rsid w:val="003437BC"/>
    <w:rsid w:val="0034382A"/>
    <w:rsid w:val="0034390E"/>
    <w:rsid w:val="00343925"/>
    <w:rsid w:val="003439B2"/>
    <w:rsid w:val="00343CC5"/>
    <w:rsid w:val="0034400B"/>
    <w:rsid w:val="00344020"/>
    <w:rsid w:val="003440C8"/>
    <w:rsid w:val="00344165"/>
    <w:rsid w:val="003441AA"/>
    <w:rsid w:val="00344441"/>
    <w:rsid w:val="003445C7"/>
    <w:rsid w:val="0034468D"/>
    <w:rsid w:val="003446C0"/>
    <w:rsid w:val="00344BA5"/>
    <w:rsid w:val="00344BC2"/>
    <w:rsid w:val="00344C75"/>
    <w:rsid w:val="00344E8F"/>
    <w:rsid w:val="003454CE"/>
    <w:rsid w:val="00345554"/>
    <w:rsid w:val="003456A5"/>
    <w:rsid w:val="00345759"/>
    <w:rsid w:val="00345885"/>
    <w:rsid w:val="00345B25"/>
    <w:rsid w:val="00345E87"/>
    <w:rsid w:val="003462C3"/>
    <w:rsid w:val="0034641C"/>
    <w:rsid w:val="00346640"/>
    <w:rsid w:val="0034684F"/>
    <w:rsid w:val="00346B2B"/>
    <w:rsid w:val="00346BDD"/>
    <w:rsid w:val="00346CB1"/>
    <w:rsid w:val="00346DC9"/>
    <w:rsid w:val="00346E12"/>
    <w:rsid w:val="00347076"/>
    <w:rsid w:val="00347384"/>
    <w:rsid w:val="003473F5"/>
    <w:rsid w:val="0034754B"/>
    <w:rsid w:val="003475AD"/>
    <w:rsid w:val="003476E5"/>
    <w:rsid w:val="003479EA"/>
    <w:rsid w:val="0035001A"/>
    <w:rsid w:val="0035028E"/>
    <w:rsid w:val="003503A8"/>
    <w:rsid w:val="00350493"/>
    <w:rsid w:val="003504D7"/>
    <w:rsid w:val="003508C0"/>
    <w:rsid w:val="00350957"/>
    <w:rsid w:val="003509FB"/>
    <w:rsid w:val="00350B94"/>
    <w:rsid w:val="00351145"/>
    <w:rsid w:val="003511A2"/>
    <w:rsid w:val="003512A0"/>
    <w:rsid w:val="003515CF"/>
    <w:rsid w:val="00351834"/>
    <w:rsid w:val="003519D6"/>
    <w:rsid w:val="00351B5B"/>
    <w:rsid w:val="00351B68"/>
    <w:rsid w:val="00351C3D"/>
    <w:rsid w:val="00351C83"/>
    <w:rsid w:val="00351CD7"/>
    <w:rsid w:val="00351E4B"/>
    <w:rsid w:val="00351F4D"/>
    <w:rsid w:val="00352138"/>
    <w:rsid w:val="003521DC"/>
    <w:rsid w:val="00352448"/>
    <w:rsid w:val="0035246A"/>
    <w:rsid w:val="003524D1"/>
    <w:rsid w:val="003525BE"/>
    <w:rsid w:val="00352931"/>
    <w:rsid w:val="003529A6"/>
    <w:rsid w:val="003529D0"/>
    <w:rsid w:val="00352A65"/>
    <w:rsid w:val="00352C82"/>
    <w:rsid w:val="003530A8"/>
    <w:rsid w:val="003533BD"/>
    <w:rsid w:val="003534DA"/>
    <w:rsid w:val="00353532"/>
    <w:rsid w:val="0035370A"/>
    <w:rsid w:val="0035399E"/>
    <w:rsid w:val="003539DA"/>
    <w:rsid w:val="003539DF"/>
    <w:rsid w:val="00353ACB"/>
    <w:rsid w:val="00353B22"/>
    <w:rsid w:val="00353D6E"/>
    <w:rsid w:val="00353EF7"/>
    <w:rsid w:val="00353F09"/>
    <w:rsid w:val="00353F3C"/>
    <w:rsid w:val="00354073"/>
    <w:rsid w:val="003541E1"/>
    <w:rsid w:val="0035424A"/>
    <w:rsid w:val="00354399"/>
    <w:rsid w:val="003543CA"/>
    <w:rsid w:val="00354478"/>
    <w:rsid w:val="00354651"/>
    <w:rsid w:val="00354683"/>
    <w:rsid w:val="003547E6"/>
    <w:rsid w:val="00354A4F"/>
    <w:rsid w:val="00354A87"/>
    <w:rsid w:val="00354C3A"/>
    <w:rsid w:val="00355229"/>
    <w:rsid w:val="003554AD"/>
    <w:rsid w:val="00355750"/>
    <w:rsid w:val="00355928"/>
    <w:rsid w:val="0035597B"/>
    <w:rsid w:val="00355B63"/>
    <w:rsid w:val="00355C37"/>
    <w:rsid w:val="00355FDF"/>
    <w:rsid w:val="00356487"/>
    <w:rsid w:val="00356624"/>
    <w:rsid w:val="00356711"/>
    <w:rsid w:val="003567DB"/>
    <w:rsid w:val="003567DC"/>
    <w:rsid w:val="0035689A"/>
    <w:rsid w:val="003568D4"/>
    <w:rsid w:val="00356A8E"/>
    <w:rsid w:val="00356ACF"/>
    <w:rsid w:val="00356B1D"/>
    <w:rsid w:val="00356EC3"/>
    <w:rsid w:val="00356F63"/>
    <w:rsid w:val="0035704D"/>
    <w:rsid w:val="003571F4"/>
    <w:rsid w:val="003572EB"/>
    <w:rsid w:val="003573DB"/>
    <w:rsid w:val="003573EE"/>
    <w:rsid w:val="00357736"/>
    <w:rsid w:val="00357853"/>
    <w:rsid w:val="003578CB"/>
    <w:rsid w:val="00357D5A"/>
    <w:rsid w:val="00357E70"/>
    <w:rsid w:val="0036010E"/>
    <w:rsid w:val="00360153"/>
    <w:rsid w:val="0036024E"/>
    <w:rsid w:val="003603C0"/>
    <w:rsid w:val="00360408"/>
    <w:rsid w:val="00360487"/>
    <w:rsid w:val="00360624"/>
    <w:rsid w:val="0036062E"/>
    <w:rsid w:val="00360772"/>
    <w:rsid w:val="003609CF"/>
    <w:rsid w:val="00360B5D"/>
    <w:rsid w:val="00360B85"/>
    <w:rsid w:val="00360DA6"/>
    <w:rsid w:val="00360E77"/>
    <w:rsid w:val="00360F6F"/>
    <w:rsid w:val="00360F83"/>
    <w:rsid w:val="00360FE4"/>
    <w:rsid w:val="00360FF4"/>
    <w:rsid w:val="00361161"/>
    <w:rsid w:val="0036120E"/>
    <w:rsid w:val="00361278"/>
    <w:rsid w:val="0036149D"/>
    <w:rsid w:val="00361555"/>
    <w:rsid w:val="0036156D"/>
    <w:rsid w:val="0036161F"/>
    <w:rsid w:val="0036192B"/>
    <w:rsid w:val="0036199C"/>
    <w:rsid w:val="00361B19"/>
    <w:rsid w:val="00361E50"/>
    <w:rsid w:val="003620BE"/>
    <w:rsid w:val="003622B0"/>
    <w:rsid w:val="003622F7"/>
    <w:rsid w:val="003625A7"/>
    <w:rsid w:val="003625AD"/>
    <w:rsid w:val="003629E2"/>
    <w:rsid w:val="003629FB"/>
    <w:rsid w:val="00362CF7"/>
    <w:rsid w:val="00362E11"/>
    <w:rsid w:val="003631C5"/>
    <w:rsid w:val="003635F5"/>
    <w:rsid w:val="003637E0"/>
    <w:rsid w:val="0036390D"/>
    <w:rsid w:val="0036392E"/>
    <w:rsid w:val="00363960"/>
    <w:rsid w:val="00363B89"/>
    <w:rsid w:val="00363D08"/>
    <w:rsid w:val="00363EB2"/>
    <w:rsid w:val="0036401B"/>
    <w:rsid w:val="0036421F"/>
    <w:rsid w:val="00364397"/>
    <w:rsid w:val="003643C6"/>
    <w:rsid w:val="003643DC"/>
    <w:rsid w:val="003644DC"/>
    <w:rsid w:val="0036464D"/>
    <w:rsid w:val="003647F3"/>
    <w:rsid w:val="003649AA"/>
    <w:rsid w:val="00364ABE"/>
    <w:rsid w:val="00364DD3"/>
    <w:rsid w:val="00365052"/>
    <w:rsid w:val="003650A5"/>
    <w:rsid w:val="00365439"/>
    <w:rsid w:val="00365773"/>
    <w:rsid w:val="003658C7"/>
    <w:rsid w:val="00365C81"/>
    <w:rsid w:val="00365E03"/>
    <w:rsid w:val="00365EE5"/>
    <w:rsid w:val="003660D9"/>
    <w:rsid w:val="003663AB"/>
    <w:rsid w:val="003663D6"/>
    <w:rsid w:val="0036642B"/>
    <w:rsid w:val="00366431"/>
    <w:rsid w:val="003664C0"/>
    <w:rsid w:val="00366504"/>
    <w:rsid w:val="003667A1"/>
    <w:rsid w:val="00366867"/>
    <w:rsid w:val="00366AA7"/>
    <w:rsid w:val="00366FFF"/>
    <w:rsid w:val="0036704E"/>
    <w:rsid w:val="00367101"/>
    <w:rsid w:val="00367670"/>
    <w:rsid w:val="003679D4"/>
    <w:rsid w:val="00367B44"/>
    <w:rsid w:val="00367F58"/>
    <w:rsid w:val="003702BD"/>
    <w:rsid w:val="00370407"/>
    <w:rsid w:val="003704F6"/>
    <w:rsid w:val="0037051D"/>
    <w:rsid w:val="0037070D"/>
    <w:rsid w:val="00370739"/>
    <w:rsid w:val="00370982"/>
    <w:rsid w:val="00370A52"/>
    <w:rsid w:val="00370A97"/>
    <w:rsid w:val="00370AC3"/>
    <w:rsid w:val="00370E23"/>
    <w:rsid w:val="00370F21"/>
    <w:rsid w:val="00370F60"/>
    <w:rsid w:val="00370FD8"/>
    <w:rsid w:val="00371013"/>
    <w:rsid w:val="0037106D"/>
    <w:rsid w:val="003713BE"/>
    <w:rsid w:val="00371430"/>
    <w:rsid w:val="00371459"/>
    <w:rsid w:val="003714B9"/>
    <w:rsid w:val="00371517"/>
    <w:rsid w:val="003716F4"/>
    <w:rsid w:val="003716F8"/>
    <w:rsid w:val="00371A6F"/>
    <w:rsid w:val="00371F09"/>
    <w:rsid w:val="00371FE6"/>
    <w:rsid w:val="00372077"/>
    <w:rsid w:val="00372104"/>
    <w:rsid w:val="0037236F"/>
    <w:rsid w:val="0037238D"/>
    <w:rsid w:val="00372521"/>
    <w:rsid w:val="0037253A"/>
    <w:rsid w:val="003729C5"/>
    <w:rsid w:val="00372BB2"/>
    <w:rsid w:val="00372F78"/>
    <w:rsid w:val="00373266"/>
    <w:rsid w:val="0037335E"/>
    <w:rsid w:val="003733C2"/>
    <w:rsid w:val="00373439"/>
    <w:rsid w:val="00373440"/>
    <w:rsid w:val="003734F4"/>
    <w:rsid w:val="0037390A"/>
    <w:rsid w:val="00373A0F"/>
    <w:rsid w:val="00373B9C"/>
    <w:rsid w:val="00373DAB"/>
    <w:rsid w:val="00373EF7"/>
    <w:rsid w:val="00373F4A"/>
    <w:rsid w:val="0037427A"/>
    <w:rsid w:val="003742DE"/>
    <w:rsid w:val="00374708"/>
    <w:rsid w:val="00374773"/>
    <w:rsid w:val="003748E1"/>
    <w:rsid w:val="003750EF"/>
    <w:rsid w:val="0037525E"/>
    <w:rsid w:val="0037532D"/>
    <w:rsid w:val="00375610"/>
    <w:rsid w:val="0037565F"/>
    <w:rsid w:val="003756B9"/>
    <w:rsid w:val="0037585E"/>
    <w:rsid w:val="00375B0B"/>
    <w:rsid w:val="00376134"/>
    <w:rsid w:val="003761F2"/>
    <w:rsid w:val="0037625A"/>
    <w:rsid w:val="00376274"/>
    <w:rsid w:val="003762EF"/>
    <w:rsid w:val="003763A4"/>
    <w:rsid w:val="003766C4"/>
    <w:rsid w:val="0037675F"/>
    <w:rsid w:val="003767D6"/>
    <w:rsid w:val="00376966"/>
    <w:rsid w:val="00376A22"/>
    <w:rsid w:val="00376AF1"/>
    <w:rsid w:val="00376DD5"/>
    <w:rsid w:val="003771E3"/>
    <w:rsid w:val="0037759E"/>
    <w:rsid w:val="00377604"/>
    <w:rsid w:val="00377829"/>
    <w:rsid w:val="00377974"/>
    <w:rsid w:val="00377AF0"/>
    <w:rsid w:val="00377E11"/>
    <w:rsid w:val="00377EAB"/>
    <w:rsid w:val="00377FF9"/>
    <w:rsid w:val="00380191"/>
    <w:rsid w:val="00380360"/>
    <w:rsid w:val="003805C8"/>
    <w:rsid w:val="003806C6"/>
    <w:rsid w:val="00380884"/>
    <w:rsid w:val="00380AE0"/>
    <w:rsid w:val="00380B68"/>
    <w:rsid w:val="00380FBF"/>
    <w:rsid w:val="0038100A"/>
    <w:rsid w:val="003810DD"/>
    <w:rsid w:val="003812CC"/>
    <w:rsid w:val="00381699"/>
    <w:rsid w:val="003816A4"/>
    <w:rsid w:val="003816DC"/>
    <w:rsid w:val="00381753"/>
    <w:rsid w:val="0038193B"/>
    <w:rsid w:val="00381B5E"/>
    <w:rsid w:val="00381B6E"/>
    <w:rsid w:val="00381BE1"/>
    <w:rsid w:val="00381CEF"/>
    <w:rsid w:val="00381D68"/>
    <w:rsid w:val="00382375"/>
    <w:rsid w:val="0038238A"/>
    <w:rsid w:val="0038242D"/>
    <w:rsid w:val="00382620"/>
    <w:rsid w:val="003828A0"/>
    <w:rsid w:val="00382A2C"/>
    <w:rsid w:val="00382DA7"/>
    <w:rsid w:val="00382FEF"/>
    <w:rsid w:val="0038313E"/>
    <w:rsid w:val="00383474"/>
    <w:rsid w:val="0038355A"/>
    <w:rsid w:val="00383A74"/>
    <w:rsid w:val="00383B2A"/>
    <w:rsid w:val="00383D92"/>
    <w:rsid w:val="00383EE8"/>
    <w:rsid w:val="00383FE3"/>
    <w:rsid w:val="003841E3"/>
    <w:rsid w:val="00384292"/>
    <w:rsid w:val="00384634"/>
    <w:rsid w:val="00384832"/>
    <w:rsid w:val="003848DA"/>
    <w:rsid w:val="00384D97"/>
    <w:rsid w:val="00384F12"/>
    <w:rsid w:val="003851AB"/>
    <w:rsid w:val="00385247"/>
    <w:rsid w:val="0038535D"/>
    <w:rsid w:val="003853B7"/>
    <w:rsid w:val="003854C2"/>
    <w:rsid w:val="00385662"/>
    <w:rsid w:val="00385961"/>
    <w:rsid w:val="00385B29"/>
    <w:rsid w:val="00385BD1"/>
    <w:rsid w:val="00385D73"/>
    <w:rsid w:val="00385D93"/>
    <w:rsid w:val="00385E9B"/>
    <w:rsid w:val="00385EA2"/>
    <w:rsid w:val="00385FA4"/>
    <w:rsid w:val="003860A1"/>
    <w:rsid w:val="00386112"/>
    <w:rsid w:val="00386254"/>
    <w:rsid w:val="003863B7"/>
    <w:rsid w:val="003865A8"/>
    <w:rsid w:val="003865C6"/>
    <w:rsid w:val="003869FE"/>
    <w:rsid w:val="00386CAD"/>
    <w:rsid w:val="00386D5A"/>
    <w:rsid w:val="0038755F"/>
    <w:rsid w:val="00387666"/>
    <w:rsid w:val="00387748"/>
    <w:rsid w:val="003877C0"/>
    <w:rsid w:val="00387838"/>
    <w:rsid w:val="00387A92"/>
    <w:rsid w:val="00387BD6"/>
    <w:rsid w:val="003900A8"/>
    <w:rsid w:val="00390631"/>
    <w:rsid w:val="0039067B"/>
    <w:rsid w:val="00390CD6"/>
    <w:rsid w:val="00390CFA"/>
    <w:rsid w:val="00390EDF"/>
    <w:rsid w:val="00391153"/>
    <w:rsid w:val="0039131D"/>
    <w:rsid w:val="003914A1"/>
    <w:rsid w:val="0039150F"/>
    <w:rsid w:val="003916E2"/>
    <w:rsid w:val="00391AD6"/>
    <w:rsid w:val="00391E9B"/>
    <w:rsid w:val="00391EE9"/>
    <w:rsid w:val="00391F4D"/>
    <w:rsid w:val="0039228E"/>
    <w:rsid w:val="0039232E"/>
    <w:rsid w:val="00392470"/>
    <w:rsid w:val="00392601"/>
    <w:rsid w:val="003928C0"/>
    <w:rsid w:val="00392BD1"/>
    <w:rsid w:val="00392C53"/>
    <w:rsid w:val="00392C56"/>
    <w:rsid w:val="00392CCF"/>
    <w:rsid w:val="00392FEA"/>
    <w:rsid w:val="00393017"/>
    <w:rsid w:val="00393125"/>
    <w:rsid w:val="00393143"/>
    <w:rsid w:val="003932E8"/>
    <w:rsid w:val="00393575"/>
    <w:rsid w:val="003935D7"/>
    <w:rsid w:val="00393C4F"/>
    <w:rsid w:val="00393D1C"/>
    <w:rsid w:val="00393E55"/>
    <w:rsid w:val="00393F2E"/>
    <w:rsid w:val="00393F47"/>
    <w:rsid w:val="00394212"/>
    <w:rsid w:val="00394365"/>
    <w:rsid w:val="00394790"/>
    <w:rsid w:val="003947F4"/>
    <w:rsid w:val="00394AFC"/>
    <w:rsid w:val="00394C5A"/>
    <w:rsid w:val="00394E08"/>
    <w:rsid w:val="003953A9"/>
    <w:rsid w:val="0039577A"/>
    <w:rsid w:val="0039593A"/>
    <w:rsid w:val="0039598E"/>
    <w:rsid w:val="00395AAC"/>
    <w:rsid w:val="00395DD7"/>
    <w:rsid w:val="00395E1A"/>
    <w:rsid w:val="00395EF0"/>
    <w:rsid w:val="0039601F"/>
    <w:rsid w:val="00396115"/>
    <w:rsid w:val="00396321"/>
    <w:rsid w:val="003963A7"/>
    <w:rsid w:val="003966D0"/>
    <w:rsid w:val="00396885"/>
    <w:rsid w:val="00396A82"/>
    <w:rsid w:val="003971CF"/>
    <w:rsid w:val="0039730C"/>
    <w:rsid w:val="00397342"/>
    <w:rsid w:val="003974CD"/>
    <w:rsid w:val="003975A4"/>
    <w:rsid w:val="003975E4"/>
    <w:rsid w:val="00397633"/>
    <w:rsid w:val="00397EC7"/>
    <w:rsid w:val="00397F80"/>
    <w:rsid w:val="003A0229"/>
    <w:rsid w:val="003A044A"/>
    <w:rsid w:val="003A04FC"/>
    <w:rsid w:val="003A052B"/>
    <w:rsid w:val="003A056F"/>
    <w:rsid w:val="003A07A1"/>
    <w:rsid w:val="003A08C4"/>
    <w:rsid w:val="003A0A80"/>
    <w:rsid w:val="003A0ADE"/>
    <w:rsid w:val="003A0C44"/>
    <w:rsid w:val="003A0DB8"/>
    <w:rsid w:val="003A103C"/>
    <w:rsid w:val="003A15EF"/>
    <w:rsid w:val="003A19CC"/>
    <w:rsid w:val="003A1B60"/>
    <w:rsid w:val="003A1C16"/>
    <w:rsid w:val="003A1F1A"/>
    <w:rsid w:val="003A1F97"/>
    <w:rsid w:val="003A2201"/>
    <w:rsid w:val="003A22A3"/>
    <w:rsid w:val="003A244A"/>
    <w:rsid w:val="003A2815"/>
    <w:rsid w:val="003A3109"/>
    <w:rsid w:val="003A33DB"/>
    <w:rsid w:val="003A347F"/>
    <w:rsid w:val="003A34B1"/>
    <w:rsid w:val="003A34E6"/>
    <w:rsid w:val="003A3CFF"/>
    <w:rsid w:val="003A3D10"/>
    <w:rsid w:val="003A3D18"/>
    <w:rsid w:val="003A4B9A"/>
    <w:rsid w:val="003A4F08"/>
    <w:rsid w:val="003A4FAE"/>
    <w:rsid w:val="003A5018"/>
    <w:rsid w:val="003A52AC"/>
    <w:rsid w:val="003A534F"/>
    <w:rsid w:val="003A535D"/>
    <w:rsid w:val="003A5360"/>
    <w:rsid w:val="003A53A4"/>
    <w:rsid w:val="003A544B"/>
    <w:rsid w:val="003A556D"/>
    <w:rsid w:val="003A55B1"/>
    <w:rsid w:val="003A580F"/>
    <w:rsid w:val="003A5C23"/>
    <w:rsid w:val="003A5D71"/>
    <w:rsid w:val="003A5F5A"/>
    <w:rsid w:val="003A605B"/>
    <w:rsid w:val="003A6062"/>
    <w:rsid w:val="003A6084"/>
    <w:rsid w:val="003A61EC"/>
    <w:rsid w:val="003A6418"/>
    <w:rsid w:val="003A6631"/>
    <w:rsid w:val="003A6845"/>
    <w:rsid w:val="003A6B35"/>
    <w:rsid w:val="003A6D13"/>
    <w:rsid w:val="003A6DA0"/>
    <w:rsid w:val="003A7063"/>
    <w:rsid w:val="003A7376"/>
    <w:rsid w:val="003A7474"/>
    <w:rsid w:val="003A7682"/>
    <w:rsid w:val="003A76E0"/>
    <w:rsid w:val="003A773D"/>
    <w:rsid w:val="003A7F81"/>
    <w:rsid w:val="003B01CC"/>
    <w:rsid w:val="003B0467"/>
    <w:rsid w:val="003B06E1"/>
    <w:rsid w:val="003B07D5"/>
    <w:rsid w:val="003B081F"/>
    <w:rsid w:val="003B0935"/>
    <w:rsid w:val="003B0A76"/>
    <w:rsid w:val="003B0AFE"/>
    <w:rsid w:val="003B0BC5"/>
    <w:rsid w:val="003B0BD8"/>
    <w:rsid w:val="003B0C11"/>
    <w:rsid w:val="003B0DDA"/>
    <w:rsid w:val="003B0DE5"/>
    <w:rsid w:val="003B0E24"/>
    <w:rsid w:val="003B0F93"/>
    <w:rsid w:val="003B1558"/>
    <w:rsid w:val="003B15A5"/>
    <w:rsid w:val="003B17E3"/>
    <w:rsid w:val="003B1C14"/>
    <w:rsid w:val="003B1CB9"/>
    <w:rsid w:val="003B1DFB"/>
    <w:rsid w:val="003B204E"/>
    <w:rsid w:val="003B2144"/>
    <w:rsid w:val="003B21A2"/>
    <w:rsid w:val="003B29BD"/>
    <w:rsid w:val="003B2A41"/>
    <w:rsid w:val="003B2D1F"/>
    <w:rsid w:val="003B2FBD"/>
    <w:rsid w:val="003B30FA"/>
    <w:rsid w:val="003B3367"/>
    <w:rsid w:val="003B3468"/>
    <w:rsid w:val="003B346D"/>
    <w:rsid w:val="003B3950"/>
    <w:rsid w:val="003B3BB7"/>
    <w:rsid w:val="003B3D50"/>
    <w:rsid w:val="003B3D87"/>
    <w:rsid w:val="003B3FA1"/>
    <w:rsid w:val="003B3FD4"/>
    <w:rsid w:val="003B43DB"/>
    <w:rsid w:val="003B4570"/>
    <w:rsid w:val="003B4590"/>
    <w:rsid w:val="003B4672"/>
    <w:rsid w:val="003B47D1"/>
    <w:rsid w:val="003B482A"/>
    <w:rsid w:val="003B4A70"/>
    <w:rsid w:val="003B4BFC"/>
    <w:rsid w:val="003B4CFF"/>
    <w:rsid w:val="003B4D7A"/>
    <w:rsid w:val="003B5042"/>
    <w:rsid w:val="003B5697"/>
    <w:rsid w:val="003B5A6C"/>
    <w:rsid w:val="003B5AA5"/>
    <w:rsid w:val="003B62CC"/>
    <w:rsid w:val="003B67D2"/>
    <w:rsid w:val="003B6A39"/>
    <w:rsid w:val="003B6ABF"/>
    <w:rsid w:val="003B6CD9"/>
    <w:rsid w:val="003B6D59"/>
    <w:rsid w:val="003B70A5"/>
    <w:rsid w:val="003B73C6"/>
    <w:rsid w:val="003B75F0"/>
    <w:rsid w:val="003B7CA0"/>
    <w:rsid w:val="003B7D3C"/>
    <w:rsid w:val="003B7ED9"/>
    <w:rsid w:val="003C0057"/>
    <w:rsid w:val="003C0178"/>
    <w:rsid w:val="003C07C5"/>
    <w:rsid w:val="003C0902"/>
    <w:rsid w:val="003C0A0F"/>
    <w:rsid w:val="003C0A6B"/>
    <w:rsid w:val="003C0AD3"/>
    <w:rsid w:val="003C0B61"/>
    <w:rsid w:val="003C0EFC"/>
    <w:rsid w:val="003C11A3"/>
    <w:rsid w:val="003C1324"/>
    <w:rsid w:val="003C1438"/>
    <w:rsid w:val="003C15A2"/>
    <w:rsid w:val="003C15CE"/>
    <w:rsid w:val="003C1A75"/>
    <w:rsid w:val="003C1C5C"/>
    <w:rsid w:val="003C1D02"/>
    <w:rsid w:val="003C2250"/>
    <w:rsid w:val="003C24EE"/>
    <w:rsid w:val="003C2954"/>
    <w:rsid w:val="003C29D0"/>
    <w:rsid w:val="003C29EC"/>
    <w:rsid w:val="003C2A3F"/>
    <w:rsid w:val="003C2F55"/>
    <w:rsid w:val="003C2FE5"/>
    <w:rsid w:val="003C34BA"/>
    <w:rsid w:val="003C3A21"/>
    <w:rsid w:val="003C3A8B"/>
    <w:rsid w:val="003C3B64"/>
    <w:rsid w:val="003C3D41"/>
    <w:rsid w:val="003C42BD"/>
    <w:rsid w:val="003C4490"/>
    <w:rsid w:val="003C44D2"/>
    <w:rsid w:val="003C4A00"/>
    <w:rsid w:val="003C4C68"/>
    <w:rsid w:val="003C4E9B"/>
    <w:rsid w:val="003C511A"/>
    <w:rsid w:val="003C52DF"/>
    <w:rsid w:val="003C552C"/>
    <w:rsid w:val="003C55C9"/>
    <w:rsid w:val="003C573D"/>
    <w:rsid w:val="003C5A88"/>
    <w:rsid w:val="003C5AFB"/>
    <w:rsid w:val="003C5B1A"/>
    <w:rsid w:val="003C5C11"/>
    <w:rsid w:val="003C5D47"/>
    <w:rsid w:val="003C5F91"/>
    <w:rsid w:val="003C5FB7"/>
    <w:rsid w:val="003C6139"/>
    <w:rsid w:val="003C626D"/>
    <w:rsid w:val="003C62DA"/>
    <w:rsid w:val="003C65AA"/>
    <w:rsid w:val="003C6917"/>
    <w:rsid w:val="003C6970"/>
    <w:rsid w:val="003C6B92"/>
    <w:rsid w:val="003C6BEA"/>
    <w:rsid w:val="003C6CD0"/>
    <w:rsid w:val="003C6F2E"/>
    <w:rsid w:val="003C6F98"/>
    <w:rsid w:val="003C7118"/>
    <w:rsid w:val="003C7282"/>
    <w:rsid w:val="003C764A"/>
    <w:rsid w:val="003C768F"/>
    <w:rsid w:val="003C76CF"/>
    <w:rsid w:val="003C7828"/>
    <w:rsid w:val="003C7837"/>
    <w:rsid w:val="003C78C3"/>
    <w:rsid w:val="003C78F8"/>
    <w:rsid w:val="003C7964"/>
    <w:rsid w:val="003C79A8"/>
    <w:rsid w:val="003C79DC"/>
    <w:rsid w:val="003C7CC8"/>
    <w:rsid w:val="003C7FA1"/>
    <w:rsid w:val="003D01E8"/>
    <w:rsid w:val="003D036A"/>
    <w:rsid w:val="003D0581"/>
    <w:rsid w:val="003D06F6"/>
    <w:rsid w:val="003D0872"/>
    <w:rsid w:val="003D0C89"/>
    <w:rsid w:val="003D0DF5"/>
    <w:rsid w:val="003D1107"/>
    <w:rsid w:val="003D14A6"/>
    <w:rsid w:val="003D1890"/>
    <w:rsid w:val="003D196D"/>
    <w:rsid w:val="003D19C0"/>
    <w:rsid w:val="003D1DF0"/>
    <w:rsid w:val="003D1EEA"/>
    <w:rsid w:val="003D1F2D"/>
    <w:rsid w:val="003D205D"/>
    <w:rsid w:val="003D227C"/>
    <w:rsid w:val="003D238B"/>
    <w:rsid w:val="003D2534"/>
    <w:rsid w:val="003D271B"/>
    <w:rsid w:val="003D27E1"/>
    <w:rsid w:val="003D29EE"/>
    <w:rsid w:val="003D2A7E"/>
    <w:rsid w:val="003D2A8E"/>
    <w:rsid w:val="003D2B43"/>
    <w:rsid w:val="003D2D70"/>
    <w:rsid w:val="003D2F48"/>
    <w:rsid w:val="003D3099"/>
    <w:rsid w:val="003D33EE"/>
    <w:rsid w:val="003D350F"/>
    <w:rsid w:val="003D3DF6"/>
    <w:rsid w:val="003D3EFA"/>
    <w:rsid w:val="003D3FB0"/>
    <w:rsid w:val="003D406E"/>
    <w:rsid w:val="003D4167"/>
    <w:rsid w:val="003D41F7"/>
    <w:rsid w:val="003D4704"/>
    <w:rsid w:val="003D4A08"/>
    <w:rsid w:val="003D4A46"/>
    <w:rsid w:val="003D4B08"/>
    <w:rsid w:val="003D4B12"/>
    <w:rsid w:val="003D4E80"/>
    <w:rsid w:val="003D4FFC"/>
    <w:rsid w:val="003D5220"/>
    <w:rsid w:val="003D5222"/>
    <w:rsid w:val="003D530D"/>
    <w:rsid w:val="003D5339"/>
    <w:rsid w:val="003D5393"/>
    <w:rsid w:val="003D564C"/>
    <w:rsid w:val="003D56BB"/>
    <w:rsid w:val="003D5B02"/>
    <w:rsid w:val="003D5BEE"/>
    <w:rsid w:val="003D5CBC"/>
    <w:rsid w:val="003D5E25"/>
    <w:rsid w:val="003D61F3"/>
    <w:rsid w:val="003D6465"/>
    <w:rsid w:val="003D65CE"/>
    <w:rsid w:val="003D66CA"/>
    <w:rsid w:val="003D69EF"/>
    <w:rsid w:val="003D6CB4"/>
    <w:rsid w:val="003D6D5F"/>
    <w:rsid w:val="003D6DDA"/>
    <w:rsid w:val="003D6F87"/>
    <w:rsid w:val="003D7055"/>
    <w:rsid w:val="003D708B"/>
    <w:rsid w:val="003D7384"/>
    <w:rsid w:val="003D781F"/>
    <w:rsid w:val="003D7851"/>
    <w:rsid w:val="003D7D39"/>
    <w:rsid w:val="003D7F6B"/>
    <w:rsid w:val="003E077A"/>
    <w:rsid w:val="003E07D5"/>
    <w:rsid w:val="003E091A"/>
    <w:rsid w:val="003E09E2"/>
    <w:rsid w:val="003E09F3"/>
    <w:rsid w:val="003E0A37"/>
    <w:rsid w:val="003E0B3B"/>
    <w:rsid w:val="003E10A9"/>
    <w:rsid w:val="003E120B"/>
    <w:rsid w:val="003E15CD"/>
    <w:rsid w:val="003E1944"/>
    <w:rsid w:val="003E1CB0"/>
    <w:rsid w:val="003E1CF0"/>
    <w:rsid w:val="003E1CF5"/>
    <w:rsid w:val="003E1FB2"/>
    <w:rsid w:val="003E211A"/>
    <w:rsid w:val="003E241A"/>
    <w:rsid w:val="003E25F7"/>
    <w:rsid w:val="003E2605"/>
    <w:rsid w:val="003E2850"/>
    <w:rsid w:val="003E2897"/>
    <w:rsid w:val="003E2941"/>
    <w:rsid w:val="003E2971"/>
    <w:rsid w:val="003E29AB"/>
    <w:rsid w:val="003E2A9B"/>
    <w:rsid w:val="003E2AB0"/>
    <w:rsid w:val="003E2C52"/>
    <w:rsid w:val="003E2D5D"/>
    <w:rsid w:val="003E2E3D"/>
    <w:rsid w:val="003E2EDD"/>
    <w:rsid w:val="003E2EE0"/>
    <w:rsid w:val="003E32CD"/>
    <w:rsid w:val="003E339E"/>
    <w:rsid w:val="003E33AD"/>
    <w:rsid w:val="003E3451"/>
    <w:rsid w:val="003E35A2"/>
    <w:rsid w:val="003E3734"/>
    <w:rsid w:val="003E397B"/>
    <w:rsid w:val="003E3A34"/>
    <w:rsid w:val="003E3BE7"/>
    <w:rsid w:val="003E3FFC"/>
    <w:rsid w:val="003E44C5"/>
    <w:rsid w:val="003E44D5"/>
    <w:rsid w:val="003E4879"/>
    <w:rsid w:val="003E4899"/>
    <w:rsid w:val="003E4945"/>
    <w:rsid w:val="003E4D95"/>
    <w:rsid w:val="003E4E30"/>
    <w:rsid w:val="003E4ECC"/>
    <w:rsid w:val="003E4F28"/>
    <w:rsid w:val="003E4F7A"/>
    <w:rsid w:val="003E4FCB"/>
    <w:rsid w:val="003E5047"/>
    <w:rsid w:val="003E5363"/>
    <w:rsid w:val="003E5439"/>
    <w:rsid w:val="003E553A"/>
    <w:rsid w:val="003E5549"/>
    <w:rsid w:val="003E573D"/>
    <w:rsid w:val="003E592D"/>
    <w:rsid w:val="003E5A52"/>
    <w:rsid w:val="003E5ADD"/>
    <w:rsid w:val="003E5B8D"/>
    <w:rsid w:val="003E5CC1"/>
    <w:rsid w:val="003E6156"/>
    <w:rsid w:val="003E624E"/>
    <w:rsid w:val="003E6565"/>
    <w:rsid w:val="003E65AE"/>
    <w:rsid w:val="003E65B0"/>
    <w:rsid w:val="003E65CF"/>
    <w:rsid w:val="003E6847"/>
    <w:rsid w:val="003E6DF4"/>
    <w:rsid w:val="003E6EFC"/>
    <w:rsid w:val="003E701C"/>
    <w:rsid w:val="003E722B"/>
    <w:rsid w:val="003E75C6"/>
    <w:rsid w:val="003E75E4"/>
    <w:rsid w:val="003E7843"/>
    <w:rsid w:val="003E7954"/>
    <w:rsid w:val="003E7C45"/>
    <w:rsid w:val="003E7D28"/>
    <w:rsid w:val="003E7F03"/>
    <w:rsid w:val="003E7F2F"/>
    <w:rsid w:val="003E7F6C"/>
    <w:rsid w:val="003F009C"/>
    <w:rsid w:val="003F0218"/>
    <w:rsid w:val="003F0266"/>
    <w:rsid w:val="003F0321"/>
    <w:rsid w:val="003F0428"/>
    <w:rsid w:val="003F0994"/>
    <w:rsid w:val="003F09D8"/>
    <w:rsid w:val="003F0DF5"/>
    <w:rsid w:val="003F0F39"/>
    <w:rsid w:val="003F113B"/>
    <w:rsid w:val="003F11DB"/>
    <w:rsid w:val="003F12A5"/>
    <w:rsid w:val="003F18CF"/>
    <w:rsid w:val="003F19B6"/>
    <w:rsid w:val="003F1C13"/>
    <w:rsid w:val="003F20D9"/>
    <w:rsid w:val="003F2FF3"/>
    <w:rsid w:val="003F3091"/>
    <w:rsid w:val="003F34C4"/>
    <w:rsid w:val="003F350A"/>
    <w:rsid w:val="003F377E"/>
    <w:rsid w:val="003F394E"/>
    <w:rsid w:val="003F3ACF"/>
    <w:rsid w:val="003F3BAF"/>
    <w:rsid w:val="003F3E7C"/>
    <w:rsid w:val="003F3E92"/>
    <w:rsid w:val="003F40F2"/>
    <w:rsid w:val="003F425E"/>
    <w:rsid w:val="003F42AC"/>
    <w:rsid w:val="003F446E"/>
    <w:rsid w:val="003F4847"/>
    <w:rsid w:val="003F4910"/>
    <w:rsid w:val="003F4917"/>
    <w:rsid w:val="003F49BD"/>
    <w:rsid w:val="003F4C56"/>
    <w:rsid w:val="003F4C78"/>
    <w:rsid w:val="003F4CB9"/>
    <w:rsid w:val="003F5077"/>
    <w:rsid w:val="003F51F5"/>
    <w:rsid w:val="003F5388"/>
    <w:rsid w:val="003F5412"/>
    <w:rsid w:val="003F54E3"/>
    <w:rsid w:val="003F564A"/>
    <w:rsid w:val="003F5C7F"/>
    <w:rsid w:val="003F5E1B"/>
    <w:rsid w:val="003F5FB5"/>
    <w:rsid w:val="003F605B"/>
    <w:rsid w:val="003F60B1"/>
    <w:rsid w:val="003F6125"/>
    <w:rsid w:val="003F61B3"/>
    <w:rsid w:val="003F62CB"/>
    <w:rsid w:val="003F6318"/>
    <w:rsid w:val="003F68DA"/>
    <w:rsid w:val="003F69FC"/>
    <w:rsid w:val="003F6B28"/>
    <w:rsid w:val="003F6C0B"/>
    <w:rsid w:val="003F6EBA"/>
    <w:rsid w:val="003F6F37"/>
    <w:rsid w:val="003F6FA9"/>
    <w:rsid w:val="003F6FF1"/>
    <w:rsid w:val="003F7389"/>
    <w:rsid w:val="003F743B"/>
    <w:rsid w:val="003F7611"/>
    <w:rsid w:val="003F7619"/>
    <w:rsid w:val="003F7784"/>
    <w:rsid w:val="003F78C3"/>
    <w:rsid w:val="003F794B"/>
    <w:rsid w:val="003F7B90"/>
    <w:rsid w:val="003F7C6E"/>
    <w:rsid w:val="003F7FCD"/>
    <w:rsid w:val="0040017A"/>
    <w:rsid w:val="0040045F"/>
    <w:rsid w:val="0040076D"/>
    <w:rsid w:val="0040089A"/>
    <w:rsid w:val="00400C2E"/>
    <w:rsid w:val="00400CA9"/>
    <w:rsid w:val="00400CEC"/>
    <w:rsid w:val="0040117D"/>
    <w:rsid w:val="0040122B"/>
    <w:rsid w:val="0040134B"/>
    <w:rsid w:val="004017A8"/>
    <w:rsid w:val="00401B91"/>
    <w:rsid w:val="00401C41"/>
    <w:rsid w:val="00401FD5"/>
    <w:rsid w:val="004020D3"/>
    <w:rsid w:val="00402454"/>
    <w:rsid w:val="00402768"/>
    <w:rsid w:val="004027A6"/>
    <w:rsid w:val="00402851"/>
    <w:rsid w:val="0040318E"/>
    <w:rsid w:val="00403260"/>
    <w:rsid w:val="00403304"/>
    <w:rsid w:val="00403719"/>
    <w:rsid w:val="0040395F"/>
    <w:rsid w:val="00403A58"/>
    <w:rsid w:val="00403B6C"/>
    <w:rsid w:val="00403DC3"/>
    <w:rsid w:val="00403EB1"/>
    <w:rsid w:val="0040418A"/>
    <w:rsid w:val="004042D8"/>
    <w:rsid w:val="00404327"/>
    <w:rsid w:val="004045EB"/>
    <w:rsid w:val="0040475C"/>
    <w:rsid w:val="004047C5"/>
    <w:rsid w:val="0040481F"/>
    <w:rsid w:val="00404839"/>
    <w:rsid w:val="004048E8"/>
    <w:rsid w:val="00404AB5"/>
    <w:rsid w:val="00404AC8"/>
    <w:rsid w:val="00404B59"/>
    <w:rsid w:val="00404E67"/>
    <w:rsid w:val="00405408"/>
    <w:rsid w:val="00405941"/>
    <w:rsid w:val="00405987"/>
    <w:rsid w:val="004059E7"/>
    <w:rsid w:val="00405D61"/>
    <w:rsid w:val="00405F3F"/>
    <w:rsid w:val="00406456"/>
    <w:rsid w:val="0040646C"/>
    <w:rsid w:val="004066FD"/>
    <w:rsid w:val="004067E9"/>
    <w:rsid w:val="0040696D"/>
    <w:rsid w:val="004069C9"/>
    <w:rsid w:val="00406C3F"/>
    <w:rsid w:val="00406D1A"/>
    <w:rsid w:val="00406DBD"/>
    <w:rsid w:val="00406F2A"/>
    <w:rsid w:val="00406F4E"/>
    <w:rsid w:val="00407338"/>
    <w:rsid w:val="004074B0"/>
    <w:rsid w:val="00407516"/>
    <w:rsid w:val="00407606"/>
    <w:rsid w:val="0040795E"/>
    <w:rsid w:val="00407B24"/>
    <w:rsid w:val="00407B5F"/>
    <w:rsid w:val="00407BDD"/>
    <w:rsid w:val="00407BF9"/>
    <w:rsid w:val="00407E28"/>
    <w:rsid w:val="00410585"/>
    <w:rsid w:val="00410798"/>
    <w:rsid w:val="004107FA"/>
    <w:rsid w:val="00410842"/>
    <w:rsid w:val="0041084C"/>
    <w:rsid w:val="00410856"/>
    <w:rsid w:val="0041091E"/>
    <w:rsid w:val="00410B8E"/>
    <w:rsid w:val="00410C74"/>
    <w:rsid w:val="00410E9D"/>
    <w:rsid w:val="00411043"/>
    <w:rsid w:val="0041112B"/>
    <w:rsid w:val="00411373"/>
    <w:rsid w:val="004113A5"/>
    <w:rsid w:val="004116DE"/>
    <w:rsid w:val="004116DF"/>
    <w:rsid w:val="0041179E"/>
    <w:rsid w:val="004117FB"/>
    <w:rsid w:val="004118D1"/>
    <w:rsid w:val="004118DA"/>
    <w:rsid w:val="004122C0"/>
    <w:rsid w:val="00412336"/>
    <w:rsid w:val="0041262E"/>
    <w:rsid w:val="00412838"/>
    <w:rsid w:val="004128B0"/>
    <w:rsid w:val="004128ED"/>
    <w:rsid w:val="00412BBB"/>
    <w:rsid w:val="00412C16"/>
    <w:rsid w:val="00412D3C"/>
    <w:rsid w:val="00412D46"/>
    <w:rsid w:val="00412FE7"/>
    <w:rsid w:val="00413054"/>
    <w:rsid w:val="004130B3"/>
    <w:rsid w:val="0041311E"/>
    <w:rsid w:val="0041332B"/>
    <w:rsid w:val="004133B1"/>
    <w:rsid w:val="00413556"/>
    <w:rsid w:val="00413604"/>
    <w:rsid w:val="0041396F"/>
    <w:rsid w:val="00413A93"/>
    <w:rsid w:val="00413B39"/>
    <w:rsid w:val="00413DB1"/>
    <w:rsid w:val="00413FAB"/>
    <w:rsid w:val="004140BD"/>
    <w:rsid w:val="0041413E"/>
    <w:rsid w:val="00414179"/>
    <w:rsid w:val="004141D0"/>
    <w:rsid w:val="004141E7"/>
    <w:rsid w:val="004144B0"/>
    <w:rsid w:val="00414643"/>
    <w:rsid w:val="00414A71"/>
    <w:rsid w:val="00414B31"/>
    <w:rsid w:val="00414C75"/>
    <w:rsid w:val="00414D45"/>
    <w:rsid w:val="00415017"/>
    <w:rsid w:val="004150EE"/>
    <w:rsid w:val="00415116"/>
    <w:rsid w:val="004151E5"/>
    <w:rsid w:val="004153F5"/>
    <w:rsid w:val="0041544B"/>
    <w:rsid w:val="004154B7"/>
    <w:rsid w:val="00415604"/>
    <w:rsid w:val="0041584B"/>
    <w:rsid w:val="0041596C"/>
    <w:rsid w:val="004159E3"/>
    <w:rsid w:val="00415AC0"/>
    <w:rsid w:val="00415B78"/>
    <w:rsid w:val="00415C41"/>
    <w:rsid w:val="00415D9E"/>
    <w:rsid w:val="00415DEC"/>
    <w:rsid w:val="00415DF3"/>
    <w:rsid w:val="00415DFB"/>
    <w:rsid w:val="00416162"/>
    <w:rsid w:val="0041654E"/>
    <w:rsid w:val="004167FD"/>
    <w:rsid w:val="00416864"/>
    <w:rsid w:val="00416E8D"/>
    <w:rsid w:val="00416F31"/>
    <w:rsid w:val="0041749C"/>
    <w:rsid w:val="004176BB"/>
    <w:rsid w:val="0041797B"/>
    <w:rsid w:val="00417D1F"/>
    <w:rsid w:val="00417E46"/>
    <w:rsid w:val="004200A9"/>
    <w:rsid w:val="0042052E"/>
    <w:rsid w:val="00420721"/>
    <w:rsid w:val="00420940"/>
    <w:rsid w:val="00420A9F"/>
    <w:rsid w:val="00420BB0"/>
    <w:rsid w:val="00420C45"/>
    <w:rsid w:val="00420C59"/>
    <w:rsid w:val="00420D9F"/>
    <w:rsid w:val="00420E7A"/>
    <w:rsid w:val="00420F5E"/>
    <w:rsid w:val="00420FC4"/>
    <w:rsid w:val="0042122E"/>
    <w:rsid w:val="00421477"/>
    <w:rsid w:val="00421504"/>
    <w:rsid w:val="00421629"/>
    <w:rsid w:val="0042178F"/>
    <w:rsid w:val="00421976"/>
    <w:rsid w:val="00421B03"/>
    <w:rsid w:val="00421C23"/>
    <w:rsid w:val="00421EE4"/>
    <w:rsid w:val="004220C0"/>
    <w:rsid w:val="00422186"/>
    <w:rsid w:val="0042229C"/>
    <w:rsid w:val="00422392"/>
    <w:rsid w:val="0042263C"/>
    <w:rsid w:val="0042273D"/>
    <w:rsid w:val="004227AA"/>
    <w:rsid w:val="004227BD"/>
    <w:rsid w:val="00422983"/>
    <w:rsid w:val="00422ADB"/>
    <w:rsid w:val="00422B6A"/>
    <w:rsid w:val="00422D41"/>
    <w:rsid w:val="00422F79"/>
    <w:rsid w:val="00422FAC"/>
    <w:rsid w:val="004230BE"/>
    <w:rsid w:val="004231D0"/>
    <w:rsid w:val="00423346"/>
    <w:rsid w:val="004233D1"/>
    <w:rsid w:val="00423516"/>
    <w:rsid w:val="004235D0"/>
    <w:rsid w:val="00423632"/>
    <w:rsid w:val="00423955"/>
    <w:rsid w:val="00423A04"/>
    <w:rsid w:val="00423A3B"/>
    <w:rsid w:val="00423AFC"/>
    <w:rsid w:val="00423B00"/>
    <w:rsid w:val="00423BCF"/>
    <w:rsid w:val="00423C4C"/>
    <w:rsid w:val="00423D87"/>
    <w:rsid w:val="00424155"/>
    <w:rsid w:val="00424226"/>
    <w:rsid w:val="004242FE"/>
    <w:rsid w:val="004249F0"/>
    <w:rsid w:val="00424D2B"/>
    <w:rsid w:val="00424E88"/>
    <w:rsid w:val="00424FB2"/>
    <w:rsid w:val="00424FF9"/>
    <w:rsid w:val="00425089"/>
    <w:rsid w:val="0042568C"/>
    <w:rsid w:val="00425723"/>
    <w:rsid w:val="00425A4B"/>
    <w:rsid w:val="00425AB8"/>
    <w:rsid w:val="00425BBB"/>
    <w:rsid w:val="00425D36"/>
    <w:rsid w:val="00425DB9"/>
    <w:rsid w:val="00425E67"/>
    <w:rsid w:val="00425F07"/>
    <w:rsid w:val="0042610D"/>
    <w:rsid w:val="0042612C"/>
    <w:rsid w:val="00426498"/>
    <w:rsid w:val="004265EC"/>
    <w:rsid w:val="00426769"/>
    <w:rsid w:val="00426770"/>
    <w:rsid w:val="004267B8"/>
    <w:rsid w:val="004269A3"/>
    <w:rsid w:val="00426A50"/>
    <w:rsid w:val="00426E7E"/>
    <w:rsid w:val="00427145"/>
    <w:rsid w:val="00427318"/>
    <w:rsid w:val="00427519"/>
    <w:rsid w:val="0042777E"/>
    <w:rsid w:val="0042787F"/>
    <w:rsid w:val="00427966"/>
    <w:rsid w:val="00427A14"/>
    <w:rsid w:val="00427BB8"/>
    <w:rsid w:val="00427DCA"/>
    <w:rsid w:val="0043097F"/>
    <w:rsid w:val="00430E59"/>
    <w:rsid w:val="00430E92"/>
    <w:rsid w:val="00431065"/>
    <w:rsid w:val="004310E0"/>
    <w:rsid w:val="00431295"/>
    <w:rsid w:val="0043133D"/>
    <w:rsid w:val="0043136C"/>
    <w:rsid w:val="00431413"/>
    <w:rsid w:val="00431444"/>
    <w:rsid w:val="004314F6"/>
    <w:rsid w:val="004316FB"/>
    <w:rsid w:val="00431776"/>
    <w:rsid w:val="004318A1"/>
    <w:rsid w:val="00431930"/>
    <w:rsid w:val="00431DFB"/>
    <w:rsid w:val="004320A6"/>
    <w:rsid w:val="00432122"/>
    <w:rsid w:val="0043214E"/>
    <w:rsid w:val="00432163"/>
    <w:rsid w:val="004321F6"/>
    <w:rsid w:val="0043220F"/>
    <w:rsid w:val="00432368"/>
    <w:rsid w:val="00432470"/>
    <w:rsid w:val="0043255F"/>
    <w:rsid w:val="0043259F"/>
    <w:rsid w:val="00432B2C"/>
    <w:rsid w:val="00432EEC"/>
    <w:rsid w:val="00433676"/>
    <w:rsid w:val="00433866"/>
    <w:rsid w:val="00433D67"/>
    <w:rsid w:val="00433E01"/>
    <w:rsid w:val="00433EBF"/>
    <w:rsid w:val="0043420A"/>
    <w:rsid w:val="00434481"/>
    <w:rsid w:val="0043455C"/>
    <w:rsid w:val="004347E2"/>
    <w:rsid w:val="00434928"/>
    <w:rsid w:val="004349C7"/>
    <w:rsid w:val="00434C0B"/>
    <w:rsid w:val="00434DBB"/>
    <w:rsid w:val="00434E4C"/>
    <w:rsid w:val="00434EB3"/>
    <w:rsid w:val="0043505E"/>
    <w:rsid w:val="0043514D"/>
    <w:rsid w:val="0043529A"/>
    <w:rsid w:val="004352E5"/>
    <w:rsid w:val="00435334"/>
    <w:rsid w:val="004359DC"/>
    <w:rsid w:val="00435B1F"/>
    <w:rsid w:val="00435EAB"/>
    <w:rsid w:val="00435F2F"/>
    <w:rsid w:val="004361F1"/>
    <w:rsid w:val="004364FB"/>
    <w:rsid w:val="00436A5C"/>
    <w:rsid w:val="00436BFC"/>
    <w:rsid w:val="00436CD4"/>
    <w:rsid w:val="00436CE7"/>
    <w:rsid w:val="00436E62"/>
    <w:rsid w:val="00437031"/>
    <w:rsid w:val="00437093"/>
    <w:rsid w:val="00437296"/>
    <w:rsid w:val="0043734E"/>
    <w:rsid w:val="00437BE3"/>
    <w:rsid w:val="00437D03"/>
    <w:rsid w:val="00437EC7"/>
    <w:rsid w:val="00437F79"/>
    <w:rsid w:val="0044029C"/>
    <w:rsid w:val="0044035A"/>
    <w:rsid w:val="0044040F"/>
    <w:rsid w:val="0044048A"/>
    <w:rsid w:val="00440E96"/>
    <w:rsid w:val="00440F13"/>
    <w:rsid w:val="0044114D"/>
    <w:rsid w:val="004411A5"/>
    <w:rsid w:val="004411CD"/>
    <w:rsid w:val="00441286"/>
    <w:rsid w:val="004415E8"/>
    <w:rsid w:val="00441605"/>
    <w:rsid w:val="0044160F"/>
    <w:rsid w:val="004416CA"/>
    <w:rsid w:val="0044176D"/>
    <w:rsid w:val="00441853"/>
    <w:rsid w:val="00441899"/>
    <w:rsid w:val="00441A45"/>
    <w:rsid w:val="00441B25"/>
    <w:rsid w:val="00441B51"/>
    <w:rsid w:val="00441C0E"/>
    <w:rsid w:val="00441EBC"/>
    <w:rsid w:val="00441FE0"/>
    <w:rsid w:val="00442117"/>
    <w:rsid w:val="004421FC"/>
    <w:rsid w:val="0044221C"/>
    <w:rsid w:val="00442550"/>
    <w:rsid w:val="00442590"/>
    <w:rsid w:val="00442751"/>
    <w:rsid w:val="004428B7"/>
    <w:rsid w:val="0044292B"/>
    <w:rsid w:val="00442961"/>
    <w:rsid w:val="00442D0C"/>
    <w:rsid w:val="00442EAA"/>
    <w:rsid w:val="004433CF"/>
    <w:rsid w:val="004436ED"/>
    <w:rsid w:val="00443D7B"/>
    <w:rsid w:val="0044409E"/>
    <w:rsid w:val="004442B0"/>
    <w:rsid w:val="00444343"/>
    <w:rsid w:val="004444B9"/>
    <w:rsid w:val="00444689"/>
    <w:rsid w:val="0044468E"/>
    <w:rsid w:val="004446B1"/>
    <w:rsid w:val="004446BE"/>
    <w:rsid w:val="00444B1E"/>
    <w:rsid w:val="00444E83"/>
    <w:rsid w:val="00444E88"/>
    <w:rsid w:val="00444EE6"/>
    <w:rsid w:val="004450F7"/>
    <w:rsid w:val="00445173"/>
    <w:rsid w:val="00445309"/>
    <w:rsid w:val="004454D5"/>
    <w:rsid w:val="004454FB"/>
    <w:rsid w:val="0044560D"/>
    <w:rsid w:val="004456FA"/>
    <w:rsid w:val="004459F8"/>
    <w:rsid w:val="00445C3E"/>
    <w:rsid w:val="00445CCE"/>
    <w:rsid w:val="00445F3B"/>
    <w:rsid w:val="0044601D"/>
    <w:rsid w:val="004461D8"/>
    <w:rsid w:val="0044622D"/>
    <w:rsid w:val="00446487"/>
    <w:rsid w:val="004464C6"/>
    <w:rsid w:val="0044682C"/>
    <w:rsid w:val="00446CF7"/>
    <w:rsid w:val="00446DB2"/>
    <w:rsid w:val="004470FD"/>
    <w:rsid w:val="00447BC5"/>
    <w:rsid w:val="00447CED"/>
    <w:rsid w:val="004500CE"/>
    <w:rsid w:val="004501DE"/>
    <w:rsid w:val="0045034E"/>
    <w:rsid w:val="00450421"/>
    <w:rsid w:val="004504D0"/>
    <w:rsid w:val="004505DE"/>
    <w:rsid w:val="004506D4"/>
    <w:rsid w:val="0045091B"/>
    <w:rsid w:val="00450A76"/>
    <w:rsid w:val="00450DBC"/>
    <w:rsid w:val="00450DF7"/>
    <w:rsid w:val="00450F7A"/>
    <w:rsid w:val="00451075"/>
    <w:rsid w:val="004511D4"/>
    <w:rsid w:val="004514EB"/>
    <w:rsid w:val="00451515"/>
    <w:rsid w:val="004515A5"/>
    <w:rsid w:val="004515CD"/>
    <w:rsid w:val="0045194F"/>
    <w:rsid w:val="00451C6B"/>
    <w:rsid w:val="00451D84"/>
    <w:rsid w:val="00452321"/>
    <w:rsid w:val="00452563"/>
    <w:rsid w:val="004526D3"/>
    <w:rsid w:val="004526FC"/>
    <w:rsid w:val="00452F20"/>
    <w:rsid w:val="00452F95"/>
    <w:rsid w:val="00452FBC"/>
    <w:rsid w:val="004530D7"/>
    <w:rsid w:val="00453799"/>
    <w:rsid w:val="00453BF5"/>
    <w:rsid w:val="00453DEC"/>
    <w:rsid w:val="00453EDB"/>
    <w:rsid w:val="0045400D"/>
    <w:rsid w:val="0045403A"/>
    <w:rsid w:val="00454044"/>
    <w:rsid w:val="00454329"/>
    <w:rsid w:val="0045452A"/>
    <w:rsid w:val="00454638"/>
    <w:rsid w:val="00454743"/>
    <w:rsid w:val="00454DB9"/>
    <w:rsid w:val="00454F87"/>
    <w:rsid w:val="00454FA6"/>
    <w:rsid w:val="0045500D"/>
    <w:rsid w:val="00455035"/>
    <w:rsid w:val="0045521D"/>
    <w:rsid w:val="004554B1"/>
    <w:rsid w:val="0045568D"/>
    <w:rsid w:val="004556A7"/>
    <w:rsid w:val="00455797"/>
    <w:rsid w:val="00455C7A"/>
    <w:rsid w:val="00455CE8"/>
    <w:rsid w:val="00455D03"/>
    <w:rsid w:val="00455D47"/>
    <w:rsid w:val="00456057"/>
    <w:rsid w:val="00456189"/>
    <w:rsid w:val="00456285"/>
    <w:rsid w:val="004564E7"/>
    <w:rsid w:val="00456866"/>
    <w:rsid w:val="004568CA"/>
    <w:rsid w:val="004569F8"/>
    <w:rsid w:val="00456BA7"/>
    <w:rsid w:val="00456CAE"/>
    <w:rsid w:val="00456FAF"/>
    <w:rsid w:val="00456FD0"/>
    <w:rsid w:val="00456FFD"/>
    <w:rsid w:val="004573C0"/>
    <w:rsid w:val="004577E4"/>
    <w:rsid w:val="0045784C"/>
    <w:rsid w:val="00457980"/>
    <w:rsid w:val="00457AD2"/>
    <w:rsid w:val="00457B30"/>
    <w:rsid w:val="00457FCB"/>
    <w:rsid w:val="004600C1"/>
    <w:rsid w:val="004600ED"/>
    <w:rsid w:val="00460239"/>
    <w:rsid w:val="00460454"/>
    <w:rsid w:val="004606BE"/>
    <w:rsid w:val="004609F9"/>
    <w:rsid w:val="00460CA8"/>
    <w:rsid w:val="00460D89"/>
    <w:rsid w:val="00460F75"/>
    <w:rsid w:val="0046147A"/>
    <w:rsid w:val="0046158E"/>
    <w:rsid w:val="004617CB"/>
    <w:rsid w:val="00461834"/>
    <w:rsid w:val="00461960"/>
    <w:rsid w:val="00461C77"/>
    <w:rsid w:val="00461D1A"/>
    <w:rsid w:val="00461DEE"/>
    <w:rsid w:val="00462156"/>
    <w:rsid w:val="00462216"/>
    <w:rsid w:val="00462344"/>
    <w:rsid w:val="00462363"/>
    <w:rsid w:val="00462586"/>
    <w:rsid w:val="004625E4"/>
    <w:rsid w:val="00462656"/>
    <w:rsid w:val="0046265D"/>
    <w:rsid w:val="004626A2"/>
    <w:rsid w:val="004627CD"/>
    <w:rsid w:val="0046287F"/>
    <w:rsid w:val="00462953"/>
    <w:rsid w:val="00462B3E"/>
    <w:rsid w:val="00462B85"/>
    <w:rsid w:val="00462EF0"/>
    <w:rsid w:val="004630FF"/>
    <w:rsid w:val="0046318C"/>
    <w:rsid w:val="00463D11"/>
    <w:rsid w:val="0046437F"/>
    <w:rsid w:val="00464462"/>
    <w:rsid w:val="00464BB0"/>
    <w:rsid w:val="00464E5D"/>
    <w:rsid w:val="00465599"/>
    <w:rsid w:val="004655CC"/>
    <w:rsid w:val="004659CF"/>
    <w:rsid w:val="004659D1"/>
    <w:rsid w:val="00465DA1"/>
    <w:rsid w:val="00465DBA"/>
    <w:rsid w:val="004660BB"/>
    <w:rsid w:val="004660DC"/>
    <w:rsid w:val="00466187"/>
    <w:rsid w:val="00466791"/>
    <w:rsid w:val="00466A85"/>
    <w:rsid w:val="00466AF5"/>
    <w:rsid w:val="00466B5A"/>
    <w:rsid w:val="004671FB"/>
    <w:rsid w:val="0046720B"/>
    <w:rsid w:val="004672E7"/>
    <w:rsid w:val="00467570"/>
    <w:rsid w:val="00467CD3"/>
    <w:rsid w:val="00470220"/>
    <w:rsid w:val="004702B4"/>
    <w:rsid w:val="00470323"/>
    <w:rsid w:val="004703A7"/>
    <w:rsid w:val="004703BE"/>
    <w:rsid w:val="00470528"/>
    <w:rsid w:val="0047060B"/>
    <w:rsid w:val="004707C7"/>
    <w:rsid w:val="00470905"/>
    <w:rsid w:val="00470AB4"/>
    <w:rsid w:val="00470D01"/>
    <w:rsid w:val="00470D6F"/>
    <w:rsid w:val="00470DCB"/>
    <w:rsid w:val="00470F36"/>
    <w:rsid w:val="00470F65"/>
    <w:rsid w:val="0047130D"/>
    <w:rsid w:val="0047132E"/>
    <w:rsid w:val="00471496"/>
    <w:rsid w:val="00471497"/>
    <w:rsid w:val="00471646"/>
    <w:rsid w:val="004719A4"/>
    <w:rsid w:val="00471B2E"/>
    <w:rsid w:val="0047202C"/>
    <w:rsid w:val="004723B0"/>
    <w:rsid w:val="00472966"/>
    <w:rsid w:val="00472A72"/>
    <w:rsid w:val="00472A94"/>
    <w:rsid w:val="00472CFE"/>
    <w:rsid w:val="00472D77"/>
    <w:rsid w:val="00472DD1"/>
    <w:rsid w:val="00472E58"/>
    <w:rsid w:val="004731C5"/>
    <w:rsid w:val="0047397C"/>
    <w:rsid w:val="004739C3"/>
    <w:rsid w:val="00473AF4"/>
    <w:rsid w:val="00473C07"/>
    <w:rsid w:val="00474049"/>
    <w:rsid w:val="0047406E"/>
    <w:rsid w:val="00474155"/>
    <w:rsid w:val="00474215"/>
    <w:rsid w:val="0047426E"/>
    <w:rsid w:val="004742FF"/>
    <w:rsid w:val="00474425"/>
    <w:rsid w:val="00474DEB"/>
    <w:rsid w:val="004751BB"/>
    <w:rsid w:val="004752CA"/>
    <w:rsid w:val="00475314"/>
    <w:rsid w:val="0047565F"/>
    <w:rsid w:val="00475724"/>
    <w:rsid w:val="0047574F"/>
    <w:rsid w:val="00475758"/>
    <w:rsid w:val="00475A4E"/>
    <w:rsid w:val="00475BB7"/>
    <w:rsid w:val="00475C29"/>
    <w:rsid w:val="00476201"/>
    <w:rsid w:val="00476467"/>
    <w:rsid w:val="0047679C"/>
    <w:rsid w:val="00476A2B"/>
    <w:rsid w:val="00476DFA"/>
    <w:rsid w:val="00476E80"/>
    <w:rsid w:val="004772F7"/>
    <w:rsid w:val="004778A0"/>
    <w:rsid w:val="004778DF"/>
    <w:rsid w:val="00477997"/>
    <w:rsid w:val="00477CE4"/>
    <w:rsid w:val="00477D61"/>
    <w:rsid w:val="00477DF5"/>
    <w:rsid w:val="00480325"/>
    <w:rsid w:val="00480526"/>
    <w:rsid w:val="00480651"/>
    <w:rsid w:val="00480AB5"/>
    <w:rsid w:val="00480FDE"/>
    <w:rsid w:val="00481036"/>
    <w:rsid w:val="004810C6"/>
    <w:rsid w:val="004810FC"/>
    <w:rsid w:val="00481398"/>
    <w:rsid w:val="0048148D"/>
    <w:rsid w:val="0048166E"/>
    <w:rsid w:val="00481A23"/>
    <w:rsid w:val="00481C8D"/>
    <w:rsid w:val="00481E12"/>
    <w:rsid w:val="004821BD"/>
    <w:rsid w:val="004823D4"/>
    <w:rsid w:val="0048247A"/>
    <w:rsid w:val="00482561"/>
    <w:rsid w:val="0048259F"/>
    <w:rsid w:val="0048267C"/>
    <w:rsid w:val="004826F4"/>
    <w:rsid w:val="0048277F"/>
    <w:rsid w:val="00482C58"/>
    <w:rsid w:val="00482F8F"/>
    <w:rsid w:val="00483232"/>
    <w:rsid w:val="0048348D"/>
    <w:rsid w:val="004835E0"/>
    <w:rsid w:val="00483ABF"/>
    <w:rsid w:val="00483C69"/>
    <w:rsid w:val="00483C92"/>
    <w:rsid w:val="00483D19"/>
    <w:rsid w:val="00483DF7"/>
    <w:rsid w:val="00484003"/>
    <w:rsid w:val="004840CC"/>
    <w:rsid w:val="0048432D"/>
    <w:rsid w:val="004846A4"/>
    <w:rsid w:val="00484708"/>
    <w:rsid w:val="00484767"/>
    <w:rsid w:val="00484D7F"/>
    <w:rsid w:val="00484F40"/>
    <w:rsid w:val="004850A2"/>
    <w:rsid w:val="0048532D"/>
    <w:rsid w:val="00485429"/>
    <w:rsid w:val="00485492"/>
    <w:rsid w:val="0048560E"/>
    <w:rsid w:val="0048577D"/>
    <w:rsid w:val="00485882"/>
    <w:rsid w:val="00485901"/>
    <w:rsid w:val="00485902"/>
    <w:rsid w:val="00485E0C"/>
    <w:rsid w:val="00485F6C"/>
    <w:rsid w:val="004861A1"/>
    <w:rsid w:val="004863F9"/>
    <w:rsid w:val="004868E2"/>
    <w:rsid w:val="0048695B"/>
    <w:rsid w:val="0048697E"/>
    <w:rsid w:val="00486CAC"/>
    <w:rsid w:val="00486CF0"/>
    <w:rsid w:val="00486D61"/>
    <w:rsid w:val="00486F08"/>
    <w:rsid w:val="004875B1"/>
    <w:rsid w:val="004877F1"/>
    <w:rsid w:val="00487A52"/>
    <w:rsid w:val="00487BD5"/>
    <w:rsid w:val="00487F8E"/>
    <w:rsid w:val="004903B2"/>
    <w:rsid w:val="004904D8"/>
    <w:rsid w:val="00490667"/>
    <w:rsid w:val="0049070E"/>
    <w:rsid w:val="00490C14"/>
    <w:rsid w:val="00491045"/>
    <w:rsid w:val="00491369"/>
    <w:rsid w:val="004919B5"/>
    <w:rsid w:val="00491C82"/>
    <w:rsid w:val="004922C2"/>
    <w:rsid w:val="004923AD"/>
    <w:rsid w:val="004924F1"/>
    <w:rsid w:val="004926C9"/>
    <w:rsid w:val="004926E2"/>
    <w:rsid w:val="00492893"/>
    <w:rsid w:val="004928FD"/>
    <w:rsid w:val="00492926"/>
    <w:rsid w:val="004929E7"/>
    <w:rsid w:val="00492A35"/>
    <w:rsid w:val="00492AF4"/>
    <w:rsid w:val="00492C3A"/>
    <w:rsid w:val="00492D94"/>
    <w:rsid w:val="00492E3A"/>
    <w:rsid w:val="00492FD2"/>
    <w:rsid w:val="0049309D"/>
    <w:rsid w:val="004930B9"/>
    <w:rsid w:val="00493286"/>
    <w:rsid w:val="00493628"/>
    <w:rsid w:val="00493969"/>
    <w:rsid w:val="00493CA3"/>
    <w:rsid w:val="00493E91"/>
    <w:rsid w:val="004940D3"/>
    <w:rsid w:val="00494640"/>
    <w:rsid w:val="00494A29"/>
    <w:rsid w:val="0049509D"/>
    <w:rsid w:val="004950D1"/>
    <w:rsid w:val="00495151"/>
    <w:rsid w:val="004953DD"/>
    <w:rsid w:val="00495672"/>
    <w:rsid w:val="0049573D"/>
    <w:rsid w:val="00495B90"/>
    <w:rsid w:val="00495BC3"/>
    <w:rsid w:val="00495F51"/>
    <w:rsid w:val="0049606E"/>
    <w:rsid w:val="004962D6"/>
    <w:rsid w:val="00496378"/>
    <w:rsid w:val="004965DB"/>
    <w:rsid w:val="0049661B"/>
    <w:rsid w:val="004967E2"/>
    <w:rsid w:val="004969E1"/>
    <w:rsid w:val="00496A4D"/>
    <w:rsid w:val="00496AA4"/>
    <w:rsid w:val="00496BA5"/>
    <w:rsid w:val="00496C3C"/>
    <w:rsid w:val="00496D29"/>
    <w:rsid w:val="00496E47"/>
    <w:rsid w:val="00496FF9"/>
    <w:rsid w:val="004976F9"/>
    <w:rsid w:val="004979B7"/>
    <w:rsid w:val="004979F2"/>
    <w:rsid w:val="004979F3"/>
    <w:rsid w:val="00497B27"/>
    <w:rsid w:val="00497D3C"/>
    <w:rsid w:val="00497D9B"/>
    <w:rsid w:val="00497DFC"/>
    <w:rsid w:val="00497FC3"/>
    <w:rsid w:val="004A0069"/>
    <w:rsid w:val="004A0211"/>
    <w:rsid w:val="004A0990"/>
    <w:rsid w:val="004A0B0F"/>
    <w:rsid w:val="004A0E31"/>
    <w:rsid w:val="004A12FC"/>
    <w:rsid w:val="004A1606"/>
    <w:rsid w:val="004A173C"/>
    <w:rsid w:val="004A17B1"/>
    <w:rsid w:val="004A1D40"/>
    <w:rsid w:val="004A1D99"/>
    <w:rsid w:val="004A2079"/>
    <w:rsid w:val="004A22E2"/>
    <w:rsid w:val="004A2361"/>
    <w:rsid w:val="004A27B6"/>
    <w:rsid w:val="004A28D2"/>
    <w:rsid w:val="004A2960"/>
    <w:rsid w:val="004A2AA1"/>
    <w:rsid w:val="004A2C86"/>
    <w:rsid w:val="004A2DB7"/>
    <w:rsid w:val="004A2F4A"/>
    <w:rsid w:val="004A3118"/>
    <w:rsid w:val="004A31D9"/>
    <w:rsid w:val="004A3750"/>
    <w:rsid w:val="004A37E7"/>
    <w:rsid w:val="004A3E52"/>
    <w:rsid w:val="004A3EF2"/>
    <w:rsid w:val="004A427C"/>
    <w:rsid w:val="004A43DC"/>
    <w:rsid w:val="004A46BD"/>
    <w:rsid w:val="004A4714"/>
    <w:rsid w:val="004A478A"/>
    <w:rsid w:val="004A490A"/>
    <w:rsid w:val="004A49B5"/>
    <w:rsid w:val="004A4A2B"/>
    <w:rsid w:val="004A4C6C"/>
    <w:rsid w:val="004A4C75"/>
    <w:rsid w:val="004A505A"/>
    <w:rsid w:val="004A520C"/>
    <w:rsid w:val="004A5256"/>
    <w:rsid w:val="004A5300"/>
    <w:rsid w:val="004A5512"/>
    <w:rsid w:val="004A564C"/>
    <w:rsid w:val="004A5A49"/>
    <w:rsid w:val="004A5B4E"/>
    <w:rsid w:val="004A5D05"/>
    <w:rsid w:val="004A5EDD"/>
    <w:rsid w:val="004A5FAF"/>
    <w:rsid w:val="004A6471"/>
    <w:rsid w:val="004A6794"/>
    <w:rsid w:val="004A6814"/>
    <w:rsid w:val="004A6F17"/>
    <w:rsid w:val="004A6F49"/>
    <w:rsid w:val="004A71B5"/>
    <w:rsid w:val="004A735D"/>
    <w:rsid w:val="004A76F1"/>
    <w:rsid w:val="004A7761"/>
    <w:rsid w:val="004A7892"/>
    <w:rsid w:val="004A7BA8"/>
    <w:rsid w:val="004A7BDE"/>
    <w:rsid w:val="004A7C2C"/>
    <w:rsid w:val="004A7C3D"/>
    <w:rsid w:val="004A7EDA"/>
    <w:rsid w:val="004A7F9A"/>
    <w:rsid w:val="004B04AB"/>
    <w:rsid w:val="004B0AB0"/>
    <w:rsid w:val="004B0FC6"/>
    <w:rsid w:val="004B125D"/>
    <w:rsid w:val="004B1302"/>
    <w:rsid w:val="004B1524"/>
    <w:rsid w:val="004B1666"/>
    <w:rsid w:val="004B172C"/>
    <w:rsid w:val="004B17D9"/>
    <w:rsid w:val="004B18BE"/>
    <w:rsid w:val="004B18D5"/>
    <w:rsid w:val="004B195D"/>
    <w:rsid w:val="004B19F3"/>
    <w:rsid w:val="004B1AD6"/>
    <w:rsid w:val="004B1D0C"/>
    <w:rsid w:val="004B1E3F"/>
    <w:rsid w:val="004B1EE2"/>
    <w:rsid w:val="004B2268"/>
    <w:rsid w:val="004B23EA"/>
    <w:rsid w:val="004B288C"/>
    <w:rsid w:val="004B28F5"/>
    <w:rsid w:val="004B2E46"/>
    <w:rsid w:val="004B2FBB"/>
    <w:rsid w:val="004B34DF"/>
    <w:rsid w:val="004B36E2"/>
    <w:rsid w:val="004B38FD"/>
    <w:rsid w:val="004B39A0"/>
    <w:rsid w:val="004B3D93"/>
    <w:rsid w:val="004B3E71"/>
    <w:rsid w:val="004B4295"/>
    <w:rsid w:val="004B442E"/>
    <w:rsid w:val="004B4430"/>
    <w:rsid w:val="004B44A4"/>
    <w:rsid w:val="004B44AD"/>
    <w:rsid w:val="004B460C"/>
    <w:rsid w:val="004B49A4"/>
    <w:rsid w:val="004B4A9D"/>
    <w:rsid w:val="004B4CED"/>
    <w:rsid w:val="004B4D99"/>
    <w:rsid w:val="004B4FBA"/>
    <w:rsid w:val="004B5123"/>
    <w:rsid w:val="004B543D"/>
    <w:rsid w:val="004B5698"/>
    <w:rsid w:val="004B58DF"/>
    <w:rsid w:val="004B5948"/>
    <w:rsid w:val="004B5A4A"/>
    <w:rsid w:val="004B5B61"/>
    <w:rsid w:val="004B5E00"/>
    <w:rsid w:val="004B63D1"/>
    <w:rsid w:val="004B6753"/>
    <w:rsid w:val="004B696D"/>
    <w:rsid w:val="004B7611"/>
    <w:rsid w:val="004B79A0"/>
    <w:rsid w:val="004B79C6"/>
    <w:rsid w:val="004B7ADE"/>
    <w:rsid w:val="004B7B76"/>
    <w:rsid w:val="004B7BDB"/>
    <w:rsid w:val="004B7BE9"/>
    <w:rsid w:val="004C021F"/>
    <w:rsid w:val="004C036C"/>
    <w:rsid w:val="004C0427"/>
    <w:rsid w:val="004C0564"/>
    <w:rsid w:val="004C0576"/>
    <w:rsid w:val="004C07C3"/>
    <w:rsid w:val="004C0A6B"/>
    <w:rsid w:val="004C0CB5"/>
    <w:rsid w:val="004C0FC9"/>
    <w:rsid w:val="004C10E8"/>
    <w:rsid w:val="004C11A5"/>
    <w:rsid w:val="004C153B"/>
    <w:rsid w:val="004C16CA"/>
    <w:rsid w:val="004C1786"/>
    <w:rsid w:val="004C1854"/>
    <w:rsid w:val="004C185E"/>
    <w:rsid w:val="004C1984"/>
    <w:rsid w:val="004C1A18"/>
    <w:rsid w:val="004C1AFA"/>
    <w:rsid w:val="004C1DAB"/>
    <w:rsid w:val="004C1DBC"/>
    <w:rsid w:val="004C1E1D"/>
    <w:rsid w:val="004C1EA4"/>
    <w:rsid w:val="004C1F96"/>
    <w:rsid w:val="004C216D"/>
    <w:rsid w:val="004C2539"/>
    <w:rsid w:val="004C2F6F"/>
    <w:rsid w:val="004C31A7"/>
    <w:rsid w:val="004C3499"/>
    <w:rsid w:val="004C3569"/>
    <w:rsid w:val="004C3661"/>
    <w:rsid w:val="004C39E0"/>
    <w:rsid w:val="004C3CC2"/>
    <w:rsid w:val="004C3D0D"/>
    <w:rsid w:val="004C3EB8"/>
    <w:rsid w:val="004C3EBD"/>
    <w:rsid w:val="004C419C"/>
    <w:rsid w:val="004C451C"/>
    <w:rsid w:val="004C4706"/>
    <w:rsid w:val="004C47CE"/>
    <w:rsid w:val="004C49B0"/>
    <w:rsid w:val="004C4B6C"/>
    <w:rsid w:val="004C4DC7"/>
    <w:rsid w:val="004C55BA"/>
    <w:rsid w:val="004C57A6"/>
    <w:rsid w:val="004C5802"/>
    <w:rsid w:val="004C585D"/>
    <w:rsid w:val="004C5864"/>
    <w:rsid w:val="004C59AC"/>
    <w:rsid w:val="004C59F4"/>
    <w:rsid w:val="004C5A5A"/>
    <w:rsid w:val="004C5ABF"/>
    <w:rsid w:val="004C5C70"/>
    <w:rsid w:val="004C5DD2"/>
    <w:rsid w:val="004C5E80"/>
    <w:rsid w:val="004C5EF7"/>
    <w:rsid w:val="004C5F38"/>
    <w:rsid w:val="004C5F68"/>
    <w:rsid w:val="004C63DF"/>
    <w:rsid w:val="004C67A7"/>
    <w:rsid w:val="004C67BB"/>
    <w:rsid w:val="004C688E"/>
    <w:rsid w:val="004C6936"/>
    <w:rsid w:val="004C693A"/>
    <w:rsid w:val="004C69B8"/>
    <w:rsid w:val="004C6B92"/>
    <w:rsid w:val="004C6C4F"/>
    <w:rsid w:val="004C6C99"/>
    <w:rsid w:val="004C6DA2"/>
    <w:rsid w:val="004C6F28"/>
    <w:rsid w:val="004C7374"/>
    <w:rsid w:val="004C7381"/>
    <w:rsid w:val="004C7446"/>
    <w:rsid w:val="004C758D"/>
    <w:rsid w:val="004C7A49"/>
    <w:rsid w:val="004C7A57"/>
    <w:rsid w:val="004C7AF3"/>
    <w:rsid w:val="004C7BFE"/>
    <w:rsid w:val="004C7D5B"/>
    <w:rsid w:val="004D020B"/>
    <w:rsid w:val="004D022B"/>
    <w:rsid w:val="004D065C"/>
    <w:rsid w:val="004D0849"/>
    <w:rsid w:val="004D0AC7"/>
    <w:rsid w:val="004D0E01"/>
    <w:rsid w:val="004D0F08"/>
    <w:rsid w:val="004D1136"/>
    <w:rsid w:val="004D1222"/>
    <w:rsid w:val="004D172B"/>
    <w:rsid w:val="004D1734"/>
    <w:rsid w:val="004D17ED"/>
    <w:rsid w:val="004D1D0F"/>
    <w:rsid w:val="004D1E34"/>
    <w:rsid w:val="004D1F63"/>
    <w:rsid w:val="004D2365"/>
    <w:rsid w:val="004D2475"/>
    <w:rsid w:val="004D2735"/>
    <w:rsid w:val="004D27EE"/>
    <w:rsid w:val="004D2BC5"/>
    <w:rsid w:val="004D2D2D"/>
    <w:rsid w:val="004D2D43"/>
    <w:rsid w:val="004D34B1"/>
    <w:rsid w:val="004D3520"/>
    <w:rsid w:val="004D3AB3"/>
    <w:rsid w:val="004D3BCF"/>
    <w:rsid w:val="004D3E0A"/>
    <w:rsid w:val="004D3E14"/>
    <w:rsid w:val="004D4130"/>
    <w:rsid w:val="004D4257"/>
    <w:rsid w:val="004D42FB"/>
    <w:rsid w:val="004D45DF"/>
    <w:rsid w:val="004D4EDA"/>
    <w:rsid w:val="004D51C4"/>
    <w:rsid w:val="004D5674"/>
    <w:rsid w:val="004D567A"/>
    <w:rsid w:val="004D56C5"/>
    <w:rsid w:val="004D5779"/>
    <w:rsid w:val="004D585E"/>
    <w:rsid w:val="004D59BB"/>
    <w:rsid w:val="004D5A4A"/>
    <w:rsid w:val="004D5E8A"/>
    <w:rsid w:val="004D5F6D"/>
    <w:rsid w:val="004D65C4"/>
    <w:rsid w:val="004D65D0"/>
    <w:rsid w:val="004D6609"/>
    <w:rsid w:val="004D664D"/>
    <w:rsid w:val="004D694E"/>
    <w:rsid w:val="004D6B6F"/>
    <w:rsid w:val="004D6E2C"/>
    <w:rsid w:val="004D6E43"/>
    <w:rsid w:val="004D7236"/>
    <w:rsid w:val="004D7618"/>
    <w:rsid w:val="004D771D"/>
    <w:rsid w:val="004D7A48"/>
    <w:rsid w:val="004D7A57"/>
    <w:rsid w:val="004D7B40"/>
    <w:rsid w:val="004D7C0C"/>
    <w:rsid w:val="004D7C92"/>
    <w:rsid w:val="004D7CE8"/>
    <w:rsid w:val="004D7F2A"/>
    <w:rsid w:val="004E05A4"/>
    <w:rsid w:val="004E05A6"/>
    <w:rsid w:val="004E0726"/>
    <w:rsid w:val="004E07EA"/>
    <w:rsid w:val="004E0883"/>
    <w:rsid w:val="004E09EE"/>
    <w:rsid w:val="004E0A06"/>
    <w:rsid w:val="004E0D64"/>
    <w:rsid w:val="004E0E8E"/>
    <w:rsid w:val="004E0EC8"/>
    <w:rsid w:val="004E10C3"/>
    <w:rsid w:val="004E128E"/>
    <w:rsid w:val="004E1428"/>
    <w:rsid w:val="004E15DD"/>
    <w:rsid w:val="004E1949"/>
    <w:rsid w:val="004E1B73"/>
    <w:rsid w:val="004E1E46"/>
    <w:rsid w:val="004E21FD"/>
    <w:rsid w:val="004E2399"/>
    <w:rsid w:val="004E2498"/>
    <w:rsid w:val="004E24CB"/>
    <w:rsid w:val="004E2776"/>
    <w:rsid w:val="004E2922"/>
    <w:rsid w:val="004E2948"/>
    <w:rsid w:val="004E294D"/>
    <w:rsid w:val="004E29A6"/>
    <w:rsid w:val="004E347B"/>
    <w:rsid w:val="004E34A9"/>
    <w:rsid w:val="004E34D0"/>
    <w:rsid w:val="004E386E"/>
    <w:rsid w:val="004E388E"/>
    <w:rsid w:val="004E397E"/>
    <w:rsid w:val="004E39A0"/>
    <w:rsid w:val="004E39AD"/>
    <w:rsid w:val="004E39E2"/>
    <w:rsid w:val="004E3AD5"/>
    <w:rsid w:val="004E3D68"/>
    <w:rsid w:val="004E3D6F"/>
    <w:rsid w:val="004E3EB2"/>
    <w:rsid w:val="004E461D"/>
    <w:rsid w:val="004E47B9"/>
    <w:rsid w:val="004E47C1"/>
    <w:rsid w:val="004E493D"/>
    <w:rsid w:val="004E4A59"/>
    <w:rsid w:val="004E4C68"/>
    <w:rsid w:val="004E4D3A"/>
    <w:rsid w:val="004E4EEF"/>
    <w:rsid w:val="004E5179"/>
    <w:rsid w:val="004E53D0"/>
    <w:rsid w:val="004E564B"/>
    <w:rsid w:val="004E56CF"/>
    <w:rsid w:val="004E5755"/>
    <w:rsid w:val="004E57AA"/>
    <w:rsid w:val="004E59FC"/>
    <w:rsid w:val="004E5C7A"/>
    <w:rsid w:val="004E5C87"/>
    <w:rsid w:val="004E5CFC"/>
    <w:rsid w:val="004E6401"/>
    <w:rsid w:val="004E68FE"/>
    <w:rsid w:val="004E6A53"/>
    <w:rsid w:val="004E6AD6"/>
    <w:rsid w:val="004E70FB"/>
    <w:rsid w:val="004E7221"/>
    <w:rsid w:val="004E738C"/>
    <w:rsid w:val="004E767A"/>
    <w:rsid w:val="004E77C0"/>
    <w:rsid w:val="004E797E"/>
    <w:rsid w:val="004E7B62"/>
    <w:rsid w:val="004E7DB3"/>
    <w:rsid w:val="004E7E07"/>
    <w:rsid w:val="004E7E1D"/>
    <w:rsid w:val="004E7E46"/>
    <w:rsid w:val="004F00B0"/>
    <w:rsid w:val="004F015F"/>
    <w:rsid w:val="004F03C7"/>
    <w:rsid w:val="004F0404"/>
    <w:rsid w:val="004F0618"/>
    <w:rsid w:val="004F0770"/>
    <w:rsid w:val="004F0890"/>
    <w:rsid w:val="004F08F9"/>
    <w:rsid w:val="004F0A51"/>
    <w:rsid w:val="004F0D4D"/>
    <w:rsid w:val="004F0EC3"/>
    <w:rsid w:val="004F0EC5"/>
    <w:rsid w:val="004F0F1E"/>
    <w:rsid w:val="004F0F33"/>
    <w:rsid w:val="004F12E4"/>
    <w:rsid w:val="004F178B"/>
    <w:rsid w:val="004F1AAB"/>
    <w:rsid w:val="004F1E03"/>
    <w:rsid w:val="004F1EFC"/>
    <w:rsid w:val="004F2080"/>
    <w:rsid w:val="004F226F"/>
    <w:rsid w:val="004F22AB"/>
    <w:rsid w:val="004F238E"/>
    <w:rsid w:val="004F2905"/>
    <w:rsid w:val="004F29E1"/>
    <w:rsid w:val="004F2BEF"/>
    <w:rsid w:val="004F2CC5"/>
    <w:rsid w:val="004F2D12"/>
    <w:rsid w:val="004F2D72"/>
    <w:rsid w:val="004F2DBC"/>
    <w:rsid w:val="004F30FA"/>
    <w:rsid w:val="004F3455"/>
    <w:rsid w:val="004F35B0"/>
    <w:rsid w:val="004F374E"/>
    <w:rsid w:val="004F3761"/>
    <w:rsid w:val="004F390D"/>
    <w:rsid w:val="004F408B"/>
    <w:rsid w:val="004F424A"/>
    <w:rsid w:val="004F424D"/>
    <w:rsid w:val="004F433F"/>
    <w:rsid w:val="004F44F6"/>
    <w:rsid w:val="004F46A0"/>
    <w:rsid w:val="004F4718"/>
    <w:rsid w:val="004F4922"/>
    <w:rsid w:val="004F4A42"/>
    <w:rsid w:val="004F4CC4"/>
    <w:rsid w:val="004F4DFE"/>
    <w:rsid w:val="004F5065"/>
    <w:rsid w:val="004F51B7"/>
    <w:rsid w:val="004F51B8"/>
    <w:rsid w:val="004F527B"/>
    <w:rsid w:val="004F543F"/>
    <w:rsid w:val="004F55ED"/>
    <w:rsid w:val="004F58B6"/>
    <w:rsid w:val="004F593C"/>
    <w:rsid w:val="004F5959"/>
    <w:rsid w:val="004F596A"/>
    <w:rsid w:val="004F5A4F"/>
    <w:rsid w:val="004F5F76"/>
    <w:rsid w:val="004F5FED"/>
    <w:rsid w:val="004F6185"/>
    <w:rsid w:val="004F6653"/>
    <w:rsid w:val="004F6758"/>
    <w:rsid w:val="004F6934"/>
    <w:rsid w:val="004F6A41"/>
    <w:rsid w:val="004F6ACD"/>
    <w:rsid w:val="004F72AD"/>
    <w:rsid w:val="004F731D"/>
    <w:rsid w:val="004F73B0"/>
    <w:rsid w:val="004F7558"/>
    <w:rsid w:val="004F76FF"/>
    <w:rsid w:val="004F77A0"/>
    <w:rsid w:val="004F7907"/>
    <w:rsid w:val="004F7BDA"/>
    <w:rsid w:val="004F7CF9"/>
    <w:rsid w:val="004F7E8A"/>
    <w:rsid w:val="005001F4"/>
    <w:rsid w:val="00500252"/>
    <w:rsid w:val="0050031F"/>
    <w:rsid w:val="00500441"/>
    <w:rsid w:val="005005A0"/>
    <w:rsid w:val="00500689"/>
    <w:rsid w:val="00500706"/>
    <w:rsid w:val="00500A88"/>
    <w:rsid w:val="00500C7C"/>
    <w:rsid w:val="00501210"/>
    <w:rsid w:val="005014DF"/>
    <w:rsid w:val="00501793"/>
    <w:rsid w:val="005017A2"/>
    <w:rsid w:val="00501A3E"/>
    <w:rsid w:val="00501C5C"/>
    <w:rsid w:val="00501C6D"/>
    <w:rsid w:val="00501F15"/>
    <w:rsid w:val="00502045"/>
    <w:rsid w:val="00502189"/>
    <w:rsid w:val="005027B7"/>
    <w:rsid w:val="00502973"/>
    <w:rsid w:val="00502A79"/>
    <w:rsid w:val="00502C00"/>
    <w:rsid w:val="00502D10"/>
    <w:rsid w:val="005030A1"/>
    <w:rsid w:val="005037BE"/>
    <w:rsid w:val="005037C8"/>
    <w:rsid w:val="00503B4F"/>
    <w:rsid w:val="00503B76"/>
    <w:rsid w:val="00503E1F"/>
    <w:rsid w:val="00503EFC"/>
    <w:rsid w:val="005043A8"/>
    <w:rsid w:val="005046BA"/>
    <w:rsid w:val="005047E2"/>
    <w:rsid w:val="00504E2B"/>
    <w:rsid w:val="005052CD"/>
    <w:rsid w:val="0050531E"/>
    <w:rsid w:val="005055B2"/>
    <w:rsid w:val="00505728"/>
    <w:rsid w:val="005059C8"/>
    <w:rsid w:val="00505A25"/>
    <w:rsid w:val="00505AAF"/>
    <w:rsid w:val="00505DAA"/>
    <w:rsid w:val="00505F51"/>
    <w:rsid w:val="00505FFB"/>
    <w:rsid w:val="005060B7"/>
    <w:rsid w:val="00506202"/>
    <w:rsid w:val="00506335"/>
    <w:rsid w:val="005065A0"/>
    <w:rsid w:val="00506884"/>
    <w:rsid w:val="00506BD6"/>
    <w:rsid w:val="00506CCC"/>
    <w:rsid w:val="00506D48"/>
    <w:rsid w:val="00506DDE"/>
    <w:rsid w:val="00506E67"/>
    <w:rsid w:val="00507253"/>
    <w:rsid w:val="005072A0"/>
    <w:rsid w:val="0050738B"/>
    <w:rsid w:val="005073C1"/>
    <w:rsid w:val="005074B1"/>
    <w:rsid w:val="0050755E"/>
    <w:rsid w:val="0050756A"/>
    <w:rsid w:val="00507874"/>
    <w:rsid w:val="005079D0"/>
    <w:rsid w:val="00507A09"/>
    <w:rsid w:val="00507C18"/>
    <w:rsid w:val="005100B3"/>
    <w:rsid w:val="005100E2"/>
    <w:rsid w:val="00510178"/>
    <w:rsid w:val="00510812"/>
    <w:rsid w:val="005108A2"/>
    <w:rsid w:val="00510A11"/>
    <w:rsid w:val="00510A8B"/>
    <w:rsid w:val="00510E8E"/>
    <w:rsid w:val="0051103E"/>
    <w:rsid w:val="00511051"/>
    <w:rsid w:val="00511172"/>
    <w:rsid w:val="005111F8"/>
    <w:rsid w:val="00511239"/>
    <w:rsid w:val="00511515"/>
    <w:rsid w:val="00511609"/>
    <w:rsid w:val="0051187B"/>
    <w:rsid w:val="00511A1A"/>
    <w:rsid w:val="00511B6E"/>
    <w:rsid w:val="00511C6A"/>
    <w:rsid w:val="00511CDC"/>
    <w:rsid w:val="00511E93"/>
    <w:rsid w:val="00511EFC"/>
    <w:rsid w:val="00512922"/>
    <w:rsid w:val="00512C62"/>
    <w:rsid w:val="00512C9A"/>
    <w:rsid w:val="005133FF"/>
    <w:rsid w:val="00513963"/>
    <w:rsid w:val="00513BE4"/>
    <w:rsid w:val="00513CB6"/>
    <w:rsid w:val="00513D2A"/>
    <w:rsid w:val="00513D53"/>
    <w:rsid w:val="00513F92"/>
    <w:rsid w:val="005147D2"/>
    <w:rsid w:val="00514A62"/>
    <w:rsid w:val="005150DC"/>
    <w:rsid w:val="00515405"/>
    <w:rsid w:val="0051543B"/>
    <w:rsid w:val="005155DB"/>
    <w:rsid w:val="005156C5"/>
    <w:rsid w:val="00515757"/>
    <w:rsid w:val="005157F7"/>
    <w:rsid w:val="00515C90"/>
    <w:rsid w:val="00515EDC"/>
    <w:rsid w:val="00516196"/>
    <w:rsid w:val="005162E0"/>
    <w:rsid w:val="00516442"/>
    <w:rsid w:val="005169B6"/>
    <w:rsid w:val="00516A8C"/>
    <w:rsid w:val="00516BF8"/>
    <w:rsid w:val="00516CA4"/>
    <w:rsid w:val="00516E88"/>
    <w:rsid w:val="00516FD3"/>
    <w:rsid w:val="0051707C"/>
    <w:rsid w:val="00517110"/>
    <w:rsid w:val="00517181"/>
    <w:rsid w:val="0051726C"/>
    <w:rsid w:val="0051777C"/>
    <w:rsid w:val="005177DA"/>
    <w:rsid w:val="00517808"/>
    <w:rsid w:val="00517F29"/>
    <w:rsid w:val="0052007F"/>
    <w:rsid w:val="005201D2"/>
    <w:rsid w:val="00520308"/>
    <w:rsid w:val="005203DB"/>
    <w:rsid w:val="005205BE"/>
    <w:rsid w:val="0052086F"/>
    <w:rsid w:val="005208B0"/>
    <w:rsid w:val="00520951"/>
    <w:rsid w:val="00520A3D"/>
    <w:rsid w:val="00520ACF"/>
    <w:rsid w:val="00520AD4"/>
    <w:rsid w:val="00520AFA"/>
    <w:rsid w:val="00520E45"/>
    <w:rsid w:val="005210B7"/>
    <w:rsid w:val="0052119C"/>
    <w:rsid w:val="00521344"/>
    <w:rsid w:val="00521350"/>
    <w:rsid w:val="00521744"/>
    <w:rsid w:val="0052182B"/>
    <w:rsid w:val="00521A11"/>
    <w:rsid w:val="00521E29"/>
    <w:rsid w:val="00521F5B"/>
    <w:rsid w:val="005223F8"/>
    <w:rsid w:val="0052261D"/>
    <w:rsid w:val="005226D7"/>
    <w:rsid w:val="00522B18"/>
    <w:rsid w:val="00522B81"/>
    <w:rsid w:val="00522C15"/>
    <w:rsid w:val="00522D66"/>
    <w:rsid w:val="00522E0B"/>
    <w:rsid w:val="00522E5D"/>
    <w:rsid w:val="00522F3A"/>
    <w:rsid w:val="00523089"/>
    <w:rsid w:val="0052326B"/>
    <w:rsid w:val="00523438"/>
    <w:rsid w:val="00523ACB"/>
    <w:rsid w:val="00523F6F"/>
    <w:rsid w:val="00524031"/>
    <w:rsid w:val="005240B8"/>
    <w:rsid w:val="005240C8"/>
    <w:rsid w:val="0052415F"/>
    <w:rsid w:val="005241E4"/>
    <w:rsid w:val="005241F3"/>
    <w:rsid w:val="005246AB"/>
    <w:rsid w:val="00524980"/>
    <w:rsid w:val="00524F98"/>
    <w:rsid w:val="005252B0"/>
    <w:rsid w:val="005252D3"/>
    <w:rsid w:val="00525543"/>
    <w:rsid w:val="005256F2"/>
    <w:rsid w:val="00525978"/>
    <w:rsid w:val="00525A53"/>
    <w:rsid w:val="00525AA7"/>
    <w:rsid w:val="00525C57"/>
    <w:rsid w:val="00526172"/>
    <w:rsid w:val="005263C8"/>
    <w:rsid w:val="005264B9"/>
    <w:rsid w:val="005265BA"/>
    <w:rsid w:val="0052671F"/>
    <w:rsid w:val="00527303"/>
    <w:rsid w:val="0052747B"/>
    <w:rsid w:val="005276FD"/>
    <w:rsid w:val="00527730"/>
    <w:rsid w:val="00527AB5"/>
    <w:rsid w:val="00530033"/>
    <w:rsid w:val="005300A9"/>
    <w:rsid w:val="00530212"/>
    <w:rsid w:val="00530221"/>
    <w:rsid w:val="0053029C"/>
    <w:rsid w:val="005306CC"/>
    <w:rsid w:val="00530B58"/>
    <w:rsid w:val="00530D03"/>
    <w:rsid w:val="00530E85"/>
    <w:rsid w:val="00530EF3"/>
    <w:rsid w:val="00531336"/>
    <w:rsid w:val="0053146E"/>
    <w:rsid w:val="0053157C"/>
    <w:rsid w:val="005317FC"/>
    <w:rsid w:val="00531831"/>
    <w:rsid w:val="00531AE3"/>
    <w:rsid w:val="00531C2B"/>
    <w:rsid w:val="00531C83"/>
    <w:rsid w:val="00531F6C"/>
    <w:rsid w:val="0053207A"/>
    <w:rsid w:val="005328E5"/>
    <w:rsid w:val="00532B51"/>
    <w:rsid w:val="00532D85"/>
    <w:rsid w:val="005330E6"/>
    <w:rsid w:val="00533493"/>
    <w:rsid w:val="005334C6"/>
    <w:rsid w:val="00533703"/>
    <w:rsid w:val="005338B8"/>
    <w:rsid w:val="005338FA"/>
    <w:rsid w:val="00533A14"/>
    <w:rsid w:val="00533C48"/>
    <w:rsid w:val="00533D36"/>
    <w:rsid w:val="00534016"/>
    <w:rsid w:val="00534141"/>
    <w:rsid w:val="0053424B"/>
    <w:rsid w:val="0053427A"/>
    <w:rsid w:val="0053438A"/>
    <w:rsid w:val="005347A8"/>
    <w:rsid w:val="0053495B"/>
    <w:rsid w:val="00534C00"/>
    <w:rsid w:val="00534DE7"/>
    <w:rsid w:val="00534DE8"/>
    <w:rsid w:val="0053500A"/>
    <w:rsid w:val="00535025"/>
    <w:rsid w:val="00535763"/>
    <w:rsid w:val="00535775"/>
    <w:rsid w:val="005358BD"/>
    <w:rsid w:val="00535AC5"/>
    <w:rsid w:val="00535B08"/>
    <w:rsid w:val="00535C57"/>
    <w:rsid w:val="00535D04"/>
    <w:rsid w:val="00535EC4"/>
    <w:rsid w:val="0053620C"/>
    <w:rsid w:val="005367CA"/>
    <w:rsid w:val="00536814"/>
    <w:rsid w:val="00536894"/>
    <w:rsid w:val="00536966"/>
    <w:rsid w:val="005369D6"/>
    <w:rsid w:val="00536A74"/>
    <w:rsid w:val="00536AB5"/>
    <w:rsid w:val="00536F14"/>
    <w:rsid w:val="00536F4A"/>
    <w:rsid w:val="00536F83"/>
    <w:rsid w:val="00536FC5"/>
    <w:rsid w:val="00537063"/>
    <w:rsid w:val="005370FA"/>
    <w:rsid w:val="00537122"/>
    <w:rsid w:val="0053713A"/>
    <w:rsid w:val="00537281"/>
    <w:rsid w:val="005373DD"/>
    <w:rsid w:val="00537506"/>
    <w:rsid w:val="00537708"/>
    <w:rsid w:val="0053779E"/>
    <w:rsid w:val="00537A37"/>
    <w:rsid w:val="00537C3D"/>
    <w:rsid w:val="00540098"/>
    <w:rsid w:val="0054019C"/>
    <w:rsid w:val="0054028E"/>
    <w:rsid w:val="005403C9"/>
    <w:rsid w:val="005404FA"/>
    <w:rsid w:val="00540708"/>
    <w:rsid w:val="00540830"/>
    <w:rsid w:val="00540D08"/>
    <w:rsid w:val="00540FF7"/>
    <w:rsid w:val="00541123"/>
    <w:rsid w:val="00541136"/>
    <w:rsid w:val="0054118A"/>
    <w:rsid w:val="00541360"/>
    <w:rsid w:val="00541567"/>
    <w:rsid w:val="00541656"/>
    <w:rsid w:val="00541709"/>
    <w:rsid w:val="0054172D"/>
    <w:rsid w:val="005417C4"/>
    <w:rsid w:val="0054241D"/>
    <w:rsid w:val="00542597"/>
    <w:rsid w:val="0054294B"/>
    <w:rsid w:val="00542A76"/>
    <w:rsid w:val="00542AF8"/>
    <w:rsid w:val="00542E66"/>
    <w:rsid w:val="00542FA1"/>
    <w:rsid w:val="0054312B"/>
    <w:rsid w:val="005433AA"/>
    <w:rsid w:val="00543733"/>
    <w:rsid w:val="00543B78"/>
    <w:rsid w:val="00543B8B"/>
    <w:rsid w:val="00543CEE"/>
    <w:rsid w:val="00543EAC"/>
    <w:rsid w:val="00543EE5"/>
    <w:rsid w:val="00544097"/>
    <w:rsid w:val="00544480"/>
    <w:rsid w:val="00544883"/>
    <w:rsid w:val="005449C5"/>
    <w:rsid w:val="005449FF"/>
    <w:rsid w:val="00544A69"/>
    <w:rsid w:val="00544B0A"/>
    <w:rsid w:val="00544D98"/>
    <w:rsid w:val="00545313"/>
    <w:rsid w:val="005454A4"/>
    <w:rsid w:val="005455D1"/>
    <w:rsid w:val="005456D0"/>
    <w:rsid w:val="00545769"/>
    <w:rsid w:val="00545C19"/>
    <w:rsid w:val="00545E5F"/>
    <w:rsid w:val="00545F08"/>
    <w:rsid w:val="0054622F"/>
    <w:rsid w:val="005462C0"/>
    <w:rsid w:val="005463C1"/>
    <w:rsid w:val="0054646E"/>
    <w:rsid w:val="00546643"/>
    <w:rsid w:val="005466C0"/>
    <w:rsid w:val="005468C3"/>
    <w:rsid w:val="00546970"/>
    <w:rsid w:val="00546AA8"/>
    <w:rsid w:val="00546B41"/>
    <w:rsid w:val="00546B56"/>
    <w:rsid w:val="00546DA2"/>
    <w:rsid w:val="00546F71"/>
    <w:rsid w:val="00546FBC"/>
    <w:rsid w:val="00546FD2"/>
    <w:rsid w:val="00547081"/>
    <w:rsid w:val="00547206"/>
    <w:rsid w:val="0054724C"/>
    <w:rsid w:val="00547410"/>
    <w:rsid w:val="00547460"/>
    <w:rsid w:val="00547B0F"/>
    <w:rsid w:val="00547B5F"/>
    <w:rsid w:val="00547CA5"/>
    <w:rsid w:val="00550149"/>
    <w:rsid w:val="00550384"/>
    <w:rsid w:val="005504D3"/>
    <w:rsid w:val="005504E5"/>
    <w:rsid w:val="005506F2"/>
    <w:rsid w:val="00550897"/>
    <w:rsid w:val="005508D2"/>
    <w:rsid w:val="00550950"/>
    <w:rsid w:val="00550B8F"/>
    <w:rsid w:val="00550D2D"/>
    <w:rsid w:val="0055105B"/>
    <w:rsid w:val="005510B5"/>
    <w:rsid w:val="00551110"/>
    <w:rsid w:val="00551432"/>
    <w:rsid w:val="00551461"/>
    <w:rsid w:val="00551488"/>
    <w:rsid w:val="00551548"/>
    <w:rsid w:val="00551695"/>
    <w:rsid w:val="005516EE"/>
    <w:rsid w:val="0055172A"/>
    <w:rsid w:val="00551C1D"/>
    <w:rsid w:val="00551F21"/>
    <w:rsid w:val="0055203D"/>
    <w:rsid w:val="00552187"/>
    <w:rsid w:val="005522B9"/>
    <w:rsid w:val="00552BAE"/>
    <w:rsid w:val="00552CBE"/>
    <w:rsid w:val="005530F4"/>
    <w:rsid w:val="00553299"/>
    <w:rsid w:val="0055363E"/>
    <w:rsid w:val="005537CF"/>
    <w:rsid w:val="0055393F"/>
    <w:rsid w:val="00553A0E"/>
    <w:rsid w:val="00553A23"/>
    <w:rsid w:val="00553B8C"/>
    <w:rsid w:val="00553E38"/>
    <w:rsid w:val="00553E6E"/>
    <w:rsid w:val="00553E9F"/>
    <w:rsid w:val="00553F2E"/>
    <w:rsid w:val="00553F9E"/>
    <w:rsid w:val="005541C3"/>
    <w:rsid w:val="005541E6"/>
    <w:rsid w:val="005548A1"/>
    <w:rsid w:val="005548F2"/>
    <w:rsid w:val="0055492A"/>
    <w:rsid w:val="00554931"/>
    <w:rsid w:val="00554A68"/>
    <w:rsid w:val="00554A8F"/>
    <w:rsid w:val="00554A92"/>
    <w:rsid w:val="00554D64"/>
    <w:rsid w:val="00554D69"/>
    <w:rsid w:val="00554ED8"/>
    <w:rsid w:val="00554FF1"/>
    <w:rsid w:val="0055508E"/>
    <w:rsid w:val="005551B3"/>
    <w:rsid w:val="005551B4"/>
    <w:rsid w:val="00555385"/>
    <w:rsid w:val="005555DE"/>
    <w:rsid w:val="005558D0"/>
    <w:rsid w:val="005559F7"/>
    <w:rsid w:val="00555AE1"/>
    <w:rsid w:val="00555C99"/>
    <w:rsid w:val="00555CD3"/>
    <w:rsid w:val="00555DA1"/>
    <w:rsid w:val="00555E07"/>
    <w:rsid w:val="005561D6"/>
    <w:rsid w:val="005567A1"/>
    <w:rsid w:val="00556A20"/>
    <w:rsid w:val="00556AE0"/>
    <w:rsid w:val="00556B4A"/>
    <w:rsid w:val="00556B75"/>
    <w:rsid w:val="00556D22"/>
    <w:rsid w:val="00556DF8"/>
    <w:rsid w:val="00557378"/>
    <w:rsid w:val="00557403"/>
    <w:rsid w:val="00557701"/>
    <w:rsid w:val="00557829"/>
    <w:rsid w:val="00557DB2"/>
    <w:rsid w:val="00557DE6"/>
    <w:rsid w:val="00557E3A"/>
    <w:rsid w:val="005600A1"/>
    <w:rsid w:val="00560166"/>
    <w:rsid w:val="0056033B"/>
    <w:rsid w:val="00560B55"/>
    <w:rsid w:val="00560D41"/>
    <w:rsid w:val="00560EFA"/>
    <w:rsid w:val="00560FDF"/>
    <w:rsid w:val="00560FFC"/>
    <w:rsid w:val="0056111F"/>
    <w:rsid w:val="005612B8"/>
    <w:rsid w:val="0056137B"/>
    <w:rsid w:val="00561401"/>
    <w:rsid w:val="00561478"/>
    <w:rsid w:val="0056156D"/>
    <w:rsid w:val="005615A5"/>
    <w:rsid w:val="00561606"/>
    <w:rsid w:val="005617F8"/>
    <w:rsid w:val="00561C2A"/>
    <w:rsid w:val="00561D9D"/>
    <w:rsid w:val="00561E6F"/>
    <w:rsid w:val="00561F2C"/>
    <w:rsid w:val="00561FCB"/>
    <w:rsid w:val="00562043"/>
    <w:rsid w:val="0056210A"/>
    <w:rsid w:val="0056216B"/>
    <w:rsid w:val="005621C9"/>
    <w:rsid w:val="00562466"/>
    <w:rsid w:val="00562476"/>
    <w:rsid w:val="005624B0"/>
    <w:rsid w:val="005624CD"/>
    <w:rsid w:val="00562628"/>
    <w:rsid w:val="00562DA4"/>
    <w:rsid w:val="00562E07"/>
    <w:rsid w:val="00562F05"/>
    <w:rsid w:val="005633C4"/>
    <w:rsid w:val="005636DA"/>
    <w:rsid w:val="0056386B"/>
    <w:rsid w:val="005638D0"/>
    <w:rsid w:val="00563B2D"/>
    <w:rsid w:val="00563B87"/>
    <w:rsid w:val="00563C89"/>
    <w:rsid w:val="00563C8C"/>
    <w:rsid w:val="00564638"/>
    <w:rsid w:val="00564832"/>
    <w:rsid w:val="005648AF"/>
    <w:rsid w:val="00564AFE"/>
    <w:rsid w:val="00564BEB"/>
    <w:rsid w:val="00564DD1"/>
    <w:rsid w:val="00564F8C"/>
    <w:rsid w:val="0056545E"/>
    <w:rsid w:val="00565520"/>
    <w:rsid w:val="0056559F"/>
    <w:rsid w:val="005655EC"/>
    <w:rsid w:val="005655EF"/>
    <w:rsid w:val="00565723"/>
    <w:rsid w:val="0056586A"/>
    <w:rsid w:val="0056587F"/>
    <w:rsid w:val="00565A22"/>
    <w:rsid w:val="00565A58"/>
    <w:rsid w:val="00565D35"/>
    <w:rsid w:val="00565FED"/>
    <w:rsid w:val="005660C1"/>
    <w:rsid w:val="005661D3"/>
    <w:rsid w:val="00566220"/>
    <w:rsid w:val="00566616"/>
    <w:rsid w:val="00566E86"/>
    <w:rsid w:val="00566F66"/>
    <w:rsid w:val="005672F7"/>
    <w:rsid w:val="0056733D"/>
    <w:rsid w:val="005673EE"/>
    <w:rsid w:val="005675F5"/>
    <w:rsid w:val="00567A2E"/>
    <w:rsid w:val="00567C3C"/>
    <w:rsid w:val="00567D42"/>
    <w:rsid w:val="00567DFD"/>
    <w:rsid w:val="00570195"/>
    <w:rsid w:val="005704B6"/>
    <w:rsid w:val="00570630"/>
    <w:rsid w:val="00570645"/>
    <w:rsid w:val="00570743"/>
    <w:rsid w:val="00570D6E"/>
    <w:rsid w:val="00570FF4"/>
    <w:rsid w:val="005712CA"/>
    <w:rsid w:val="00571327"/>
    <w:rsid w:val="0057133B"/>
    <w:rsid w:val="00571439"/>
    <w:rsid w:val="00571512"/>
    <w:rsid w:val="00571701"/>
    <w:rsid w:val="00571C0F"/>
    <w:rsid w:val="00571DD0"/>
    <w:rsid w:val="005723CB"/>
    <w:rsid w:val="00572A98"/>
    <w:rsid w:val="00572BB5"/>
    <w:rsid w:val="00572E25"/>
    <w:rsid w:val="00573429"/>
    <w:rsid w:val="00573521"/>
    <w:rsid w:val="0057355D"/>
    <w:rsid w:val="005735C8"/>
    <w:rsid w:val="00573698"/>
    <w:rsid w:val="00573725"/>
    <w:rsid w:val="005737F4"/>
    <w:rsid w:val="00573950"/>
    <w:rsid w:val="005739A0"/>
    <w:rsid w:val="00573CB5"/>
    <w:rsid w:val="00574444"/>
    <w:rsid w:val="00574751"/>
    <w:rsid w:val="005748C2"/>
    <w:rsid w:val="005749E8"/>
    <w:rsid w:val="00575618"/>
    <w:rsid w:val="00575630"/>
    <w:rsid w:val="005757E9"/>
    <w:rsid w:val="00575A1A"/>
    <w:rsid w:val="00575A5A"/>
    <w:rsid w:val="00575B0F"/>
    <w:rsid w:val="00575B8E"/>
    <w:rsid w:val="00575E8D"/>
    <w:rsid w:val="0057626F"/>
    <w:rsid w:val="0057657C"/>
    <w:rsid w:val="00576714"/>
    <w:rsid w:val="0057691A"/>
    <w:rsid w:val="00576A77"/>
    <w:rsid w:val="00576DDD"/>
    <w:rsid w:val="00577054"/>
    <w:rsid w:val="005772AF"/>
    <w:rsid w:val="005774B9"/>
    <w:rsid w:val="005774CC"/>
    <w:rsid w:val="0057755D"/>
    <w:rsid w:val="005775EA"/>
    <w:rsid w:val="0057774A"/>
    <w:rsid w:val="005777D1"/>
    <w:rsid w:val="00577BDC"/>
    <w:rsid w:val="00577C40"/>
    <w:rsid w:val="00577C75"/>
    <w:rsid w:val="00577CF1"/>
    <w:rsid w:val="00577E25"/>
    <w:rsid w:val="00577FE2"/>
    <w:rsid w:val="005802D4"/>
    <w:rsid w:val="0058044E"/>
    <w:rsid w:val="00580454"/>
    <w:rsid w:val="00580502"/>
    <w:rsid w:val="005808A1"/>
    <w:rsid w:val="00581163"/>
    <w:rsid w:val="00581532"/>
    <w:rsid w:val="00581684"/>
    <w:rsid w:val="0058175C"/>
    <w:rsid w:val="00581B1F"/>
    <w:rsid w:val="00581BDA"/>
    <w:rsid w:val="00581D97"/>
    <w:rsid w:val="00582212"/>
    <w:rsid w:val="00582218"/>
    <w:rsid w:val="0058266B"/>
    <w:rsid w:val="00582711"/>
    <w:rsid w:val="005827F2"/>
    <w:rsid w:val="00582D22"/>
    <w:rsid w:val="00582FEC"/>
    <w:rsid w:val="0058331D"/>
    <w:rsid w:val="00583377"/>
    <w:rsid w:val="005833CB"/>
    <w:rsid w:val="00583581"/>
    <w:rsid w:val="00583751"/>
    <w:rsid w:val="0058386F"/>
    <w:rsid w:val="005838ED"/>
    <w:rsid w:val="00583A1C"/>
    <w:rsid w:val="00583B55"/>
    <w:rsid w:val="00583BD4"/>
    <w:rsid w:val="00583E27"/>
    <w:rsid w:val="00583E4B"/>
    <w:rsid w:val="00583F33"/>
    <w:rsid w:val="00583F3D"/>
    <w:rsid w:val="00583F52"/>
    <w:rsid w:val="00583FB7"/>
    <w:rsid w:val="005842AA"/>
    <w:rsid w:val="005843CA"/>
    <w:rsid w:val="0058462D"/>
    <w:rsid w:val="005847D0"/>
    <w:rsid w:val="00584A39"/>
    <w:rsid w:val="00584AF2"/>
    <w:rsid w:val="00584BDC"/>
    <w:rsid w:val="00584F99"/>
    <w:rsid w:val="00585088"/>
    <w:rsid w:val="00585529"/>
    <w:rsid w:val="005859E6"/>
    <w:rsid w:val="005859F9"/>
    <w:rsid w:val="00585E04"/>
    <w:rsid w:val="00585F49"/>
    <w:rsid w:val="00585FB3"/>
    <w:rsid w:val="0058605D"/>
    <w:rsid w:val="005861E9"/>
    <w:rsid w:val="0058659A"/>
    <w:rsid w:val="00586772"/>
    <w:rsid w:val="005868B4"/>
    <w:rsid w:val="005868BA"/>
    <w:rsid w:val="00586A27"/>
    <w:rsid w:val="00586A29"/>
    <w:rsid w:val="00586BAC"/>
    <w:rsid w:val="00586D40"/>
    <w:rsid w:val="00586D8B"/>
    <w:rsid w:val="00586DCC"/>
    <w:rsid w:val="00586F9F"/>
    <w:rsid w:val="00586FFA"/>
    <w:rsid w:val="00587223"/>
    <w:rsid w:val="00587389"/>
    <w:rsid w:val="0058738C"/>
    <w:rsid w:val="00587798"/>
    <w:rsid w:val="00587DB7"/>
    <w:rsid w:val="00587EEA"/>
    <w:rsid w:val="00590172"/>
    <w:rsid w:val="00590924"/>
    <w:rsid w:val="00590C2B"/>
    <w:rsid w:val="00590CAD"/>
    <w:rsid w:val="00590CFB"/>
    <w:rsid w:val="00590E74"/>
    <w:rsid w:val="00590F49"/>
    <w:rsid w:val="005912ED"/>
    <w:rsid w:val="00591435"/>
    <w:rsid w:val="005914B3"/>
    <w:rsid w:val="00591580"/>
    <w:rsid w:val="005917F3"/>
    <w:rsid w:val="00591D51"/>
    <w:rsid w:val="00591DF5"/>
    <w:rsid w:val="00591EDD"/>
    <w:rsid w:val="00591F0C"/>
    <w:rsid w:val="0059220B"/>
    <w:rsid w:val="00592394"/>
    <w:rsid w:val="005924BD"/>
    <w:rsid w:val="00592727"/>
    <w:rsid w:val="005927CD"/>
    <w:rsid w:val="005929DB"/>
    <w:rsid w:val="00592E8E"/>
    <w:rsid w:val="0059348F"/>
    <w:rsid w:val="00593D74"/>
    <w:rsid w:val="005941A3"/>
    <w:rsid w:val="00594440"/>
    <w:rsid w:val="00594815"/>
    <w:rsid w:val="00594981"/>
    <w:rsid w:val="005949ED"/>
    <w:rsid w:val="00594B59"/>
    <w:rsid w:val="00594D7F"/>
    <w:rsid w:val="00594E24"/>
    <w:rsid w:val="00594F12"/>
    <w:rsid w:val="00594F1A"/>
    <w:rsid w:val="00594FB5"/>
    <w:rsid w:val="0059529A"/>
    <w:rsid w:val="00595464"/>
    <w:rsid w:val="005954FA"/>
    <w:rsid w:val="005956FF"/>
    <w:rsid w:val="0059578F"/>
    <w:rsid w:val="005957BC"/>
    <w:rsid w:val="00595825"/>
    <w:rsid w:val="00595929"/>
    <w:rsid w:val="00595981"/>
    <w:rsid w:val="00595985"/>
    <w:rsid w:val="00595AC2"/>
    <w:rsid w:val="00595AE3"/>
    <w:rsid w:val="00595DA7"/>
    <w:rsid w:val="00595E33"/>
    <w:rsid w:val="00595FAF"/>
    <w:rsid w:val="00595FE4"/>
    <w:rsid w:val="00596134"/>
    <w:rsid w:val="005964D9"/>
    <w:rsid w:val="00596699"/>
    <w:rsid w:val="00596787"/>
    <w:rsid w:val="00596A13"/>
    <w:rsid w:val="00596ADF"/>
    <w:rsid w:val="00596E5E"/>
    <w:rsid w:val="00596E79"/>
    <w:rsid w:val="0059730D"/>
    <w:rsid w:val="005973DB"/>
    <w:rsid w:val="00597519"/>
    <w:rsid w:val="00597716"/>
    <w:rsid w:val="0059786F"/>
    <w:rsid w:val="00597964"/>
    <w:rsid w:val="00597F84"/>
    <w:rsid w:val="00597FA3"/>
    <w:rsid w:val="00597FB7"/>
    <w:rsid w:val="005A01A5"/>
    <w:rsid w:val="005A020F"/>
    <w:rsid w:val="005A05DF"/>
    <w:rsid w:val="005A0785"/>
    <w:rsid w:val="005A087D"/>
    <w:rsid w:val="005A09F3"/>
    <w:rsid w:val="005A0F5F"/>
    <w:rsid w:val="005A1192"/>
    <w:rsid w:val="005A11A8"/>
    <w:rsid w:val="005A11C0"/>
    <w:rsid w:val="005A1366"/>
    <w:rsid w:val="005A13C2"/>
    <w:rsid w:val="005A13EF"/>
    <w:rsid w:val="005A16FE"/>
    <w:rsid w:val="005A17B9"/>
    <w:rsid w:val="005A18FD"/>
    <w:rsid w:val="005A1944"/>
    <w:rsid w:val="005A1954"/>
    <w:rsid w:val="005A1D40"/>
    <w:rsid w:val="005A1DB2"/>
    <w:rsid w:val="005A1E96"/>
    <w:rsid w:val="005A23F3"/>
    <w:rsid w:val="005A26FC"/>
    <w:rsid w:val="005A2936"/>
    <w:rsid w:val="005A2A9D"/>
    <w:rsid w:val="005A2CD5"/>
    <w:rsid w:val="005A3439"/>
    <w:rsid w:val="005A3515"/>
    <w:rsid w:val="005A37F9"/>
    <w:rsid w:val="005A3899"/>
    <w:rsid w:val="005A3A4E"/>
    <w:rsid w:val="005A3AA1"/>
    <w:rsid w:val="005A3B09"/>
    <w:rsid w:val="005A3B7A"/>
    <w:rsid w:val="005A3EC8"/>
    <w:rsid w:val="005A40B7"/>
    <w:rsid w:val="005A40CD"/>
    <w:rsid w:val="005A4389"/>
    <w:rsid w:val="005A439A"/>
    <w:rsid w:val="005A46CD"/>
    <w:rsid w:val="005A4D29"/>
    <w:rsid w:val="005A4FF8"/>
    <w:rsid w:val="005A5136"/>
    <w:rsid w:val="005A52C1"/>
    <w:rsid w:val="005A568F"/>
    <w:rsid w:val="005A5715"/>
    <w:rsid w:val="005A5796"/>
    <w:rsid w:val="005A57A5"/>
    <w:rsid w:val="005A57AF"/>
    <w:rsid w:val="005A59DA"/>
    <w:rsid w:val="005A5A26"/>
    <w:rsid w:val="005A5B0F"/>
    <w:rsid w:val="005A5F28"/>
    <w:rsid w:val="005A68FE"/>
    <w:rsid w:val="005A6A94"/>
    <w:rsid w:val="005A6C4E"/>
    <w:rsid w:val="005A6CA5"/>
    <w:rsid w:val="005A6E98"/>
    <w:rsid w:val="005A6EC9"/>
    <w:rsid w:val="005A73AE"/>
    <w:rsid w:val="005A785F"/>
    <w:rsid w:val="005A79AE"/>
    <w:rsid w:val="005A79D9"/>
    <w:rsid w:val="005A79EF"/>
    <w:rsid w:val="005A7CA1"/>
    <w:rsid w:val="005A7E02"/>
    <w:rsid w:val="005A7E78"/>
    <w:rsid w:val="005A7E81"/>
    <w:rsid w:val="005B0070"/>
    <w:rsid w:val="005B0563"/>
    <w:rsid w:val="005B05B4"/>
    <w:rsid w:val="005B072D"/>
    <w:rsid w:val="005B0771"/>
    <w:rsid w:val="005B07CA"/>
    <w:rsid w:val="005B07D1"/>
    <w:rsid w:val="005B0968"/>
    <w:rsid w:val="005B0C11"/>
    <w:rsid w:val="005B0C6A"/>
    <w:rsid w:val="005B0F1A"/>
    <w:rsid w:val="005B105F"/>
    <w:rsid w:val="005B12AB"/>
    <w:rsid w:val="005B1617"/>
    <w:rsid w:val="005B16E1"/>
    <w:rsid w:val="005B17B6"/>
    <w:rsid w:val="005B17E7"/>
    <w:rsid w:val="005B1D16"/>
    <w:rsid w:val="005B1DCF"/>
    <w:rsid w:val="005B1E45"/>
    <w:rsid w:val="005B1E93"/>
    <w:rsid w:val="005B205C"/>
    <w:rsid w:val="005B21DB"/>
    <w:rsid w:val="005B26CA"/>
    <w:rsid w:val="005B2716"/>
    <w:rsid w:val="005B2D17"/>
    <w:rsid w:val="005B2D9E"/>
    <w:rsid w:val="005B2FA5"/>
    <w:rsid w:val="005B3344"/>
    <w:rsid w:val="005B34F5"/>
    <w:rsid w:val="005B3504"/>
    <w:rsid w:val="005B3585"/>
    <w:rsid w:val="005B3694"/>
    <w:rsid w:val="005B3781"/>
    <w:rsid w:val="005B37B4"/>
    <w:rsid w:val="005B3991"/>
    <w:rsid w:val="005B3B5D"/>
    <w:rsid w:val="005B3C4B"/>
    <w:rsid w:val="005B3D18"/>
    <w:rsid w:val="005B3DB8"/>
    <w:rsid w:val="005B4054"/>
    <w:rsid w:val="005B4247"/>
    <w:rsid w:val="005B4394"/>
    <w:rsid w:val="005B4494"/>
    <w:rsid w:val="005B4534"/>
    <w:rsid w:val="005B4537"/>
    <w:rsid w:val="005B458E"/>
    <w:rsid w:val="005B45B0"/>
    <w:rsid w:val="005B4A3C"/>
    <w:rsid w:val="005B4D53"/>
    <w:rsid w:val="005B4FCD"/>
    <w:rsid w:val="005B50C9"/>
    <w:rsid w:val="005B5196"/>
    <w:rsid w:val="005B526D"/>
    <w:rsid w:val="005B53D3"/>
    <w:rsid w:val="005B53D8"/>
    <w:rsid w:val="005B5653"/>
    <w:rsid w:val="005B5661"/>
    <w:rsid w:val="005B56BD"/>
    <w:rsid w:val="005B5701"/>
    <w:rsid w:val="005B59E0"/>
    <w:rsid w:val="005B5C8A"/>
    <w:rsid w:val="005B5DAD"/>
    <w:rsid w:val="005B6058"/>
    <w:rsid w:val="005B6151"/>
    <w:rsid w:val="005B61A8"/>
    <w:rsid w:val="005B61F4"/>
    <w:rsid w:val="005B6248"/>
    <w:rsid w:val="005B64AC"/>
    <w:rsid w:val="005B655B"/>
    <w:rsid w:val="005B66DA"/>
    <w:rsid w:val="005B697B"/>
    <w:rsid w:val="005B699D"/>
    <w:rsid w:val="005B6A55"/>
    <w:rsid w:val="005B6B60"/>
    <w:rsid w:val="005B6CBE"/>
    <w:rsid w:val="005B6D36"/>
    <w:rsid w:val="005B6DDB"/>
    <w:rsid w:val="005B6E0A"/>
    <w:rsid w:val="005B6F96"/>
    <w:rsid w:val="005B6FF7"/>
    <w:rsid w:val="005B7328"/>
    <w:rsid w:val="005B76B9"/>
    <w:rsid w:val="005B780A"/>
    <w:rsid w:val="005B7967"/>
    <w:rsid w:val="005B7B80"/>
    <w:rsid w:val="005B7B99"/>
    <w:rsid w:val="005C02E9"/>
    <w:rsid w:val="005C088E"/>
    <w:rsid w:val="005C08A0"/>
    <w:rsid w:val="005C0AA3"/>
    <w:rsid w:val="005C0B97"/>
    <w:rsid w:val="005C0C52"/>
    <w:rsid w:val="005C0CF4"/>
    <w:rsid w:val="005C0D73"/>
    <w:rsid w:val="005C0F25"/>
    <w:rsid w:val="005C0F37"/>
    <w:rsid w:val="005C0F8B"/>
    <w:rsid w:val="005C1030"/>
    <w:rsid w:val="005C111B"/>
    <w:rsid w:val="005C194F"/>
    <w:rsid w:val="005C1F77"/>
    <w:rsid w:val="005C2090"/>
    <w:rsid w:val="005C2229"/>
    <w:rsid w:val="005C22D8"/>
    <w:rsid w:val="005C22EC"/>
    <w:rsid w:val="005C253B"/>
    <w:rsid w:val="005C27D5"/>
    <w:rsid w:val="005C2817"/>
    <w:rsid w:val="005C2C7B"/>
    <w:rsid w:val="005C2DAB"/>
    <w:rsid w:val="005C3237"/>
    <w:rsid w:val="005C3751"/>
    <w:rsid w:val="005C38D3"/>
    <w:rsid w:val="005C3916"/>
    <w:rsid w:val="005C3BBE"/>
    <w:rsid w:val="005C4068"/>
    <w:rsid w:val="005C42FE"/>
    <w:rsid w:val="005C4600"/>
    <w:rsid w:val="005C46DF"/>
    <w:rsid w:val="005C484E"/>
    <w:rsid w:val="005C4AA8"/>
    <w:rsid w:val="005C4AFB"/>
    <w:rsid w:val="005C4B33"/>
    <w:rsid w:val="005C4D24"/>
    <w:rsid w:val="005C5078"/>
    <w:rsid w:val="005C51E7"/>
    <w:rsid w:val="005C5212"/>
    <w:rsid w:val="005C5434"/>
    <w:rsid w:val="005C5455"/>
    <w:rsid w:val="005C5915"/>
    <w:rsid w:val="005C5AD6"/>
    <w:rsid w:val="005C5CB0"/>
    <w:rsid w:val="005C60A7"/>
    <w:rsid w:val="005C6137"/>
    <w:rsid w:val="005C6157"/>
    <w:rsid w:val="005C6186"/>
    <w:rsid w:val="005C6200"/>
    <w:rsid w:val="005C6582"/>
    <w:rsid w:val="005C6F48"/>
    <w:rsid w:val="005C7528"/>
    <w:rsid w:val="005C76E6"/>
    <w:rsid w:val="005C77C9"/>
    <w:rsid w:val="005C782D"/>
    <w:rsid w:val="005C78ED"/>
    <w:rsid w:val="005C79FA"/>
    <w:rsid w:val="005C7C59"/>
    <w:rsid w:val="005C7FBE"/>
    <w:rsid w:val="005D0285"/>
    <w:rsid w:val="005D05E9"/>
    <w:rsid w:val="005D07D6"/>
    <w:rsid w:val="005D08AD"/>
    <w:rsid w:val="005D0A69"/>
    <w:rsid w:val="005D0AC5"/>
    <w:rsid w:val="005D0B7F"/>
    <w:rsid w:val="005D0C27"/>
    <w:rsid w:val="005D0DBA"/>
    <w:rsid w:val="005D0F74"/>
    <w:rsid w:val="005D106E"/>
    <w:rsid w:val="005D1225"/>
    <w:rsid w:val="005D1239"/>
    <w:rsid w:val="005D1335"/>
    <w:rsid w:val="005D1514"/>
    <w:rsid w:val="005D1740"/>
    <w:rsid w:val="005D1760"/>
    <w:rsid w:val="005D19A1"/>
    <w:rsid w:val="005D1FD2"/>
    <w:rsid w:val="005D2285"/>
    <w:rsid w:val="005D2A1C"/>
    <w:rsid w:val="005D2BEA"/>
    <w:rsid w:val="005D2CCA"/>
    <w:rsid w:val="005D2D44"/>
    <w:rsid w:val="005D2D59"/>
    <w:rsid w:val="005D2E44"/>
    <w:rsid w:val="005D2F78"/>
    <w:rsid w:val="005D324E"/>
    <w:rsid w:val="005D3493"/>
    <w:rsid w:val="005D34E2"/>
    <w:rsid w:val="005D36D8"/>
    <w:rsid w:val="005D37C5"/>
    <w:rsid w:val="005D3967"/>
    <w:rsid w:val="005D3A27"/>
    <w:rsid w:val="005D3A30"/>
    <w:rsid w:val="005D3A8A"/>
    <w:rsid w:val="005D3AEC"/>
    <w:rsid w:val="005D3C42"/>
    <w:rsid w:val="005D3CD4"/>
    <w:rsid w:val="005D3CF9"/>
    <w:rsid w:val="005D3EB5"/>
    <w:rsid w:val="005D46A4"/>
    <w:rsid w:val="005D46FD"/>
    <w:rsid w:val="005D484B"/>
    <w:rsid w:val="005D48A8"/>
    <w:rsid w:val="005D4B32"/>
    <w:rsid w:val="005D4BC3"/>
    <w:rsid w:val="005D4C85"/>
    <w:rsid w:val="005D4EC8"/>
    <w:rsid w:val="005D4F41"/>
    <w:rsid w:val="005D5015"/>
    <w:rsid w:val="005D50A1"/>
    <w:rsid w:val="005D50F3"/>
    <w:rsid w:val="005D5300"/>
    <w:rsid w:val="005D530E"/>
    <w:rsid w:val="005D5331"/>
    <w:rsid w:val="005D5433"/>
    <w:rsid w:val="005D565C"/>
    <w:rsid w:val="005D58A3"/>
    <w:rsid w:val="005D58D2"/>
    <w:rsid w:val="005D59EA"/>
    <w:rsid w:val="005D5C81"/>
    <w:rsid w:val="005D5E54"/>
    <w:rsid w:val="005D5FFE"/>
    <w:rsid w:val="005D60A4"/>
    <w:rsid w:val="005D65DB"/>
    <w:rsid w:val="005D6853"/>
    <w:rsid w:val="005D6CCD"/>
    <w:rsid w:val="005D6DA4"/>
    <w:rsid w:val="005D6EA7"/>
    <w:rsid w:val="005D6ED5"/>
    <w:rsid w:val="005D6FFA"/>
    <w:rsid w:val="005D72EC"/>
    <w:rsid w:val="005D7375"/>
    <w:rsid w:val="005D749F"/>
    <w:rsid w:val="005D7542"/>
    <w:rsid w:val="005D769D"/>
    <w:rsid w:val="005D76AA"/>
    <w:rsid w:val="005D7B19"/>
    <w:rsid w:val="005D7DBF"/>
    <w:rsid w:val="005D7E00"/>
    <w:rsid w:val="005D7E8B"/>
    <w:rsid w:val="005D7EA8"/>
    <w:rsid w:val="005D7EEE"/>
    <w:rsid w:val="005D7F65"/>
    <w:rsid w:val="005D7FDE"/>
    <w:rsid w:val="005D7FE9"/>
    <w:rsid w:val="005D7FEE"/>
    <w:rsid w:val="005E0324"/>
    <w:rsid w:val="005E03B2"/>
    <w:rsid w:val="005E0400"/>
    <w:rsid w:val="005E04B5"/>
    <w:rsid w:val="005E04CC"/>
    <w:rsid w:val="005E0664"/>
    <w:rsid w:val="005E081B"/>
    <w:rsid w:val="005E0F23"/>
    <w:rsid w:val="005E11E0"/>
    <w:rsid w:val="005E1362"/>
    <w:rsid w:val="005E1398"/>
    <w:rsid w:val="005E1403"/>
    <w:rsid w:val="005E1452"/>
    <w:rsid w:val="005E14C6"/>
    <w:rsid w:val="005E15F9"/>
    <w:rsid w:val="005E16A0"/>
    <w:rsid w:val="005E1792"/>
    <w:rsid w:val="005E1829"/>
    <w:rsid w:val="005E189B"/>
    <w:rsid w:val="005E193A"/>
    <w:rsid w:val="005E1BD5"/>
    <w:rsid w:val="005E1C3A"/>
    <w:rsid w:val="005E1C83"/>
    <w:rsid w:val="005E229F"/>
    <w:rsid w:val="005E2358"/>
    <w:rsid w:val="005E29F9"/>
    <w:rsid w:val="005E2A33"/>
    <w:rsid w:val="005E2AEE"/>
    <w:rsid w:val="005E2EE8"/>
    <w:rsid w:val="005E31D9"/>
    <w:rsid w:val="005E32CB"/>
    <w:rsid w:val="005E3389"/>
    <w:rsid w:val="005E3886"/>
    <w:rsid w:val="005E3A49"/>
    <w:rsid w:val="005E3D34"/>
    <w:rsid w:val="005E3DF0"/>
    <w:rsid w:val="005E3F3E"/>
    <w:rsid w:val="005E4296"/>
    <w:rsid w:val="005E42B4"/>
    <w:rsid w:val="005E442E"/>
    <w:rsid w:val="005E476A"/>
    <w:rsid w:val="005E48E8"/>
    <w:rsid w:val="005E4998"/>
    <w:rsid w:val="005E4A10"/>
    <w:rsid w:val="005E4BA2"/>
    <w:rsid w:val="005E4BBB"/>
    <w:rsid w:val="005E4C4E"/>
    <w:rsid w:val="005E4CAB"/>
    <w:rsid w:val="005E4CF2"/>
    <w:rsid w:val="005E4F95"/>
    <w:rsid w:val="005E4FF3"/>
    <w:rsid w:val="005E5176"/>
    <w:rsid w:val="005E5300"/>
    <w:rsid w:val="005E56B8"/>
    <w:rsid w:val="005E59C6"/>
    <w:rsid w:val="005E5B04"/>
    <w:rsid w:val="005E5B1A"/>
    <w:rsid w:val="005E5B87"/>
    <w:rsid w:val="005E5E5A"/>
    <w:rsid w:val="005E5FF8"/>
    <w:rsid w:val="005E601A"/>
    <w:rsid w:val="005E6261"/>
    <w:rsid w:val="005E6389"/>
    <w:rsid w:val="005E63E0"/>
    <w:rsid w:val="005E6B0E"/>
    <w:rsid w:val="005E6D32"/>
    <w:rsid w:val="005E6FBF"/>
    <w:rsid w:val="005E701E"/>
    <w:rsid w:val="005E711B"/>
    <w:rsid w:val="005E7462"/>
    <w:rsid w:val="005E751F"/>
    <w:rsid w:val="005E7690"/>
    <w:rsid w:val="005E7741"/>
    <w:rsid w:val="005E795C"/>
    <w:rsid w:val="005E79A5"/>
    <w:rsid w:val="005E79C9"/>
    <w:rsid w:val="005E79D1"/>
    <w:rsid w:val="005E7A14"/>
    <w:rsid w:val="005E7D24"/>
    <w:rsid w:val="005E7EFA"/>
    <w:rsid w:val="005F00A0"/>
    <w:rsid w:val="005F022B"/>
    <w:rsid w:val="005F0678"/>
    <w:rsid w:val="005F0735"/>
    <w:rsid w:val="005F0899"/>
    <w:rsid w:val="005F0C3B"/>
    <w:rsid w:val="005F0E0C"/>
    <w:rsid w:val="005F0EC6"/>
    <w:rsid w:val="005F0F63"/>
    <w:rsid w:val="005F0FE8"/>
    <w:rsid w:val="005F10F7"/>
    <w:rsid w:val="005F12EB"/>
    <w:rsid w:val="005F1492"/>
    <w:rsid w:val="005F14E9"/>
    <w:rsid w:val="005F1590"/>
    <w:rsid w:val="005F1626"/>
    <w:rsid w:val="005F19EE"/>
    <w:rsid w:val="005F1D52"/>
    <w:rsid w:val="005F2013"/>
    <w:rsid w:val="005F2315"/>
    <w:rsid w:val="005F2421"/>
    <w:rsid w:val="005F2436"/>
    <w:rsid w:val="005F2470"/>
    <w:rsid w:val="005F2716"/>
    <w:rsid w:val="005F276D"/>
    <w:rsid w:val="005F27A1"/>
    <w:rsid w:val="005F2A08"/>
    <w:rsid w:val="005F2BA8"/>
    <w:rsid w:val="005F2BF4"/>
    <w:rsid w:val="005F2CC1"/>
    <w:rsid w:val="005F3324"/>
    <w:rsid w:val="005F3633"/>
    <w:rsid w:val="005F364E"/>
    <w:rsid w:val="005F3A4C"/>
    <w:rsid w:val="005F3BEA"/>
    <w:rsid w:val="005F3CE2"/>
    <w:rsid w:val="005F3D7E"/>
    <w:rsid w:val="005F3DC0"/>
    <w:rsid w:val="005F3DEC"/>
    <w:rsid w:val="005F3DEF"/>
    <w:rsid w:val="005F439F"/>
    <w:rsid w:val="005F44C4"/>
    <w:rsid w:val="005F476A"/>
    <w:rsid w:val="005F482D"/>
    <w:rsid w:val="005F4D29"/>
    <w:rsid w:val="005F4D6E"/>
    <w:rsid w:val="005F4EAF"/>
    <w:rsid w:val="005F4FE4"/>
    <w:rsid w:val="005F5360"/>
    <w:rsid w:val="005F5421"/>
    <w:rsid w:val="005F54C4"/>
    <w:rsid w:val="005F5846"/>
    <w:rsid w:val="005F5AAD"/>
    <w:rsid w:val="005F5B16"/>
    <w:rsid w:val="005F62E3"/>
    <w:rsid w:val="005F62E8"/>
    <w:rsid w:val="005F648B"/>
    <w:rsid w:val="005F668D"/>
    <w:rsid w:val="005F69C3"/>
    <w:rsid w:val="005F6AE6"/>
    <w:rsid w:val="005F6E46"/>
    <w:rsid w:val="005F72AC"/>
    <w:rsid w:val="005F731B"/>
    <w:rsid w:val="005F73DC"/>
    <w:rsid w:val="005F7516"/>
    <w:rsid w:val="005F7747"/>
    <w:rsid w:val="005F7833"/>
    <w:rsid w:val="005F7B01"/>
    <w:rsid w:val="005F7CD0"/>
    <w:rsid w:val="005F7CE4"/>
    <w:rsid w:val="005F7EEE"/>
    <w:rsid w:val="00600459"/>
    <w:rsid w:val="0060075E"/>
    <w:rsid w:val="00600C49"/>
    <w:rsid w:val="00601032"/>
    <w:rsid w:val="006010AC"/>
    <w:rsid w:val="00601143"/>
    <w:rsid w:val="0060119B"/>
    <w:rsid w:val="0060123A"/>
    <w:rsid w:val="0060154E"/>
    <w:rsid w:val="00601619"/>
    <w:rsid w:val="00601660"/>
    <w:rsid w:val="00601E74"/>
    <w:rsid w:val="00601FBB"/>
    <w:rsid w:val="0060237E"/>
    <w:rsid w:val="006028EA"/>
    <w:rsid w:val="00602C62"/>
    <w:rsid w:val="00602CA1"/>
    <w:rsid w:val="00602DE6"/>
    <w:rsid w:val="006030BA"/>
    <w:rsid w:val="00603231"/>
    <w:rsid w:val="006036CE"/>
    <w:rsid w:val="00603845"/>
    <w:rsid w:val="0060393E"/>
    <w:rsid w:val="00603B57"/>
    <w:rsid w:val="006042A8"/>
    <w:rsid w:val="006042DD"/>
    <w:rsid w:val="006045D4"/>
    <w:rsid w:val="006047E2"/>
    <w:rsid w:val="00604B2C"/>
    <w:rsid w:val="00604EB3"/>
    <w:rsid w:val="0060509B"/>
    <w:rsid w:val="006057BC"/>
    <w:rsid w:val="006057F4"/>
    <w:rsid w:val="0060581E"/>
    <w:rsid w:val="006058A3"/>
    <w:rsid w:val="0060594B"/>
    <w:rsid w:val="00605D03"/>
    <w:rsid w:val="00605D0A"/>
    <w:rsid w:val="00605D58"/>
    <w:rsid w:val="006060F5"/>
    <w:rsid w:val="00606468"/>
    <w:rsid w:val="0060648B"/>
    <w:rsid w:val="00606616"/>
    <w:rsid w:val="00606626"/>
    <w:rsid w:val="0060682C"/>
    <w:rsid w:val="00606ACB"/>
    <w:rsid w:val="00606C9B"/>
    <w:rsid w:val="00607110"/>
    <w:rsid w:val="00607247"/>
    <w:rsid w:val="00607296"/>
    <w:rsid w:val="00607395"/>
    <w:rsid w:val="006073D0"/>
    <w:rsid w:val="00607617"/>
    <w:rsid w:val="006076E6"/>
    <w:rsid w:val="0060788D"/>
    <w:rsid w:val="00607B36"/>
    <w:rsid w:val="00607B5B"/>
    <w:rsid w:val="00607DC4"/>
    <w:rsid w:val="00607F6A"/>
    <w:rsid w:val="00610065"/>
    <w:rsid w:val="006102E0"/>
    <w:rsid w:val="00610317"/>
    <w:rsid w:val="006103C2"/>
    <w:rsid w:val="0061067E"/>
    <w:rsid w:val="0061079F"/>
    <w:rsid w:val="00610850"/>
    <w:rsid w:val="00610A68"/>
    <w:rsid w:val="00610C42"/>
    <w:rsid w:val="00610E4C"/>
    <w:rsid w:val="00610F21"/>
    <w:rsid w:val="00610F40"/>
    <w:rsid w:val="0061130B"/>
    <w:rsid w:val="00611650"/>
    <w:rsid w:val="006117DA"/>
    <w:rsid w:val="00611996"/>
    <w:rsid w:val="00611A04"/>
    <w:rsid w:val="00611A22"/>
    <w:rsid w:val="00611C01"/>
    <w:rsid w:val="00611DCA"/>
    <w:rsid w:val="00611E16"/>
    <w:rsid w:val="00611F08"/>
    <w:rsid w:val="0061200D"/>
    <w:rsid w:val="00612359"/>
    <w:rsid w:val="006124A9"/>
    <w:rsid w:val="006125DB"/>
    <w:rsid w:val="006126E5"/>
    <w:rsid w:val="00612706"/>
    <w:rsid w:val="006127CB"/>
    <w:rsid w:val="00612A0C"/>
    <w:rsid w:val="00612A0F"/>
    <w:rsid w:val="00612A7B"/>
    <w:rsid w:val="00612B9C"/>
    <w:rsid w:val="00612CEE"/>
    <w:rsid w:val="006131B7"/>
    <w:rsid w:val="00613305"/>
    <w:rsid w:val="00613885"/>
    <w:rsid w:val="006138E0"/>
    <w:rsid w:val="00613933"/>
    <w:rsid w:val="00613AFC"/>
    <w:rsid w:val="00613B21"/>
    <w:rsid w:val="00613C31"/>
    <w:rsid w:val="00613D8B"/>
    <w:rsid w:val="00613E11"/>
    <w:rsid w:val="00613E22"/>
    <w:rsid w:val="00614184"/>
    <w:rsid w:val="0061429F"/>
    <w:rsid w:val="006142DE"/>
    <w:rsid w:val="0061445B"/>
    <w:rsid w:val="00614579"/>
    <w:rsid w:val="006145BD"/>
    <w:rsid w:val="006145E6"/>
    <w:rsid w:val="00614757"/>
    <w:rsid w:val="00614B7A"/>
    <w:rsid w:val="00614BD8"/>
    <w:rsid w:val="00614E04"/>
    <w:rsid w:val="00614EFB"/>
    <w:rsid w:val="00614FFA"/>
    <w:rsid w:val="00615005"/>
    <w:rsid w:val="006150DA"/>
    <w:rsid w:val="006151C2"/>
    <w:rsid w:val="00615205"/>
    <w:rsid w:val="0061523F"/>
    <w:rsid w:val="00615483"/>
    <w:rsid w:val="0061564A"/>
    <w:rsid w:val="006156E1"/>
    <w:rsid w:val="00615EA7"/>
    <w:rsid w:val="00615FA0"/>
    <w:rsid w:val="0061625B"/>
    <w:rsid w:val="00616292"/>
    <w:rsid w:val="00616580"/>
    <w:rsid w:val="00616877"/>
    <w:rsid w:val="0061690E"/>
    <w:rsid w:val="00616C26"/>
    <w:rsid w:val="006173C0"/>
    <w:rsid w:val="0061754D"/>
    <w:rsid w:val="006176BD"/>
    <w:rsid w:val="00617705"/>
    <w:rsid w:val="006177AC"/>
    <w:rsid w:val="00617988"/>
    <w:rsid w:val="00617DA1"/>
    <w:rsid w:val="00617E7E"/>
    <w:rsid w:val="00617F75"/>
    <w:rsid w:val="0062077D"/>
    <w:rsid w:val="00620A07"/>
    <w:rsid w:val="00620B73"/>
    <w:rsid w:val="00620BD0"/>
    <w:rsid w:val="00620D0A"/>
    <w:rsid w:val="00620D17"/>
    <w:rsid w:val="00620D97"/>
    <w:rsid w:val="00620F08"/>
    <w:rsid w:val="00621036"/>
    <w:rsid w:val="00621088"/>
    <w:rsid w:val="00621505"/>
    <w:rsid w:val="00621536"/>
    <w:rsid w:val="0062196B"/>
    <w:rsid w:val="00621A73"/>
    <w:rsid w:val="00621A9D"/>
    <w:rsid w:val="00621AAA"/>
    <w:rsid w:val="00621CB5"/>
    <w:rsid w:val="00621DF2"/>
    <w:rsid w:val="00621FB7"/>
    <w:rsid w:val="00622101"/>
    <w:rsid w:val="006224FB"/>
    <w:rsid w:val="0062258C"/>
    <w:rsid w:val="00622BCE"/>
    <w:rsid w:val="00622C3E"/>
    <w:rsid w:val="00622C3F"/>
    <w:rsid w:val="00622CAD"/>
    <w:rsid w:val="00622E6C"/>
    <w:rsid w:val="00622FC8"/>
    <w:rsid w:val="00623145"/>
    <w:rsid w:val="006231F3"/>
    <w:rsid w:val="0062329C"/>
    <w:rsid w:val="006233C4"/>
    <w:rsid w:val="006237B8"/>
    <w:rsid w:val="006239BD"/>
    <w:rsid w:val="00623BF6"/>
    <w:rsid w:val="0062416C"/>
    <w:rsid w:val="0062431B"/>
    <w:rsid w:val="006247DB"/>
    <w:rsid w:val="00624AEE"/>
    <w:rsid w:val="00624C39"/>
    <w:rsid w:val="00624C6D"/>
    <w:rsid w:val="00624E45"/>
    <w:rsid w:val="0062521F"/>
    <w:rsid w:val="0062541E"/>
    <w:rsid w:val="00625464"/>
    <w:rsid w:val="00625508"/>
    <w:rsid w:val="006255B7"/>
    <w:rsid w:val="006255D5"/>
    <w:rsid w:val="006258E4"/>
    <w:rsid w:val="00625928"/>
    <w:rsid w:val="0062598E"/>
    <w:rsid w:val="006259B0"/>
    <w:rsid w:val="00625BB9"/>
    <w:rsid w:val="00625C99"/>
    <w:rsid w:val="00625DA9"/>
    <w:rsid w:val="00625E61"/>
    <w:rsid w:val="00625F64"/>
    <w:rsid w:val="00626048"/>
    <w:rsid w:val="00626266"/>
    <w:rsid w:val="006262E7"/>
    <w:rsid w:val="006262E9"/>
    <w:rsid w:val="00626390"/>
    <w:rsid w:val="0062665D"/>
    <w:rsid w:val="00626855"/>
    <w:rsid w:val="006268E6"/>
    <w:rsid w:val="006268E7"/>
    <w:rsid w:val="00626967"/>
    <w:rsid w:val="00626AFE"/>
    <w:rsid w:val="00626B9B"/>
    <w:rsid w:val="00626D89"/>
    <w:rsid w:val="00626F1C"/>
    <w:rsid w:val="00626F93"/>
    <w:rsid w:val="00627165"/>
    <w:rsid w:val="00627249"/>
    <w:rsid w:val="00627586"/>
    <w:rsid w:val="0062771A"/>
    <w:rsid w:val="0062773B"/>
    <w:rsid w:val="00627875"/>
    <w:rsid w:val="00627BC1"/>
    <w:rsid w:val="00627CF9"/>
    <w:rsid w:val="00627E61"/>
    <w:rsid w:val="0063015F"/>
    <w:rsid w:val="00630288"/>
    <w:rsid w:val="0063029D"/>
    <w:rsid w:val="006302BE"/>
    <w:rsid w:val="0063033E"/>
    <w:rsid w:val="006304F0"/>
    <w:rsid w:val="006305C6"/>
    <w:rsid w:val="00630773"/>
    <w:rsid w:val="00630B1E"/>
    <w:rsid w:val="00630E4C"/>
    <w:rsid w:val="006310C4"/>
    <w:rsid w:val="006311F2"/>
    <w:rsid w:val="00631240"/>
    <w:rsid w:val="0063133A"/>
    <w:rsid w:val="006313DC"/>
    <w:rsid w:val="0063140D"/>
    <w:rsid w:val="0063149F"/>
    <w:rsid w:val="00631658"/>
    <w:rsid w:val="00631975"/>
    <w:rsid w:val="00631977"/>
    <w:rsid w:val="006319B0"/>
    <w:rsid w:val="00631AF7"/>
    <w:rsid w:val="00631BEC"/>
    <w:rsid w:val="00631C0F"/>
    <w:rsid w:val="00631F05"/>
    <w:rsid w:val="00632013"/>
    <w:rsid w:val="00632235"/>
    <w:rsid w:val="006322C6"/>
    <w:rsid w:val="006322EB"/>
    <w:rsid w:val="0063256F"/>
    <w:rsid w:val="006328FD"/>
    <w:rsid w:val="00632BBD"/>
    <w:rsid w:val="00632D7E"/>
    <w:rsid w:val="00632DE7"/>
    <w:rsid w:val="00632F6C"/>
    <w:rsid w:val="00632F8A"/>
    <w:rsid w:val="0063321B"/>
    <w:rsid w:val="00633308"/>
    <w:rsid w:val="00633452"/>
    <w:rsid w:val="00633510"/>
    <w:rsid w:val="006337DC"/>
    <w:rsid w:val="0063383D"/>
    <w:rsid w:val="0063388B"/>
    <w:rsid w:val="00633A6A"/>
    <w:rsid w:val="00633DC0"/>
    <w:rsid w:val="00633E9C"/>
    <w:rsid w:val="006341F9"/>
    <w:rsid w:val="0063421F"/>
    <w:rsid w:val="0063437F"/>
    <w:rsid w:val="0063449A"/>
    <w:rsid w:val="006346D3"/>
    <w:rsid w:val="00635072"/>
    <w:rsid w:val="00635117"/>
    <w:rsid w:val="00635334"/>
    <w:rsid w:val="00635419"/>
    <w:rsid w:val="006357FA"/>
    <w:rsid w:val="00635860"/>
    <w:rsid w:val="00635B6F"/>
    <w:rsid w:val="00635C3C"/>
    <w:rsid w:val="00635F59"/>
    <w:rsid w:val="00635FA6"/>
    <w:rsid w:val="00635FAE"/>
    <w:rsid w:val="00636113"/>
    <w:rsid w:val="00636255"/>
    <w:rsid w:val="00636505"/>
    <w:rsid w:val="0063687D"/>
    <w:rsid w:val="006368B2"/>
    <w:rsid w:val="00636ADE"/>
    <w:rsid w:val="00636CED"/>
    <w:rsid w:val="00636ECB"/>
    <w:rsid w:val="00636FE6"/>
    <w:rsid w:val="00637072"/>
    <w:rsid w:val="00637089"/>
    <w:rsid w:val="00637343"/>
    <w:rsid w:val="00637378"/>
    <w:rsid w:val="006373A9"/>
    <w:rsid w:val="006377C3"/>
    <w:rsid w:val="00637924"/>
    <w:rsid w:val="00637CF2"/>
    <w:rsid w:val="0064024F"/>
    <w:rsid w:val="00640260"/>
    <w:rsid w:val="00640315"/>
    <w:rsid w:val="006403F9"/>
    <w:rsid w:val="00641273"/>
    <w:rsid w:val="00641357"/>
    <w:rsid w:val="006413D1"/>
    <w:rsid w:val="0064166C"/>
    <w:rsid w:val="006417DA"/>
    <w:rsid w:val="00641A1E"/>
    <w:rsid w:val="00641B91"/>
    <w:rsid w:val="00642105"/>
    <w:rsid w:val="0064241F"/>
    <w:rsid w:val="0064250F"/>
    <w:rsid w:val="00642583"/>
    <w:rsid w:val="006428AD"/>
    <w:rsid w:val="006428D1"/>
    <w:rsid w:val="00642A50"/>
    <w:rsid w:val="00642B25"/>
    <w:rsid w:val="00642B55"/>
    <w:rsid w:val="00642BDB"/>
    <w:rsid w:val="00642F70"/>
    <w:rsid w:val="00643166"/>
    <w:rsid w:val="00643480"/>
    <w:rsid w:val="00643497"/>
    <w:rsid w:val="0064388A"/>
    <w:rsid w:val="00643B06"/>
    <w:rsid w:val="00643C29"/>
    <w:rsid w:val="00643D1B"/>
    <w:rsid w:val="00643E0E"/>
    <w:rsid w:val="00643F02"/>
    <w:rsid w:val="006441D7"/>
    <w:rsid w:val="006442F4"/>
    <w:rsid w:val="00644492"/>
    <w:rsid w:val="006445A7"/>
    <w:rsid w:val="0064473D"/>
    <w:rsid w:val="00644748"/>
    <w:rsid w:val="00644765"/>
    <w:rsid w:val="00644769"/>
    <w:rsid w:val="00644B37"/>
    <w:rsid w:val="00644C3A"/>
    <w:rsid w:val="00644E77"/>
    <w:rsid w:val="00645169"/>
    <w:rsid w:val="006454D0"/>
    <w:rsid w:val="0064557E"/>
    <w:rsid w:val="006456A1"/>
    <w:rsid w:val="006457AF"/>
    <w:rsid w:val="0064588E"/>
    <w:rsid w:val="00645A0E"/>
    <w:rsid w:val="00645FF4"/>
    <w:rsid w:val="006461BD"/>
    <w:rsid w:val="006463C7"/>
    <w:rsid w:val="006463ED"/>
    <w:rsid w:val="00646493"/>
    <w:rsid w:val="0064663C"/>
    <w:rsid w:val="00646B8F"/>
    <w:rsid w:val="00646E40"/>
    <w:rsid w:val="00647568"/>
    <w:rsid w:val="00647810"/>
    <w:rsid w:val="00647A06"/>
    <w:rsid w:val="00647A4B"/>
    <w:rsid w:val="00647B9E"/>
    <w:rsid w:val="00647E2B"/>
    <w:rsid w:val="00647F9A"/>
    <w:rsid w:val="00647FD6"/>
    <w:rsid w:val="006500B1"/>
    <w:rsid w:val="00650722"/>
    <w:rsid w:val="00650851"/>
    <w:rsid w:val="006509E8"/>
    <w:rsid w:val="00650E31"/>
    <w:rsid w:val="00650F3B"/>
    <w:rsid w:val="0065120E"/>
    <w:rsid w:val="006514B1"/>
    <w:rsid w:val="00651533"/>
    <w:rsid w:val="006515B7"/>
    <w:rsid w:val="006515E2"/>
    <w:rsid w:val="0065163C"/>
    <w:rsid w:val="006517F2"/>
    <w:rsid w:val="00651857"/>
    <w:rsid w:val="00651951"/>
    <w:rsid w:val="00651971"/>
    <w:rsid w:val="00651B36"/>
    <w:rsid w:val="00651BFA"/>
    <w:rsid w:val="00651C7B"/>
    <w:rsid w:val="00651F09"/>
    <w:rsid w:val="00652012"/>
    <w:rsid w:val="006521E4"/>
    <w:rsid w:val="00652377"/>
    <w:rsid w:val="006523FF"/>
    <w:rsid w:val="00652693"/>
    <w:rsid w:val="0065274C"/>
    <w:rsid w:val="00652C22"/>
    <w:rsid w:val="006533BE"/>
    <w:rsid w:val="00653709"/>
    <w:rsid w:val="00653929"/>
    <w:rsid w:val="00653A1A"/>
    <w:rsid w:val="00653A96"/>
    <w:rsid w:val="00653AD2"/>
    <w:rsid w:val="00653CEE"/>
    <w:rsid w:val="00653D3C"/>
    <w:rsid w:val="00653EB8"/>
    <w:rsid w:val="00653F3F"/>
    <w:rsid w:val="00654347"/>
    <w:rsid w:val="0065435A"/>
    <w:rsid w:val="006545C6"/>
    <w:rsid w:val="00654634"/>
    <w:rsid w:val="00654AB1"/>
    <w:rsid w:val="00654DDF"/>
    <w:rsid w:val="00654F81"/>
    <w:rsid w:val="00655033"/>
    <w:rsid w:val="006550CE"/>
    <w:rsid w:val="006550DE"/>
    <w:rsid w:val="00655222"/>
    <w:rsid w:val="0065556C"/>
    <w:rsid w:val="00655989"/>
    <w:rsid w:val="00655ABB"/>
    <w:rsid w:val="00655B06"/>
    <w:rsid w:val="00655B42"/>
    <w:rsid w:val="00655B4A"/>
    <w:rsid w:val="00655C06"/>
    <w:rsid w:val="00655C52"/>
    <w:rsid w:val="00655CC9"/>
    <w:rsid w:val="00655CE5"/>
    <w:rsid w:val="00655EBE"/>
    <w:rsid w:val="00655F97"/>
    <w:rsid w:val="0065620E"/>
    <w:rsid w:val="0065621D"/>
    <w:rsid w:val="0065621F"/>
    <w:rsid w:val="0065625F"/>
    <w:rsid w:val="006563E9"/>
    <w:rsid w:val="00656B2A"/>
    <w:rsid w:val="00656BA9"/>
    <w:rsid w:val="00656D22"/>
    <w:rsid w:val="00656E0F"/>
    <w:rsid w:val="00656F9E"/>
    <w:rsid w:val="006571FB"/>
    <w:rsid w:val="006573C0"/>
    <w:rsid w:val="006573D4"/>
    <w:rsid w:val="006576F8"/>
    <w:rsid w:val="00657889"/>
    <w:rsid w:val="00657B8E"/>
    <w:rsid w:val="00657DB9"/>
    <w:rsid w:val="00657E16"/>
    <w:rsid w:val="00657E5F"/>
    <w:rsid w:val="00657EA3"/>
    <w:rsid w:val="0066005A"/>
    <w:rsid w:val="00660067"/>
    <w:rsid w:val="006601BE"/>
    <w:rsid w:val="00660249"/>
    <w:rsid w:val="00660285"/>
    <w:rsid w:val="006603A8"/>
    <w:rsid w:val="0066074B"/>
    <w:rsid w:val="006607FE"/>
    <w:rsid w:val="00660A0F"/>
    <w:rsid w:val="00660A72"/>
    <w:rsid w:val="00660BBD"/>
    <w:rsid w:val="00660F43"/>
    <w:rsid w:val="006611EB"/>
    <w:rsid w:val="00661532"/>
    <w:rsid w:val="00661628"/>
    <w:rsid w:val="006616C3"/>
    <w:rsid w:val="0066182B"/>
    <w:rsid w:val="00661980"/>
    <w:rsid w:val="00661999"/>
    <w:rsid w:val="0066208B"/>
    <w:rsid w:val="006621FC"/>
    <w:rsid w:val="0066235A"/>
    <w:rsid w:val="0066262F"/>
    <w:rsid w:val="0066264F"/>
    <w:rsid w:val="00662C24"/>
    <w:rsid w:val="00662C43"/>
    <w:rsid w:val="00662F04"/>
    <w:rsid w:val="00662F99"/>
    <w:rsid w:val="006631E3"/>
    <w:rsid w:val="006634E4"/>
    <w:rsid w:val="0066380A"/>
    <w:rsid w:val="00663C5D"/>
    <w:rsid w:val="00663CD3"/>
    <w:rsid w:val="00663E75"/>
    <w:rsid w:val="00663FD3"/>
    <w:rsid w:val="0066437F"/>
    <w:rsid w:val="00664522"/>
    <w:rsid w:val="0066461E"/>
    <w:rsid w:val="006646C9"/>
    <w:rsid w:val="0066472B"/>
    <w:rsid w:val="0066496D"/>
    <w:rsid w:val="00664FBB"/>
    <w:rsid w:val="006653CD"/>
    <w:rsid w:val="00665565"/>
    <w:rsid w:val="00665636"/>
    <w:rsid w:val="00665639"/>
    <w:rsid w:val="00665811"/>
    <w:rsid w:val="00665876"/>
    <w:rsid w:val="006658A8"/>
    <w:rsid w:val="00665A52"/>
    <w:rsid w:val="00665AD5"/>
    <w:rsid w:val="00665C51"/>
    <w:rsid w:val="00665E5F"/>
    <w:rsid w:val="00666447"/>
    <w:rsid w:val="00666491"/>
    <w:rsid w:val="0066659C"/>
    <w:rsid w:val="0066679F"/>
    <w:rsid w:val="00666962"/>
    <w:rsid w:val="00666CA4"/>
    <w:rsid w:val="00666CAF"/>
    <w:rsid w:val="00666E1F"/>
    <w:rsid w:val="00667165"/>
    <w:rsid w:val="006674CE"/>
    <w:rsid w:val="00667633"/>
    <w:rsid w:val="00667925"/>
    <w:rsid w:val="00667971"/>
    <w:rsid w:val="00667A09"/>
    <w:rsid w:val="00667A85"/>
    <w:rsid w:val="00667B23"/>
    <w:rsid w:val="00670085"/>
    <w:rsid w:val="00670176"/>
    <w:rsid w:val="00670DB3"/>
    <w:rsid w:val="00671055"/>
    <w:rsid w:val="0067158A"/>
    <w:rsid w:val="00671831"/>
    <w:rsid w:val="006718E9"/>
    <w:rsid w:val="00672104"/>
    <w:rsid w:val="0067242D"/>
    <w:rsid w:val="00672455"/>
    <w:rsid w:val="00672474"/>
    <w:rsid w:val="00672539"/>
    <w:rsid w:val="006729F8"/>
    <w:rsid w:val="00672C64"/>
    <w:rsid w:val="00672CD7"/>
    <w:rsid w:val="00672EC2"/>
    <w:rsid w:val="00672F7C"/>
    <w:rsid w:val="00672FD1"/>
    <w:rsid w:val="0067307A"/>
    <w:rsid w:val="00673095"/>
    <w:rsid w:val="0067314E"/>
    <w:rsid w:val="006731C7"/>
    <w:rsid w:val="006734B7"/>
    <w:rsid w:val="00673611"/>
    <w:rsid w:val="00673806"/>
    <w:rsid w:val="00673832"/>
    <w:rsid w:val="00673A1D"/>
    <w:rsid w:val="00673A9D"/>
    <w:rsid w:val="00673FFD"/>
    <w:rsid w:val="00674005"/>
    <w:rsid w:val="00674284"/>
    <w:rsid w:val="00674A5A"/>
    <w:rsid w:val="00674A7B"/>
    <w:rsid w:val="00674CCF"/>
    <w:rsid w:val="00674CFB"/>
    <w:rsid w:val="00674F2C"/>
    <w:rsid w:val="00674F83"/>
    <w:rsid w:val="006750C5"/>
    <w:rsid w:val="006750E7"/>
    <w:rsid w:val="006750F2"/>
    <w:rsid w:val="00675216"/>
    <w:rsid w:val="00675353"/>
    <w:rsid w:val="006757CF"/>
    <w:rsid w:val="006757EC"/>
    <w:rsid w:val="00675860"/>
    <w:rsid w:val="006758E0"/>
    <w:rsid w:val="00675C7B"/>
    <w:rsid w:val="00675C8D"/>
    <w:rsid w:val="00675D95"/>
    <w:rsid w:val="00675F97"/>
    <w:rsid w:val="006764B6"/>
    <w:rsid w:val="00676A0D"/>
    <w:rsid w:val="00676A4C"/>
    <w:rsid w:val="00676AA6"/>
    <w:rsid w:val="00676B9E"/>
    <w:rsid w:val="00676BC4"/>
    <w:rsid w:val="00676CF4"/>
    <w:rsid w:val="00676D6F"/>
    <w:rsid w:val="00676E96"/>
    <w:rsid w:val="00677197"/>
    <w:rsid w:val="006771F2"/>
    <w:rsid w:val="006771F5"/>
    <w:rsid w:val="006776B0"/>
    <w:rsid w:val="00677739"/>
    <w:rsid w:val="006777F4"/>
    <w:rsid w:val="00677BF3"/>
    <w:rsid w:val="00677C6A"/>
    <w:rsid w:val="00677CF7"/>
    <w:rsid w:val="00677D05"/>
    <w:rsid w:val="00680058"/>
    <w:rsid w:val="00680112"/>
    <w:rsid w:val="00680302"/>
    <w:rsid w:val="00680315"/>
    <w:rsid w:val="00680760"/>
    <w:rsid w:val="006808CE"/>
    <w:rsid w:val="00680D5C"/>
    <w:rsid w:val="00680E2F"/>
    <w:rsid w:val="00680FB6"/>
    <w:rsid w:val="00680FFD"/>
    <w:rsid w:val="0068133F"/>
    <w:rsid w:val="006813F5"/>
    <w:rsid w:val="0068172C"/>
    <w:rsid w:val="00681814"/>
    <w:rsid w:val="00681B1E"/>
    <w:rsid w:val="00681F74"/>
    <w:rsid w:val="00682034"/>
    <w:rsid w:val="0068205C"/>
    <w:rsid w:val="00682073"/>
    <w:rsid w:val="006820E8"/>
    <w:rsid w:val="006822C9"/>
    <w:rsid w:val="006825DB"/>
    <w:rsid w:val="0068284E"/>
    <w:rsid w:val="006828C3"/>
    <w:rsid w:val="0068296A"/>
    <w:rsid w:val="00682AC9"/>
    <w:rsid w:val="00682D00"/>
    <w:rsid w:val="00683049"/>
    <w:rsid w:val="0068315E"/>
    <w:rsid w:val="00683252"/>
    <w:rsid w:val="0068364C"/>
    <w:rsid w:val="00683C75"/>
    <w:rsid w:val="00684097"/>
    <w:rsid w:val="00684106"/>
    <w:rsid w:val="00684415"/>
    <w:rsid w:val="0068490B"/>
    <w:rsid w:val="00684C55"/>
    <w:rsid w:val="00684D33"/>
    <w:rsid w:val="00684DA4"/>
    <w:rsid w:val="00684E88"/>
    <w:rsid w:val="00685159"/>
    <w:rsid w:val="006852E1"/>
    <w:rsid w:val="006856E8"/>
    <w:rsid w:val="006859CF"/>
    <w:rsid w:val="00685D2E"/>
    <w:rsid w:val="00686018"/>
    <w:rsid w:val="006865B8"/>
    <w:rsid w:val="00686614"/>
    <w:rsid w:val="00686746"/>
    <w:rsid w:val="00686780"/>
    <w:rsid w:val="00686AFC"/>
    <w:rsid w:val="00686CA9"/>
    <w:rsid w:val="00686CBF"/>
    <w:rsid w:val="00686E25"/>
    <w:rsid w:val="00686E98"/>
    <w:rsid w:val="00687127"/>
    <w:rsid w:val="006871C8"/>
    <w:rsid w:val="006873C0"/>
    <w:rsid w:val="006873D7"/>
    <w:rsid w:val="006874C1"/>
    <w:rsid w:val="0068760D"/>
    <w:rsid w:val="006876D8"/>
    <w:rsid w:val="0068770B"/>
    <w:rsid w:val="00687C5A"/>
    <w:rsid w:val="00687D3A"/>
    <w:rsid w:val="00687D8A"/>
    <w:rsid w:val="00687DFA"/>
    <w:rsid w:val="00687E90"/>
    <w:rsid w:val="00687E9D"/>
    <w:rsid w:val="00687F2E"/>
    <w:rsid w:val="00687F8A"/>
    <w:rsid w:val="00687FD0"/>
    <w:rsid w:val="0069007A"/>
    <w:rsid w:val="00690186"/>
    <w:rsid w:val="006905A9"/>
    <w:rsid w:val="006905E9"/>
    <w:rsid w:val="00690801"/>
    <w:rsid w:val="00690C52"/>
    <w:rsid w:val="00690C9F"/>
    <w:rsid w:val="00690DE8"/>
    <w:rsid w:val="0069111D"/>
    <w:rsid w:val="0069114B"/>
    <w:rsid w:val="006912F4"/>
    <w:rsid w:val="0069130B"/>
    <w:rsid w:val="006915C9"/>
    <w:rsid w:val="00691681"/>
    <w:rsid w:val="0069207B"/>
    <w:rsid w:val="00692385"/>
    <w:rsid w:val="0069242D"/>
    <w:rsid w:val="00692584"/>
    <w:rsid w:val="00692596"/>
    <w:rsid w:val="00692626"/>
    <w:rsid w:val="00692799"/>
    <w:rsid w:val="0069290D"/>
    <w:rsid w:val="0069296A"/>
    <w:rsid w:val="00692B53"/>
    <w:rsid w:val="00692C1B"/>
    <w:rsid w:val="00692D31"/>
    <w:rsid w:val="0069323C"/>
    <w:rsid w:val="0069333B"/>
    <w:rsid w:val="00693361"/>
    <w:rsid w:val="00693659"/>
    <w:rsid w:val="0069366D"/>
    <w:rsid w:val="006937E1"/>
    <w:rsid w:val="00693817"/>
    <w:rsid w:val="00693823"/>
    <w:rsid w:val="00693A02"/>
    <w:rsid w:val="00693D1C"/>
    <w:rsid w:val="00693D5A"/>
    <w:rsid w:val="00693EB0"/>
    <w:rsid w:val="00693FDA"/>
    <w:rsid w:val="006941CE"/>
    <w:rsid w:val="00694429"/>
    <w:rsid w:val="00694442"/>
    <w:rsid w:val="0069454F"/>
    <w:rsid w:val="0069455D"/>
    <w:rsid w:val="00694804"/>
    <w:rsid w:val="00694B6E"/>
    <w:rsid w:val="00694CB2"/>
    <w:rsid w:val="00694FB0"/>
    <w:rsid w:val="00695090"/>
    <w:rsid w:val="00695283"/>
    <w:rsid w:val="006952A9"/>
    <w:rsid w:val="006952C8"/>
    <w:rsid w:val="0069534C"/>
    <w:rsid w:val="006953E6"/>
    <w:rsid w:val="00695665"/>
    <w:rsid w:val="00695AE6"/>
    <w:rsid w:val="00695C6D"/>
    <w:rsid w:val="00695F82"/>
    <w:rsid w:val="00696592"/>
    <w:rsid w:val="0069666A"/>
    <w:rsid w:val="00696691"/>
    <w:rsid w:val="00696E63"/>
    <w:rsid w:val="00696F16"/>
    <w:rsid w:val="00697350"/>
    <w:rsid w:val="006975DF"/>
    <w:rsid w:val="00697970"/>
    <w:rsid w:val="00697AE5"/>
    <w:rsid w:val="00697DF3"/>
    <w:rsid w:val="00697E45"/>
    <w:rsid w:val="00697F15"/>
    <w:rsid w:val="00697F1F"/>
    <w:rsid w:val="006A004F"/>
    <w:rsid w:val="006A01DE"/>
    <w:rsid w:val="006A02B7"/>
    <w:rsid w:val="006A04D5"/>
    <w:rsid w:val="006A0533"/>
    <w:rsid w:val="006A0AA0"/>
    <w:rsid w:val="006A0BDA"/>
    <w:rsid w:val="006A0CCC"/>
    <w:rsid w:val="006A0DDD"/>
    <w:rsid w:val="006A1042"/>
    <w:rsid w:val="006A129F"/>
    <w:rsid w:val="006A1350"/>
    <w:rsid w:val="006A1368"/>
    <w:rsid w:val="006A15BA"/>
    <w:rsid w:val="006A168F"/>
    <w:rsid w:val="006A16F1"/>
    <w:rsid w:val="006A17F4"/>
    <w:rsid w:val="006A1AA8"/>
    <w:rsid w:val="006A1B8E"/>
    <w:rsid w:val="006A1BA3"/>
    <w:rsid w:val="006A1D28"/>
    <w:rsid w:val="006A200D"/>
    <w:rsid w:val="006A2184"/>
    <w:rsid w:val="006A2557"/>
    <w:rsid w:val="006A2603"/>
    <w:rsid w:val="006A268B"/>
    <w:rsid w:val="006A2836"/>
    <w:rsid w:val="006A2B9E"/>
    <w:rsid w:val="006A2DE9"/>
    <w:rsid w:val="006A30C6"/>
    <w:rsid w:val="006A334F"/>
    <w:rsid w:val="006A33D9"/>
    <w:rsid w:val="006A38F9"/>
    <w:rsid w:val="006A3A4F"/>
    <w:rsid w:val="006A3DE2"/>
    <w:rsid w:val="006A3F5F"/>
    <w:rsid w:val="006A4080"/>
    <w:rsid w:val="006A414E"/>
    <w:rsid w:val="006A4350"/>
    <w:rsid w:val="006A43AF"/>
    <w:rsid w:val="006A4467"/>
    <w:rsid w:val="006A4481"/>
    <w:rsid w:val="006A45A7"/>
    <w:rsid w:val="006A472C"/>
    <w:rsid w:val="006A4814"/>
    <w:rsid w:val="006A4C63"/>
    <w:rsid w:val="006A4F3E"/>
    <w:rsid w:val="006A4FDF"/>
    <w:rsid w:val="006A505B"/>
    <w:rsid w:val="006A50E5"/>
    <w:rsid w:val="006A535A"/>
    <w:rsid w:val="006A53A1"/>
    <w:rsid w:val="006A5802"/>
    <w:rsid w:val="006A5856"/>
    <w:rsid w:val="006A5A81"/>
    <w:rsid w:val="006A5AB3"/>
    <w:rsid w:val="006A5ACA"/>
    <w:rsid w:val="006A5CF7"/>
    <w:rsid w:val="006A5EE1"/>
    <w:rsid w:val="006A60C5"/>
    <w:rsid w:val="006A61FE"/>
    <w:rsid w:val="006A6224"/>
    <w:rsid w:val="006A62DD"/>
    <w:rsid w:val="006A63D6"/>
    <w:rsid w:val="006A6AF5"/>
    <w:rsid w:val="006A7035"/>
    <w:rsid w:val="006A70DB"/>
    <w:rsid w:val="006A713F"/>
    <w:rsid w:val="006A7360"/>
    <w:rsid w:val="006A74B0"/>
    <w:rsid w:val="006A753C"/>
    <w:rsid w:val="006A7684"/>
    <w:rsid w:val="006A779D"/>
    <w:rsid w:val="006A797A"/>
    <w:rsid w:val="006A7D91"/>
    <w:rsid w:val="006B006C"/>
    <w:rsid w:val="006B021E"/>
    <w:rsid w:val="006B022C"/>
    <w:rsid w:val="006B02DD"/>
    <w:rsid w:val="006B02E2"/>
    <w:rsid w:val="006B056F"/>
    <w:rsid w:val="006B0595"/>
    <w:rsid w:val="006B0674"/>
    <w:rsid w:val="006B081D"/>
    <w:rsid w:val="006B0827"/>
    <w:rsid w:val="006B0AFA"/>
    <w:rsid w:val="006B0B40"/>
    <w:rsid w:val="006B0C73"/>
    <w:rsid w:val="006B0DA9"/>
    <w:rsid w:val="006B0E5F"/>
    <w:rsid w:val="006B1059"/>
    <w:rsid w:val="006B14D5"/>
    <w:rsid w:val="006B1714"/>
    <w:rsid w:val="006B199F"/>
    <w:rsid w:val="006B1CAA"/>
    <w:rsid w:val="006B1D0C"/>
    <w:rsid w:val="006B1DDC"/>
    <w:rsid w:val="006B1E0D"/>
    <w:rsid w:val="006B1EDD"/>
    <w:rsid w:val="006B23EC"/>
    <w:rsid w:val="006B2448"/>
    <w:rsid w:val="006B260E"/>
    <w:rsid w:val="006B2686"/>
    <w:rsid w:val="006B2DA2"/>
    <w:rsid w:val="006B3305"/>
    <w:rsid w:val="006B361E"/>
    <w:rsid w:val="006B38B3"/>
    <w:rsid w:val="006B3916"/>
    <w:rsid w:val="006B3B0F"/>
    <w:rsid w:val="006B3CD4"/>
    <w:rsid w:val="006B40A8"/>
    <w:rsid w:val="006B437A"/>
    <w:rsid w:val="006B4497"/>
    <w:rsid w:val="006B449F"/>
    <w:rsid w:val="006B46CA"/>
    <w:rsid w:val="006B4A77"/>
    <w:rsid w:val="006B4C55"/>
    <w:rsid w:val="006B5094"/>
    <w:rsid w:val="006B5143"/>
    <w:rsid w:val="006B51A2"/>
    <w:rsid w:val="006B5230"/>
    <w:rsid w:val="006B5496"/>
    <w:rsid w:val="006B58C2"/>
    <w:rsid w:val="006B5B4F"/>
    <w:rsid w:val="006B5BC0"/>
    <w:rsid w:val="006B5D2E"/>
    <w:rsid w:val="006B5E33"/>
    <w:rsid w:val="006B5ED0"/>
    <w:rsid w:val="006B635D"/>
    <w:rsid w:val="006B641A"/>
    <w:rsid w:val="006B6711"/>
    <w:rsid w:val="006B6830"/>
    <w:rsid w:val="006B6A6D"/>
    <w:rsid w:val="006B6B8C"/>
    <w:rsid w:val="006B6D30"/>
    <w:rsid w:val="006B6D39"/>
    <w:rsid w:val="006B6DDE"/>
    <w:rsid w:val="006B7150"/>
    <w:rsid w:val="006B717B"/>
    <w:rsid w:val="006B71C3"/>
    <w:rsid w:val="006B7287"/>
    <w:rsid w:val="006B73C4"/>
    <w:rsid w:val="006B7427"/>
    <w:rsid w:val="006B753B"/>
    <w:rsid w:val="006B77A1"/>
    <w:rsid w:val="006B79D4"/>
    <w:rsid w:val="006B7C07"/>
    <w:rsid w:val="006B7CFD"/>
    <w:rsid w:val="006B7EE1"/>
    <w:rsid w:val="006C0078"/>
    <w:rsid w:val="006C01DA"/>
    <w:rsid w:val="006C02C3"/>
    <w:rsid w:val="006C07C0"/>
    <w:rsid w:val="006C094C"/>
    <w:rsid w:val="006C0A03"/>
    <w:rsid w:val="006C0B1B"/>
    <w:rsid w:val="006C0B46"/>
    <w:rsid w:val="006C0CC2"/>
    <w:rsid w:val="006C1307"/>
    <w:rsid w:val="006C13C7"/>
    <w:rsid w:val="006C147C"/>
    <w:rsid w:val="006C1744"/>
    <w:rsid w:val="006C196E"/>
    <w:rsid w:val="006C1A74"/>
    <w:rsid w:val="006C1B88"/>
    <w:rsid w:val="006C1DCD"/>
    <w:rsid w:val="006C1DFD"/>
    <w:rsid w:val="006C1F76"/>
    <w:rsid w:val="006C2462"/>
    <w:rsid w:val="006C2567"/>
    <w:rsid w:val="006C2CD0"/>
    <w:rsid w:val="006C2F51"/>
    <w:rsid w:val="006C2FDB"/>
    <w:rsid w:val="006C2FE9"/>
    <w:rsid w:val="006C33A5"/>
    <w:rsid w:val="006C33E3"/>
    <w:rsid w:val="006C36C5"/>
    <w:rsid w:val="006C398E"/>
    <w:rsid w:val="006C3B43"/>
    <w:rsid w:val="006C4005"/>
    <w:rsid w:val="006C4286"/>
    <w:rsid w:val="006C42A7"/>
    <w:rsid w:val="006C42F4"/>
    <w:rsid w:val="006C44EE"/>
    <w:rsid w:val="006C4507"/>
    <w:rsid w:val="006C4589"/>
    <w:rsid w:val="006C46A6"/>
    <w:rsid w:val="006C47E8"/>
    <w:rsid w:val="006C493D"/>
    <w:rsid w:val="006C4BF8"/>
    <w:rsid w:val="006C4E2E"/>
    <w:rsid w:val="006C5184"/>
    <w:rsid w:val="006C55E1"/>
    <w:rsid w:val="006C596E"/>
    <w:rsid w:val="006C5A88"/>
    <w:rsid w:val="006C5BC1"/>
    <w:rsid w:val="006C5FF0"/>
    <w:rsid w:val="006C6291"/>
    <w:rsid w:val="006C6355"/>
    <w:rsid w:val="006C644D"/>
    <w:rsid w:val="006C65FE"/>
    <w:rsid w:val="006C6A5C"/>
    <w:rsid w:val="006C6A6F"/>
    <w:rsid w:val="006C6B6A"/>
    <w:rsid w:val="006C6C81"/>
    <w:rsid w:val="006C702B"/>
    <w:rsid w:val="006C7115"/>
    <w:rsid w:val="006C7269"/>
    <w:rsid w:val="006C727F"/>
    <w:rsid w:val="006C7469"/>
    <w:rsid w:val="006C7499"/>
    <w:rsid w:val="006C7617"/>
    <w:rsid w:val="006C7990"/>
    <w:rsid w:val="006C7CAA"/>
    <w:rsid w:val="006C7EB9"/>
    <w:rsid w:val="006D002E"/>
    <w:rsid w:val="006D00DF"/>
    <w:rsid w:val="006D019B"/>
    <w:rsid w:val="006D01F8"/>
    <w:rsid w:val="006D021B"/>
    <w:rsid w:val="006D022A"/>
    <w:rsid w:val="006D0862"/>
    <w:rsid w:val="006D0B1C"/>
    <w:rsid w:val="006D0B6F"/>
    <w:rsid w:val="006D0BDE"/>
    <w:rsid w:val="006D0F00"/>
    <w:rsid w:val="006D103B"/>
    <w:rsid w:val="006D1046"/>
    <w:rsid w:val="006D11AF"/>
    <w:rsid w:val="006D129F"/>
    <w:rsid w:val="006D132F"/>
    <w:rsid w:val="006D13EB"/>
    <w:rsid w:val="006D1614"/>
    <w:rsid w:val="006D1753"/>
    <w:rsid w:val="006D1798"/>
    <w:rsid w:val="006D18A6"/>
    <w:rsid w:val="006D199F"/>
    <w:rsid w:val="006D1EE1"/>
    <w:rsid w:val="006D211F"/>
    <w:rsid w:val="006D2295"/>
    <w:rsid w:val="006D22D5"/>
    <w:rsid w:val="006D22F7"/>
    <w:rsid w:val="006D272C"/>
    <w:rsid w:val="006D2932"/>
    <w:rsid w:val="006D2AE5"/>
    <w:rsid w:val="006D30B2"/>
    <w:rsid w:val="006D336E"/>
    <w:rsid w:val="006D3444"/>
    <w:rsid w:val="006D3B10"/>
    <w:rsid w:val="006D3BE3"/>
    <w:rsid w:val="006D3BE8"/>
    <w:rsid w:val="006D3CF0"/>
    <w:rsid w:val="006D3FF5"/>
    <w:rsid w:val="006D40EC"/>
    <w:rsid w:val="006D433E"/>
    <w:rsid w:val="006D435C"/>
    <w:rsid w:val="006D4375"/>
    <w:rsid w:val="006D4499"/>
    <w:rsid w:val="006D4596"/>
    <w:rsid w:val="006D4733"/>
    <w:rsid w:val="006D4ADA"/>
    <w:rsid w:val="006D4E13"/>
    <w:rsid w:val="006D5018"/>
    <w:rsid w:val="006D506B"/>
    <w:rsid w:val="006D5340"/>
    <w:rsid w:val="006D5400"/>
    <w:rsid w:val="006D54C2"/>
    <w:rsid w:val="006D56F2"/>
    <w:rsid w:val="006D5766"/>
    <w:rsid w:val="006D57E1"/>
    <w:rsid w:val="006D5890"/>
    <w:rsid w:val="006D589A"/>
    <w:rsid w:val="006D5C72"/>
    <w:rsid w:val="006D5F13"/>
    <w:rsid w:val="006D626E"/>
    <w:rsid w:val="006D63AE"/>
    <w:rsid w:val="006D6579"/>
    <w:rsid w:val="006D6AC6"/>
    <w:rsid w:val="006D6B3F"/>
    <w:rsid w:val="006D6BB6"/>
    <w:rsid w:val="006D6DB2"/>
    <w:rsid w:val="006D73A8"/>
    <w:rsid w:val="006D7473"/>
    <w:rsid w:val="006D7825"/>
    <w:rsid w:val="006D78CE"/>
    <w:rsid w:val="006D7A45"/>
    <w:rsid w:val="006D7C6C"/>
    <w:rsid w:val="006D7E70"/>
    <w:rsid w:val="006D7E95"/>
    <w:rsid w:val="006E03F9"/>
    <w:rsid w:val="006E0651"/>
    <w:rsid w:val="006E066F"/>
    <w:rsid w:val="006E072C"/>
    <w:rsid w:val="006E0757"/>
    <w:rsid w:val="006E095C"/>
    <w:rsid w:val="006E0AA0"/>
    <w:rsid w:val="006E0ABB"/>
    <w:rsid w:val="006E0D38"/>
    <w:rsid w:val="006E0ED8"/>
    <w:rsid w:val="006E11AD"/>
    <w:rsid w:val="006E1228"/>
    <w:rsid w:val="006E131B"/>
    <w:rsid w:val="006E141C"/>
    <w:rsid w:val="006E1695"/>
    <w:rsid w:val="006E17CA"/>
    <w:rsid w:val="006E1BC7"/>
    <w:rsid w:val="006E1CD0"/>
    <w:rsid w:val="006E1DEB"/>
    <w:rsid w:val="006E1FC6"/>
    <w:rsid w:val="006E2177"/>
    <w:rsid w:val="006E21F4"/>
    <w:rsid w:val="006E233C"/>
    <w:rsid w:val="006E2403"/>
    <w:rsid w:val="006E24CA"/>
    <w:rsid w:val="006E2655"/>
    <w:rsid w:val="006E26DA"/>
    <w:rsid w:val="006E280B"/>
    <w:rsid w:val="006E281E"/>
    <w:rsid w:val="006E2A00"/>
    <w:rsid w:val="006E2AF3"/>
    <w:rsid w:val="006E2CC3"/>
    <w:rsid w:val="006E2D36"/>
    <w:rsid w:val="006E2D77"/>
    <w:rsid w:val="006E30A3"/>
    <w:rsid w:val="006E339F"/>
    <w:rsid w:val="006E33EB"/>
    <w:rsid w:val="006E35A3"/>
    <w:rsid w:val="006E36ED"/>
    <w:rsid w:val="006E3787"/>
    <w:rsid w:val="006E388E"/>
    <w:rsid w:val="006E38F2"/>
    <w:rsid w:val="006E3E2E"/>
    <w:rsid w:val="006E4061"/>
    <w:rsid w:val="006E4533"/>
    <w:rsid w:val="006E46B1"/>
    <w:rsid w:val="006E485C"/>
    <w:rsid w:val="006E49CF"/>
    <w:rsid w:val="006E4A56"/>
    <w:rsid w:val="006E4CED"/>
    <w:rsid w:val="006E4D0D"/>
    <w:rsid w:val="006E4E24"/>
    <w:rsid w:val="006E50E0"/>
    <w:rsid w:val="006E5290"/>
    <w:rsid w:val="006E5525"/>
    <w:rsid w:val="006E5578"/>
    <w:rsid w:val="006E579C"/>
    <w:rsid w:val="006E5A34"/>
    <w:rsid w:val="006E5A70"/>
    <w:rsid w:val="006E5DE4"/>
    <w:rsid w:val="006E5E7C"/>
    <w:rsid w:val="006E5FAB"/>
    <w:rsid w:val="006E60AA"/>
    <w:rsid w:val="006E630A"/>
    <w:rsid w:val="006E645C"/>
    <w:rsid w:val="006E64BB"/>
    <w:rsid w:val="006E653B"/>
    <w:rsid w:val="006E6710"/>
    <w:rsid w:val="006E6923"/>
    <w:rsid w:val="006E6946"/>
    <w:rsid w:val="006E69F2"/>
    <w:rsid w:val="006E6B17"/>
    <w:rsid w:val="006E6C3A"/>
    <w:rsid w:val="006E6C4F"/>
    <w:rsid w:val="006E7325"/>
    <w:rsid w:val="006E74DD"/>
    <w:rsid w:val="006E758C"/>
    <w:rsid w:val="006E7C2A"/>
    <w:rsid w:val="006E7F4B"/>
    <w:rsid w:val="006E7FEB"/>
    <w:rsid w:val="006F0155"/>
    <w:rsid w:val="006F0243"/>
    <w:rsid w:val="006F02EC"/>
    <w:rsid w:val="006F04AF"/>
    <w:rsid w:val="006F05FF"/>
    <w:rsid w:val="006F0607"/>
    <w:rsid w:val="006F0722"/>
    <w:rsid w:val="006F0B73"/>
    <w:rsid w:val="006F0BD6"/>
    <w:rsid w:val="006F0D26"/>
    <w:rsid w:val="006F105A"/>
    <w:rsid w:val="006F10B8"/>
    <w:rsid w:val="006F11EF"/>
    <w:rsid w:val="006F127B"/>
    <w:rsid w:val="006F1688"/>
    <w:rsid w:val="006F171A"/>
    <w:rsid w:val="006F1A71"/>
    <w:rsid w:val="006F1AA1"/>
    <w:rsid w:val="006F1B3F"/>
    <w:rsid w:val="006F1EA6"/>
    <w:rsid w:val="006F20B7"/>
    <w:rsid w:val="006F2167"/>
    <w:rsid w:val="006F22D1"/>
    <w:rsid w:val="006F22F2"/>
    <w:rsid w:val="006F2702"/>
    <w:rsid w:val="006F288F"/>
    <w:rsid w:val="006F289E"/>
    <w:rsid w:val="006F2993"/>
    <w:rsid w:val="006F2D26"/>
    <w:rsid w:val="006F2E48"/>
    <w:rsid w:val="006F2EB6"/>
    <w:rsid w:val="006F2F47"/>
    <w:rsid w:val="006F3130"/>
    <w:rsid w:val="006F34E8"/>
    <w:rsid w:val="006F35CC"/>
    <w:rsid w:val="006F39D4"/>
    <w:rsid w:val="006F3BB4"/>
    <w:rsid w:val="006F3C1D"/>
    <w:rsid w:val="006F3C1E"/>
    <w:rsid w:val="006F416E"/>
    <w:rsid w:val="006F41A0"/>
    <w:rsid w:val="006F43B4"/>
    <w:rsid w:val="006F44B4"/>
    <w:rsid w:val="006F45DF"/>
    <w:rsid w:val="006F46DC"/>
    <w:rsid w:val="006F492C"/>
    <w:rsid w:val="006F4FFA"/>
    <w:rsid w:val="006F505C"/>
    <w:rsid w:val="006F5135"/>
    <w:rsid w:val="006F5B9D"/>
    <w:rsid w:val="006F5F23"/>
    <w:rsid w:val="006F6360"/>
    <w:rsid w:val="006F6384"/>
    <w:rsid w:val="006F6609"/>
    <w:rsid w:val="006F6A1B"/>
    <w:rsid w:val="006F6B53"/>
    <w:rsid w:val="006F6FCA"/>
    <w:rsid w:val="006F6FE7"/>
    <w:rsid w:val="006F72E8"/>
    <w:rsid w:val="006F743B"/>
    <w:rsid w:val="006F792C"/>
    <w:rsid w:val="006F7972"/>
    <w:rsid w:val="006F7C55"/>
    <w:rsid w:val="006F7CD6"/>
    <w:rsid w:val="00700592"/>
    <w:rsid w:val="0070087A"/>
    <w:rsid w:val="00700968"/>
    <w:rsid w:val="00700B34"/>
    <w:rsid w:val="00700C57"/>
    <w:rsid w:val="00700E13"/>
    <w:rsid w:val="00701127"/>
    <w:rsid w:val="007014ED"/>
    <w:rsid w:val="0070162B"/>
    <w:rsid w:val="00701676"/>
    <w:rsid w:val="00701ACC"/>
    <w:rsid w:val="00701B46"/>
    <w:rsid w:val="00701BEA"/>
    <w:rsid w:val="00701E6F"/>
    <w:rsid w:val="00702060"/>
    <w:rsid w:val="0070217B"/>
    <w:rsid w:val="00702559"/>
    <w:rsid w:val="00702A84"/>
    <w:rsid w:val="00702AA8"/>
    <w:rsid w:val="00702BDF"/>
    <w:rsid w:val="00702C66"/>
    <w:rsid w:val="00703160"/>
    <w:rsid w:val="007034A2"/>
    <w:rsid w:val="007034C3"/>
    <w:rsid w:val="0070387A"/>
    <w:rsid w:val="0070395C"/>
    <w:rsid w:val="00703F9D"/>
    <w:rsid w:val="00703FB1"/>
    <w:rsid w:val="00704418"/>
    <w:rsid w:val="00704851"/>
    <w:rsid w:val="007049AC"/>
    <w:rsid w:val="00704AFE"/>
    <w:rsid w:val="00704BE0"/>
    <w:rsid w:val="00704D2E"/>
    <w:rsid w:val="00704ECB"/>
    <w:rsid w:val="007050E8"/>
    <w:rsid w:val="00705435"/>
    <w:rsid w:val="00705463"/>
    <w:rsid w:val="007059D1"/>
    <w:rsid w:val="00705E1F"/>
    <w:rsid w:val="00705E46"/>
    <w:rsid w:val="00705FB0"/>
    <w:rsid w:val="00706054"/>
    <w:rsid w:val="00706186"/>
    <w:rsid w:val="007061DB"/>
    <w:rsid w:val="0070645B"/>
    <w:rsid w:val="007064BE"/>
    <w:rsid w:val="0070650E"/>
    <w:rsid w:val="0070656B"/>
    <w:rsid w:val="00706775"/>
    <w:rsid w:val="00706815"/>
    <w:rsid w:val="0070693E"/>
    <w:rsid w:val="00706F32"/>
    <w:rsid w:val="0070709C"/>
    <w:rsid w:val="0070709E"/>
    <w:rsid w:val="007071D1"/>
    <w:rsid w:val="00707236"/>
    <w:rsid w:val="00707499"/>
    <w:rsid w:val="007077D0"/>
    <w:rsid w:val="00707C99"/>
    <w:rsid w:val="00707DBD"/>
    <w:rsid w:val="00707DDC"/>
    <w:rsid w:val="00710035"/>
    <w:rsid w:val="00710127"/>
    <w:rsid w:val="0071018D"/>
    <w:rsid w:val="00710793"/>
    <w:rsid w:val="00710A9A"/>
    <w:rsid w:val="00710C3B"/>
    <w:rsid w:val="00710C4E"/>
    <w:rsid w:val="00710CE8"/>
    <w:rsid w:val="00710DD3"/>
    <w:rsid w:val="0071113B"/>
    <w:rsid w:val="007113CE"/>
    <w:rsid w:val="0071165D"/>
    <w:rsid w:val="00711707"/>
    <w:rsid w:val="007117E7"/>
    <w:rsid w:val="007118BE"/>
    <w:rsid w:val="007119CF"/>
    <w:rsid w:val="00711B72"/>
    <w:rsid w:val="00711D82"/>
    <w:rsid w:val="00711D85"/>
    <w:rsid w:val="00711D9A"/>
    <w:rsid w:val="007121BD"/>
    <w:rsid w:val="007124AC"/>
    <w:rsid w:val="007127DA"/>
    <w:rsid w:val="0071287C"/>
    <w:rsid w:val="00712CBD"/>
    <w:rsid w:val="00712F09"/>
    <w:rsid w:val="00712F91"/>
    <w:rsid w:val="0071326D"/>
    <w:rsid w:val="007135E7"/>
    <w:rsid w:val="00713654"/>
    <w:rsid w:val="00713F3A"/>
    <w:rsid w:val="007140F3"/>
    <w:rsid w:val="0071417B"/>
    <w:rsid w:val="0071421C"/>
    <w:rsid w:val="007142B1"/>
    <w:rsid w:val="0071431E"/>
    <w:rsid w:val="007146C3"/>
    <w:rsid w:val="00714887"/>
    <w:rsid w:val="007148EB"/>
    <w:rsid w:val="00714A39"/>
    <w:rsid w:val="00714C66"/>
    <w:rsid w:val="00714D7C"/>
    <w:rsid w:val="007150B4"/>
    <w:rsid w:val="0071517D"/>
    <w:rsid w:val="0071524D"/>
    <w:rsid w:val="00715354"/>
    <w:rsid w:val="00715B53"/>
    <w:rsid w:val="00715CC2"/>
    <w:rsid w:val="00715CD9"/>
    <w:rsid w:val="00716101"/>
    <w:rsid w:val="0071612D"/>
    <w:rsid w:val="00716143"/>
    <w:rsid w:val="007165D0"/>
    <w:rsid w:val="007165EA"/>
    <w:rsid w:val="00716691"/>
    <w:rsid w:val="00716875"/>
    <w:rsid w:val="00716B79"/>
    <w:rsid w:val="00716C3F"/>
    <w:rsid w:val="007170C3"/>
    <w:rsid w:val="00717119"/>
    <w:rsid w:val="0071716B"/>
    <w:rsid w:val="00717379"/>
    <w:rsid w:val="00717548"/>
    <w:rsid w:val="0071784D"/>
    <w:rsid w:val="00717975"/>
    <w:rsid w:val="00717A85"/>
    <w:rsid w:val="00717B5F"/>
    <w:rsid w:val="00717BE1"/>
    <w:rsid w:val="0072009F"/>
    <w:rsid w:val="007203CE"/>
    <w:rsid w:val="007204A4"/>
    <w:rsid w:val="0072054D"/>
    <w:rsid w:val="0072068C"/>
    <w:rsid w:val="00720855"/>
    <w:rsid w:val="00721063"/>
    <w:rsid w:val="00721116"/>
    <w:rsid w:val="0072115E"/>
    <w:rsid w:val="00721226"/>
    <w:rsid w:val="00721416"/>
    <w:rsid w:val="00721AB5"/>
    <w:rsid w:val="00721B91"/>
    <w:rsid w:val="00721C5E"/>
    <w:rsid w:val="00721CA9"/>
    <w:rsid w:val="00721CE1"/>
    <w:rsid w:val="00721D98"/>
    <w:rsid w:val="00722253"/>
    <w:rsid w:val="00722713"/>
    <w:rsid w:val="0072286C"/>
    <w:rsid w:val="0072293E"/>
    <w:rsid w:val="00722CD7"/>
    <w:rsid w:val="00722ECC"/>
    <w:rsid w:val="00723273"/>
    <w:rsid w:val="007234E2"/>
    <w:rsid w:val="00723634"/>
    <w:rsid w:val="00723B56"/>
    <w:rsid w:val="00723BCF"/>
    <w:rsid w:val="00723E33"/>
    <w:rsid w:val="0072412D"/>
    <w:rsid w:val="007242F8"/>
    <w:rsid w:val="0072442F"/>
    <w:rsid w:val="00724686"/>
    <w:rsid w:val="00724737"/>
    <w:rsid w:val="007247AA"/>
    <w:rsid w:val="0072489B"/>
    <w:rsid w:val="00724B5F"/>
    <w:rsid w:val="00724CEB"/>
    <w:rsid w:val="00724F5D"/>
    <w:rsid w:val="007250BB"/>
    <w:rsid w:val="00725376"/>
    <w:rsid w:val="0072538A"/>
    <w:rsid w:val="00725ADB"/>
    <w:rsid w:val="00725C0A"/>
    <w:rsid w:val="007262BD"/>
    <w:rsid w:val="00726353"/>
    <w:rsid w:val="00726562"/>
    <w:rsid w:val="0072664E"/>
    <w:rsid w:val="007266D6"/>
    <w:rsid w:val="007266ED"/>
    <w:rsid w:val="0072696A"/>
    <w:rsid w:val="00726A66"/>
    <w:rsid w:val="00726B44"/>
    <w:rsid w:val="00726BB9"/>
    <w:rsid w:val="00726EDB"/>
    <w:rsid w:val="00726FCC"/>
    <w:rsid w:val="00727074"/>
    <w:rsid w:val="00727399"/>
    <w:rsid w:val="007273D0"/>
    <w:rsid w:val="00727574"/>
    <w:rsid w:val="007276A1"/>
    <w:rsid w:val="007276EA"/>
    <w:rsid w:val="0072774A"/>
    <w:rsid w:val="00727835"/>
    <w:rsid w:val="00727B88"/>
    <w:rsid w:val="00727C0A"/>
    <w:rsid w:val="00727DB2"/>
    <w:rsid w:val="00727EBC"/>
    <w:rsid w:val="00727EE9"/>
    <w:rsid w:val="007300F8"/>
    <w:rsid w:val="00730288"/>
    <w:rsid w:val="007302E1"/>
    <w:rsid w:val="007303C5"/>
    <w:rsid w:val="00730779"/>
    <w:rsid w:val="007307E1"/>
    <w:rsid w:val="00730AF8"/>
    <w:rsid w:val="00730C38"/>
    <w:rsid w:val="00730C61"/>
    <w:rsid w:val="00730D32"/>
    <w:rsid w:val="00730F68"/>
    <w:rsid w:val="00731254"/>
    <w:rsid w:val="0073132D"/>
    <w:rsid w:val="00731B31"/>
    <w:rsid w:val="00731C30"/>
    <w:rsid w:val="00731D32"/>
    <w:rsid w:val="007322CC"/>
    <w:rsid w:val="007323A4"/>
    <w:rsid w:val="007324AF"/>
    <w:rsid w:val="00732601"/>
    <w:rsid w:val="00732638"/>
    <w:rsid w:val="00732667"/>
    <w:rsid w:val="00732774"/>
    <w:rsid w:val="0073315D"/>
    <w:rsid w:val="00733300"/>
    <w:rsid w:val="007337AD"/>
    <w:rsid w:val="0073390C"/>
    <w:rsid w:val="00733AEB"/>
    <w:rsid w:val="00733AF8"/>
    <w:rsid w:val="00733B3A"/>
    <w:rsid w:val="00733D6A"/>
    <w:rsid w:val="0073404F"/>
    <w:rsid w:val="007340EA"/>
    <w:rsid w:val="007341DD"/>
    <w:rsid w:val="007341DF"/>
    <w:rsid w:val="00734219"/>
    <w:rsid w:val="00734242"/>
    <w:rsid w:val="007342D6"/>
    <w:rsid w:val="007343C6"/>
    <w:rsid w:val="00734433"/>
    <w:rsid w:val="007344E2"/>
    <w:rsid w:val="007347CA"/>
    <w:rsid w:val="00734B0E"/>
    <w:rsid w:val="00734BE8"/>
    <w:rsid w:val="00734D12"/>
    <w:rsid w:val="00734D6E"/>
    <w:rsid w:val="00734D9F"/>
    <w:rsid w:val="00734E9E"/>
    <w:rsid w:val="007351B2"/>
    <w:rsid w:val="00735448"/>
    <w:rsid w:val="00735A0E"/>
    <w:rsid w:val="00735ACF"/>
    <w:rsid w:val="00735C42"/>
    <w:rsid w:val="00735CDB"/>
    <w:rsid w:val="0073617D"/>
    <w:rsid w:val="007362B0"/>
    <w:rsid w:val="0073652F"/>
    <w:rsid w:val="007365F0"/>
    <w:rsid w:val="007366E0"/>
    <w:rsid w:val="00736790"/>
    <w:rsid w:val="00736BEA"/>
    <w:rsid w:val="00736C44"/>
    <w:rsid w:val="00736CAF"/>
    <w:rsid w:val="00736E40"/>
    <w:rsid w:val="00737050"/>
    <w:rsid w:val="007371D6"/>
    <w:rsid w:val="00737587"/>
    <w:rsid w:val="007375DF"/>
    <w:rsid w:val="0073772C"/>
    <w:rsid w:val="007377AE"/>
    <w:rsid w:val="00737802"/>
    <w:rsid w:val="00737CB9"/>
    <w:rsid w:val="00737F76"/>
    <w:rsid w:val="00740137"/>
    <w:rsid w:val="00740626"/>
    <w:rsid w:val="007409DD"/>
    <w:rsid w:val="0074138A"/>
    <w:rsid w:val="00741402"/>
    <w:rsid w:val="0074155C"/>
    <w:rsid w:val="00741632"/>
    <w:rsid w:val="00741839"/>
    <w:rsid w:val="00741AB2"/>
    <w:rsid w:val="00741B1B"/>
    <w:rsid w:val="00741E05"/>
    <w:rsid w:val="00742048"/>
    <w:rsid w:val="007421C7"/>
    <w:rsid w:val="007424DC"/>
    <w:rsid w:val="007431A2"/>
    <w:rsid w:val="007431B0"/>
    <w:rsid w:val="0074354F"/>
    <w:rsid w:val="007436BF"/>
    <w:rsid w:val="00743743"/>
    <w:rsid w:val="00743A3C"/>
    <w:rsid w:val="00744131"/>
    <w:rsid w:val="00744142"/>
    <w:rsid w:val="007441FA"/>
    <w:rsid w:val="007443BC"/>
    <w:rsid w:val="007443CF"/>
    <w:rsid w:val="007446C0"/>
    <w:rsid w:val="00744855"/>
    <w:rsid w:val="0074488A"/>
    <w:rsid w:val="00745623"/>
    <w:rsid w:val="00745928"/>
    <w:rsid w:val="00745C49"/>
    <w:rsid w:val="00745D6C"/>
    <w:rsid w:val="00745DC2"/>
    <w:rsid w:val="00746324"/>
    <w:rsid w:val="00746418"/>
    <w:rsid w:val="00746482"/>
    <w:rsid w:val="0074665B"/>
    <w:rsid w:val="00746A34"/>
    <w:rsid w:val="00746FAF"/>
    <w:rsid w:val="007470CC"/>
    <w:rsid w:val="007472B2"/>
    <w:rsid w:val="007472B4"/>
    <w:rsid w:val="00747B9C"/>
    <w:rsid w:val="00747C50"/>
    <w:rsid w:val="00747D47"/>
    <w:rsid w:val="00747E07"/>
    <w:rsid w:val="00747EFC"/>
    <w:rsid w:val="00747F1F"/>
    <w:rsid w:val="00750040"/>
    <w:rsid w:val="0075087F"/>
    <w:rsid w:val="00750992"/>
    <w:rsid w:val="00750F0B"/>
    <w:rsid w:val="00750FDB"/>
    <w:rsid w:val="00751087"/>
    <w:rsid w:val="007511D7"/>
    <w:rsid w:val="0075162B"/>
    <w:rsid w:val="0075163D"/>
    <w:rsid w:val="00751C68"/>
    <w:rsid w:val="00751F5D"/>
    <w:rsid w:val="00752054"/>
    <w:rsid w:val="00752106"/>
    <w:rsid w:val="007523B2"/>
    <w:rsid w:val="0075255C"/>
    <w:rsid w:val="00752574"/>
    <w:rsid w:val="00752676"/>
    <w:rsid w:val="0075293C"/>
    <w:rsid w:val="00752BA1"/>
    <w:rsid w:val="0075302C"/>
    <w:rsid w:val="007531D8"/>
    <w:rsid w:val="00753865"/>
    <w:rsid w:val="00753A0A"/>
    <w:rsid w:val="00753AEC"/>
    <w:rsid w:val="00753B4D"/>
    <w:rsid w:val="00753B75"/>
    <w:rsid w:val="00753B88"/>
    <w:rsid w:val="00753C89"/>
    <w:rsid w:val="00753D02"/>
    <w:rsid w:val="00753DE3"/>
    <w:rsid w:val="00753EB7"/>
    <w:rsid w:val="00753FB2"/>
    <w:rsid w:val="0075405D"/>
    <w:rsid w:val="0075440E"/>
    <w:rsid w:val="0075447C"/>
    <w:rsid w:val="0075463A"/>
    <w:rsid w:val="00754855"/>
    <w:rsid w:val="007549A1"/>
    <w:rsid w:val="00754C46"/>
    <w:rsid w:val="00754CE7"/>
    <w:rsid w:val="00755030"/>
    <w:rsid w:val="007550C3"/>
    <w:rsid w:val="00755205"/>
    <w:rsid w:val="007552D1"/>
    <w:rsid w:val="00755544"/>
    <w:rsid w:val="0075562B"/>
    <w:rsid w:val="007556FF"/>
    <w:rsid w:val="00755A9A"/>
    <w:rsid w:val="00755B65"/>
    <w:rsid w:val="00755B7E"/>
    <w:rsid w:val="00755C25"/>
    <w:rsid w:val="0075604D"/>
    <w:rsid w:val="00756235"/>
    <w:rsid w:val="00756693"/>
    <w:rsid w:val="007567C2"/>
    <w:rsid w:val="007569A5"/>
    <w:rsid w:val="00756FCB"/>
    <w:rsid w:val="00757054"/>
    <w:rsid w:val="0075722B"/>
    <w:rsid w:val="00757246"/>
    <w:rsid w:val="007575D1"/>
    <w:rsid w:val="0075766B"/>
    <w:rsid w:val="007576C6"/>
    <w:rsid w:val="00757945"/>
    <w:rsid w:val="00757ADC"/>
    <w:rsid w:val="00757EB7"/>
    <w:rsid w:val="00757FCC"/>
    <w:rsid w:val="007600E8"/>
    <w:rsid w:val="0076022C"/>
    <w:rsid w:val="007604A5"/>
    <w:rsid w:val="007606FD"/>
    <w:rsid w:val="0076077D"/>
    <w:rsid w:val="007609B0"/>
    <w:rsid w:val="00760A19"/>
    <w:rsid w:val="00760CFA"/>
    <w:rsid w:val="00760FEA"/>
    <w:rsid w:val="00761568"/>
    <w:rsid w:val="007615C9"/>
    <w:rsid w:val="007616C1"/>
    <w:rsid w:val="007616ED"/>
    <w:rsid w:val="00761A2D"/>
    <w:rsid w:val="00761FFF"/>
    <w:rsid w:val="00762007"/>
    <w:rsid w:val="00762472"/>
    <w:rsid w:val="00762619"/>
    <w:rsid w:val="00762AD3"/>
    <w:rsid w:val="00762B80"/>
    <w:rsid w:val="007631AF"/>
    <w:rsid w:val="007632AE"/>
    <w:rsid w:val="00763356"/>
    <w:rsid w:val="00763442"/>
    <w:rsid w:val="007634F6"/>
    <w:rsid w:val="007635A6"/>
    <w:rsid w:val="00763A4A"/>
    <w:rsid w:val="00763BC0"/>
    <w:rsid w:val="00763BDD"/>
    <w:rsid w:val="00763C2E"/>
    <w:rsid w:val="00763E0D"/>
    <w:rsid w:val="00763E3F"/>
    <w:rsid w:val="0076437F"/>
    <w:rsid w:val="00764834"/>
    <w:rsid w:val="00764C77"/>
    <w:rsid w:val="00764EA0"/>
    <w:rsid w:val="00764EE5"/>
    <w:rsid w:val="00765101"/>
    <w:rsid w:val="00765113"/>
    <w:rsid w:val="00765122"/>
    <w:rsid w:val="00765293"/>
    <w:rsid w:val="007653AE"/>
    <w:rsid w:val="007654FF"/>
    <w:rsid w:val="007655CB"/>
    <w:rsid w:val="00765615"/>
    <w:rsid w:val="007656A3"/>
    <w:rsid w:val="007659F7"/>
    <w:rsid w:val="00765B31"/>
    <w:rsid w:val="00765C30"/>
    <w:rsid w:val="00765C5E"/>
    <w:rsid w:val="00765CB9"/>
    <w:rsid w:val="00765DB3"/>
    <w:rsid w:val="00765DEA"/>
    <w:rsid w:val="00765F1D"/>
    <w:rsid w:val="0076633E"/>
    <w:rsid w:val="00766614"/>
    <w:rsid w:val="00766703"/>
    <w:rsid w:val="00766D5D"/>
    <w:rsid w:val="00766D8C"/>
    <w:rsid w:val="00766DEB"/>
    <w:rsid w:val="00766E4F"/>
    <w:rsid w:val="00766FBF"/>
    <w:rsid w:val="007670BC"/>
    <w:rsid w:val="007672EF"/>
    <w:rsid w:val="0076730F"/>
    <w:rsid w:val="00767314"/>
    <w:rsid w:val="00767530"/>
    <w:rsid w:val="007675EF"/>
    <w:rsid w:val="00767A05"/>
    <w:rsid w:val="00767A28"/>
    <w:rsid w:val="00767DE1"/>
    <w:rsid w:val="0077021B"/>
    <w:rsid w:val="007703D7"/>
    <w:rsid w:val="0077041A"/>
    <w:rsid w:val="00770817"/>
    <w:rsid w:val="007708D2"/>
    <w:rsid w:val="00770C9D"/>
    <w:rsid w:val="00770D30"/>
    <w:rsid w:val="007710DC"/>
    <w:rsid w:val="00771127"/>
    <w:rsid w:val="0077112C"/>
    <w:rsid w:val="00771407"/>
    <w:rsid w:val="0077194F"/>
    <w:rsid w:val="00771A1B"/>
    <w:rsid w:val="00771A6A"/>
    <w:rsid w:val="00771B17"/>
    <w:rsid w:val="0077230A"/>
    <w:rsid w:val="00772636"/>
    <w:rsid w:val="00772825"/>
    <w:rsid w:val="007728D2"/>
    <w:rsid w:val="00772A43"/>
    <w:rsid w:val="00772B62"/>
    <w:rsid w:val="00772F63"/>
    <w:rsid w:val="00773173"/>
    <w:rsid w:val="0077325D"/>
    <w:rsid w:val="0077357C"/>
    <w:rsid w:val="00773609"/>
    <w:rsid w:val="007736B0"/>
    <w:rsid w:val="007738C5"/>
    <w:rsid w:val="00773973"/>
    <w:rsid w:val="007739E4"/>
    <w:rsid w:val="00773CCF"/>
    <w:rsid w:val="00773CD4"/>
    <w:rsid w:val="00773F9B"/>
    <w:rsid w:val="0077416F"/>
    <w:rsid w:val="007741BD"/>
    <w:rsid w:val="007743EE"/>
    <w:rsid w:val="0077446A"/>
    <w:rsid w:val="007744CF"/>
    <w:rsid w:val="007747EE"/>
    <w:rsid w:val="00774807"/>
    <w:rsid w:val="00774CC3"/>
    <w:rsid w:val="00774D7A"/>
    <w:rsid w:val="00774DCA"/>
    <w:rsid w:val="00774FD1"/>
    <w:rsid w:val="0077529C"/>
    <w:rsid w:val="007752FA"/>
    <w:rsid w:val="007755DD"/>
    <w:rsid w:val="00775787"/>
    <w:rsid w:val="00775CC9"/>
    <w:rsid w:val="00775F21"/>
    <w:rsid w:val="00775FCA"/>
    <w:rsid w:val="00776043"/>
    <w:rsid w:val="007761A3"/>
    <w:rsid w:val="0077648D"/>
    <w:rsid w:val="00776887"/>
    <w:rsid w:val="00776B3F"/>
    <w:rsid w:val="00776D27"/>
    <w:rsid w:val="00776D91"/>
    <w:rsid w:val="0077710C"/>
    <w:rsid w:val="007771DC"/>
    <w:rsid w:val="0077721F"/>
    <w:rsid w:val="00777322"/>
    <w:rsid w:val="00777458"/>
    <w:rsid w:val="00777552"/>
    <w:rsid w:val="007778F1"/>
    <w:rsid w:val="00777A02"/>
    <w:rsid w:val="00777A96"/>
    <w:rsid w:val="00777ACA"/>
    <w:rsid w:val="00777C0C"/>
    <w:rsid w:val="00777DD5"/>
    <w:rsid w:val="00780247"/>
    <w:rsid w:val="0078029E"/>
    <w:rsid w:val="007802F4"/>
    <w:rsid w:val="00780448"/>
    <w:rsid w:val="007806C3"/>
    <w:rsid w:val="007808F0"/>
    <w:rsid w:val="00780A46"/>
    <w:rsid w:val="00780DF5"/>
    <w:rsid w:val="00780E0C"/>
    <w:rsid w:val="00780F06"/>
    <w:rsid w:val="00780F21"/>
    <w:rsid w:val="00781119"/>
    <w:rsid w:val="00781889"/>
    <w:rsid w:val="007819EC"/>
    <w:rsid w:val="00781B1E"/>
    <w:rsid w:val="00781F2C"/>
    <w:rsid w:val="00781F89"/>
    <w:rsid w:val="00782310"/>
    <w:rsid w:val="007826A1"/>
    <w:rsid w:val="00782C05"/>
    <w:rsid w:val="00782C8A"/>
    <w:rsid w:val="00783016"/>
    <w:rsid w:val="007835B8"/>
    <w:rsid w:val="0078372E"/>
    <w:rsid w:val="0078374A"/>
    <w:rsid w:val="007837DD"/>
    <w:rsid w:val="0078388B"/>
    <w:rsid w:val="00783952"/>
    <w:rsid w:val="0078399E"/>
    <w:rsid w:val="00783F79"/>
    <w:rsid w:val="007845EC"/>
    <w:rsid w:val="0078482C"/>
    <w:rsid w:val="0078485A"/>
    <w:rsid w:val="007848AF"/>
    <w:rsid w:val="00784981"/>
    <w:rsid w:val="00784A40"/>
    <w:rsid w:val="00784AE4"/>
    <w:rsid w:val="00784B94"/>
    <w:rsid w:val="00784BCD"/>
    <w:rsid w:val="00784E96"/>
    <w:rsid w:val="00784F63"/>
    <w:rsid w:val="007850D0"/>
    <w:rsid w:val="00785106"/>
    <w:rsid w:val="00785239"/>
    <w:rsid w:val="00785354"/>
    <w:rsid w:val="007854AF"/>
    <w:rsid w:val="00785541"/>
    <w:rsid w:val="00785865"/>
    <w:rsid w:val="0078597E"/>
    <w:rsid w:val="00785994"/>
    <w:rsid w:val="00785B75"/>
    <w:rsid w:val="00785C89"/>
    <w:rsid w:val="00785FAE"/>
    <w:rsid w:val="00785FB2"/>
    <w:rsid w:val="007860B9"/>
    <w:rsid w:val="007862B1"/>
    <w:rsid w:val="00786477"/>
    <w:rsid w:val="007865A6"/>
    <w:rsid w:val="00786709"/>
    <w:rsid w:val="00786919"/>
    <w:rsid w:val="00786B1C"/>
    <w:rsid w:val="00786BFD"/>
    <w:rsid w:val="00786C27"/>
    <w:rsid w:val="00786C96"/>
    <w:rsid w:val="00786E2E"/>
    <w:rsid w:val="007870A3"/>
    <w:rsid w:val="007871C4"/>
    <w:rsid w:val="007876B3"/>
    <w:rsid w:val="0078781F"/>
    <w:rsid w:val="00787892"/>
    <w:rsid w:val="00787E3B"/>
    <w:rsid w:val="007900B1"/>
    <w:rsid w:val="00790114"/>
    <w:rsid w:val="007901ED"/>
    <w:rsid w:val="007902AF"/>
    <w:rsid w:val="00790645"/>
    <w:rsid w:val="0079068D"/>
    <w:rsid w:val="007908B8"/>
    <w:rsid w:val="00790C91"/>
    <w:rsid w:val="00790CB0"/>
    <w:rsid w:val="00790D83"/>
    <w:rsid w:val="007914ED"/>
    <w:rsid w:val="0079154E"/>
    <w:rsid w:val="00791611"/>
    <w:rsid w:val="007916B6"/>
    <w:rsid w:val="00791CF9"/>
    <w:rsid w:val="0079204C"/>
    <w:rsid w:val="007920E7"/>
    <w:rsid w:val="007926A4"/>
    <w:rsid w:val="00792A32"/>
    <w:rsid w:val="00792DB3"/>
    <w:rsid w:val="00792DEA"/>
    <w:rsid w:val="00792E01"/>
    <w:rsid w:val="00792FC1"/>
    <w:rsid w:val="0079301B"/>
    <w:rsid w:val="00793281"/>
    <w:rsid w:val="0079333A"/>
    <w:rsid w:val="007934C7"/>
    <w:rsid w:val="007935E0"/>
    <w:rsid w:val="00793696"/>
    <w:rsid w:val="0079369B"/>
    <w:rsid w:val="00793730"/>
    <w:rsid w:val="007939EF"/>
    <w:rsid w:val="00793C3B"/>
    <w:rsid w:val="00793D70"/>
    <w:rsid w:val="00793DB7"/>
    <w:rsid w:val="00793DC5"/>
    <w:rsid w:val="00794228"/>
    <w:rsid w:val="00794328"/>
    <w:rsid w:val="007943D6"/>
    <w:rsid w:val="0079445E"/>
    <w:rsid w:val="007944F8"/>
    <w:rsid w:val="00794515"/>
    <w:rsid w:val="007945DB"/>
    <w:rsid w:val="00794628"/>
    <w:rsid w:val="0079468E"/>
    <w:rsid w:val="007946A8"/>
    <w:rsid w:val="00794745"/>
    <w:rsid w:val="007948FE"/>
    <w:rsid w:val="00794D31"/>
    <w:rsid w:val="00794DCA"/>
    <w:rsid w:val="00794DF2"/>
    <w:rsid w:val="0079523B"/>
    <w:rsid w:val="007952BF"/>
    <w:rsid w:val="0079534F"/>
    <w:rsid w:val="007953E4"/>
    <w:rsid w:val="007956A2"/>
    <w:rsid w:val="007958CF"/>
    <w:rsid w:val="007958E5"/>
    <w:rsid w:val="00795A9D"/>
    <w:rsid w:val="00795B9C"/>
    <w:rsid w:val="00795E0E"/>
    <w:rsid w:val="00795EF7"/>
    <w:rsid w:val="00795F44"/>
    <w:rsid w:val="007963B7"/>
    <w:rsid w:val="00796466"/>
    <w:rsid w:val="00796488"/>
    <w:rsid w:val="00796694"/>
    <w:rsid w:val="007966E3"/>
    <w:rsid w:val="007967EB"/>
    <w:rsid w:val="00796AA6"/>
    <w:rsid w:val="00796E5B"/>
    <w:rsid w:val="0079725F"/>
    <w:rsid w:val="007972CB"/>
    <w:rsid w:val="007974A4"/>
    <w:rsid w:val="0079753D"/>
    <w:rsid w:val="007A0151"/>
    <w:rsid w:val="007A0360"/>
    <w:rsid w:val="007A0A63"/>
    <w:rsid w:val="007A0BD9"/>
    <w:rsid w:val="007A0DF4"/>
    <w:rsid w:val="007A0FEA"/>
    <w:rsid w:val="007A1013"/>
    <w:rsid w:val="007A1458"/>
    <w:rsid w:val="007A1528"/>
    <w:rsid w:val="007A1756"/>
    <w:rsid w:val="007A1900"/>
    <w:rsid w:val="007A1A0B"/>
    <w:rsid w:val="007A1BF6"/>
    <w:rsid w:val="007A207F"/>
    <w:rsid w:val="007A20E4"/>
    <w:rsid w:val="007A22FB"/>
    <w:rsid w:val="007A27B1"/>
    <w:rsid w:val="007A29BD"/>
    <w:rsid w:val="007A2A56"/>
    <w:rsid w:val="007A2C3F"/>
    <w:rsid w:val="007A315E"/>
    <w:rsid w:val="007A317E"/>
    <w:rsid w:val="007A327A"/>
    <w:rsid w:val="007A33C3"/>
    <w:rsid w:val="007A34F0"/>
    <w:rsid w:val="007A365B"/>
    <w:rsid w:val="007A3975"/>
    <w:rsid w:val="007A39C9"/>
    <w:rsid w:val="007A3AFA"/>
    <w:rsid w:val="007A3CA0"/>
    <w:rsid w:val="007A3D85"/>
    <w:rsid w:val="007A3D98"/>
    <w:rsid w:val="007A3DAB"/>
    <w:rsid w:val="007A3E4C"/>
    <w:rsid w:val="007A3F0E"/>
    <w:rsid w:val="007A422D"/>
    <w:rsid w:val="007A443C"/>
    <w:rsid w:val="007A4774"/>
    <w:rsid w:val="007A4881"/>
    <w:rsid w:val="007A4955"/>
    <w:rsid w:val="007A4ADF"/>
    <w:rsid w:val="007A4EDE"/>
    <w:rsid w:val="007A4EE0"/>
    <w:rsid w:val="007A514C"/>
    <w:rsid w:val="007A52F7"/>
    <w:rsid w:val="007A532E"/>
    <w:rsid w:val="007A53F5"/>
    <w:rsid w:val="007A547D"/>
    <w:rsid w:val="007A592D"/>
    <w:rsid w:val="007A5EF3"/>
    <w:rsid w:val="007A6350"/>
    <w:rsid w:val="007A651B"/>
    <w:rsid w:val="007A6531"/>
    <w:rsid w:val="007A6538"/>
    <w:rsid w:val="007A66CA"/>
    <w:rsid w:val="007A670A"/>
    <w:rsid w:val="007A6764"/>
    <w:rsid w:val="007A6814"/>
    <w:rsid w:val="007A69AB"/>
    <w:rsid w:val="007A6D75"/>
    <w:rsid w:val="007A6E40"/>
    <w:rsid w:val="007A6EB4"/>
    <w:rsid w:val="007A70A0"/>
    <w:rsid w:val="007A7207"/>
    <w:rsid w:val="007A72BC"/>
    <w:rsid w:val="007A7405"/>
    <w:rsid w:val="007A75D8"/>
    <w:rsid w:val="007A76C1"/>
    <w:rsid w:val="007A7799"/>
    <w:rsid w:val="007A7947"/>
    <w:rsid w:val="007A7A85"/>
    <w:rsid w:val="007A7F2F"/>
    <w:rsid w:val="007A7FF8"/>
    <w:rsid w:val="007B03D9"/>
    <w:rsid w:val="007B0975"/>
    <w:rsid w:val="007B0BE6"/>
    <w:rsid w:val="007B1015"/>
    <w:rsid w:val="007B11F8"/>
    <w:rsid w:val="007B15A2"/>
    <w:rsid w:val="007B1606"/>
    <w:rsid w:val="007B1A5B"/>
    <w:rsid w:val="007B1A9C"/>
    <w:rsid w:val="007B1AE2"/>
    <w:rsid w:val="007B1CF1"/>
    <w:rsid w:val="007B1D3E"/>
    <w:rsid w:val="007B1DC6"/>
    <w:rsid w:val="007B20EB"/>
    <w:rsid w:val="007B22C7"/>
    <w:rsid w:val="007B24AD"/>
    <w:rsid w:val="007B2501"/>
    <w:rsid w:val="007B27D0"/>
    <w:rsid w:val="007B28C3"/>
    <w:rsid w:val="007B2971"/>
    <w:rsid w:val="007B2A11"/>
    <w:rsid w:val="007B2C52"/>
    <w:rsid w:val="007B2CCB"/>
    <w:rsid w:val="007B2D0D"/>
    <w:rsid w:val="007B2FBE"/>
    <w:rsid w:val="007B30E9"/>
    <w:rsid w:val="007B312B"/>
    <w:rsid w:val="007B317D"/>
    <w:rsid w:val="007B369C"/>
    <w:rsid w:val="007B3994"/>
    <w:rsid w:val="007B39C0"/>
    <w:rsid w:val="007B3F0F"/>
    <w:rsid w:val="007B43E0"/>
    <w:rsid w:val="007B4443"/>
    <w:rsid w:val="007B44A4"/>
    <w:rsid w:val="007B49BB"/>
    <w:rsid w:val="007B4D15"/>
    <w:rsid w:val="007B4DFC"/>
    <w:rsid w:val="007B525B"/>
    <w:rsid w:val="007B56D5"/>
    <w:rsid w:val="007B57BA"/>
    <w:rsid w:val="007B5A15"/>
    <w:rsid w:val="007B5BD5"/>
    <w:rsid w:val="007B5BF0"/>
    <w:rsid w:val="007B5DE8"/>
    <w:rsid w:val="007B5E8A"/>
    <w:rsid w:val="007B652A"/>
    <w:rsid w:val="007B66AF"/>
    <w:rsid w:val="007B67CA"/>
    <w:rsid w:val="007B6B6A"/>
    <w:rsid w:val="007B6D6B"/>
    <w:rsid w:val="007B6EE0"/>
    <w:rsid w:val="007B70D2"/>
    <w:rsid w:val="007B71B1"/>
    <w:rsid w:val="007B7321"/>
    <w:rsid w:val="007B73B1"/>
    <w:rsid w:val="007B7475"/>
    <w:rsid w:val="007B75B1"/>
    <w:rsid w:val="007B77FF"/>
    <w:rsid w:val="007B78E3"/>
    <w:rsid w:val="007B790E"/>
    <w:rsid w:val="007B7A01"/>
    <w:rsid w:val="007B7D07"/>
    <w:rsid w:val="007B7D8D"/>
    <w:rsid w:val="007B7DDF"/>
    <w:rsid w:val="007B7FFA"/>
    <w:rsid w:val="007C00C2"/>
    <w:rsid w:val="007C0327"/>
    <w:rsid w:val="007C0377"/>
    <w:rsid w:val="007C06FC"/>
    <w:rsid w:val="007C0D39"/>
    <w:rsid w:val="007C0F15"/>
    <w:rsid w:val="007C124A"/>
    <w:rsid w:val="007C131A"/>
    <w:rsid w:val="007C13EF"/>
    <w:rsid w:val="007C1514"/>
    <w:rsid w:val="007C152A"/>
    <w:rsid w:val="007C17D2"/>
    <w:rsid w:val="007C1807"/>
    <w:rsid w:val="007C1960"/>
    <w:rsid w:val="007C19A5"/>
    <w:rsid w:val="007C1A1D"/>
    <w:rsid w:val="007C1AEF"/>
    <w:rsid w:val="007C1B30"/>
    <w:rsid w:val="007C1BA4"/>
    <w:rsid w:val="007C1E2C"/>
    <w:rsid w:val="007C2042"/>
    <w:rsid w:val="007C20C1"/>
    <w:rsid w:val="007C2144"/>
    <w:rsid w:val="007C22E7"/>
    <w:rsid w:val="007C255B"/>
    <w:rsid w:val="007C25DA"/>
    <w:rsid w:val="007C261A"/>
    <w:rsid w:val="007C275C"/>
    <w:rsid w:val="007C28DE"/>
    <w:rsid w:val="007C2BA5"/>
    <w:rsid w:val="007C2BBA"/>
    <w:rsid w:val="007C2E66"/>
    <w:rsid w:val="007C2EEB"/>
    <w:rsid w:val="007C2F80"/>
    <w:rsid w:val="007C3003"/>
    <w:rsid w:val="007C3054"/>
    <w:rsid w:val="007C33B3"/>
    <w:rsid w:val="007C38BE"/>
    <w:rsid w:val="007C38F8"/>
    <w:rsid w:val="007C3F72"/>
    <w:rsid w:val="007C44F7"/>
    <w:rsid w:val="007C47C0"/>
    <w:rsid w:val="007C47E1"/>
    <w:rsid w:val="007C4A7D"/>
    <w:rsid w:val="007C4D51"/>
    <w:rsid w:val="007C50F9"/>
    <w:rsid w:val="007C5173"/>
    <w:rsid w:val="007C524E"/>
    <w:rsid w:val="007C528B"/>
    <w:rsid w:val="007C5621"/>
    <w:rsid w:val="007C5A39"/>
    <w:rsid w:val="007C5A4F"/>
    <w:rsid w:val="007C5CE1"/>
    <w:rsid w:val="007C5F44"/>
    <w:rsid w:val="007C6047"/>
    <w:rsid w:val="007C6150"/>
    <w:rsid w:val="007C61B7"/>
    <w:rsid w:val="007C6227"/>
    <w:rsid w:val="007C622E"/>
    <w:rsid w:val="007C6273"/>
    <w:rsid w:val="007C62AC"/>
    <w:rsid w:val="007C697D"/>
    <w:rsid w:val="007C6E0B"/>
    <w:rsid w:val="007C6FED"/>
    <w:rsid w:val="007C6FF5"/>
    <w:rsid w:val="007C70B9"/>
    <w:rsid w:val="007C74F7"/>
    <w:rsid w:val="007C75AA"/>
    <w:rsid w:val="007C768F"/>
    <w:rsid w:val="007C77BA"/>
    <w:rsid w:val="007C78F6"/>
    <w:rsid w:val="007C7969"/>
    <w:rsid w:val="007C7B8D"/>
    <w:rsid w:val="007C7FEC"/>
    <w:rsid w:val="007D002E"/>
    <w:rsid w:val="007D005B"/>
    <w:rsid w:val="007D0233"/>
    <w:rsid w:val="007D07F2"/>
    <w:rsid w:val="007D07F4"/>
    <w:rsid w:val="007D0801"/>
    <w:rsid w:val="007D0981"/>
    <w:rsid w:val="007D09AD"/>
    <w:rsid w:val="007D0CAD"/>
    <w:rsid w:val="007D0DC5"/>
    <w:rsid w:val="007D0E65"/>
    <w:rsid w:val="007D0EE6"/>
    <w:rsid w:val="007D0F79"/>
    <w:rsid w:val="007D1076"/>
    <w:rsid w:val="007D10C7"/>
    <w:rsid w:val="007D1236"/>
    <w:rsid w:val="007D1246"/>
    <w:rsid w:val="007D1303"/>
    <w:rsid w:val="007D144C"/>
    <w:rsid w:val="007D156F"/>
    <w:rsid w:val="007D17D4"/>
    <w:rsid w:val="007D18F1"/>
    <w:rsid w:val="007D1956"/>
    <w:rsid w:val="007D1C2E"/>
    <w:rsid w:val="007D1D20"/>
    <w:rsid w:val="007D1E95"/>
    <w:rsid w:val="007D1EA2"/>
    <w:rsid w:val="007D201E"/>
    <w:rsid w:val="007D20BE"/>
    <w:rsid w:val="007D2112"/>
    <w:rsid w:val="007D2197"/>
    <w:rsid w:val="007D2231"/>
    <w:rsid w:val="007D2282"/>
    <w:rsid w:val="007D23E3"/>
    <w:rsid w:val="007D24C2"/>
    <w:rsid w:val="007D2535"/>
    <w:rsid w:val="007D25F7"/>
    <w:rsid w:val="007D2868"/>
    <w:rsid w:val="007D2879"/>
    <w:rsid w:val="007D2A26"/>
    <w:rsid w:val="007D2C75"/>
    <w:rsid w:val="007D2CAA"/>
    <w:rsid w:val="007D2CF7"/>
    <w:rsid w:val="007D328B"/>
    <w:rsid w:val="007D38A2"/>
    <w:rsid w:val="007D3A6A"/>
    <w:rsid w:val="007D3B9C"/>
    <w:rsid w:val="007D3EC2"/>
    <w:rsid w:val="007D3ECE"/>
    <w:rsid w:val="007D402E"/>
    <w:rsid w:val="007D4387"/>
    <w:rsid w:val="007D44B4"/>
    <w:rsid w:val="007D4602"/>
    <w:rsid w:val="007D4B4E"/>
    <w:rsid w:val="007D4BCB"/>
    <w:rsid w:val="007D4C5A"/>
    <w:rsid w:val="007D4CA2"/>
    <w:rsid w:val="007D4DD2"/>
    <w:rsid w:val="007D4E3D"/>
    <w:rsid w:val="007D500F"/>
    <w:rsid w:val="007D51A6"/>
    <w:rsid w:val="007D52A8"/>
    <w:rsid w:val="007D5316"/>
    <w:rsid w:val="007D5659"/>
    <w:rsid w:val="007D5902"/>
    <w:rsid w:val="007D59FE"/>
    <w:rsid w:val="007D5A50"/>
    <w:rsid w:val="007D5B01"/>
    <w:rsid w:val="007D5E32"/>
    <w:rsid w:val="007D5E96"/>
    <w:rsid w:val="007D61A7"/>
    <w:rsid w:val="007D62A8"/>
    <w:rsid w:val="007D62DC"/>
    <w:rsid w:val="007D6316"/>
    <w:rsid w:val="007D63F7"/>
    <w:rsid w:val="007D6651"/>
    <w:rsid w:val="007D684B"/>
    <w:rsid w:val="007D6B67"/>
    <w:rsid w:val="007D6F47"/>
    <w:rsid w:val="007D7059"/>
    <w:rsid w:val="007D7083"/>
    <w:rsid w:val="007D7257"/>
    <w:rsid w:val="007D7389"/>
    <w:rsid w:val="007D7674"/>
    <w:rsid w:val="007D76C0"/>
    <w:rsid w:val="007D7B84"/>
    <w:rsid w:val="007D7C6D"/>
    <w:rsid w:val="007D7E27"/>
    <w:rsid w:val="007D7F67"/>
    <w:rsid w:val="007E01B6"/>
    <w:rsid w:val="007E03B5"/>
    <w:rsid w:val="007E07AB"/>
    <w:rsid w:val="007E0983"/>
    <w:rsid w:val="007E0C87"/>
    <w:rsid w:val="007E0E25"/>
    <w:rsid w:val="007E0F89"/>
    <w:rsid w:val="007E1149"/>
    <w:rsid w:val="007E11A5"/>
    <w:rsid w:val="007E142E"/>
    <w:rsid w:val="007E1A19"/>
    <w:rsid w:val="007E1A3F"/>
    <w:rsid w:val="007E1B44"/>
    <w:rsid w:val="007E1B46"/>
    <w:rsid w:val="007E1BA0"/>
    <w:rsid w:val="007E1FCD"/>
    <w:rsid w:val="007E20BA"/>
    <w:rsid w:val="007E2324"/>
    <w:rsid w:val="007E2336"/>
    <w:rsid w:val="007E24A1"/>
    <w:rsid w:val="007E2574"/>
    <w:rsid w:val="007E25D2"/>
    <w:rsid w:val="007E2820"/>
    <w:rsid w:val="007E2A78"/>
    <w:rsid w:val="007E2AE2"/>
    <w:rsid w:val="007E2C92"/>
    <w:rsid w:val="007E2D0D"/>
    <w:rsid w:val="007E2E1D"/>
    <w:rsid w:val="007E2E48"/>
    <w:rsid w:val="007E2ECE"/>
    <w:rsid w:val="007E2FED"/>
    <w:rsid w:val="007E3180"/>
    <w:rsid w:val="007E321E"/>
    <w:rsid w:val="007E37F5"/>
    <w:rsid w:val="007E3961"/>
    <w:rsid w:val="007E3E67"/>
    <w:rsid w:val="007E4099"/>
    <w:rsid w:val="007E44CF"/>
    <w:rsid w:val="007E4533"/>
    <w:rsid w:val="007E4578"/>
    <w:rsid w:val="007E458D"/>
    <w:rsid w:val="007E4593"/>
    <w:rsid w:val="007E46E7"/>
    <w:rsid w:val="007E4A32"/>
    <w:rsid w:val="007E4F60"/>
    <w:rsid w:val="007E4F6E"/>
    <w:rsid w:val="007E516C"/>
    <w:rsid w:val="007E5229"/>
    <w:rsid w:val="007E55DD"/>
    <w:rsid w:val="007E5655"/>
    <w:rsid w:val="007E56AF"/>
    <w:rsid w:val="007E5A6B"/>
    <w:rsid w:val="007E5ACE"/>
    <w:rsid w:val="007E5B28"/>
    <w:rsid w:val="007E5C34"/>
    <w:rsid w:val="007E5CDA"/>
    <w:rsid w:val="007E5DFA"/>
    <w:rsid w:val="007E6014"/>
    <w:rsid w:val="007E60A9"/>
    <w:rsid w:val="007E62FA"/>
    <w:rsid w:val="007E64B4"/>
    <w:rsid w:val="007E64E9"/>
    <w:rsid w:val="007E6938"/>
    <w:rsid w:val="007E6C50"/>
    <w:rsid w:val="007E6F85"/>
    <w:rsid w:val="007E7043"/>
    <w:rsid w:val="007E721B"/>
    <w:rsid w:val="007E7263"/>
    <w:rsid w:val="007E72F3"/>
    <w:rsid w:val="007E73D1"/>
    <w:rsid w:val="007E73E9"/>
    <w:rsid w:val="007E78F3"/>
    <w:rsid w:val="007E793E"/>
    <w:rsid w:val="007E799F"/>
    <w:rsid w:val="007E7B63"/>
    <w:rsid w:val="007E7C2A"/>
    <w:rsid w:val="007E7C5C"/>
    <w:rsid w:val="007E7C76"/>
    <w:rsid w:val="007E7C9D"/>
    <w:rsid w:val="007E7E5C"/>
    <w:rsid w:val="007E7F33"/>
    <w:rsid w:val="007F01D4"/>
    <w:rsid w:val="007F023E"/>
    <w:rsid w:val="007F0250"/>
    <w:rsid w:val="007F049C"/>
    <w:rsid w:val="007F07C6"/>
    <w:rsid w:val="007F07CE"/>
    <w:rsid w:val="007F07D7"/>
    <w:rsid w:val="007F09CB"/>
    <w:rsid w:val="007F0B52"/>
    <w:rsid w:val="007F0D36"/>
    <w:rsid w:val="007F1164"/>
    <w:rsid w:val="007F121B"/>
    <w:rsid w:val="007F127D"/>
    <w:rsid w:val="007F130D"/>
    <w:rsid w:val="007F1376"/>
    <w:rsid w:val="007F14A7"/>
    <w:rsid w:val="007F15A1"/>
    <w:rsid w:val="007F1679"/>
    <w:rsid w:val="007F1979"/>
    <w:rsid w:val="007F1B10"/>
    <w:rsid w:val="007F1BA1"/>
    <w:rsid w:val="007F1C77"/>
    <w:rsid w:val="007F1CA0"/>
    <w:rsid w:val="007F1CBD"/>
    <w:rsid w:val="007F1CDD"/>
    <w:rsid w:val="007F1D34"/>
    <w:rsid w:val="007F1DD9"/>
    <w:rsid w:val="007F1E0A"/>
    <w:rsid w:val="007F20DD"/>
    <w:rsid w:val="007F2187"/>
    <w:rsid w:val="007F2272"/>
    <w:rsid w:val="007F22BC"/>
    <w:rsid w:val="007F2393"/>
    <w:rsid w:val="007F239A"/>
    <w:rsid w:val="007F25F7"/>
    <w:rsid w:val="007F27DE"/>
    <w:rsid w:val="007F28E0"/>
    <w:rsid w:val="007F2B71"/>
    <w:rsid w:val="007F2D9F"/>
    <w:rsid w:val="007F302B"/>
    <w:rsid w:val="007F3104"/>
    <w:rsid w:val="007F338D"/>
    <w:rsid w:val="007F34C4"/>
    <w:rsid w:val="007F3686"/>
    <w:rsid w:val="007F37B4"/>
    <w:rsid w:val="007F37F4"/>
    <w:rsid w:val="007F3935"/>
    <w:rsid w:val="007F3A3D"/>
    <w:rsid w:val="007F3D40"/>
    <w:rsid w:val="007F3DE8"/>
    <w:rsid w:val="007F41CD"/>
    <w:rsid w:val="007F43EC"/>
    <w:rsid w:val="007F4414"/>
    <w:rsid w:val="007F456D"/>
    <w:rsid w:val="007F4608"/>
    <w:rsid w:val="007F4609"/>
    <w:rsid w:val="007F496D"/>
    <w:rsid w:val="007F4979"/>
    <w:rsid w:val="007F4B0B"/>
    <w:rsid w:val="007F4B4B"/>
    <w:rsid w:val="007F5323"/>
    <w:rsid w:val="007F5338"/>
    <w:rsid w:val="007F5457"/>
    <w:rsid w:val="007F556B"/>
    <w:rsid w:val="007F56D4"/>
    <w:rsid w:val="007F5959"/>
    <w:rsid w:val="007F5A28"/>
    <w:rsid w:val="007F5AB1"/>
    <w:rsid w:val="007F5BF2"/>
    <w:rsid w:val="007F5D8E"/>
    <w:rsid w:val="007F5DE8"/>
    <w:rsid w:val="007F5E1F"/>
    <w:rsid w:val="007F5E28"/>
    <w:rsid w:val="007F5E5F"/>
    <w:rsid w:val="007F6210"/>
    <w:rsid w:val="007F62BA"/>
    <w:rsid w:val="007F649A"/>
    <w:rsid w:val="007F64C8"/>
    <w:rsid w:val="007F6675"/>
    <w:rsid w:val="007F66A6"/>
    <w:rsid w:val="007F694C"/>
    <w:rsid w:val="007F6D9B"/>
    <w:rsid w:val="007F6E12"/>
    <w:rsid w:val="007F6E22"/>
    <w:rsid w:val="007F70A8"/>
    <w:rsid w:val="007F7269"/>
    <w:rsid w:val="007F770A"/>
    <w:rsid w:val="007F771E"/>
    <w:rsid w:val="007F7971"/>
    <w:rsid w:val="007F7A01"/>
    <w:rsid w:val="007F7A66"/>
    <w:rsid w:val="007F7BA5"/>
    <w:rsid w:val="007F7C8C"/>
    <w:rsid w:val="007F7EB6"/>
    <w:rsid w:val="007F7FDB"/>
    <w:rsid w:val="007F7FEB"/>
    <w:rsid w:val="00800154"/>
    <w:rsid w:val="00800314"/>
    <w:rsid w:val="00800540"/>
    <w:rsid w:val="0080083F"/>
    <w:rsid w:val="0080093A"/>
    <w:rsid w:val="00800FFB"/>
    <w:rsid w:val="0080102F"/>
    <w:rsid w:val="008014A2"/>
    <w:rsid w:val="008017B6"/>
    <w:rsid w:val="00801A78"/>
    <w:rsid w:val="00801AEC"/>
    <w:rsid w:val="00801B6C"/>
    <w:rsid w:val="00801CC0"/>
    <w:rsid w:val="00802631"/>
    <w:rsid w:val="008026BA"/>
    <w:rsid w:val="00802703"/>
    <w:rsid w:val="008029AC"/>
    <w:rsid w:val="00803105"/>
    <w:rsid w:val="008031AF"/>
    <w:rsid w:val="0080328B"/>
    <w:rsid w:val="008032FB"/>
    <w:rsid w:val="008033E6"/>
    <w:rsid w:val="008036E2"/>
    <w:rsid w:val="00803778"/>
    <w:rsid w:val="0080394D"/>
    <w:rsid w:val="00803C63"/>
    <w:rsid w:val="00803E82"/>
    <w:rsid w:val="00804179"/>
    <w:rsid w:val="00804480"/>
    <w:rsid w:val="0080448E"/>
    <w:rsid w:val="00804621"/>
    <w:rsid w:val="008046BF"/>
    <w:rsid w:val="00804B8A"/>
    <w:rsid w:val="00804BF1"/>
    <w:rsid w:val="00804D33"/>
    <w:rsid w:val="00804E9D"/>
    <w:rsid w:val="00805124"/>
    <w:rsid w:val="008051D0"/>
    <w:rsid w:val="008053EF"/>
    <w:rsid w:val="008054CF"/>
    <w:rsid w:val="008054DD"/>
    <w:rsid w:val="00805651"/>
    <w:rsid w:val="00805B04"/>
    <w:rsid w:val="00805E4E"/>
    <w:rsid w:val="00805EC6"/>
    <w:rsid w:val="0080600E"/>
    <w:rsid w:val="0080620A"/>
    <w:rsid w:val="00806286"/>
    <w:rsid w:val="008063A1"/>
    <w:rsid w:val="0080652C"/>
    <w:rsid w:val="00806589"/>
    <w:rsid w:val="00806A1C"/>
    <w:rsid w:val="00806D4F"/>
    <w:rsid w:val="00806E5F"/>
    <w:rsid w:val="00807212"/>
    <w:rsid w:val="00807667"/>
    <w:rsid w:val="00807669"/>
    <w:rsid w:val="00807953"/>
    <w:rsid w:val="00807C74"/>
    <w:rsid w:val="00807E76"/>
    <w:rsid w:val="00807EBF"/>
    <w:rsid w:val="00810100"/>
    <w:rsid w:val="00810105"/>
    <w:rsid w:val="00810299"/>
    <w:rsid w:val="008102EB"/>
    <w:rsid w:val="008104B7"/>
    <w:rsid w:val="00810654"/>
    <w:rsid w:val="0081086E"/>
    <w:rsid w:val="0081098D"/>
    <w:rsid w:val="00810A7C"/>
    <w:rsid w:val="00810ABF"/>
    <w:rsid w:val="00810C7E"/>
    <w:rsid w:val="00810D8F"/>
    <w:rsid w:val="00810E4D"/>
    <w:rsid w:val="008115BA"/>
    <w:rsid w:val="0081168A"/>
    <w:rsid w:val="00811902"/>
    <w:rsid w:val="00811976"/>
    <w:rsid w:val="00811A5A"/>
    <w:rsid w:val="00811A9A"/>
    <w:rsid w:val="00811E35"/>
    <w:rsid w:val="008121FD"/>
    <w:rsid w:val="00812229"/>
    <w:rsid w:val="00812528"/>
    <w:rsid w:val="00812BD5"/>
    <w:rsid w:val="00812C48"/>
    <w:rsid w:val="00812DEE"/>
    <w:rsid w:val="00812E77"/>
    <w:rsid w:val="0081343A"/>
    <w:rsid w:val="008134F2"/>
    <w:rsid w:val="00813672"/>
    <w:rsid w:val="00813838"/>
    <w:rsid w:val="008138B1"/>
    <w:rsid w:val="00813B12"/>
    <w:rsid w:val="00813BE3"/>
    <w:rsid w:val="00813D30"/>
    <w:rsid w:val="00813F91"/>
    <w:rsid w:val="0081400A"/>
    <w:rsid w:val="0081420B"/>
    <w:rsid w:val="00814358"/>
    <w:rsid w:val="00814860"/>
    <w:rsid w:val="008149C8"/>
    <w:rsid w:val="00814B0F"/>
    <w:rsid w:val="00814B92"/>
    <w:rsid w:val="00814C5A"/>
    <w:rsid w:val="00814E20"/>
    <w:rsid w:val="00814F73"/>
    <w:rsid w:val="0081516D"/>
    <w:rsid w:val="00815491"/>
    <w:rsid w:val="0081550B"/>
    <w:rsid w:val="00815664"/>
    <w:rsid w:val="00815C5C"/>
    <w:rsid w:val="00815CAE"/>
    <w:rsid w:val="00815CB1"/>
    <w:rsid w:val="00815D32"/>
    <w:rsid w:val="00815EC4"/>
    <w:rsid w:val="00815F16"/>
    <w:rsid w:val="00816240"/>
    <w:rsid w:val="008164B4"/>
    <w:rsid w:val="0081689E"/>
    <w:rsid w:val="00816A29"/>
    <w:rsid w:val="00816C02"/>
    <w:rsid w:val="00816C86"/>
    <w:rsid w:val="00816DB8"/>
    <w:rsid w:val="00816E14"/>
    <w:rsid w:val="00816FDE"/>
    <w:rsid w:val="00817065"/>
    <w:rsid w:val="0081738D"/>
    <w:rsid w:val="00817484"/>
    <w:rsid w:val="00817631"/>
    <w:rsid w:val="008176CB"/>
    <w:rsid w:val="00817923"/>
    <w:rsid w:val="00817B5B"/>
    <w:rsid w:val="00817F54"/>
    <w:rsid w:val="00817FAA"/>
    <w:rsid w:val="0082036C"/>
    <w:rsid w:val="008203F2"/>
    <w:rsid w:val="008204C5"/>
    <w:rsid w:val="008204D4"/>
    <w:rsid w:val="00820507"/>
    <w:rsid w:val="008208D1"/>
    <w:rsid w:val="00820A46"/>
    <w:rsid w:val="00820B79"/>
    <w:rsid w:val="00820C30"/>
    <w:rsid w:val="00820D0C"/>
    <w:rsid w:val="00820D73"/>
    <w:rsid w:val="00820E5B"/>
    <w:rsid w:val="008211D0"/>
    <w:rsid w:val="008211FF"/>
    <w:rsid w:val="00821462"/>
    <w:rsid w:val="008214B7"/>
    <w:rsid w:val="0082173B"/>
    <w:rsid w:val="008217AF"/>
    <w:rsid w:val="00821839"/>
    <w:rsid w:val="00821840"/>
    <w:rsid w:val="0082196B"/>
    <w:rsid w:val="00821AF0"/>
    <w:rsid w:val="00821B39"/>
    <w:rsid w:val="00821BB0"/>
    <w:rsid w:val="00821C24"/>
    <w:rsid w:val="00821D34"/>
    <w:rsid w:val="0082201E"/>
    <w:rsid w:val="00822328"/>
    <w:rsid w:val="008223D5"/>
    <w:rsid w:val="0082285E"/>
    <w:rsid w:val="00822BDD"/>
    <w:rsid w:val="00822CAF"/>
    <w:rsid w:val="00822D5B"/>
    <w:rsid w:val="00822D9D"/>
    <w:rsid w:val="00822DA2"/>
    <w:rsid w:val="00822FAC"/>
    <w:rsid w:val="00823176"/>
    <w:rsid w:val="00823229"/>
    <w:rsid w:val="0082325A"/>
    <w:rsid w:val="00823298"/>
    <w:rsid w:val="00823459"/>
    <w:rsid w:val="0082364F"/>
    <w:rsid w:val="00823875"/>
    <w:rsid w:val="0082388E"/>
    <w:rsid w:val="00823A35"/>
    <w:rsid w:val="00823AA2"/>
    <w:rsid w:val="00824175"/>
    <w:rsid w:val="008245FC"/>
    <w:rsid w:val="00824621"/>
    <w:rsid w:val="00824688"/>
    <w:rsid w:val="00824866"/>
    <w:rsid w:val="00824893"/>
    <w:rsid w:val="008248AB"/>
    <w:rsid w:val="008248E3"/>
    <w:rsid w:val="00824C12"/>
    <w:rsid w:val="00824DD4"/>
    <w:rsid w:val="00824F7A"/>
    <w:rsid w:val="00825130"/>
    <w:rsid w:val="00825162"/>
    <w:rsid w:val="00825408"/>
    <w:rsid w:val="00825566"/>
    <w:rsid w:val="00825598"/>
    <w:rsid w:val="00825615"/>
    <w:rsid w:val="00825B81"/>
    <w:rsid w:val="00825B96"/>
    <w:rsid w:val="00825E38"/>
    <w:rsid w:val="0082628D"/>
    <w:rsid w:val="0082682C"/>
    <w:rsid w:val="00826AE2"/>
    <w:rsid w:val="00826CF6"/>
    <w:rsid w:val="00826D39"/>
    <w:rsid w:val="00826D92"/>
    <w:rsid w:val="00826F0F"/>
    <w:rsid w:val="00826FDC"/>
    <w:rsid w:val="00826FEA"/>
    <w:rsid w:val="008270B1"/>
    <w:rsid w:val="00827195"/>
    <w:rsid w:val="0082724B"/>
    <w:rsid w:val="00827824"/>
    <w:rsid w:val="00827968"/>
    <w:rsid w:val="00827A93"/>
    <w:rsid w:val="00827D46"/>
    <w:rsid w:val="00827E42"/>
    <w:rsid w:val="00827F84"/>
    <w:rsid w:val="00830522"/>
    <w:rsid w:val="0083090A"/>
    <w:rsid w:val="00830B5B"/>
    <w:rsid w:val="00830CC1"/>
    <w:rsid w:val="00830F6D"/>
    <w:rsid w:val="00830F9F"/>
    <w:rsid w:val="0083106D"/>
    <w:rsid w:val="00831268"/>
    <w:rsid w:val="0083139C"/>
    <w:rsid w:val="008314D4"/>
    <w:rsid w:val="008317FB"/>
    <w:rsid w:val="00831A48"/>
    <w:rsid w:val="00831BA4"/>
    <w:rsid w:val="00831BB1"/>
    <w:rsid w:val="00831EAC"/>
    <w:rsid w:val="0083201D"/>
    <w:rsid w:val="008320F3"/>
    <w:rsid w:val="00832555"/>
    <w:rsid w:val="00832906"/>
    <w:rsid w:val="00832971"/>
    <w:rsid w:val="00832D76"/>
    <w:rsid w:val="00832D92"/>
    <w:rsid w:val="00833056"/>
    <w:rsid w:val="008332B5"/>
    <w:rsid w:val="008333EB"/>
    <w:rsid w:val="008335C2"/>
    <w:rsid w:val="00833987"/>
    <w:rsid w:val="00833AB5"/>
    <w:rsid w:val="00833DDA"/>
    <w:rsid w:val="00833EF7"/>
    <w:rsid w:val="00833F20"/>
    <w:rsid w:val="00834238"/>
    <w:rsid w:val="008342CC"/>
    <w:rsid w:val="00834402"/>
    <w:rsid w:val="0083478C"/>
    <w:rsid w:val="0083481E"/>
    <w:rsid w:val="00834BD4"/>
    <w:rsid w:val="00834BE9"/>
    <w:rsid w:val="00834BF1"/>
    <w:rsid w:val="00834D60"/>
    <w:rsid w:val="00835508"/>
    <w:rsid w:val="00835FEF"/>
    <w:rsid w:val="008360C3"/>
    <w:rsid w:val="0083610C"/>
    <w:rsid w:val="0083648E"/>
    <w:rsid w:val="008364EB"/>
    <w:rsid w:val="00836891"/>
    <w:rsid w:val="00836E46"/>
    <w:rsid w:val="00836E85"/>
    <w:rsid w:val="0083730C"/>
    <w:rsid w:val="00837318"/>
    <w:rsid w:val="00837333"/>
    <w:rsid w:val="0083735D"/>
    <w:rsid w:val="008373E8"/>
    <w:rsid w:val="0083754B"/>
    <w:rsid w:val="00837632"/>
    <w:rsid w:val="00837A2A"/>
    <w:rsid w:val="00837B3E"/>
    <w:rsid w:val="00837F4A"/>
    <w:rsid w:val="00840004"/>
    <w:rsid w:val="008401C1"/>
    <w:rsid w:val="0084021B"/>
    <w:rsid w:val="00840512"/>
    <w:rsid w:val="0084062C"/>
    <w:rsid w:val="008406E7"/>
    <w:rsid w:val="00840895"/>
    <w:rsid w:val="008409ED"/>
    <w:rsid w:val="00840BA7"/>
    <w:rsid w:val="00840F2E"/>
    <w:rsid w:val="00841422"/>
    <w:rsid w:val="00841504"/>
    <w:rsid w:val="00841819"/>
    <w:rsid w:val="00841825"/>
    <w:rsid w:val="008419F9"/>
    <w:rsid w:val="00841BA1"/>
    <w:rsid w:val="00841BEF"/>
    <w:rsid w:val="00841E08"/>
    <w:rsid w:val="00841FDA"/>
    <w:rsid w:val="00841FEC"/>
    <w:rsid w:val="0084204E"/>
    <w:rsid w:val="008423C8"/>
    <w:rsid w:val="00842F62"/>
    <w:rsid w:val="00842FCA"/>
    <w:rsid w:val="00843127"/>
    <w:rsid w:val="008431E0"/>
    <w:rsid w:val="008432E1"/>
    <w:rsid w:val="0084346B"/>
    <w:rsid w:val="008434DC"/>
    <w:rsid w:val="00843544"/>
    <w:rsid w:val="00843723"/>
    <w:rsid w:val="00843836"/>
    <w:rsid w:val="00843892"/>
    <w:rsid w:val="00844264"/>
    <w:rsid w:val="0084442E"/>
    <w:rsid w:val="00844457"/>
    <w:rsid w:val="0084453E"/>
    <w:rsid w:val="00844916"/>
    <w:rsid w:val="00844A5A"/>
    <w:rsid w:val="00844C9A"/>
    <w:rsid w:val="00844CD5"/>
    <w:rsid w:val="00844D4B"/>
    <w:rsid w:val="00844D68"/>
    <w:rsid w:val="00844D7E"/>
    <w:rsid w:val="008452E4"/>
    <w:rsid w:val="008454A8"/>
    <w:rsid w:val="0084569A"/>
    <w:rsid w:val="00845768"/>
    <w:rsid w:val="00845A7B"/>
    <w:rsid w:val="00845BFC"/>
    <w:rsid w:val="00845D36"/>
    <w:rsid w:val="00845D81"/>
    <w:rsid w:val="00845DE2"/>
    <w:rsid w:val="00845E41"/>
    <w:rsid w:val="00845EDA"/>
    <w:rsid w:val="00845F0C"/>
    <w:rsid w:val="00845FC7"/>
    <w:rsid w:val="00846129"/>
    <w:rsid w:val="008463E2"/>
    <w:rsid w:val="00846724"/>
    <w:rsid w:val="0084699A"/>
    <w:rsid w:val="00846D52"/>
    <w:rsid w:val="00846E79"/>
    <w:rsid w:val="00847059"/>
    <w:rsid w:val="00847115"/>
    <w:rsid w:val="00847365"/>
    <w:rsid w:val="008473CB"/>
    <w:rsid w:val="00847461"/>
    <w:rsid w:val="00847580"/>
    <w:rsid w:val="008475FC"/>
    <w:rsid w:val="008478C1"/>
    <w:rsid w:val="00847A3F"/>
    <w:rsid w:val="00847C68"/>
    <w:rsid w:val="00847D40"/>
    <w:rsid w:val="00847F3F"/>
    <w:rsid w:val="008502EF"/>
    <w:rsid w:val="0085030A"/>
    <w:rsid w:val="00850374"/>
    <w:rsid w:val="00850571"/>
    <w:rsid w:val="008506EC"/>
    <w:rsid w:val="00850821"/>
    <w:rsid w:val="00850A5F"/>
    <w:rsid w:val="00850B98"/>
    <w:rsid w:val="00850C3A"/>
    <w:rsid w:val="00850DED"/>
    <w:rsid w:val="00850F8E"/>
    <w:rsid w:val="008510FF"/>
    <w:rsid w:val="008511E2"/>
    <w:rsid w:val="008518B6"/>
    <w:rsid w:val="008518BF"/>
    <w:rsid w:val="008518D7"/>
    <w:rsid w:val="00851ADE"/>
    <w:rsid w:val="00851ADF"/>
    <w:rsid w:val="00851BA4"/>
    <w:rsid w:val="00851DEF"/>
    <w:rsid w:val="00851E8F"/>
    <w:rsid w:val="00851F17"/>
    <w:rsid w:val="00851F8F"/>
    <w:rsid w:val="00852168"/>
    <w:rsid w:val="008523B2"/>
    <w:rsid w:val="0085265C"/>
    <w:rsid w:val="008526BB"/>
    <w:rsid w:val="0085273B"/>
    <w:rsid w:val="008529AC"/>
    <w:rsid w:val="008529C7"/>
    <w:rsid w:val="008529F5"/>
    <w:rsid w:val="00852B73"/>
    <w:rsid w:val="00852D1C"/>
    <w:rsid w:val="00852E4A"/>
    <w:rsid w:val="00852FDA"/>
    <w:rsid w:val="00853164"/>
    <w:rsid w:val="00853197"/>
    <w:rsid w:val="00853277"/>
    <w:rsid w:val="00853497"/>
    <w:rsid w:val="008535B5"/>
    <w:rsid w:val="00853702"/>
    <w:rsid w:val="00853880"/>
    <w:rsid w:val="008538AB"/>
    <w:rsid w:val="00853915"/>
    <w:rsid w:val="0085395D"/>
    <w:rsid w:val="0085395F"/>
    <w:rsid w:val="00853A37"/>
    <w:rsid w:val="00853B95"/>
    <w:rsid w:val="00853F93"/>
    <w:rsid w:val="00854274"/>
    <w:rsid w:val="00854756"/>
    <w:rsid w:val="00854ACD"/>
    <w:rsid w:val="00854CCF"/>
    <w:rsid w:val="00854D19"/>
    <w:rsid w:val="00854FB6"/>
    <w:rsid w:val="008550BB"/>
    <w:rsid w:val="00855376"/>
    <w:rsid w:val="008553C3"/>
    <w:rsid w:val="00855413"/>
    <w:rsid w:val="008556AF"/>
    <w:rsid w:val="00855709"/>
    <w:rsid w:val="008558AF"/>
    <w:rsid w:val="00855AC3"/>
    <w:rsid w:val="00855E0A"/>
    <w:rsid w:val="00855FAE"/>
    <w:rsid w:val="0085609B"/>
    <w:rsid w:val="0085644F"/>
    <w:rsid w:val="00856488"/>
    <w:rsid w:val="008565F9"/>
    <w:rsid w:val="0085662B"/>
    <w:rsid w:val="008567D4"/>
    <w:rsid w:val="008568B2"/>
    <w:rsid w:val="008568BC"/>
    <w:rsid w:val="00857033"/>
    <w:rsid w:val="008572F0"/>
    <w:rsid w:val="008574C9"/>
    <w:rsid w:val="00857505"/>
    <w:rsid w:val="008579E1"/>
    <w:rsid w:val="00857C45"/>
    <w:rsid w:val="00857C71"/>
    <w:rsid w:val="00857C76"/>
    <w:rsid w:val="008602A8"/>
    <w:rsid w:val="008605C0"/>
    <w:rsid w:val="008605EC"/>
    <w:rsid w:val="0086061D"/>
    <w:rsid w:val="008609E4"/>
    <w:rsid w:val="00860D54"/>
    <w:rsid w:val="00860E65"/>
    <w:rsid w:val="008610C0"/>
    <w:rsid w:val="00861287"/>
    <w:rsid w:val="00861441"/>
    <w:rsid w:val="0086171E"/>
    <w:rsid w:val="00861AC7"/>
    <w:rsid w:val="00861B70"/>
    <w:rsid w:val="00861F3D"/>
    <w:rsid w:val="00862207"/>
    <w:rsid w:val="00862366"/>
    <w:rsid w:val="008623E6"/>
    <w:rsid w:val="00862466"/>
    <w:rsid w:val="00862590"/>
    <w:rsid w:val="008625C3"/>
    <w:rsid w:val="008625EB"/>
    <w:rsid w:val="00862622"/>
    <w:rsid w:val="0086277B"/>
    <w:rsid w:val="0086286C"/>
    <w:rsid w:val="00862B24"/>
    <w:rsid w:val="00862F8D"/>
    <w:rsid w:val="00862FD5"/>
    <w:rsid w:val="00863010"/>
    <w:rsid w:val="00863193"/>
    <w:rsid w:val="008631AD"/>
    <w:rsid w:val="00863345"/>
    <w:rsid w:val="00863515"/>
    <w:rsid w:val="00863766"/>
    <w:rsid w:val="00863FAE"/>
    <w:rsid w:val="00864020"/>
    <w:rsid w:val="00864047"/>
    <w:rsid w:val="00864343"/>
    <w:rsid w:val="0086440D"/>
    <w:rsid w:val="00864451"/>
    <w:rsid w:val="00864BBA"/>
    <w:rsid w:val="00864BD1"/>
    <w:rsid w:val="00864D09"/>
    <w:rsid w:val="00864EB0"/>
    <w:rsid w:val="008650F4"/>
    <w:rsid w:val="008655B0"/>
    <w:rsid w:val="008657C7"/>
    <w:rsid w:val="008659A2"/>
    <w:rsid w:val="008659FA"/>
    <w:rsid w:val="00865C56"/>
    <w:rsid w:val="00865C5E"/>
    <w:rsid w:val="008660A4"/>
    <w:rsid w:val="0086624A"/>
    <w:rsid w:val="008664FA"/>
    <w:rsid w:val="00866816"/>
    <w:rsid w:val="0086689D"/>
    <w:rsid w:val="0086699E"/>
    <w:rsid w:val="00866B69"/>
    <w:rsid w:val="00866C46"/>
    <w:rsid w:val="00866C5A"/>
    <w:rsid w:val="00866D41"/>
    <w:rsid w:val="00867011"/>
    <w:rsid w:val="00867107"/>
    <w:rsid w:val="00867899"/>
    <w:rsid w:val="0086789D"/>
    <w:rsid w:val="00867BCE"/>
    <w:rsid w:val="00867D43"/>
    <w:rsid w:val="008700EC"/>
    <w:rsid w:val="008701C4"/>
    <w:rsid w:val="008702FD"/>
    <w:rsid w:val="008704F1"/>
    <w:rsid w:val="008704F4"/>
    <w:rsid w:val="0087059B"/>
    <w:rsid w:val="00870658"/>
    <w:rsid w:val="00870AFE"/>
    <w:rsid w:val="00870DE9"/>
    <w:rsid w:val="00870F44"/>
    <w:rsid w:val="00871030"/>
    <w:rsid w:val="00871819"/>
    <w:rsid w:val="0087185D"/>
    <w:rsid w:val="00871869"/>
    <w:rsid w:val="00871AA5"/>
    <w:rsid w:val="00871E1E"/>
    <w:rsid w:val="008720FA"/>
    <w:rsid w:val="00872170"/>
    <w:rsid w:val="0087279E"/>
    <w:rsid w:val="0087294C"/>
    <w:rsid w:val="008729AC"/>
    <w:rsid w:val="00872AE5"/>
    <w:rsid w:val="00872C93"/>
    <w:rsid w:val="00872CC5"/>
    <w:rsid w:val="00872E4F"/>
    <w:rsid w:val="0087305C"/>
    <w:rsid w:val="008730A5"/>
    <w:rsid w:val="008734D3"/>
    <w:rsid w:val="008734F7"/>
    <w:rsid w:val="0087352A"/>
    <w:rsid w:val="00873679"/>
    <w:rsid w:val="0087396D"/>
    <w:rsid w:val="00873A6D"/>
    <w:rsid w:val="00873B50"/>
    <w:rsid w:val="00873E00"/>
    <w:rsid w:val="00873EE1"/>
    <w:rsid w:val="00873F48"/>
    <w:rsid w:val="008743CB"/>
    <w:rsid w:val="008745F4"/>
    <w:rsid w:val="008745F7"/>
    <w:rsid w:val="008746D5"/>
    <w:rsid w:val="00874717"/>
    <w:rsid w:val="008747F9"/>
    <w:rsid w:val="00874C6A"/>
    <w:rsid w:val="00874CEA"/>
    <w:rsid w:val="00874E9C"/>
    <w:rsid w:val="00874ED5"/>
    <w:rsid w:val="00874F78"/>
    <w:rsid w:val="00875003"/>
    <w:rsid w:val="00875140"/>
    <w:rsid w:val="00875304"/>
    <w:rsid w:val="00875431"/>
    <w:rsid w:val="00875573"/>
    <w:rsid w:val="00875826"/>
    <w:rsid w:val="00875973"/>
    <w:rsid w:val="00875C06"/>
    <w:rsid w:val="00875DFB"/>
    <w:rsid w:val="00875E1F"/>
    <w:rsid w:val="00875F16"/>
    <w:rsid w:val="00875FD1"/>
    <w:rsid w:val="00876104"/>
    <w:rsid w:val="00876148"/>
    <w:rsid w:val="008761E2"/>
    <w:rsid w:val="008763FF"/>
    <w:rsid w:val="0087660B"/>
    <w:rsid w:val="00876687"/>
    <w:rsid w:val="008766C2"/>
    <w:rsid w:val="008768C6"/>
    <w:rsid w:val="0087697A"/>
    <w:rsid w:val="00876A88"/>
    <w:rsid w:val="00876B84"/>
    <w:rsid w:val="00877162"/>
    <w:rsid w:val="008775AE"/>
    <w:rsid w:val="008776CE"/>
    <w:rsid w:val="008777FC"/>
    <w:rsid w:val="008778F5"/>
    <w:rsid w:val="0087797D"/>
    <w:rsid w:val="00877AC8"/>
    <w:rsid w:val="00877C48"/>
    <w:rsid w:val="0088001A"/>
    <w:rsid w:val="00880067"/>
    <w:rsid w:val="00880118"/>
    <w:rsid w:val="00880294"/>
    <w:rsid w:val="00880496"/>
    <w:rsid w:val="008804B1"/>
    <w:rsid w:val="00880909"/>
    <w:rsid w:val="00880BEC"/>
    <w:rsid w:val="00880C70"/>
    <w:rsid w:val="00880DD7"/>
    <w:rsid w:val="0088123F"/>
    <w:rsid w:val="008812E8"/>
    <w:rsid w:val="00881505"/>
    <w:rsid w:val="00881523"/>
    <w:rsid w:val="00881707"/>
    <w:rsid w:val="0088177C"/>
    <w:rsid w:val="008819D2"/>
    <w:rsid w:val="008819E1"/>
    <w:rsid w:val="00881A96"/>
    <w:rsid w:val="00881B6E"/>
    <w:rsid w:val="00881BD4"/>
    <w:rsid w:val="00882004"/>
    <w:rsid w:val="00882251"/>
    <w:rsid w:val="00882759"/>
    <w:rsid w:val="0088282F"/>
    <w:rsid w:val="008829F6"/>
    <w:rsid w:val="00882A47"/>
    <w:rsid w:val="00882CED"/>
    <w:rsid w:val="00882E2C"/>
    <w:rsid w:val="00882E7D"/>
    <w:rsid w:val="00882F91"/>
    <w:rsid w:val="00883192"/>
    <w:rsid w:val="008831F3"/>
    <w:rsid w:val="0088324E"/>
    <w:rsid w:val="00883321"/>
    <w:rsid w:val="008833D6"/>
    <w:rsid w:val="008833ED"/>
    <w:rsid w:val="008838C6"/>
    <w:rsid w:val="0088396D"/>
    <w:rsid w:val="00883A19"/>
    <w:rsid w:val="00883A3D"/>
    <w:rsid w:val="00883A5D"/>
    <w:rsid w:val="00883B45"/>
    <w:rsid w:val="00883BA0"/>
    <w:rsid w:val="0088411E"/>
    <w:rsid w:val="00884453"/>
    <w:rsid w:val="008845CD"/>
    <w:rsid w:val="0088468F"/>
    <w:rsid w:val="008848D5"/>
    <w:rsid w:val="00884BD6"/>
    <w:rsid w:val="00884C48"/>
    <w:rsid w:val="00884CF3"/>
    <w:rsid w:val="00884EB3"/>
    <w:rsid w:val="00884EC7"/>
    <w:rsid w:val="00885155"/>
    <w:rsid w:val="008851E3"/>
    <w:rsid w:val="0088526F"/>
    <w:rsid w:val="00885384"/>
    <w:rsid w:val="00885715"/>
    <w:rsid w:val="00885998"/>
    <w:rsid w:val="00885DEC"/>
    <w:rsid w:val="00885F6C"/>
    <w:rsid w:val="00885FC9"/>
    <w:rsid w:val="0088604F"/>
    <w:rsid w:val="0088619A"/>
    <w:rsid w:val="008862A4"/>
    <w:rsid w:val="0088633F"/>
    <w:rsid w:val="008866D2"/>
    <w:rsid w:val="00886843"/>
    <w:rsid w:val="00886BAD"/>
    <w:rsid w:val="00886E37"/>
    <w:rsid w:val="00886E6D"/>
    <w:rsid w:val="0088701E"/>
    <w:rsid w:val="008871F2"/>
    <w:rsid w:val="00887374"/>
    <w:rsid w:val="008876FA"/>
    <w:rsid w:val="008879E4"/>
    <w:rsid w:val="00887A55"/>
    <w:rsid w:val="00887B53"/>
    <w:rsid w:val="00887ED1"/>
    <w:rsid w:val="008901BB"/>
    <w:rsid w:val="0089021A"/>
    <w:rsid w:val="00890287"/>
    <w:rsid w:val="0089076A"/>
    <w:rsid w:val="008909E2"/>
    <w:rsid w:val="00890B51"/>
    <w:rsid w:val="00890F5B"/>
    <w:rsid w:val="00891589"/>
    <w:rsid w:val="008915BA"/>
    <w:rsid w:val="0089169A"/>
    <w:rsid w:val="0089173C"/>
    <w:rsid w:val="00891966"/>
    <w:rsid w:val="00891AAE"/>
    <w:rsid w:val="00891BA6"/>
    <w:rsid w:val="00891BD1"/>
    <w:rsid w:val="00891D5B"/>
    <w:rsid w:val="00891E0E"/>
    <w:rsid w:val="00891F15"/>
    <w:rsid w:val="00891F3C"/>
    <w:rsid w:val="008920EC"/>
    <w:rsid w:val="008921BB"/>
    <w:rsid w:val="00892246"/>
    <w:rsid w:val="00892434"/>
    <w:rsid w:val="0089289D"/>
    <w:rsid w:val="00892A05"/>
    <w:rsid w:val="00892C26"/>
    <w:rsid w:val="00892CF9"/>
    <w:rsid w:val="008930EE"/>
    <w:rsid w:val="00893131"/>
    <w:rsid w:val="008933E3"/>
    <w:rsid w:val="008934BD"/>
    <w:rsid w:val="008935AE"/>
    <w:rsid w:val="00893770"/>
    <w:rsid w:val="008937D3"/>
    <w:rsid w:val="00893B1B"/>
    <w:rsid w:val="00893E36"/>
    <w:rsid w:val="00893F5A"/>
    <w:rsid w:val="008940EF"/>
    <w:rsid w:val="008941CC"/>
    <w:rsid w:val="0089423C"/>
    <w:rsid w:val="00894348"/>
    <w:rsid w:val="00894426"/>
    <w:rsid w:val="00894427"/>
    <w:rsid w:val="0089468E"/>
    <w:rsid w:val="008947B7"/>
    <w:rsid w:val="00894CF8"/>
    <w:rsid w:val="00894E59"/>
    <w:rsid w:val="00894F66"/>
    <w:rsid w:val="00895712"/>
    <w:rsid w:val="00895762"/>
    <w:rsid w:val="008957E5"/>
    <w:rsid w:val="00895820"/>
    <w:rsid w:val="008958A1"/>
    <w:rsid w:val="00895C3E"/>
    <w:rsid w:val="00895C70"/>
    <w:rsid w:val="00895EEE"/>
    <w:rsid w:val="00895FDE"/>
    <w:rsid w:val="008960FD"/>
    <w:rsid w:val="0089626B"/>
    <w:rsid w:val="008964C8"/>
    <w:rsid w:val="00896634"/>
    <w:rsid w:val="00896977"/>
    <w:rsid w:val="00896AE3"/>
    <w:rsid w:val="00896D8B"/>
    <w:rsid w:val="00896EAA"/>
    <w:rsid w:val="0089759C"/>
    <w:rsid w:val="00897B1C"/>
    <w:rsid w:val="00897B86"/>
    <w:rsid w:val="00897BD1"/>
    <w:rsid w:val="00897BD5"/>
    <w:rsid w:val="00897BF6"/>
    <w:rsid w:val="00897FC6"/>
    <w:rsid w:val="008A0041"/>
    <w:rsid w:val="008A004F"/>
    <w:rsid w:val="008A00C3"/>
    <w:rsid w:val="008A0103"/>
    <w:rsid w:val="008A0293"/>
    <w:rsid w:val="008A06D3"/>
    <w:rsid w:val="008A07BA"/>
    <w:rsid w:val="008A09E6"/>
    <w:rsid w:val="008A0A95"/>
    <w:rsid w:val="008A0F9B"/>
    <w:rsid w:val="008A1276"/>
    <w:rsid w:val="008A12C0"/>
    <w:rsid w:val="008A1647"/>
    <w:rsid w:val="008A1A1E"/>
    <w:rsid w:val="008A1B45"/>
    <w:rsid w:val="008A2023"/>
    <w:rsid w:val="008A2087"/>
    <w:rsid w:val="008A212D"/>
    <w:rsid w:val="008A21D2"/>
    <w:rsid w:val="008A28F5"/>
    <w:rsid w:val="008A29E6"/>
    <w:rsid w:val="008A2C13"/>
    <w:rsid w:val="008A2C9C"/>
    <w:rsid w:val="008A2CBA"/>
    <w:rsid w:val="008A2E51"/>
    <w:rsid w:val="008A2FF3"/>
    <w:rsid w:val="008A3130"/>
    <w:rsid w:val="008A3167"/>
    <w:rsid w:val="008A3389"/>
    <w:rsid w:val="008A351C"/>
    <w:rsid w:val="008A3561"/>
    <w:rsid w:val="008A360E"/>
    <w:rsid w:val="008A36A3"/>
    <w:rsid w:val="008A36F8"/>
    <w:rsid w:val="008A3ADF"/>
    <w:rsid w:val="008A3BD2"/>
    <w:rsid w:val="008A3C93"/>
    <w:rsid w:val="008A3FE4"/>
    <w:rsid w:val="008A4062"/>
    <w:rsid w:val="008A420E"/>
    <w:rsid w:val="008A427C"/>
    <w:rsid w:val="008A43C3"/>
    <w:rsid w:val="008A4602"/>
    <w:rsid w:val="008A4740"/>
    <w:rsid w:val="008A499B"/>
    <w:rsid w:val="008A4C8A"/>
    <w:rsid w:val="008A4DA1"/>
    <w:rsid w:val="008A4EA4"/>
    <w:rsid w:val="008A4FAD"/>
    <w:rsid w:val="008A57A9"/>
    <w:rsid w:val="008A5A15"/>
    <w:rsid w:val="008A5A3B"/>
    <w:rsid w:val="008A5B9C"/>
    <w:rsid w:val="008A5D97"/>
    <w:rsid w:val="008A5DD0"/>
    <w:rsid w:val="008A6163"/>
    <w:rsid w:val="008A697D"/>
    <w:rsid w:val="008A6A8D"/>
    <w:rsid w:val="008A6AC3"/>
    <w:rsid w:val="008A6E38"/>
    <w:rsid w:val="008A6EF4"/>
    <w:rsid w:val="008A7282"/>
    <w:rsid w:val="008A7291"/>
    <w:rsid w:val="008A75D8"/>
    <w:rsid w:val="008A7682"/>
    <w:rsid w:val="008A76F0"/>
    <w:rsid w:val="008A76F7"/>
    <w:rsid w:val="008A7707"/>
    <w:rsid w:val="008A776D"/>
    <w:rsid w:val="008A77C8"/>
    <w:rsid w:val="008A78F5"/>
    <w:rsid w:val="008A79BE"/>
    <w:rsid w:val="008A79D5"/>
    <w:rsid w:val="008A7B51"/>
    <w:rsid w:val="008A7C7D"/>
    <w:rsid w:val="008B022C"/>
    <w:rsid w:val="008B0461"/>
    <w:rsid w:val="008B05C1"/>
    <w:rsid w:val="008B06AB"/>
    <w:rsid w:val="008B0956"/>
    <w:rsid w:val="008B09DC"/>
    <w:rsid w:val="008B0A88"/>
    <w:rsid w:val="008B0BDF"/>
    <w:rsid w:val="008B0DCE"/>
    <w:rsid w:val="008B0E00"/>
    <w:rsid w:val="008B0E2B"/>
    <w:rsid w:val="008B0FC4"/>
    <w:rsid w:val="008B105D"/>
    <w:rsid w:val="008B113F"/>
    <w:rsid w:val="008B117F"/>
    <w:rsid w:val="008B12EF"/>
    <w:rsid w:val="008B1396"/>
    <w:rsid w:val="008B1501"/>
    <w:rsid w:val="008B16B3"/>
    <w:rsid w:val="008B16CC"/>
    <w:rsid w:val="008B1D8C"/>
    <w:rsid w:val="008B1F1A"/>
    <w:rsid w:val="008B1FBA"/>
    <w:rsid w:val="008B2278"/>
    <w:rsid w:val="008B248F"/>
    <w:rsid w:val="008B2662"/>
    <w:rsid w:val="008B2719"/>
    <w:rsid w:val="008B2781"/>
    <w:rsid w:val="008B28B7"/>
    <w:rsid w:val="008B2A34"/>
    <w:rsid w:val="008B2A90"/>
    <w:rsid w:val="008B2C6F"/>
    <w:rsid w:val="008B2F69"/>
    <w:rsid w:val="008B300F"/>
    <w:rsid w:val="008B3297"/>
    <w:rsid w:val="008B3298"/>
    <w:rsid w:val="008B375E"/>
    <w:rsid w:val="008B39BF"/>
    <w:rsid w:val="008B39C1"/>
    <w:rsid w:val="008B3A57"/>
    <w:rsid w:val="008B3ACB"/>
    <w:rsid w:val="008B3C4D"/>
    <w:rsid w:val="008B3D20"/>
    <w:rsid w:val="008B3E86"/>
    <w:rsid w:val="008B40FB"/>
    <w:rsid w:val="008B4160"/>
    <w:rsid w:val="008B421E"/>
    <w:rsid w:val="008B438C"/>
    <w:rsid w:val="008B44A4"/>
    <w:rsid w:val="008B457B"/>
    <w:rsid w:val="008B4991"/>
    <w:rsid w:val="008B4A3F"/>
    <w:rsid w:val="008B4DFE"/>
    <w:rsid w:val="008B51E2"/>
    <w:rsid w:val="008B5225"/>
    <w:rsid w:val="008B53DA"/>
    <w:rsid w:val="008B5482"/>
    <w:rsid w:val="008B58A5"/>
    <w:rsid w:val="008B59BC"/>
    <w:rsid w:val="008B5DC0"/>
    <w:rsid w:val="008B5F10"/>
    <w:rsid w:val="008B62BC"/>
    <w:rsid w:val="008B639D"/>
    <w:rsid w:val="008B643D"/>
    <w:rsid w:val="008B67B3"/>
    <w:rsid w:val="008B6882"/>
    <w:rsid w:val="008B69CA"/>
    <w:rsid w:val="008B6A47"/>
    <w:rsid w:val="008B6C41"/>
    <w:rsid w:val="008B6CBD"/>
    <w:rsid w:val="008B6CC4"/>
    <w:rsid w:val="008B6D63"/>
    <w:rsid w:val="008B6E19"/>
    <w:rsid w:val="008B7073"/>
    <w:rsid w:val="008B714B"/>
    <w:rsid w:val="008B7225"/>
    <w:rsid w:val="008B72FA"/>
    <w:rsid w:val="008B7616"/>
    <w:rsid w:val="008B76E3"/>
    <w:rsid w:val="008B77B8"/>
    <w:rsid w:val="008B7979"/>
    <w:rsid w:val="008B7A77"/>
    <w:rsid w:val="008B7B37"/>
    <w:rsid w:val="008B7DF6"/>
    <w:rsid w:val="008B7F23"/>
    <w:rsid w:val="008B7F60"/>
    <w:rsid w:val="008C0442"/>
    <w:rsid w:val="008C0816"/>
    <w:rsid w:val="008C0B26"/>
    <w:rsid w:val="008C1873"/>
    <w:rsid w:val="008C187F"/>
    <w:rsid w:val="008C1CF1"/>
    <w:rsid w:val="008C1DA7"/>
    <w:rsid w:val="008C217F"/>
    <w:rsid w:val="008C25C3"/>
    <w:rsid w:val="008C29F6"/>
    <w:rsid w:val="008C2B67"/>
    <w:rsid w:val="008C2C2E"/>
    <w:rsid w:val="008C2CCA"/>
    <w:rsid w:val="008C2D53"/>
    <w:rsid w:val="008C2E61"/>
    <w:rsid w:val="008C333A"/>
    <w:rsid w:val="008C38BF"/>
    <w:rsid w:val="008C39BB"/>
    <w:rsid w:val="008C3B50"/>
    <w:rsid w:val="008C3BD9"/>
    <w:rsid w:val="008C3CF9"/>
    <w:rsid w:val="008C3DEC"/>
    <w:rsid w:val="008C3E58"/>
    <w:rsid w:val="008C40A9"/>
    <w:rsid w:val="008C4163"/>
    <w:rsid w:val="008C4345"/>
    <w:rsid w:val="008C4558"/>
    <w:rsid w:val="008C4703"/>
    <w:rsid w:val="008C4777"/>
    <w:rsid w:val="008C4B53"/>
    <w:rsid w:val="008C4D9A"/>
    <w:rsid w:val="008C532E"/>
    <w:rsid w:val="008C5598"/>
    <w:rsid w:val="008C5659"/>
    <w:rsid w:val="008C5712"/>
    <w:rsid w:val="008C5713"/>
    <w:rsid w:val="008C578C"/>
    <w:rsid w:val="008C58AE"/>
    <w:rsid w:val="008C5CDC"/>
    <w:rsid w:val="008C63E1"/>
    <w:rsid w:val="008C63F2"/>
    <w:rsid w:val="008C642B"/>
    <w:rsid w:val="008C67A5"/>
    <w:rsid w:val="008C68F3"/>
    <w:rsid w:val="008C69CE"/>
    <w:rsid w:val="008C6A99"/>
    <w:rsid w:val="008C6E03"/>
    <w:rsid w:val="008C6F3A"/>
    <w:rsid w:val="008C73D8"/>
    <w:rsid w:val="008C7401"/>
    <w:rsid w:val="008C7430"/>
    <w:rsid w:val="008C76D4"/>
    <w:rsid w:val="008C76F2"/>
    <w:rsid w:val="008C7804"/>
    <w:rsid w:val="008C78A5"/>
    <w:rsid w:val="008C7A7C"/>
    <w:rsid w:val="008C7B11"/>
    <w:rsid w:val="008C7D7D"/>
    <w:rsid w:val="008C7E47"/>
    <w:rsid w:val="008C7EC6"/>
    <w:rsid w:val="008C7EF7"/>
    <w:rsid w:val="008C7EF9"/>
    <w:rsid w:val="008C7FE3"/>
    <w:rsid w:val="008D008C"/>
    <w:rsid w:val="008D01A9"/>
    <w:rsid w:val="008D0663"/>
    <w:rsid w:val="008D0736"/>
    <w:rsid w:val="008D0927"/>
    <w:rsid w:val="008D09BB"/>
    <w:rsid w:val="008D0AA1"/>
    <w:rsid w:val="008D0AB5"/>
    <w:rsid w:val="008D0D10"/>
    <w:rsid w:val="008D0D94"/>
    <w:rsid w:val="008D0EEA"/>
    <w:rsid w:val="008D0F17"/>
    <w:rsid w:val="008D11C1"/>
    <w:rsid w:val="008D1448"/>
    <w:rsid w:val="008D163C"/>
    <w:rsid w:val="008D16AB"/>
    <w:rsid w:val="008D181E"/>
    <w:rsid w:val="008D18DD"/>
    <w:rsid w:val="008D1F24"/>
    <w:rsid w:val="008D1FAC"/>
    <w:rsid w:val="008D23A7"/>
    <w:rsid w:val="008D253D"/>
    <w:rsid w:val="008D254B"/>
    <w:rsid w:val="008D2696"/>
    <w:rsid w:val="008D283A"/>
    <w:rsid w:val="008D2BAC"/>
    <w:rsid w:val="008D2C52"/>
    <w:rsid w:val="008D3327"/>
    <w:rsid w:val="008D3344"/>
    <w:rsid w:val="008D343E"/>
    <w:rsid w:val="008D3574"/>
    <w:rsid w:val="008D419D"/>
    <w:rsid w:val="008D41A7"/>
    <w:rsid w:val="008D449F"/>
    <w:rsid w:val="008D4587"/>
    <w:rsid w:val="008D45B2"/>
    <w:rsid w:val="008D47A1"/>
    <w:rsid w:val="008D47DB"/>
    <w:rsid w:val="008D4863"/>
    <w:rsid w:val="008D4A03"/>
    <w:rsid w:val="008D4A7B"/>
    <w:rsid w:val="008D4B98"/>
    <w:rsid w:val="008D503A"/>
    <w:rsid w:val="008D5044"/>
    <w:rsid w:val="008D542B"/>
    <w:rsid w:val="008D5ABB"/>
    <w:rsid w:val="008D5BE6"/>
    <w:rsid w:val="008D5DF1"/>
    <w:rsid w:val="008D644E"/>
    <w:rsid w:val="008D6831"/>
    <w:rsid w:val="008D6861"/>
    <w:rsid w:val="008D6AF8"/>
    <w:rsid w:val="008D6C9F"/>
    <w:rsid w:val="008D6EC3"/>
    <w:rsid w:val="008D6F42"/>
    <w:rsid w:val="008D6FB0"/>
    <w:rsid w:val="008D7A21"/>
    <w:rsid w:val="008D7AD1"/>
    <w:rsid w:val="008D7B07"/>
    <w:rsid w:val="008D7BB1"/>
    <w:rsid w:val="008D7C69"/>
    <w:rsid w:val="008D7D84"/>
    <w:rsid w:val="008D7F12"/>
    <w:rsid w:val="008E017A"/>
    <w:rsid w:val="008E0190"/>
    <w:rsid w:val="008E0463"/>
    <w:rsid w:val="008E04AD"/>
    <w:rsid w:val="008E057C"/>
    <w:rsid w:val="008E0727"/>
    <w:rsid w:val="008E07CC"/>
    <w:rsid w:val="008E0A15"/>
    <w:rsid w:val="008E0B25"/>
    <w:rsid w:val="008E151E"/>
    <w:rsid w:val="008E16F1"/>
    <w:rsid w:val="008E16FC"/>
    <w:rsid w:val="008E17CF"/>
    <w:rsid w:val="008E1852"/>
    <w:rsid w:val="008E1865"/>
    <w:rsid w:val="008E19E0"/>
    <w:rsid w:val="008E1A7C"/>
    <w:rsid w:val="008E1ED5"/>
    <w:rsid w:val="008E2548"/>
    <w:rsid w:val="008E2553"/>
    <w:rsid w:val="008E2852"/>
    <w:rsid w:val="008E2BDB"/>
    <w:rsid w:val="008E3111"/>
    <w:rsid w:val="008E3464"/>
    <w:rsid w:val="008E36A9"/>
    <w:rsid w:val="008E38E0"/>
    <w:rsid w:val="008E3A41"/>
    <w:rsid w:val="008E3A66"/>
    <w:rsid w:val="008E3BD8"/>
    <w:rsid w:val="008E3D31"/>
    <w:rsid w:val="008E40D8"/>
    <w:rsid w:val="008E4230"/>
    <w:rsid w:val="008E4239"/>
    <w:rsid w:val="008E44A7"/>
    <w:rsid w:val="008E453B"/>
    <w:rsid w:val="008E460A"/>
    <w:rsid w:val="008E46B8"/>
    <w:rsid w:val="008E46DB"/>
    <w:rsid w:val="008E4741"/>
    <w:rsid w:val="008E4A0E"/>
    <w:rsid w:val="008E4AAF"/>
    <w:rsid w:val="008E4ACE"/>
    <w:rsid w:val="008E4E24"/>
    <w:rsid w:val="008E5141"/>
    <w:rsid w:val="008E5767"/>
    <w:rsid w:val="008E5815"/>
    <w:rsid w:val="008E589E"/>
    <w:rsid w:val="008E5955"/>
    <w:rsid w:val="008E5A0F"/>
    <w:rsid w:val="008E5C2C"/>
    <w:rsid w:val="008E5C4C"/>
    <w:rsid w:val="008E60AA"/>
    <w:rsid w:val="008E60B9"/>
    <w:rsid w:val="008E60BF"/>
    <w:rsid w:val="008E61F9"/>
    <w:rsid w:val="008E6241"/>
    <w:rsid w:val="008E6277"/>
    <w:rsid w:val="008E640D"/>
    <w:rsid w:val="008E644F"/>
    <w:rsid w:val="008E648D"/>
    <w:rsid w:val="008E68C4"/>
    <w:rsid w:val="008E6B4D"/>
    <w:rsid w:val="008E6DB6"/>
    <w:rsid w:val="008E6E73"/>
    <w:rsid w:val="008E6E75"/>
    <w:rsid w:val="008E6F59"/>
    <w:rsid w:val="008E7061"/>
    <w:rsid w:val="008E70F9"/>
    <w:rsid w:val="008E740D"/>
    <w:rsid w:val="008E752C"/>
    <w:rsid w:val="008E75D1"/>
    <w:rsid w:val="008E77C6"/>
    <w:rsid w:val="008E77E3"/>
    <w:rsid w:val="008E7847"/>
    <w:rsid w:val="008E786B"/>
    <w:rsid w:val="008E7990"/>
    <w:rsid w:val="008E79CA"/>
    <w:rsid w:val="008E7AC8"/>
    <w:rsid w:val="008E7CDE"/>
    <w:rsid w:val="008E7D13"/>
    <w:rsid w:val="008E7DAB"/>
    <w:rsid w:val="008E7DB3"/>
    <w:rsid w:val="008F00AF"/>
    <w:rsid w:val="008F040D"/>
    <w:rsid w:val="008F0421"/>
    <w:rsid w:val="008F0747"/>
    <w:rsid w:val="008F095D"/>
    <w:rsid w:val="008F0A18"/>
    <w:rsid w:val="008F0E1F"/>
    <w:rsid w:val="008F0E3B"/>
    <w:rsid w:val="008F0E54"/>
    <w:rsid w:val="008F12B4"/>
    <w:rsid w:val="008F13C1"/>
    <w:rsid w:val="008F15DF"/>
    <w:rsid w:val="008F173D"/>
    <w:rsid w:val="008F1758"/>
    <w:rsid w:val="008F1968"/>
    <w:rsid w:val="008F1980"/>
    <w:rsid w:val="008F1B61"/>
    <w:rsid w:val="008F1C7F"/>
    <w:rsid w:val="008F1EDE"/>
    <w:rsid w:val="008F2105"/>
    <w:rsid w:val="008F2151"/>
    <w:rsid w:val="008F26C1"/>
    <w:rsid w:val="008F2A92"/>
    <w:rsid w:val="008F3269"/>
    <w:rsid w:val="008F332B"/>
    <w:rsid w:val="008F333E"/>
    <w:rsid w:val="008F36A2"/>
    <w:rsid w:val="008F3780"/>
    <w:rsid w:val="008F3B1E"/>
    <w:rsid w:val="008F3C04"/>
    <w:rsid w:val="008F3CBE"/>
    <w:rsid w:val="008F3D3E"/>
    <w:rsid w:val="008F4070"/>
    <w:rsid w:val="008F4171"/>
    <w:rsid w:val="008F4AA1"/>
    <w:rsid w:val="008F4F63"/>
    <w:rsid w:val="008F503B"/>
    <w:rsid w:val="008F512E"/>
    <w:rsid w:val="008F531A"/>
    <w:rsid w:val="008F5329"/>
    <w:rsid w:val="008F5394"/>
    <w:rsid w:val="008F549B"/>
    <w:rsid w:val="008F5578"/>
    <w:rsid w:val="008F573C"/>
    <w:rsid w:val="008F5882"/>
    <w:rsid w:val="008F596A"/>
    <w:rsid w:val="008F5B7D"/>
    <w:rsid w:val="008F5D64"/>
    <w:rsid w:val="008F5E50"/>
    <w:rsid w:val="008F5EC9"/>
    <w:rsid w:val="008F643D"/>
    <w:rsid w:val="008F660B"/>
    <w:rsid w:val="008F6748"/>
    <w:rsid w:val="008F67AE"/>
    <w:rsid w:val="008F6858"/>
    <w:rsid w:val="008F6912"/>
    <w:rsid w:val="008F6C1D"/>
    <w:rsid w:val="008F6DEA"/>
    <w:rsid w:val="008F6EC5"/>
    <w:rsid w:val="008F70D6"/>
    <w:rsid w:val="008F730F"/>
    <w:rsid w:val="008F7405"/>
    <w:rsid w:val="008F7490"/>
    <w:rsid w:val="008F7900"/>
    <w:rsid w:val="008F79EC"/>
    <w:rsid w:val="008F7A51"/>
    <w:rsid w:val="008F7DA6"/>
    <w:rsid w:val="00900351"/>
    <w:rsid w:val="009003FD"/>
    <w:rsid w:val="009004F0"/>
    <w:rsid w:val="0090069B"/>
    <w:rsid w:val="009006CA"/>
    <w:rsid w:val="00900836"/>
    <w:rsid w:val="00900953"/>
    <w:rsid w:val="009009C5"/>
    <w:rsid w:val="009009D8"/>
    <w:rsid w:val="009009F6"/>
    <w:rsid w:val="00900E58"/>
    <w:rsid w:val="00900FD4"/>
    <w:rsid w:val="009010DE"/>
    <w:rsid w:val="0090117F"/>
    <w:rsid w:val="009011F1"/>
    <w:rsid w:val="0090145C"/>
    <w:rsid w:val="0090149A"/>
    <w:rsid w:val="00901701"/>
    <w:rsid w:val="009017D0"/>
    <w:rsid w:val="0090182C"/>
    <w:rsid w:val="009018A2"/>
    <w:rsid w:val="00901919"/>
    <w:rsid w:val="0090193F"/>
    <w:rsid w:val="0090199A"/>
    <w:rsid w:val="00901AEA"/>
    <w:rsid w:val="00901C5C"/>
    <w:rsid w:val="00901C9C"/>
    <w:rsid w:val="00901CD0"/>
    <w:rsid w:val="00901F6E"/>
    <w:rsid w:val="0090212A"/>
    <w:rsid w:val="0090215F"/>
    <w:rsid w:val="009023A9"/>
    <w:rsid w:val="00902442"/>
    <w:rsid w:val="009026B9"/>
    <w:rsid w:val="00902833"/>
    <w:rsid w:val="00902BDA"/>
    <w:rsid w:val="00902CF4"/>
    <w:rsid w:val="00902D02"/>
    <w:rsid w:val="00902EDF"/>
    <w:rsid w:val="0090303D"/>
    <w:rsid w:val="00903190"/>
    <w:rsid w:val="0090322D"/>
    <w:rsid w:val="00903467"/>
    <w:rsid w:val="0090352E"/>
    <w:rsid w:val="00903817"/>
    <w:rsid w:val="00903D05"/>
    <w:rsid w:val="00903E6C"/>
    <w:rsid w:val="009040BE"/>
    <w:rsid w:val="009043A1"/>
    <w:rsid w:val="0090448F"/>
    <w:rsid w:val="009044EF"/>
    <w:rsid w:val="0090455E"/>
    <w:rsid w:val="00904A95"/>
    <w:rsid w:val="00904BE9"/>
    <w:rsid w:val="00905255"/>
    <w:rsid w:val="00905364"/>
    <w:rsid w:val="009053BE"/>
    <w:rsid w:val="009055D8"/>
    <w:rsid w:val="0090567C"/>
    <w:rsid w:val="00905921"/>
    <w:rsid w:val="0090599C"/>
    <w:rsid w:val="00905DF9"/>
    <w:rsid w:val="00905F69"/>
    <w:rsid w:val="009068A7"/>
    <w:rsid w:val="009068B3"/>
    <w:rsid w:val="00906C17"/>
    <w:rsid w:val="00907162"/>
    <w:rsid w:val="00907180"/>
    <w:rsid w:val="009075CE"/>
    <w:rsid w:val="009076B6"/>
    <w:rsid w:val="009076ED"/>
    <w:rsid w:val="0090798A"/>
    <w:rsid w:val="0090798B"/>
    <w:rsid w:val="00907AF7"/>
    <w:rsid w:val="00907C87"/>
    <w:rsid w:val="00907D32"/>
    <w:rsid w:val="00907E4D"/>
    <w:rsid w:val="00910034"/>
    <w:rsid w:val="0091022E"/>
    <w:rsid w:val="0091079A"/>
    <w:rsid w:val="00910CD7"/>
    <w:rsid w:val="00910F94"/>
    <w:rsid w:val="00911690"/>
    <w:rsid w:val="009116B9"/>
    <w:rsid w:val="009117D4"/>
    <w:rsid w:val="00911C7A"/>
    <w:rsid w:val="00911CD6"/>
    <w:rsid w:val="00911D37"/>
    <w:rsid w:val="00911DC1"/>
    <w:rsid w:val="00911EF6"/>
    <w:rsid w:val="0091216B"/>
    <w:rsid w:val="0091230F"/>
    <w:rsid w:val="00912395"/>
    <w:rsid w:val="009124DA"/>
    <w:rsid w:val="00912576"/>
    <w:rsid w:val="00912831"/>
    <w:rsid w:val="009128A4"/>
    <w:rsid w:val="00912915"/>
    <w:rsid w:val="0091295D"/>
    <w:rsid w:val="00912F0F"/>
    <w:rsid w:val="00912FEC"/>
    <w:rsid w:val="00912FF8"/>
    <w:rsid w:val="00913324"/>
    <w:rsid w:val="00913331"/>
    <w:rsid w:val="00913415"/>
    <w:rsid w:val="0091353D"/>
    <w:rsid w:val="0091361F"/>
    <w:rsid w:val="0091366A"/>
    <w:rsid w:val="009136F1"/>
    <w:rsid w:val="00913AEB"/>
    <w:rsid w:val="009141C7"/>
    <w:rsid w:val="00914261"/>
    <w:rsid w:val="00914271"/>
    <w:rsid w:val="00914445"/>
    <w:rsid w:val="00914519"/>
    <w:rsid w:val="0091468C"/>
    <w:rsid w:val="009148BF"/>
    <w:rsid w:val="0091491F"/>
    <w:rsid w:val="009149DD"/>
    <w:rsid w:val="00914BE2"/>
    <w:rsid w:val="00914D3C"/>
    <w:rsid w:val="00914DAE"/>
    <w:rsid w:val="00914EA4"/>
    <w:rsid w:val="00914EB0"/>
    <w:rsid w:val="00915625"/>
    <w:rsid w:val="009157C1"/>
    <w:rsid w:val="00915B28"/>
    <w:rsid w:val="00915D3C"/>
    <w:rsid w:val="00915FF1"/>
    <w:rsid w:val="0091615B"/>
    <w:rsid w:val="00916636"/>
    <w:rsid w:val="009168FD"/>
    <w:rsid w:val="00916F72"/>
    <w:rsid w:val="0091706A"/>
    <w:rsid w:val="009173A3"/>
    <w:rsid w:val="009173EA"/>
    <w:rsid w:val="00917657"/>
    <w:rsid w:val="0091775D"/>
    <w:rsid w:val="009178DB"/>
    <w:rsid w:val="00917A07"/>
    <w:rsid w:val="00917A33"/>
    <w:rsid w:val="00917CD9"/>
    <w:rsid w:val="00917CEB"/>
    <w:rsid w:val="00917E09"/>
    <w:rsid w:val="00917E4B"/>
    <w:rsid w:val="00917FD4"/>
    <w:rsid w:val="00920446"/>
    <w:rsid w:val="009207C9"/>
    <w:rsid w:val="00920847"/>
    <w:rsid w:val="00920CAD"/>
    <w:rsid w:val="00920DBF"/>
    <w:rsid w:val="00920E28"/>
    <w:rsid w:val="00920ECC"/>
    <w:rsid w:val="009212A0"/>
    <w:rsid w:val="009213A6"/>
    <w:rsid w:val="00921490"/>
    <w:rsid w:val="009216A9"/>
    <w:rsid w:val="00921897"/>
    <w:rsid w:val="009218A5"/>
    <w:rsid w:val="00921C99"/>
    <w:rsid w:val="00921E08"/>
    <w:rsid w:val="00921EA4"/>
    <w:rsid w:val="00921ECD"/>
    <w:rsid w:val="0092214F"/>
    <w:rsid w:val="009226A6"/>
    <w:rsid w:val="009226FB"/>
    <w:rsid w:val="00922A92"/>
    <w:rsid w:val="00922AEC"/>
    <w:rsid w:val="00922C00"/>
    <w:rsid w:val="00922D0E"/>
    <w:rsid w:val="00922D6C"/>
    <w:rsid w:val="00922EE7"/>
    <w:rsid w:val="009230D5"/>
    <w:rsid w:val="0092357B"/>
    <w:rsid w:val="00923584"/>
    <w:rsid w:val="00923871"/>
    <w:rsid w:val="009238AC"/>
    <w:rsid w:val="009238E7"/>
    <w:rsid w:val="00923CFD"/>
    <w:rsid w:val="00923E62"/>
    <w:rsid w:val="00923FA3"/>
    <w:rsid w:val="009241BC"/>
    <w:rsid w:val="009241EE"/>
    <w:rsid w:val="0092452E"/>
    <w:rsid w:val="00924562"/>
    <w:rsid w:val="0092471F"/>
    <w:rsid w:val="00924768"/>
    <w:rsid w:val="009249F4"/>
    <w:rsid w:val="00924C72"/>
    <w:rsid w:val="00924FA2"/>
    <w:rsid w:val="00924FE6"/>
    <w:rsid w:val="00925041"/>
    <w:rsid w:val="00925137"/>
    <w:rsid w:val="009253BC"/>
    <w:rsid w:val="0092541D"/>
    <w:rsid w:val="00925A63"/>
    <w:rsid w:val="00925EE1"/>
    <w:rsid w:val="009262D9"/>
    <w:rsid w:val="00926713"/>
    <w:rsid w:val="00926929"/>
    <w:rsid w:val="00926CA1"/>
    <w:rsid w:val="00926E69"/>
    <w:rsid w:val="00927070"/>
    <w:rsid w:val="009273C0"/>
    <w:rsid w:val="00927578"/>
    <w:rsid w:val="009275CA"/>
    <w:rsid w:val="009277DA"/>
    <w:rsid w:val="0092782E"/>
    <w:rsid w:val="00927A55"/>
    <w:rsid w:val="00927BB7"/>
    <w:rsid w:val="00927DEF"/>
    <w:rsid w:val="00927DFF"/>
    <w:rsid w:val="009304AD"/>
    <w:rsid w:val="009307F1"/>
    <w:rsid w:val="0093094E"/>
    <w:rsid w:val="009309AA"/>
    <w:rsid w:val="00930AC6"/>
    <w:rsid w:val="00930EC7"/>
    <w:rsid w:val="00930F88"/>
    <w:rsid w:val="0093120B"/>
    <w:rsid w:val="009312D0"/>
    <w:rsid w:val="009314DE"/>
    <w:rsid w:val="00931716"/>
    <w:rsid w:val="00931801"/>
    <w:rsid w:val="009319C0"/>
    <w:rsid w:val="00931C29"/>
    <w:rsid w:val="00931CA2"/>
    <w:rsid w:val="00931D7E"/>
    <w:rsid w:val="00931EFD"/>
    <w:rsid w:val="00932111"/>
    <w:rsid w:val="009321F3"/>
    <w:rsid w:val="009322D8"/>
    <w:rsid w:val="00932355"/>
    <w:rsid w:val="00932370"/>
    <w:rsid w:val="009326D9"/>
    <w:rsid w:val="00932790"/>
    <w:rsid w:val="00932AFA"/>
    <w:rsid w:val="00932B19"/>
    <w:rsid w:val="00932CE1"/>
    <w:rsid w:val="00933033"/>
    <w:rsid w:val="00933034"/>
    <w:rsid w:val="009331BC"/>
    <w:rsid w:val="00933229"/>
    <w:rsid w:val="009337D6"/>
    <w:rsid w:val="0093399B"/>
    <w:rsid w:val="009339DF"/>
    <w:rsid w:val="00933A7D"/>
    <w:rsid w:val="00933A9D"/>
    <w:rsid w:val="00933BE4"/>
    <w:rsid w:val="00933C04"/>
    <w:rsid w:val="00933CEA"/>
    <w:rsid w:val="00933EF2"/>
    <w:rsid w:val="00933EFD"/>
    <w:rsid w:val="00934123"/>
    <w:rsid w:val="00934224"/>
    <w:rsid w:val="00934383"/>
    <w:rsid w:val="00934422"/>
    <w:rsid w:val="00934424"/>
    <w:rsid w:val="009344F4"/>
    <w:rsid w:val="0093456E"/>
    <w:rsid w:val="00934871"/>
    <w:rsid w:val="00934887"/>
    <w:rsid w:val="0093489A"/>
    <w:rsid w:val="00934A2D"/>
    <w:rsid w:val="00934BE8"/>
    <w:rsid w:val="00934DA0"/>
    <w:rsid w:val="00934DC3"/>
    <w:rsid w:val="0093509B"/>
    <w:rsid w:val="0093522E"/>
    <w:rsid w:val="00935357"/>
    <w:rsid w:val="00935464"/>
    <w:rsid w:val="009356C5"/>
    <w:rsid w:val="00935845"/>
    <w:rsid w:val="00935E10"/>
    <w:rsid w:val="00935E24"/>
    <w:rsid w:val="00935F6A"/>
    <w:rsid w:val="00936408"/>
    <w:rsid w:val="00936478"/>
    <w:rsid w:val="00936852"/>
    <w:rsid w:val="0093685E"/>
    <w:rsid w:val="00936979"/>
    <w:rsid w:val="00936AB1"/>
    <w:rsid w:val="00936B1E"/>
    <w:rsid w:val="00936BFC"/>
    <w:rsid w:val="00936C34"/>
    <w:rsid w:val="00936DDA"/>
    <w:rsid w:val="009372DC"/>
    <w:rsid w:val="00937393"/>
    <w:rsid w:val="009376F0"/>
    <w:rsid w:val="00937884"/>
    <w:rsid w:val="00937A7E"/>
    <w:rsid w:val="00937AA6"/>
    <w:rsid w:val="00937D0A"/>
    <w:rsid w:val="00937D0B"/>
    <w:rsid w:val="00937D62"/>
    <w:rsid w:val="00937DD9"/>
    <w:rsid w:val="00940033"/>
    <w:rsid w:val="00940035"/>
    <w:rsid w:val="00940468"/>
    <w:rsid w:val="00940546"/>
    <w:rsid w:val="00940923"/>
    <w:rsid w:val="00940AD6"/>
    <w:rsid w:val="00940DFE"/>
    <w:rsid w:val="00940EC9"/>
    <w:rsid w:val="00940F72"/>
    <w:rsid w:val="0094104F"/>
    <w:rsid w:val="009411CA"/>
    <w:rsid w:val="009412E2"/>
    <w:rsid w:val="009413E6"/>
    <w:rsid w:val="00941D10"/>
    <w:rsid w:val="00941DA2"/>
    <w:rsid w:val="00941EA2"/>
    <w:rsid w:val="00942071"/>
    <w:rsid w:val="009420D4"/>
    <w:rsid w:val="00942158"/>
    <w:rsid w:val="00942384"/>
    <w:rsid w:val="00942444"/>
    <w:rsid w:val="00942471"/>
    <w:rsid w:val="009424A4"/>
    <w:rsid w:val="009425F5"/>
    <w:rsid w:val="00942846"/>
    <w:rsid w:val="00942A23"/>
    <w:rsid w:val="00942C51"/>
    <w:rsid w:val="0094307C"/>
    <w:rsid w:val="00943098"/>
    <w:rsid w:val="00943192"/>
    <w:rsid w:val="009438AD"/>
    <w:rsid w:val="00943A11"/>
    <w:rsid w:val="00943A49"/>
    <w:rsid w:val="00943B90"/>
    <w:rsid w:val="00943D21"/>
    <w:rsid w:val="00943E32"/>
    <w:rsid w:val="00944110"/>
    <w:rsid w:val="00944199"/>
    <w:rsid w:val="009443E6"/>
    <w:rsid w:val="0094447C"/>
    <w:rsid w:val="0094450C"/>
    <w:rsid w:val="009446D2"/>
    <w:rsid w:val="00944803"/>
    <w:rsid w:val="00944A75"/>
    <w:rsid w:val="00944C67"/>
    <w:rsid w:val="00944D0E"/>
    <w:rsid w:val="0094507D"/>
    <w:rsid w:val="00945403"/>
    <w:rsid w:val="00945570"/>
    <w:rsid w:val="00945585"/>
    <w:rsid w:val="00945789"/>
    <w:rsid w:val="009458D6"/>
    <w:rsid w:val="00945A85"/>
    <w:rsid w:val="009460D7"/>
    <w:rsid w:val="0094631B"/>
    <w:rsid w:val="00946375"/>
    <w:rsid w:val="009463BE"/>
    <w:rsid w:val="009465A1"/>
    <w:rsid w:val="00946614"/>
    <w:rsid w:val="0094671C"/>
    <w:rsid w:val="0094675F"/>
    <w:rsid w:val="009467EA"/>
    <w:rsid w:val="00946BE1"/>
    <w:rsid w:val="00946F85"/>
    <w:rsid w:val="00947189"/>
    <w:rsid w:val="009471A7"/>
    <w:rsid w:val="009471DB"/>
    <w:rsid w:val="00947258"/>
    <w:rsid w:val="00947324"/>
    <w:rsid w:val="009474B3"/>
    <w:rsid w:val="00947559"/>
    <w:rsid w:val="00947785"/>
    <w:rsid w:val="00947867"/>
    <w:rsid w:val="009478EE"/>
    <w:rsid w:val="009479D1"/>
    <w:rsid w:val="00947A8E"/>
    <w:rsid w:val="00947D80"/>
    <w:rsid w:val="00947F7D"/>
    <w:rsid w:val="00950154"/>
    <w:rsid w:val="009504F5"/>
    <w:rsid w:val="0095072A"/>
    <w:rsid w:val="00950A8C"/>
    <w:rsid w:val="00950B0C"/>
    <w:rsid w:val="00950C01"/>
    <w:rsid w:val="00950E33"/>
    <w:rsid w:val="00950E4A"/>
    <w:rsid w:val="00950ECA"/>
    <w:rsid w:val="00950EF3"/>
    <w:rsid w:val="00951125"/>
    <w:rsid w:val="00951452"/>
    <w:rsid w:val="0095157F"/>
    <w:rsid w:val="0095160A"/>
    <w:rsid w:val="00951DDE"/>
    <w:rsid w:val="00951E31"/>
    <w:rsid w:val="00951F01"/>
    <w:rsid w:val="00951F30"/>
    <w:rsid w:val="0095217B"/>
    <w:rsid w:val="009522CE"/>
    <w:rsid w:val="0095242C"/>
    <w:rsid w:val="00952695"/>
    <w:rsid w:val="00952939"/>
    <w:rsid w:val="00952B86"/>
    <w:rsid w:val="00952BD4"/>
    <w:rsid w:val="00952C49"/>
    <w:rsid w:val="00952E7E"/>
    <w:rsid w:val="00952FEF"/>
    <w:rsid w:val="0095315D"/>
    <w:rsid w:val="0095316D"/>
    <w:rsid w:val="0095331F"/>
    <w:rsid w:val="009534AF"/>
    <w:rsid w:val="00953686"/>
    <w:rsid w:val="00953846"/>
    <w:rsid w:val="0095391D"/>
    <w:rsid w:val="009539FA"/>
    <w:rsid w:val="00953AB2"/>
    <w:rsid w:val="00953F2A"/>
    <w:rsid w:val="0095406B"/>
    <w:rsid w:val="0095406C"/>
    <w:rsid w:val="009541B4"/>
    <w:rsid w:val="009541EE"/>
    <w:rsid w:val="00954476"/>
    <w:rsid w:val="009544C4"/>
    <w:rsid w:val="00954BE8"/>
    <w:rsid w:val="00954C61"/>
    <w:rsid w:val="00954E79"/>
    <w:rsid w:val="00955039"/>
    <w:rsid w:val="00955105"/>
    <w:rsid w:val="0095522D"/>
    <w:rsid w:val="009552F7"/>
    <w:rsid w:val="009555DE"/>
    <w:rsid w:val="0095564A"/>
    <w:rsid w:val="00955685"/>
    <w:rsid w:val="0095571C"/>
    <w:rsid w:val="009558E9"/>
    <w:rsid w:val="009559AA"/>
    <w:rsid w:val="009559F7"/>
    <w:rsid w:val="00955CE4"/>
    <w:rsid w:val="00955D60"/>
    <w:rsid w:val="00955D89"/>
    <w:rsid w:val="009560FF"/>
    <w:rsid w:val="009561A6"/>
    <w:rsid w:val="00956712"/>
    <w:rsid w:val="009567A1"/>
    <w:rsid w:val="00956914"/>
    <w:rsid w:val="00956937"/>
    <w:rsid w:val="00956A67"/>
    <w:rsid w:val="00956E5D"/>
    <w:rsid w:val="00956EB2"/>
    <w:rsid w:val="009578C1"/>
    <w:rsid w:val="00957972"/>
    <w:rsid w:val="00957D9E"/>
    <w:rsid w:val="00957FC3"/>
    <w:rsid w:val="0096011F"/>
    <w:rsid w:val="00960122"/>
    <w:rsid w:val="00960356"/>
    <w:rsid w:val="0096081B"/>
    <w:rsid w:val="009608D7"/>
    <w:rsid w:val="0096099A"/>
    <w:rsid w:val="009609E4"/>
    <w:rsid w:val="00960A60"/>
    <w:rsid w:val="00960C65"/>
    <w:rsid w:val="00960EB1"/>
    <w:rsid w:val="00961087"/>
    <w:rsid w:val="0096121A"/>
    <w:rsid w:val="00961269"/>
    <w:rsid w:val="009612C5"/>
    <w:rsid w:val="009614AD"/>
    <w:rsid w:val="009615B0"/>
    <w:rsid w:val="009615F5"/>
    <w:rsid w:val="0096199D"/>
    <w:rsid w:val="00961B47"/>
    <w:rsid w:val="00961CE4"/>
    <w:rsid w:val="00961DC3"/>
    <w:rsid w:val="009623D6"/>
    <w:rsid w:val="009623DA"/>
    <w:rsid w:val="00962410"/>
    <w:rsid w:val="009625EC"/>
    <w:rsid w:val="0096265E"/>
    <w:rsid w:val="0096268C"/>
    <w:rsid w:val="00962966"/>
    <w:rsid w:val="00962996"/>
    <w:rsid w:val="00962A61"/>
    <w:rsid w:val="00962C02"/>
    <w:rsid w:val="00962D79"/>
    <w:rsid w:val="00962E5B"/>
    <w:rsid w:val="00963271"/>
    <w:rsid w:val="0096369A"/>
    <w:rsid w:val="009637F8"/>
    <w:rsid w:val="009639AC"/>
    <w:rsid w:val="00963BEE"/>
    <w:rsid w:val="00963DC3"/>
    <w:rsid w:val="00963E2E"/>
    <w:rsid w:val="00963E58"/>
    <w:rsid w:val="00964376"/>
    <w:rsid w:val="00964676"/>
    <w:rsid w:val="009646CA"/>
    <w:rsid w:val="00964709"/>
    <w:rsid w:val="0096470F"/>
    <w:rsid w:val="0096491A"/>
    <w:rsid w:val="00964BF3"/>
    <w:rsid w:val="00964EA1"/>
    <w:rsid w:val="00964F77"/>
    <w:rsid w:val="0096500C"/>
    <w:rsid w:val="009650A6"/>
    <w:rsid w:val="009650D4"/>
    <w:rsid w:val="00965204"/>
    <w:rsid w:val="00965612"/>
    <w:rsid w:val="00965774"/>
    <w:rsid w:val="00965964"/>
    <w:rsid w:val="00965A06"/>
    <w:rsid w:val="00965FEF"/>
    <w:rsid w:val="009660F1"/>
    <w:rsid w:val="0096643D"/>
    <w:rsid w:val="009668E4"/>
    <w:rsid w:val="00966A22"/>
    <w:rsid w:val="00966B13"/>
    <w:rsid w:val="00966CD4"/>
    <w:rsid w:val="00966DCA"/>
    <w:rsid w:val="0096703C"/>
    <w:rsid w:val="009671AA"/>
    <w:rsid w:val="00967A67"/>
    <w:rsid w:val="00967C3D"/>
    <w:rsid w:val="00967FCA"/>
    <w:rsid w:val="009700EC"/>
    <w:rsid w:val="00970228"/>
    <w:rsid w:val="00970273"/>
    <w:rsid w:val="00970279"/>
    <w:rsid w:val="00970300"/>
    <w:rsid w:val="009704D4"/>
    <w:rsid w:val="00970512"/>
    <w:rsid w:val="0097060D"/>
    <w:rsid w:val="009707ED"/>
    <w:rsid w:val="00970847"/>
    <w:rsid w:val="0097112B"/>
    <w:rsid w:val="009711FD"/>
    <w:rsid w:val="0097121B"/>
    <w:rsid w:val="0097125D"/>
    <w:rsid w:val="009714E3"/>
    <w:rsid w:val="00971687"/>
    <w:rsid w:val="009716E9"/>
    <w:rsid w:val="00971C5B"/>
    <w:rsid w:val="00971CC9"/>
    <w:rsid w:val="00971D71"/>
    <w:rsid w:val="0097212B"/>
    <w:rsid w:val="00972561"/>
    <w:rsid w:val="00972667"/>
    <w:rsid w:val="009731A2"/>
    <w:rsid w:val="009731B2"/>
    <w:rsid w:val="009732E9"/>
    <w:rsid w:val="0097330E"/>
    <w:rsid w:val="0097334B"/>
    <w:rsid w:val="009738B6"/>
    <w:rsid w:val="00973B3E"/>
    <w:rsid w:val="00973B9B"/>
    <w:rsid w:val="00973C14"/>
    <w:rsid w:val="00973CFD"/>
    <w:rsid w:val="00973F87"/>
    <w:rsid w:val="0097413A"/>
    <w:rsid w:val="00974485"/>
    <w:rsid w:val="00974544"/>
    <w:rsid w:val="0097487A"/>
    <w:rsid w:val="00974E21"/>
    <w:rsid w:val="00974E35"/>
    <w:rsid w:val="00974FE0"/>
    <w:rsid w:val="00975068"/>
    <w:rsid w:val="00975156"/>
    <w:rsid w:val="00975184"/>
    <w:rsid w:val="009753C6"/>
    <w:rsid w:val="009756FC"/>
    <w:rsid w:val="00975814"/>
    <w:rsid w:val="00975959"/>
    <w:rsid w:val="009759A7"/>
    <w:rsid w:val="00975A5D"/>
    <w:rsid w:val="00975BE4"/>
    <w:rsid w:val="00975D60"/>
    <w:rsid w:val="00975E3B"/>
    <w:rsid w:val="00975E9A"/>
    <w:rsid w:val="00975FDC"/>
    <w:rsid w:val="009761F5"/>
    <w:rsid w:val="009762AD"/>
    <w:rsid w:val="00976383"/>
    <w:rsid w:val="009763C6"/>
    <w:rsid w:val="009764DA"/>
    <w:rsid w:val="009766D8"/>
    <w:rsid w:val="009769FE"/>
    <w:rsid w:val="00976AEA"/>
    <w:rsid w:val="00976E4E"/>
    <w:rsid w:val="0097738A"/>
    <w:rsid w:val="0097747F"/>
    <w:rsid w:val="0097759E"/>
    <w:rsid w:val="009776A4"/>
    <w:rsid w:val="00977A7B"/>
    <w:rsid w:val="00977C84"/>
    <w:rsid w:val="00977F1E"/>
    <w:rsid w:val="00977F30"/>
    <w:rsid w:val="00977F41"/>
    <w:rsid w:val="00980222"/>
    <w:rsid w:val="00980774"/>
    <w:rsid w:val="009809E9"/>
    <w:rsid w:val="00980B0C"/>
    <w:rsid w:val="00980C65"/>
    <w:rsid w:val="00980E5A"/>
    <w:rsid w:val="00981098"/>
    <w:rsid w:val="009810A3"/>
    <w:rsid w:val="00981110"/>
    <w:rsid w:val="0098121D"/>
    <w:rsid w:val="009812DA"/>
    <w:rsid w:val="00981451"/>
    <w:rsid w:val="0098148F"/>
    <w:rsid w:val="00981C4D"/>
    <w:rsid w:val="00981F0E"/>
    <w:rsid w:val="00981FF6"/>
    <w:rsid w:val="00982065"/>
    <w:rsid w:val="00982077"/>
    <w:rsid w:val="009821F7"/>
    <w:rsid w:val="0098282A"/>
    <w:rsid w:val="00982A4F"/>
    <w:rsid w:val="00982AAB"/>
    <w:rsid w:val="0098347B"/>
    <w:rsid w:val="00983A28"/>
    <w:rsid w:val="00983B11"/>
    <w:rsid w:val="00983DCD"/>
    <w:rsid w:val="00983F4B"/>
    <w:rsid w:val="00983FFA"/>
    <w:rsid w:val="0098401F"/>
    <w:rsid w:val="00984F00"/>
    <w:rsid w:val="00984F62"/>
    <w:rsid w:val="009853A7"/>
    <w:rsid w:val="00985608"/>
    <w:rsid w:val="00985619"/>
    <w:rsid w:val="0098577A"/>
    <w:rsid w:val="00985914"/>
    <w:rsid w:val="00985A27"/>
    <w:rsid w:val="00985A85"/>
    <w:rsid w:val="00985D67"/>
    <w:rsid w:val="00985F02"/>
    <w:rsid w:val="00986019"/>
    <w:rsid w:val="009861B9"/>
    <w:rsid w:val="00986451"/>
    <w:rsid w:val="00986A1B"/>
    <w:rsid w:val="00986A58"/>
    <w:rsid w:val="00986B42"/>
    <w:rsid w:val="009870F5"/>
    <w:rsid w:val="0098723B"/>
    <w:rsid w:val="009872FF"/>
    <w:rsid w:val="00987427"/>
    <w:rsid w:val="009876C8"/>
    <w:rsid w:val="0098781D"/>
    <w:rsid w:val="009879FA"/>
    <w:rsid w:val="00987C0C"/>
    <w:rsid w:val="00987C1F"/>
    <w:rsid w:val="00987D6F"/>
    <w:rsid w:val="00990144"/>
    <w:rsid w:val="00990165"/>
    <w:rsid w:val="0099031A"/>
    <w:rsid w:val="00990331"/>
    <w:rsid w:val="009904EF"/>
    <w:rsid w:val="00990577"/>
    <w:rsid w:val="00990845"/>
    <w:rsid w:val="00990AAF"/>
    <w:rsid w:val="00990C3D"/>
    <w:rsid w:val="00990C72"/>
    <w:rsid w:val="00990E04"/>
    <w:rsid w:val="00990E3C"/>
    <w:rsid w:val="00990EFE"/>
    <w:rsid w:val="00991210"/>
    <w:rsid w:val="00991238"/>
    <w:rsid w:val="009914B0"/>
    <w:rsid w:val="0099150C"/>
    <w:rsid w:val="009915CA"/>
    <w:rsid w:val="00991612"/>
    <w:rsid w:val="00991629"/>
    <w:rsid w:val="009919AA"/>
    <w:rsid w:val="00991CDE"/>
    <w:rsid w:val="00991D86"/>
    <w:rsid w:val="0099204E"/>
    <w:rsid w:val="00992238"/>
    <w:rsid w:val="009923C7"/>
    <w:rsid w:val="009923D4"/>
    <w:rsid w:val="009923DA"/>
    <w:rsid w:val="009927E4"/>
    <w:rsid w:val="009928DB"/>
    <w:rsid w:val="00992942"/>
    <w:rsid w:val="00992A4A"/>
    <w:rsid w:val="00992B07"/>
    <w:rsid w:val="00992C17"/>
    <w:rsid w:val="00992C5B"/>
    <w:rsid w:val="00992F39"/>
    <w:rsid w:val="00993320"/>
    <w:rsid w:val="009935A1"/>
    <w:rsid w:val="009936BA"/>
    <w:rsid w:val="009938F6"/>
    <w:rsid w:val="00993AF0"/>
    <w:rsid w:val="00993BD6"/>
    <w:rsid w:val="00993F7D"/>
    <w:rsid w:val="0099412F"/>
    <w:rsid w:val="009946E3"/>
    <w:rsid w:val="009949B4"/>
    <w:rsid w:val="00994BFB"/>
    <w:rsid w:val="00994CDC"/>
    <w:rsid w:val="00994F5C"/>
    <w:rsid w:val="00994F6D"/>
    <w:rsid w:val="00995059"/>
    <w:rsid w:val="0099506D"/>
    <w:rsid w:val="00995568"/>
    <w:rsid w:val="00995696"/>
    <w:rsid w:val="00995895"/>
    <w:rsid w:val="009959AA"/>
    <w:rsid w:val="009959B5"/>
    <w:rsid w:val="00995E57"/>
    <w:rsid w:val="00995F06"/>
    <w:rsid w:val="00995F12"/>
    <w:rsid w:val="0099607E"/>
    <w:rsid w:val="0099611D"/>
    <w:rsid w:val="0099624E"/>
    <w:rsid w:val="00996501"/>
    <w:rsid w:val="00996B3C"/>
    <w:rsid w:val="00996C18"/>
    <w:rsid w:val="00996EDC"/>
    <w:rsid w:val="00997038"/>
    <w:rsid w:val="00997131"/>
    <w:rsid w:val="00997281"/>
    <w:rsid w:val="009974D5"/>
    <w:rsid w:val="0099756E"/>
    <w:rsid w:val="0099770B"/>
    <w:rsid w:val="00997C87"/>
    <w:rsid w:val="00997F67"/>
    <w:rsid w:val="009A000B"/>
    <w:rsid w:val="009A02F7"/>
    <w:rsid w:val="009A0777"/>
    <w:rsid w:val="009A0DC9"/>
    <w:rsid w:val="009A0FD6"/>
    <w:rsid w:val="009A1205"/>
    <w:rsid w:val="009A150B"/>
    <w:rsid w:val="009A15E3"/>
    <w:rsid w:val="009A1621"/>
    <w:rsid w:val="009A1666"/>
    <w:rsid w:val="009A16A9"/>
    <w:rsid w:val="009A1A78"/>
    <w:rsid w:val="009A1B4F"/>
    <w:rsid w:val="009A1CD9"/>
    <w:rsid w:val="009A206B"/>
    <w:rsid w:val="009A222B"/>
    <w:rsid w:val="009A2239"/>
    <w:rsid w:val="009A2335"/>
    <w:rsid w:val="009A292F"/>
    <w:rsid w:val="009A297D"/>
    <w:rsid w:val="009A29AB"/>
    <w:rsid w:val="009A29CA"/>
    <w:rsid w:val="009A2C04"/>
    <w:rsid w:val="009A2C3B"/>
    <w:rsid w:val="009A2F8D"/>
    <w:rsid w:val="009A2FAA"/>
    <w:rsid w:val="009A319F"/>
    <w:rsid w:val="009A3588"/>
    <w:rsid w:val="009A39EC"/>
    <w:rsid w:val="009A3A13"/>
    <w:rsid w:val="009A3FBF"/>
    <w:rsid w:val="009A40D5"/>
    <w:rsid w:val="009A42C7"/>
    <w:rsid w:val="009A4344"/>
    <w:rsid w:val="009A4360"/>
    <w:rsid w:val="009A4435"/>
    <w:rsid w:val="009A4476"/>
    <w:rsid w:val="009A4491"/>
    <w:rsid w:val="009A489F"/>
    <w:rsid w:val="009A4916"/>
    <w:rsid w:val="009A4AA8"/>
    <w:rsid w:val="009A4C14"/>
    <w:rsid w:val="009A4C82"/>
    <w:rsid w:val="009A4C99"/>
    <w:rsid w:val="009A4F80"/>
    <w:rsid w:val="009A4FCC"/>
    <w:rsid w:val="009A4FFF"/>
    <w:rsid w:val="009A52C6"/>
    <w:rsid w:val="009A5432"/>
    <w:rsid w:val="009A543A"/>
    <w:rsid w:val="009A54FE"/>
    <w:rsid w:val="009A56E6"/>
    <w:rsid w:val="009A570F"/>
    <w:rsid w:val="009A5A5C"/>
    <w:rsid w:val="009A5AC3"/>
    <w:rsid w:val="009A5EC2"/>
    <w:rsid w:val="009A5F28"/>
    <w:rsid w:val="009A6161"/>
    <w:rsid w:val="009A6688"/>
    <w:rsid w:val="009A675D"/>
    <w:rsid w:val="009A68E6"/>
    <w:rsid w:val="009A69A1"/>
    <w:rsid w:val="009A6C53"/>
    <w:rsid w:val="009A6D93"/>
    <w:rsid w:val="009A6EFF"/>
    <w:rsid w:val="009A70CB"/>
    <w:rsid w:val="009A7222"/>
    <w:rsid w:val="009A7253"/>
    <w:rsid w:val="009A73B5"/>
    <w:rsid w:val="009A73B9"/>
    <w:rsid w:val="009A7F9C"/>
    <w:rsid w:val="009B0126"/>
    <w:rsid w:val="009B0882"/>
    <w:rsid w:val="009B0D14"/>
    <w:rsid w:val="009B10B2"/>
    <w:rsid w:val="009B10B6"/>
    <w:rsid w:val="009B134A"/>
    <w:rsid w:val="009B1623"/>
    <w:rsid w:val="009B1D87"/>
    <w:rsid w:val="009B1E1D"/>
    <w:rsid w:val="009B1E89"/>
    <w:rsid w:val="009B2051"/>
    <w:rsid w:val="009B2059"/>
    <w:rsid w:val="009B206D"/>
    <w:rsid w:val="009B2445"/>
    <w:rsid w:val="009B277A"/>
    <w:rsid w:val="009B296C"/>
    <w:rsid w:val="009B2BDC"/>
    <w:rsid w:val="009B2C67"/>
    <w:rsid w:val="009B2D3E"/>
    <w:rsid w:val="009B3308"/>
    <w:rsid w:val="009B3340"/>
    <w:rsid w:val="009B3459"/>
    <w:rsid w:val="009B3902"/>
    <w:rsid w:val="009B3AA5"/>
    <w:rsid w:val="009B3DF3"/>
    <w:rsid w:val="009B43A3"/>
    <w:rsid w:val="009B4A57"/>
    <w:rsid w:val="009B4BB5"/>
    <w:rsid w:val="009B4DB8"/>
    <w:rsid w:val="009B5057"/>
    <w:rsid w:val="009B5264"/>
    <w:rsid w:val="009B5369"/>
    <w:rsid w:val="009B53E2"/>
    <w:rsid w:val="009B54F1"/>
    <w:rsid w:val="009B556B"/>
    <w:rsid w:val="009B588E"/>
    <w:rsid w:val="009B596E"/>
    <w:rsid w:val="009B5BC1"/>
    <w:rsid w:val="009B6144"/>
    <w:rsid w:val="009B61ED"/>
    <w:rsid w:val="009B6254"/>
    <w:rsid w:val="009B62C7"/>
    <w:rsid w:val="009B6344"/>
    <w:rsid w:val="009B63F6"/>
    <w:rsid w:val="009B64B2"/>
    <w:rsid w:val="009B6527"/>
    <w:rsid w:val="009B66E1"/>
    <w:rsid w:val="009B6756"/>
    <w:rsid w:val="009B6B98"/>
    <w:rsid w:val="009B6C89"/>
    <w:rsid w:val="009B6D4A"/>
    <w:rsid w:val="009B6F6F"/>
    <w:rsid w:val="009B704D"/>
    <w:rsid w:val="009B7061"/>
    <w:rsid w:val="009B7135"/>
    <w:rsid w:val="009B73C3"/>
    <w:rsid w:val="009B76EF"/>
    <w:rsid w:val="009C0032"/>
    <w:rsid w:val="009C0122"/>
    <w:rsid w:val="009C016E"/>
    <w:rsid w:val="009C0323"/>
    <w:rsid w:val="009C03FE"/>
    <w:rsid w:val="009C041E"/>
    <w:rsid w:val="009C04B6"/>
    <w:rsid w:val="009C0689"/>
    <w:rsid w:val="009C073A"/>
    <w:rsid w:val="009C077C"/>
    <w:rsid w:val="009C0B90"/>
    <w:rsid w:val="009C0C44"/>
    <w:rsid w:val="009C0FA1"/>
    <w:rsid w:val="009C12AE"/>
    <w:rsid w:val="009C12C7"/>
    <w:rsid w:val="009C1462"/>
    <w:rsid w:val="009C14FC"/>
    <w:rsid w:val="009C17CE"/>
    <w:rsid w:val="009C18AC"/>
    <w:rsid w:val="009C1AFB"/>
    <w:rsid w:val="009C1BD6"/>
    <w:rsid w:val="009C1C68"/>
    <w:rsid w:val="009C1D41"/>
    <w:rsid w:val="009C1FD9"/>
    <w:rsid w:val="009C2204"/>
    <w:rsid w:val="009C2250"/>
    <w:rsid w:val="009C2398"/>
    <w:rsid w:val="009C25A4"/>
    <w:rsid w:val="009C2A9F"/>
    <w:rsid w:val="009C3146"/>
    <w:rsid w:val="009C348B"/>
    <w:rsid w:val="009C3537"/>
    <w:rsid w:val="009C359E"/>
    <w:rsid w:val="009C3AC0"/>
    <w:rsid w:val="009C3D78"/>
    <w:rsid w:val="009C3E70"/>
    <w:rsid w:val="009C3E96"/>
    <w:rsid w:val="009C402A"/>
    <w:rsid w:val="009C422F"/>
    <w:rsid w:val="009C43A4"/>
    <w:rsid w:val="009C4737"/>
    <w:rsid w:val="009C4760"/>
    <w:rsid w:val="009C484E"/>
    <w:rsid w:val="009C4D99"/>
    <w:rsid w:val="009C4F9B"/>
    <w:rsid w:val="009C50B2"/>
    <w:rsid w:val="009C50E8"/>
    <w:rsid w:val="009C539A"/>
    <w:rsid w:val="009C5434"/>
    <w:rsid w:val="009C5557"/>
    <w:rsid w:val="009C5710"/>
    <w:rsid w:val="009C5804"/>
    <w:rsid w:val="009C5987"/>
    <w:rsid w:val="009C5AC9"/>
    <w:rsid w:val="009C5AE4"/>
    <w:rsid w:val="009C5B25"/>
    <w:rsid w:val="009C5D44"/>
    <w:rsid w:val="009C5EDF"/>
    <w:rsid w:val="009C6270"/>
    <w:rsid w:val="009C6333"/>
    <w:rsid w:val="009C635B"/>
    <w:rsid w:val="009C647A"/>
    <w:rsid w:val="009C65C1"/>
    <w:rsid w:val="009C6696"/>
    <w:rsid w:val="009C66C2"/>
    <w:rsid w:val="009C6827"/>
    <w:rsid w:val="009C68E0"/>
    <w:rsid w:val="009C6A91"/>
    <w:rsid w:val="009C6BC4"/>
    <w:rsid w:val="009C6BDF"/>
    <w:rsid w:val="009C6C6B"/>
    <w:rsid w:val="009C6DBB"/>
    <w:rsid w:val="009C6F49"/>
    <w:rsid w:val="009C702A"/>
    <w:rsid w:val="009C7059"/>
    <w:rsid w:val="009C7100"/>
    <w:rsid w:val="009C719D"/>
    <w:rsid w:val="009C7426"/>
    <w:rsid w:val="009C753D"/>
    <w:rsid w:val="009C760F"/>
    <w:rsid w:val="009C7C28"/>
    <w:rsid w:val="009D039C"/>
    <w:rsid w:val="009D0818"/>
    <w:rsid w:val="009D097F"/>
    <w:rsid w:val="009D09F7"/>
    <w:rsid w:val="009D0BB8"/>
    <w:rsid w:val="009D0F1A"/>
    <w:rsid w:val="009D102D"/>
    <w:rsid w:val="009D11AD"/>
    <w:rsid w:val="009D13A7"/>
    <w:rsid w:val="009D13D5"/>
    <w:rsid w:val="009D1631"/>
    <w:rsid w:val="009D1A06"/>
    <w:rsid w:val="009D1C17"/>
    <w:rsid w:val="009D1F8A"/>
    <w:rsid w:val="009D219F"/>
    <w:rsid w:val="009D2227"/>
    <w:rsid w:val="009D2274"/>
    <w:rsid w:val="009D235E"/>
    <w:rsid w:val="009D2414"/>
    <w:rsid w:val="009D28C5"/>
    <w:rsid w:val="009D292F"/>
    <w:rsid w:val="009D2A2B"/>
    <w:rsid w:val="009D2D75"/>
    <w:rsid w:val="009D3139"/>
    <w:rsid w:val="009D320D"/>
    <w:rsid w:val="009D35F0"/>
    <w:rsid w:val="009D361A"/>
    <w:rsid w:val="009D3980"/>
    <w:rsid w:val="009D3D4B"/>
    <w:rsid w:val="009D3DB0"/>
    <w:rsid w:val="009D4022"/>
    <w:rsid w:val="009D40D9"/>
    <w:rsid w:val="009D4398"/>
    <w:rsid w:val="009D4432"/>
    <w:rsid w:val="009D443A"/>
    <w:rsid w:val="009D450C"/>
    <w:rsid w:val="009D4611"/>
    <w:rsid w:val="009D4704"/>
    <w:rsid w:val="009D49F2"/>
    <w:rsid w:val="009D4BA8"/>
    <w:rsid w:val="009D4D1E"/>
    <w:rsid w:val="009D5303"/>
    <w:rsid w:val="009D5521"/>
    <w:rsid w:val="009D5C10"/>
    <w:rsid w:val="009D5CD5"/>
    <w:rsid w:val="009D5FA8"/>
    <w:rsid w:val="009D605B"/>
    <w:rsid w:val="009D60BD"/>
    <w:rsid w:val="009D61F7"/>
    <w:rsid w:val="009D622F"/>
    <w:rsid w:val="009D6259"/>
    <w:rsid w:val="009D62D8"/>
    <w:rsid w:val="009D655F"/>
    <w:rsid w:val="009D67AD"/>
    <w:rsid w:val="009D69F3"/>
    <w:rsid w:val="009D6BB7"/>
    <w:rsid w:val="009D6C45"/>
    <w:rsid w:val="009D6C70"/>
    <w:rsid w:val="009D6CB9"/>
    <w:rsid w:val="009D6FAE"/>
    <w:rsid w:val="009D6FD6"/>
    <w:rsid w:val="009D700F"/>
    <w:rsid w:val="009D705A"/>
    <w:rsid w:val="009D714C"/>
    <w:rsid w:val="009D7252"/>
    <w:rsid w:val="009D74D3"/>
    <w:rsid w:val="009D7612"/>
    <w:rsid w:val="009D7724"/>
    <w:rsid w:val="009D77CD"/>
    <w:rsid w:val="009D79C9"/>
    <w:rsid w:val="009D7D99"/>
    <w:rsid w:val="009D7D9E"/>
    <w:rsid w:val="009E0337"/>
    <w:rsid w:val="009E0501"/>
    <w:rsid w:val="009E0541"/>
    <w:rsid w:val="009E05D1"/>
    <w:rsid w:val="009E05E8"/>
    <w:rsid w:val="009E0D39"/>
    <w:rsid w:val="009E0E19"/>
    <w:rsid w:val="009E0F19"/>
    <w:rsid w:val="009E16E5"/>
    <w:rsid w:val="009E1727"/>
    <w:rsid w:val="009E17F0"/>
    <w:rsid w:val="009E1824"/>
    <w:rsid w:val="009E1A4E"/>
    <w:rsid w:val="009E1C23"/>
    <w:rsid w:val="009E1E8A"/>
    <w:rsid w:val="009E226B"/>
    <w:rsid w:val="009E22A2"/>
    <w:rsid w:val="009E248E"/>
    <w:rsid w:val="009E2699"/>
    <w:rsid w:val="009E294E"/>
    <w:rsid w:val="009E2971"/>
    <w:rsid w:val="009E2C41"/>
    <w:rsid w:val="009E2E58"/>
    <w:rsid w:val="009E2F72"/>
    <w:rsid w:val="009E351B"/>
    <w:rsid w:val="009E3955"/>
    <w:rsid w:val="009E3D08"/>
    <w:rsid w:val="009E3EEF"/>
    <w:rsid w:val="009E4063"/>
    <w:rsid w:val="009E41F5"/>
    <w:rsid w:val="009E429D"/>
    <w:rsid w:val="009E46C7"/>
    <w:rsid w:val="009E471B"/>
    <w:rsid w:val="009E47EC"/>
    <w:rsid w:val="009E48BC"/>
    <w:rsid w:val="009E4A5E"/>
    <w:rsid w:val="009E4DDD"/>
    <w:rsid w:val="009E5006"/>
    <w:rsid w:val="009E51B1"/>
    <w:rsid w:val="009E5211"/>
    <w:rsid w:val="009E5268"/>
    <w:rsid w:val="009E5281"/>
    <w:rsid w:val="009E529A"/>
    <w:rsid w:val="009E52DA"/>
    <w:rsid w:val="009E539E"/>
    <w:rsid w:val="009E55CE"/>
    <w:rsid w:val="009E56C6"/>
    <w:rsid w:val="009E577D"/>
    <w:rsid w:val="009E58D5"/>
    <w:rsid w:val="009E5B49"/>
    <w:rsid w:val="009E5E58"/>
    <w:rsid w:val="009E5FB2"/>
    <w:rsid w:val="009E602C"/>
    <w:rsid w:val="009E61B8"/>
    <w:rsid w:val="009E61EB"/>
    <w:rsid w:val="009E6759"/>
    <w:rsid w:val="009E6C43"/>
    <w:rsid w:val="009E6C55"/>
    <w:rsid w:val="009E6D47"/>
    <w:rsid w:val="009E6E1E"/>
    <w:rsid w:val="009E72CA"/>
    <w:rsid w:val="009E7723"/>
    <w:rsid w:val="009E783B"/>
    <w:rsid w:val="009E7B69"/>
    <w:rsid w:val="009E7BF7"/>
    <w:rsid w:val="009E7EA0"/>
    <w:rsid w:val="009E7FA8"/>
    <w:rsid w:val="009F0074"/>
    <w:rsid w:val="009F01CD"/>
    <w:rsid w:val="009F0549"/>
    <w:rsid w:val="009F0627"/>
    <w:rsid w:val="009F0744"/>
    <w:rsid w:val="009F0777"/>
    <w:rsid w:val="009F07BB"/>
    <w:rsid w:val="009F0E27"/>
    <w:rsid w:val="009F116B"/>
    <w:rsid w:val="009F1697"/>
    <w:rsid w:val="009F1813"/>
    <w:rsid w:val="009F1884"/>
    <w:rsid w:val="009F18C9"/>
    <w:rsid w:val="009F1A82"/>
    <w:rsid w:val="009F1B13"/>
    <w:rsid w:val="009F1B6A"/>
    <w:rsid w:val="009F1BF7"/>
    <w:rsid w:val="009F1C24"/>
    <w:rsid w:val="009F214C"/>
    <w:rsid w:val="009F22E9"/>
    <w:rsid w:val="009F26AD"/>
    <w:rsid w:val="009F28BB"/>
    <w:rsid w:val="009F2AE3"/>
    <w:rsid w:val="009F2DB4"/>
    <w:rsid w:val="009F2FEF"/>
    <w:rsid w:val="009F3064"/>
    <w:rsid w:val="009F3457"/>
    <w:rsid w:val="009F3D23"/>
    <w:rsid w:val="009F3E15"/>
    <w:rsid w:val="009F3EF0"/>
    <w:rsid w:val="009F4076"/>
    <w:rsid w:val="009F4237"/>
    <w:rsid w:val="009F423D"/>
    <w:rsid w:val="009F43BD"/>
    <w:rsid w:val="009F44EB"/>
    <w:rsid w:val="009F462D"/>
    <w:rsid w:val="009F4631"/>
    <w:rsid w:val="009F464B"/>
    <w:rsid w:val="009F4777"/>
    <w:rsid w:val="009F49C5"/>
    <w:rsid w:val="009F4CAB"/>
    <w:rsid w:val="009F4E49"/>
    <w:rsid w:val="009F4F72"/>
    <w:rsid w:val="009F5049"/>
    <w:rsid w:val="009F51FD"/>
    <w:rsid w:val="009F5489"/>
    <w:rsid w:val="009F5519"/>
    <w:rsid w:val="009F5650"/>
    <w:rsid w:val="009F5831"/>
    <w:rsid w:val="009F58B2"/>
    <w:rsid w:val="009F5C28"/>
    <w:rsid w:val="009F5C5B"/>
    <w:rsid w:val="009F5D86"/>
    <w:rsid w:val="009F5F57"/>
    <w:rsid w:val="009F6142"/>
    <w:rsid w:val="009F63CA"/>
    <w:rsid w:val="009F6453"/>
    <w:rsid w:val="009F65FC"/>
    <w:rsid w:val="009F689E"/>
    <w:rsid w:val="009F6AAF"/>
    <w:rsid w:val="009F6AB1"/>
    <w:rsid w:val="009F6AF7"/>
    <w:rsid w:val="009F6D32"/>
    <w:rsid w:val="009F6D76"/>
    <w:rsid w:val="009F718C"/>
    <w:rsid w:val="009F71C1"/>
    <w:rsid w:val="009F744E"/>
    <w:rsid w:val="009F7507"/>
    <w:rsid w:val="009F7614"/>
    <w:rsid w:val="009F7652"/>
    <w:rsid w:val="009F77D9"/>
    <w:rsid w:val="009F7AAE"/>
    <w:rsid w:val="009F7C75"/>
    <w:rsid w:val="009F7CB9"/>
    <w:rsid w:val="009F7CD0"/>
    <w:rsid w:val="009F7EC5"/>
    <w:rsid w:val="009F7FC0"/>
    <w:rsid w:val="00A0002E"/>
    <w:rsid w:val="00A00153"/>
    <w:rsid w:val="00A001F0"/>
    <w:rsid w:val="00A001FE"/>
    <w:rsid w:val="00A002E1"/>
    <w:rsid w:val="00A002E2"/>
    <w:rsid w:val="00A003A7"/>
    <w:rsid w:val="00A004DE"/>
    <w:rsid w:val="00A0055A"/>
    <w:rsid w:val="00A00574"/>
    <w:rsid w:val="00A005D1"/>
    <w:rsid w:val="00A008DE"/>
    <w:rsid w:val="00A01073"/>
    <w:rsid w:val="00A0113B"/>
    <w:rsid w:val="00A011D7"/>
    <w:rsid w:val="00A0144A"/>
    <w:rsid w:val="00A01522"/>
    <w:rsid w:val="00A01859"/>
    <w:rsid w:val="00A018AF"/>
    <w:rsid w:val="00A018D8"/>
    <w:rsid w:val="00A019F4"/>
    <w:rsid w:val="00A01B4E"/>
    <w:rsid w:val="00A01CC9"/>
    <w:rsid w:val="00A0206D"/>
    <w:rsid w:val="00A0209E"/>
    <w:rsid w:val="00A022C1"/>
    <w:rsid w:val="00A023F9"/>
    <w:rsid w:val="00A025E8"/>
    <w:rsid w:val="00A02602"/>
    <w:rsid w:val="00A02990"/>
    <w:rsid w:val="00A029D8"/>
    <w:rsid w:val="00A02A52"/>
    <w:rsid w:val="00A02BF4"/>
    <w:rsid w:val="00A02D3A"/>
    <w:rsid w:val="00A033DB"/>
    <w:rsid w:val="00A034C9"/>
    <w:rsid w:val="00A03602"/>
    <w:rsid w:val="00A03645"/>
    <w:rsid w:val="00A03B2F"/>
    <w:rsid w:val="00A03DF2"/>
    <w:rsid w:val="00A03E51"/>
    <w:rsid w:val="00A041DA"/>
    <w:rsid w:val="00A04221"/>
    <w:rsid w:val="00A04264"/>
    <w:rsid w:val="00A04350"/>
    <w:rsid w:val="00A04757"/>
    <w:rsid w:val="00A049E8"/>
    <w:rsid w:val="00A054A7"/>
    <w:rsid w:val="00A059EB"/>
    <w:rsid w:val="00A05AFD"/>
    <w:rsid w:val="00A05FAF"/>
    <w:rsid w:val="00A06334"/>
    <w:rsid w:val="00A0641D"/>
    <w:rsid w:val="00A06666"/>
    <w:rsid w:val="00A06763"/>
    <w:rsid w:val="00A06AC9"/>
    <w:rsid w:val="00A06F3E"/>
    <w:rsid w:val="00A073EB"/>
    <w:rsid w:val="00A074C9"/>
    <w:rsid w:val="00A074FF"/>
    <w:rsid w:val="00A07766"/>
    <w:rsid w:val="00A077A3"/>
    <w:rsid w:val="00A07A9A"/>
    <w:rsid w:val="00A100AB"/>
    <w:rsid w:val="00A101A0"/>
    <w:rsid w:val="00A102A4"/>
    <w:rsid w:val="00A103FC"/>
    <w:rsid w:val="00A103FF"/>
    <w:rsid w:val="00A10499"/>
    <w:rsid w:val="00A104F2"/>
    <w:rsid w:val="00A109FA"/>
    <w:rsid w:val="00A10A4F"/>
    <w:rsid w:val="00A10C32"/>
    <w:rsid w:val="00A11A09"/>
    <w:rsid w:val="00A11A61"/>
    <w:rsid w:val="00A11AB9"/>
    <w:rsid w:val="00A122DC"/>
    <w:rsid w:val="00A1252B"/>
    <w:rsid w:val="00A1271D"/>
    <w:rsid w:val="00A127E4"/>
    <w:rsid w:val="00A129F3"/>
    <w:rsid w:val="00A12CBE"/>
    <w:rsid w:val="00A12CCE"/>
    <w:rsid w:val="00A12F11"/>
    <w:rsid w:val="00A1301D"/>
    <w:rsid w:val="00A132D4"/>
    <w:rsid w:val="00A133CE"/>
    <w:rsid w:val="00A13536"/>
    <w:rsid w:val="00A136D9"/>
    <w:rsid w:val="00A13BC5"/>
    <w:rsid w:val="00A13D5C"/>
    <w:rsid w:val="00A13D6A"/>
    <w:rsid w:val="00A1405D"/>
    <w:rsid w:val="00A141BD"/>
    <w:rsid w:val="00A141C2"/>
    <w:rsid w:val="00A145BD"/>
    <w:rsid w:val="00A146AC"/>
    <w:rsid w:val="00A14AA3"/>
    <w:rsid w:val="00A14ACF"/>
    <w:rsid w:val="00A14FBB"/>
    <w:rsid w:val="00A14FFF"/>
    <w:rsid w:val="00A15325"/>
    <w:rsid w:val="00A158C1"/>
    <w:rsid w:val="00A1597F"/>
    <w:rsid w:val="00A15B4A"/>
    <w:rsid w:val="00A15D29"/>
    <w:rsid w:val="00A15E84"/>
    <w:rsid w:val="00A16073"/>
    <w:rsid w:val="00A160F7"/>
    <w:rsid w:val="00A16233"/>
    <w:rsid w:val="00A1638F"/>
    <w:rsid w:val="00A164E0"/>
    <w:rsid w:val="00A16A25"/>
    <w:rsid w:val="00A16BC0"/>
    <w:rsid w:val="00A16C9A"/>
    <w:rsid w:val="00A16EC0"/>
    <w:rsid w:val="00A16ECB"/>
    <w:rsid w:val="00A17048"/>
    <w:rsid w:val="00A17051"/>
    <w:rsid w:val="00A17411"/>
    <w:rsid w:val="00A1764B"/>
    <w:rsid w:val="00A177D6"/>
    <w:rsid w:val="00A177D7"/>
    <w:rsid w:val="00A179D0"/>
    <w:rsid w:val="00A17BDA"/>
    <w:rsid w:val="00A17EB6"/>
    <w:rsid w:val="00A2023C"/>
    <w:rsid w:val="00A20722"/>
    <w:rsid w:val="00A2091B"/>
    <w:rsid w:val="00A20948"/>
    <w:rsid w:val="00A209C9"/>
    <w:rsid w:val="00A209FD"/>
    <w:rsid w:val="00A20A86"/>
    <w:rsid w:val="00A20E0B"/>
    <w:rsid w:val="00A20FFB"/>
    <w:rsid w:val="00A21299"/>
    <w:rsid w:val="00A21318"/>
    <w:rsid w:val="00A216DB"/>
    <w:rsid w:val="00A21721"/>
    <w:rsid w:val="00A21944"/>
    <w:rsid w:val="00A21D44"/>
    <w:rsid w:val="00A21F83"/>
    <w:rsid w:val="00A222B7"/>
    <w:rsid w:val="00A2233F"/>
    <w:rsid w:val="00A22371"/>
    <w:rsid w:val="00A223CB"/>
    <w:rsid w:val="00A2248C"/>
    <w:rsid w:val="00A226CA"/>
    <w:rsid w:val="00A22D42"/>
    <w:rsid w:val="00A22DE1"/>
    <w:rsid w:val="00A23233"/>
    <w:rsid w:val="00A238AE"/>
    <w:rsid w:val="00A23A8B"/>
    <w:rsid w:val="00A23B98"/>
    <w:rsid w:val="00A23BA6"/>
    <w:rsid w:val="00A23E2A"/>
    <w:rsid w:val="00A23E71"/>
    <w:rsid w:val="00A24212"/>
    <w:rsid w:val="00A24753"/>
    <w:rsid w:val="00A247CC"/>
    <w:rsid w:val="00A248B3"/>
    <w:rsid w:val="00A2490A"/>
    <w:rsid w:val="00A2497F"/>
    <w:rsid w:val="00A249C5"/>
    <w:rsid w:val="00A24BB7"/>
    <w:rsid w:val="00A24C37"/>
    <w:rsid w:val="00A24CBA"/>
    <w:rsid w:val="00A24CC8"/>
    <w:rsid w:val="00A25034"/>
    <w:rsid w:val="00A25085"/>
    <w:rsid w:val="00A250F2"/>
    <w:rsid w:val="00A251AA"/>
    <w:rsid w:val="00A2523F"/>
    <w:rsid w:val="00A252F6"/>
    <w:rsid w:val="00A2560B"/>
    <w:rsid w:val="00A2561A"/>
    <w:rsid w:val="00A2575A"/>
    <w:rsid w:val="00A257A4"/>
    <w:rsid w:val="00A2583E"/>
    <w:rsid w:val="00A258B6"/>
    <w:rsid w:val="00A25953"/>
    <w:rsid w:val="00A25C48"/>
    <w:rsid w:val="00A25C98"/>
    <w:rsid w:val="00A25D30"/>
    <w:rsid w:val="00A25F4D"/>
    <w:rsid w:val="00A25F56"/>
    <w:rsid w:val="00A2618A"/>
    <w:rsid w:val="00A2662B"/>
    <w:rsid w:val="00A2675B"/>
    <w:rsid w:val="00A267B3"/>
    <w:rsid w:val="00A268F8"/>
    <w:rsid w:val="00A26B7A"/>
    <w:rsid w:val="00A26C8E"/>
    <w:rsid w:val="00A26D73"/>
    <w:rsid w:val="00A26DCE"/>
    <w:rsid w:val="00A26FC2"/>
    <w:rsid w:val="00A27537"/>
    <w:rsid w:val="00A27619"/>
    <w:rsid w:val="00A276C4"/>
    <w:rsid w:val="00A279E0"/>
    <w:rsid w:val="00A27D30"/>
    <w:rsid w:val="00A27D3A"/>
    <w:rsid w:val="00A3015D"/>
    <w:rsid w:val="00A30221"/>
    <w:rsid w:val="00A3038E"/>
    <w:rsid w:val="00A303F1"/>
    <w:rsid w:val="00A3040B"/>
    <w:rsid w:val="00A30617"/>
    <w:rsid w:val="00A306D7"/>
    <w:rsid w:val="00A308B5"/>
    <w:rsid w:val="00A309E6"/>
    <w:rsid w:val="00A30A56"/>
    <w:rsid w:val="00A30BD2"/>
    <w:rsid w:val="00A30EF5"/>
    <w:rsid w:val="00A3134C"/>
    <w:rsid w:val="00A31385"/>
    <w:rsid w:val="00A3139F"/>
    <w:rsid w:val="00A31550"/>
    <w:rsid w:val="00A315B1"/>
    <w:rsid w:val="00A31601"/>
    <w:rsid w:val="00A31813"/>
    <w:rsid w:val="00A318E9"/>
    <w:rsid w:val="00A318FB"/>
    <w:rsid w:val="00A31CD5"/>
    <w:rsid w:val="00A31D41"/>
    <w:rsid w:val="00A31E47"/>
    <w:rsid w:val="00A31F6A"/>
    <w:rsid w:val="00A3211E"/>
    <w:rsid w:val="00A3215E"/>
    <w:rsid w:val="00A322D8"/>
    <w:rsid w:val="00A3232C"/>
    <w:rsid w:val="00A32526"/>
    <w:rsid w:val="00A32536"/>
    <w:rsid w:val="00A325A7"/>
    <w:rsid w:val="00A3286A"/>
    <w:rsid w:val="00A3287D"/>
    <w:rsid w:val="00A32A6D"/>
    <w:rsid w:val="00A32D70"/>
    <w:rsid w:val="00A32FB1"/>
    <w:rsid w:val="00A33164"/>
    <w:rsid w:val="00A333CD"/>
    <w:rsid w:val="00A334D6"/>
    <w:rsid w:val="00A335F8"/>
    <w:rsid w:val="00A33733"/>
    <w:rsid w:val="00A33771"/>
    <w:rsid w:val="00A339A9"/>
    <w:rsid w:val="00A33C6F"/>
    <w:rsid w:val="00A33E93"/>
    <w:rsid w:val="00A340A2"/>
    <w:rsid w:val="00A340C6"/>
    <w:rsid w:val="00A344EF"/>
    <w:rsid w:val="00A34604"/>
    <w:rsid w:val="00A34695"/>
    <w:rsid w:val="00A34793"/>
    <w:rsid w:val="00A348A5"/>
    <w:rsid w:val="00A34A07"/>
    <w:rsid w:val="00A34A30"/>
    <w:rsid w:val="00A34A61"/>
    <w:rsid w:val="00A34A63"/>
    <w:rsid w:val="00A34C89"/>
    <w:rsid w:val="00A34E3B"/>
    <w:rsid w:val="00A34F09"/>
    <w:rsid w:val="00A34F56"/>
    <w:rsid w:val="00A352B9"/>
    <w:rsid w:val="00A352F1"/>
    <w:rsid w:val="00A3549F"/>
    <w:rsid w:val="00A354E7"/>
    <w:rsid w:val="00A3553A"/>
    <w:rsid w:val="00A35999"/>
    <w:rsid w:val="00A35BBA"/>
    <w:rsid w:val="00A35FA1"/>
    <w:rsid w:val="00A35FA2"/>
    <w:rsid w:val="00A363BB"/>
    <w:rsid w:val="00A3681A"/>
    <w:rsid w:val="00A36BAE"/>
    <w:rsid w:val="00A36E0E"/>
    <w:rsid w:val="00A37225"/>
    <w:rsid w:val="00A37455"/>
    <w:rsid w:val="00A37484"/>
    <w:rsid w:val="00A37530"/>
    <w:rsid w:val="00A37550"/>
    <w:rsid w:val="00A37631"/>
    <w:rsid w:val="00A3770F"/>
    <w:rsid w:val="00A377EB"/>
    <w:rsid w:val="00A37829"/>
    <w:rsid w:val="00A378A2"/>
    <w:rsid w:val="00A37CA1"/>
    <w:rsid w:val="00A37F0A"/>
    <w:rsid w:val="00A37F26"/>
    <w:rsid w:val="00A40457"/>
    <w:rsid w:val="00A4070A"/>
    <w:rsid w:val="00A407CE"/>
    <w:rsid w:val="00A40921"/>
    <w:rsid w:val="00A40A52"/>
    <w:rsid w:val="00A40A67"/>
    <w:rsid w:val="00A40C4A"/>
    <w:rsid w:val="00A40D49"/>
    <w:rsid w:val="00A41099"/>
    <w:rsid w:val="00A4162D"/>
    <w:rsid w:val="00A417A0"/>
    <w:rsid w:val="00A4180B"/>
    <w:rsid w:val="00A419CD"/>
    <w:rsid w:val="00A41AF7"/>
    <w:rsid w:val="00A41DBD"/>
    <w:rsid w:val="00A42022"/>
    <w:rsid w:val="00A42113"/>
    <w:rsid w:val="00A42123"/>
    <w:rsid w:val="00A421DC"/>
    <w:rsid w:val="00A42258"/>
    <w:rsid w:val="00A423AD"/>
    <w:rsid w:val="00A427D2"/>
    <w:rsid w:val="00A428EB"/>
    <w:rsid w:val="00A430A1"/>
    <w:rsid w:val="00A431C1"/>
    <w:rsid w:val="00A43225"/>
    <w:rsid w:val="00A439CC"/>
    <w:rsid w:val="00A43B1E"/>
    <w:rsid w:val="00A43C7C"/>
    <w:rsid w:val="00A43FDD"/>
    <w:rsid w:val="00A4425F"/>
    <w:rsid w:val="00A445B2"/>
    <w:rsid w:val="00A4466D"/>
    <w:rsid w:val="00A44761"/>
    <w:rsid w:val="00A44772"/>
    <w:rsid w:val="00A449B7"/>
    <w:rsid w:val="00A44B7F"/>
    <w:rsid w:val="00A44CA8"/>
    <w:rsid w:val="00A44CAB"/>
    <w:rsid w:val="00A44E8D"/>
    <w:rsid w:val="00A450F5"/>
    <w:rsid w:val="00A451EB"/>
    <w:rsid w:val="00A451EF"/>
    <w:rsid w:val="00A452EB"/>
    <w:rsid w:val="00A45424"/>
    <w:rsid w:val="00A45436"/>
    <w:rsid w:val="00A45457"/>
    <w:rsid w:val="00A45627"/>
    <w:rsid w:val="00A456C8"/>
    <w:rsid w:val="00A457C7"/>
    <w:rsid w:val="00A458CA"/>
    <w:rsid w:val="00A45E0F"/>
    <w:rsid w:val="00A460E7"/>
    <w:rsid w:val="00A460FE"/>
    <w:rsid w:val="00A4610A"/>
    <w:rsid w:val="00A46141"/>
    <w:rsid w:val="00A4629F"/>
    <w:rsid w:val="00A46568"/>
    <w:rsid w:val="00A465B7"/>
    <w:rsid w:val="00A468DF"/>
    <w:rsid w:val="00A468E7"/>
    <w:rsid w:val="00A46904"/>
    <w:rsid w:val="00A4690A"/>
    <w:rsid w:val="00A469BA"/>
    <w:rsid w:val="00A46A87"/>
    <w:rsid w:val="00A46E43"/>
    <w:rsid w:val="00A46EE7"/>
    <w:rsid w:val="00A46F19"/>
    <w:rsid w:val="00A471BB"/>
    <w:rsid w:val="00A4740B"/>
    <w:rsid w:val="00A4761E"/>
    <w:rsid w:val="00A47760"/>
    <w:rsid w:val="00A478BA"/>
    <w:rsid w:val="00A501AC"/>
    <w:rsid w:val="00A5024E"/>
    <w:rsid w:val="00A503AC"/>
    <w:rsid w:val="00A5069A"/>
    <w:rsid w:val="00A507A8"/>
    <w:rsid w:val="00A50C88"/>
    <w:rsid w:val="00A50F96"/>
    <w:rsid w:val="00A510A9"/>
    <w:rsid w:val="00A51217"/>
    <w:rsid w:val="00A51305"/>
    <w:rsid w:val="00A51436"/>
    <w:rsid w:val="00A514AD"/>
    <w:rsid w:val="00A515DE"/>
    <w:rsid w:val="00A51866"/>
    <w:rsid w:val="00A518FD"/>
    <w:rsid w:val="00A51B80"/>
    <w:rsid w:val="00A51C46"/>
    <w:rsid w:val="00A51CA6"/>
    <w:rsid w:val="00A51F0A"/>
    <w:rsid w:val="00A51F62"/>
    <w:rsid w:val="00A52263"/>
    <w:rsid w:val="00A522A6"/>
    <w:rsid w:val="00A5250A"/>
    <w:rsid w:val="00A52D18"/>
    <w:rsid w:val="00A52E09"/>
    <w:rsid w:val="00A5310F"/>
    <w:rsid w:val="00A53397"/>
    <w:rsid w:val="00A53742"/>
    <w:rsid w:val="00A538F5"/>
    <w:rsid w:val="00A53BC3"/>
    <w:rsid w:val="00A53BCD"/>
    <w:rsid w:val="00A53CF3"/>
    <w:rsid w:val="00A53D9D"/>
    <w:rsid w:val="00A53E0A"/>
    <w:rsid w:val="00A53FA1"/>
    <w:rsid w:val="00A5480D"/>
    <w:rsid w:val="00A548D1"/>
    <w:rsid w:val="00A54EAE"/>
    <w:rsid w:val="00A55057"/>
    <w:rsid w:val="00A55194"/>
    <w:rsid w:val="00A551BA"/>
    <w:rsid w:val="00A55216"/>
    <w:rsid w:val="00A5522C"/>
    <w:rsid w:val="00A552AA"/>
    <w:rsid w:val="00A553D7"/>
    <w:rsid w:val="00A55425"/>
    <w:rsid w:val="00A55639"/>
    <w:rsid w:val="00A557CA"/>
    <w:rsid w:val="00A557E2"/>
    <w:rsid w:val="00A558F8"/>
    <w:rsid w:val="00A55AE4"/>
    <w:rsid w:val="00A55CE9"/>
    <w:rsid w:val="00A55DC4"/>
    <w:rsid w:val="00A55E6C"/>
    <w:rsid w:val="00A560FB"/>
    <w:rsid w:val="00A5627F"/>
    <w:rsid w:val="00A562E1"/>
    <w:rsid w:val="00A56526"/>
    <w:rsid w:val="00A565C5"/>
    <w:rsid w:val="00A5676D"/>
    <w:rsid w:val="00A56803"/>
    <w:rsid w:val="00A56D45"/>
    <w:rsid w:val="00A56E8F"/>
    <w:rsid w:val="00A574DF"/>
    <w:rsid w:val="00A57721"/>
    <w:rsid w:val="00A57EF1"/>
    <w:rsid w:val="00A6048B"/>
    <w:rsid w:val="00A60491"/>
    <w:rsid w:val="00A607EC"/>
    <w:rsid w:val="00A609DB"/>
    <w:rsid w:val="00A60B53"/>
    <w:rsid w:val="00A60CE7"/>
    <w:rsid w:val="00A61199"/>
    <w:rsid w:val="00A6121E"/>
    <w:rsid w:val="00A61248"/>
    <w:rsid w:val="00A6136A"/>
    <w:rsid w:val="00A61413"/>
    <w:rsid w:val="00A61415"/>
    <w:rsid w:val="00A61463"/>
    <w:rsid w:val="00A61469"/>
    <w:rsid w:val="00A616A6"/>
    <w:rsid w:val="00A6189D"/>
    <w:rsid w:val="00A61964"/>
    <w:rsid w:val="00A61CCB"/>
    <w:rsid w:val="00A61FA0"/>
    <w:rsid w:val="00A620BB"/>
    <w:rsid w:val="00A6213B"/>
    <w:rsid w:val="00A621AA"/>
    <w:rsid w:val="00A621BD"/>
    <w:rsid w:val="00A622B2"/>
    <w:rsid w:val="00A62429"/>
    <w:rsid w:val="00A62535"/>
    <w:rsid w:val="00A62869"/>
    <w:rsid w:val="00A62875"/>
    <w:rsid w:val="00A629C7"/>
    <w:rsid w:val="00A62A3D"/>
    <w:rsid w:val="00A62B08"/>
    <w:rsid w:val="00A62EE7"/>
    <w:rsid w:val="00A62F68"/>
    <w:rsid w:val="00A6305B"/>
    <w:rsid w:val="00A6317E"/>
    <w:rsid w:val="00A632F4"/>
    <w:rsid w:val="00A63551"/>
    <w:rsid w:val="00A63649"/>
    <w:rsid w:val="00A63755"/>
    <w:rsid w:val="00A63824"/>
    <w:rsid w:val="00A63A77"/>
    <w:rsid w:val="00A63BDD"/>
    <w:rsid w:val="00A63C0D"/>
    <w:rsid w:val="00A63DCD"/>
    <w:rsid w:val="00A63EB0"/>
    <w:rsid w:val="00A640BA"/>
    <w:rsid w:val="00A641A1"/>
    <w:rsid w:val="00A64276"/>
    <w:rsid w:val="00A642C2"/>
    <w:rsid w:val="00A64336"/>
    <w:rsid w:val="00A64682"/>
    <w:rsid w:val="00A6470E"/>
    <w:rsid w:val="00A647FD"/>
    <w:rsid w:val="00A649D4"/>
    <w:rsid w:val="00A653F6"/>
    <w:rsid w:val="00A6559B"/>
    <w:rsid w:val="00A6579D"/>
    <w:rsid w:val="00A65863"/>
    <w:rsid w:val="00A658B6"/>
    <w:rsid w:val="00A659B6"/>
    <w:rsid w:val="00A65DB9"/>
    <w:rsid w:val="00A65E16"/>
    <w:rsid w:val="00A65EA4"/>
    <w:rsid w:val="00A660BD"/>
    <w:rsid w:val="00A66173"/>
    <w:rsid w:val="00A6618D"/>
    <w:rsid w:val="00A661AE"/>
    <w:rsid w:val="00A663A4"/>
    <w:rsid w:val="00A66662"/>
    <w:rsid w:val="00A666FF"/>
    <w:rsid w:val="00A66807"/>
    <w:rsid w:val="00A6684C"/>
    <w:rsid w:val="00A66C22"/>
    <w:rsid w:val="00A66CE1"/>
    <w:rsid w:val="00A66D55"/>
    <w:rsid w:val="00A66DDC"/>
    <w:rsid w:val="00A66F0E"/>
    <w:rsid w:val="00A66FA7"/>
    <w:rsid w:val="00A67109"/>
    <w:rsid w:val="00A674BA"/>
    <w:rsid w:val="00A6751B"/>
    <w:rsid w:val="00A67538"/>
    <w:rsid w:val="00A67592"/>
    <w:rsid w:val="00A67594"/>
    <w:rsid w:val="00A675AD"/>
    <w:rsid w:val="00A6774E"/>
    <w:rsid w:val="00A67857"/>
    <w:rsid w:val="00A67964"/>
    <w:rsid w:val="00A67A9D"/>
    <w:rsid w:val="00A67E40"/>
    <w:rsid w:val="00A67ED7"/>
    <w:rsid w:val="00A67EF1"/>
    <w:rsid w:val="00A67EF8"/>
    <w:rsid w:val="00A67F08"/>
    <w:rsid w:val="00A67F6B"/>
    <w:rsid w:val="00A70109"/>
    <w:rsid w:val="00A7010B"/>
    <w:rsid w:val="00A7016B"/>
    <w:rsid w:val="00A7024E"/>
    <w:rsid w:val="00A702D7"/>
    <w:rsid w:val="00A7046E"/>
    <w:rsid w:val="00A7047D"/>
    <w:rsid w:val="00A7064A"/>
    <w:rsid w:val="00A70A58"/>
    <w:rsid w:val="00A70BBA"/>
    <w:rsid w:val="00A70EF2"/>
    <w:rsid w:val="00A7111B"/>
    <w:rsid w:val="00A71255"/>
    <w:rsid w:val="00A712EF"/>
    <w:rsid w:val="00A7186C"/>
    <w:rsid w:val="00A719FA"/>
    <w:rsid w:val="00A71A51"/>
    <w:rsid w:val="00A71F53"/>
    <w:rsid w:val="00A72448"/>
    <w:rsid w:val="00A7245E"/>
    <w:rsid w:val="00A726B3"/>
    <w:rsid w:val="00A7272A"/>
    <w:rsid w:val="00A72BD1"/>
    <w:rsid w:val="00A72F60"/>
    <w:rsid w:val="00A733D5"/>
    <w:rsid w:val="00A735A7"/>
    <w:rsid w:val="00A737C4"/>
    <w:rsid w:val="00A7395C"/>
    <w:rsid w:val="00A73B0F"/>
    <w:rsid w:val="00A73B7A"/>
    <w:rsid w:val="00A73CA1"/>
    <w:rsid w:val="00A73D2B"/>
    <w:rsid w:val="00A73DF3"/>
    <w:rsid w:val="00A73E50"/>
    <w:rsid w:val="00A74133"/>
    <w:rsid w:val="00A74179"/>
    <w:rsid w:val="00A74334"/>
    <w:rsid w:val="00A743D6"/>
    <w:rsid w:val="00A74579"/>
    <w:rsid w:val="00A7476F"/>
    <w:rsid w:val="00A747EC"/>
    <w:rsid w:val="00A74998"/>
    <w:rsid w:val="00A75039"/>
    <w:rsid w:val="00A7578A"/>
    <w:rsid w:val="00A7579E"/>
    <w:rsid w:val="00A75869"/>
    <w:rsid w:val="00A75A1F"/>
    <w:rsid w:val="00A75DAE"/>
    <w:rsid w:val="00A75E25"/>
    <w:rsid w:val="00A760EC"/>
    <w:rsid w:val="00A7622B"/>
    <w:rsid w:val="00A762A6"/>
    <w:rsid w:val="00A762CD"/>
    <w:rsid w:val="00A76A0B"/>
    <w:rsid w:val="00A76B45"/>
    <w:rsid w:val="00A76B86"/>
    <w:rsid w:val="00A76E1A"/>
    <w:rsid w:val="00A76F6C"/>
    <w:rsid w:val="00A77156"/>
    <w:rsid w:val="00A77478"/>
    <w:rsid w:val="00A7776B"/>
    <w:rsid w:val="00A77888"/>
    <w:rsid w:val="00A77A4F"/>
    <w:rsid w:val="00A77ACF"/>
    <w:rsid w:val="00A77CB6"/>
    <w:rsid w:val="00A77EB2"/>
    <w:rsid w:val="00A8000B"/>
    <w:rsid w:val="00A80117"/>
    <w:rsid w:val="00A80135"/>
    <w:rsid w:val="00A80156"/>
    <w:rsid w:val="00A80469"/>
    <w:rsid w:val="00A80571"/>
    <w:rsid w:val="00A808BF"/>
    <w:rsid w:val="00A80959"/>
    <w:rsid w:val="00A80B4E"/>
    <w:rsid w:val="00A80C98"/>
    <w:rsid w:val="00A80FDF"/>
    <w:rsid w:val="00A8101D"/>
    <w:rsid w:val="00A8106D"/>
    <w:rsid w:val="00A8167C"/>
    <w:rsid w:val="00A81866"/>
    <w:rsid w:val="00A81A6D"/>
    <w:rsid w:val="00A81A8B"/>
    <w:rsid w:val="00A8218D"/>
    <w:rsid w:val="00A8222A"/>
    <w:rsid w:val="00A8232F"/>
    <w:rsid w:val="00A8273B"/>
    <w:rsid w:val="00A827AD"/>
    <w:rsid w:val="00A82825"/>
    <w:rsid w:val="00A8289F"/>
    <w:rsid w:val="00A82974"/>
    <w:rsid w:val="00A82CB1"/>
    <w:rsid w:val="00A82D01"/>
    <w:rsid w:val="00A82D4F"/>
    <w:rsid w:val="00A83030"/>
    <w:rsid w:val="00A8337F"/>
    <w:rsid w:val="00A83449"/>
    <w:rsid w:val="00A8378E"/>
    <w:rsid w:val="00A83BA9"/>
    <w:rsid w:val="00A83CCD"/>
    <w:rsid w:val="00A83D02"/>
    <w:rsid w:val="00A83F99"/>
    <w:rsid w:val="00A840B1"/>
    <w:rsid w:val="00A84112"/>
    <w:rsid w:val="00A84172"/>
    <w:rsid w:val="00A848E4"/>
    <w:rsid w:val="00A84A35"/>
    <w:rsid w:val="00A84B8D"/>
    <w:rsid w:val="00A85005"/>
    <w:rsid w:val="00A851F8"/>
    <w:rsid w:val="00A8521A"/>
    <w:rsid w:val="00A85311"/>
    <w:rsid w:val="00A8531F"/>
    <w:rsid w:val="00A85646"/>
    <w:rsid w:val="00A856F9"/>
    <w:rsid w:val="00A856FE"/>
    <w:rsid w:val="00A8596E"/>
    <w:rsid w:val="00A85ADC"/>
    <w:rsid w:val="00A85B98"/>
    <w:rsid w:val="00A85C81"/>
    <w:rsid w:val="00A85D30"/>
    <w:rsid w:val="00A8612A"/>
    <w:rsid w:val="00A86279"/>
    <w:rsid w:val="00A8632A"/>
    <w:rsid w:val="00A863B8"/>
    <w:rsid w:val="00A86617"/>
    <w:rsid w:val="00A866D0"/>
    <w:rsid w:val="00A869A3"/>
    <w:rsid w:val="00A86AA2"/>
    <w:rsid w:val="00A86E2C"/>
    <w:rsid w:val="00A86FE3"/>
    <w:rsid w:val="00A8722C"/>
    <w:rsid w:val="00A87297"/>
    <w:rsid w:val="00A8739F"/>
    <w:rsid w:val="00A8767C"/>
    <w:rsid w:val="00A876F5"/>
    <w:rsid w:val="00A87A92"/>
    <w:rsid w:val="00A87DA1"/>
    <w:rsid w:val="00A87E95"/>
    <w:rsid w:val="00A90012"/>
    <w:rsid w:val="00A901CE"/>
    <w:rsid w:val="00A9025A"/>
    <w:rsid w:val="00A902A2"/>
    <w:rsid w:val="00A902EC"/>
    <w:rsid w:val="00A9032F"/>
    <w:rsid w:val="00A9038D"/>
    <w:rsid w:val="00A90548"/>
    <w:rsid w:val="00A90730"/>
    <w:rsid w:val="00A90C68"/>
    <w:rsid w:val="00A90E9C"/>
    <w:rsid w:val="00A91146"/>
    <w:rsid w:val="00A9117F"/>
    <w:rsid w:val="00A91297"/>
    <w:rsid w:val="00A91551"/>
    <w:rsid w:val="00A916CD"/>
    <w:rsid w:val="00A9181D"/>
    <w:rsid w:val="00A91839"/>
    <w:rsid w:val="00A91CA5"/>
    <w:rsid w:val="00A91CA9"/>
    <w:rsid w:val="00A91CAF"/>
    <w:rsid w:val="00A91D1D"/>
    <w:rsid w:val="00A91D34"/>
    <w:rsid w:val="00A91ED9"/>
    <w:rsid w:val="00A91FE2"/>
    <w:rsid w:val="00A9202A"/>
    <w:rsid w:val="00A92087"/>
    <w:rsid w:val="00A92156"/>
    <w:rsid w:val="00A9224E"/>
    <w:rsid w:val="00A92323"/>
    <w:rsid w:val="00A92350"/>
    <w:rsid w:val="00A924E9"/>
    <w:rsid w:val="00A92641"/>
    <w:rsid w:val="00A9275A"/>
    <w:rsid w:val="00A927F9"/>
    <w:rsid w:val="00A92939"/>
    <w:rsid w:val="00A92957"/>
    <w:rsid w:val="00A92A61"/>
    <w:rsid w:val="00A92BF3"/>
    <w:rsid w:val="00A92D6D"/>
    <w:rsid w:val="00A92E57"/>
    <w:rsid w:val="00A92E5E"/>
    <w:rsid w:val="00A9323C"/>
    <w:rsid w:val="00A93282"/>
    <w:rsid w:val="00A9358C"/>
    <w:rsid w:val="00A93B1F"/>
    <w:rsid w:val="00A93DD8"/>
    <w:rsid w:val="00A93EDE"/>
    <w:rsid w:val="00A942BD"/>
    <w:rsid w:val="00A94430"/>
    <w:rsid w:val="00A9462D"/>
    <w:rsid w:val="00A94751"/>
    <w:rsid w:val="00A949A1"/>
    <w:rsid w:val="00A94CD3"/>
    <w:rsid w:val="00A94E4F"/>
    <w:rsid w:val="00A94FE8"/>
    <w:rsid w:val="00A94FEA"/>
    <w:rsid w:val="00A950DC"/>
    <w:rsid w:val="00A951E3"/>
    <w:rsid w:val="00A9544C"/>
    <w:rsid w:val="00A95702"/>
    <w:rsid w:val="00A9579D"/>
    <w:rsid w:val="00A9598B"/>
    <w:rsid w:val="00A95A4D"/>
    <w:rsid w:val="00A95A5C"/>
    <w:rsid w:val="00A95CF4"/>
    <w:rsid w:val="00A95D75"/>
    <w:rsid w:val="00A95F7A"/>
    <w:rsid w:val="00A96349"/>
    <w:rsid w:val="00A96557"/>
    <w:rsid w:val="00A9687E"/>
    <w:rsid w:val="00A969AE"/>
    <w:rsid w:val="00A96B04"/>
    <w:rsid w:val="00A96B13"/>
    <w:rsid w:val="00A96B1E"/>
    <w:rsid w:val="00A96E7C"/>
    <w:rsid w:val="00A96ECC"/>
    <w:rsid w:val="00A96F45"/>
    <w:rsid w:val="00A9725C"/>
    <w:rsid w:val="00A976C4"/>
    <w:rsid w:val="00A978AF"/>
    <w:rsid w:val="00A978E3"/>
    <w:rsid w:val="00A97ACE"/>
    <w:rsid w:val="00A97B19"/>
    <w:rsid w:val="00A97C9C"/>
    <w:rsid w:val="00A97D23"/>
    <w:rsid w:val="00A97FA5"/>
    <w:rsid w:val="00A97FA8"/>
    <w:rsid w:val="00AA0013"/>
    <w:rsid w:val="00AA03BA"/>
    <w:rsid w:val="00AA04BF"/>
    <w:rsid w:val="00AA06F1"/>
    <w:rsid w:val="00AA09A0"/>
    <w:rsid w:val="00AA09A6"/>
    <w:rsid w:val="00AA0BD6"/>
    <w:rsid w:val="00AA0E53"/>
    <w:rsid w:val="00AA152A"/>
    <w:rsid w:val="00AA190B"/>
    <w:rsid w:val="00AA1914"/>
    <w:rsid w:val="00AA1996"/>
    <w:rsid w:val="00AA1C36"/>
    <w:rsid w:val="00AA1C98"/>
    <w:rsid w:val="00AA1C99"/>
    <w:rsid w:val="00AA1E70"/>
    <w:rsid w:val="00AA1FC5"/>
    <w:rsid w:val="00AA20DC"/>
    <w:rsid w:val="00AA2337"/>
    <w:rsid w:val="00AA24AF"/>
    <w:rsid w:val="00AA24CB"/>
    <w:rsid w:val="00AA2837"/>
    <w:rsid w:val="00AA2926"/>
    <w:rsid w:val="00AA2AB8"/>
    <w:rsid w:val="00AA2D9D"/>
    <w:rsid w:val="00AA2F81"/>
    <w:rsid w:val="00AA30E1"/>
    <w:rsid w:val="00AA3647"/>
    <w:rsid w:val="00AA3808"/>
    <w:rsid w:val="00AA3977"/>
    <w:rsid w:val="00AA3BD2"/>
    <w:rsid w:val="00AA3D29"/>
    <w:rsid w:val="00AA40A3"/>
    <w:rsid w:val="00AA41CB"/>
    <w:rsid w:val="00AA41D2"/>
    <w:rsid w:val="00AA4278"/>
    <w:rsid w:val="00AA43AA"/>
    <w:rsid w:val="00AA477D"/>
    <w:rsid w:val="00AA48DE"/>
    <w:rsid w:val="00AA5268"/>
    <w:rsid w:val="00AA5558"/>
    <w:rsid w:val="00AA5682"/>
    <w:rsid w:val="00AA5783"/>
    <w:rsid w:val="00AA57E3"/>
    <w:rsid w:val="00AA592F"/>
    <w:rsid w:val="00AA5A90"/>
    <w:rsid w:val="00AA5C39"/>
    <w:rsid w:val="00AA5D0E"/>
    <w:rsid w:val="00AA60A6"/>
    <w:rsid w:val="00AA614A"/>
    <w:rsid w:val="00AA6691"/>
    <w:rsid w:val="00AA6947"/>
    <w:rsid w:val="00AA69BF"/>
    <w:rsid w:val="00AA6A06"/>
    <w:rsid w:val="00AA6F09"/>
    <w:rsid w:val="00AA72F6"/>
    <w:rsid w:val="00AA7326"/>
    <w:rsid w:val="00AA7327"/>
    <w:rsid w:val="00AA737F"/>
    <w:rsid w:val="00AA73A8"/>
    <w:rsid w:val="00AA73AB"/>
    <w:rsid w:val="00AA7549"/>
    <w:rsid w:val="00AA75F3"/>
    <w:rsid w:val="00AA7742"/>
    <w:rsid w:val="00AA78D3"/>
    <w:rsid w:val="00AA7BDC"/>
    <w:rsid w:val="00AA7D47"/>
    <w:rsid w:val="00AA7E53"/>
    <w:rsid w:val="00AA7F0C"/>
    <w:rsid w:val="00AB0226"/>
    <w:rsid w:val="00AB0232"/>
    <w:rsid w:val="00AB026A"/>
    <w:rsid w:val="00AB03CA"/>
    <w:rsid w:val="00AB052D"/>
    <w:rsid w:val="00AB05AF"/>
    <w:rsid w:val="00AB06C7"/>
    <w:rsid w:val="00AB0B47"/>
    <w:rsid w:val="00AB0F39"/>
    <w:rsid w:val="00AB1059"/>
    <w:rsid w:val="00AB108F"/>
    <w:rsid w:val="00AB1121"/>
    <w:rsid w:val="00AB16CE"/>
    <w:rsid w:val="00AB179C"/>
    <w:rsid w:val="00AB1D62"/>
    <w:rsid w:val="00AB1EA4"/>
    <w:rsid w:val="00AB1EDF"/>
    <w:rsid w:val="00AB271A"/>
    <w:rsid w:val="00AB27EC"/>
    <w:rsid w:val="00AB2BA6"/>
    <w:rsid w:val="00AB2ECF"/>
    <w:rsid w:val="00AB2FC6"/>
    <w:rsid w:val="00AB351C"/>
    <w:rsid w:val="00AB37F0"/>
    <w:rsid w:val="00AB3A37"/>
    <w:rsid w:val="00AB3B1A"/>
    <w:rsid w:val="00AB3BA7"/>
    <w:rsid w:val="00AB3DEF"/>
    <w:rsid w:val="00AB3E30"/>
    <w:rsid w:val="00AB40E3"/>
    <w:rsid w:val="00AB41A7"/>
    <w:rsid w:val="00AB4240"/>
    <w:rsid w:val="00AB4293"/>
    <w:rsid w:val="00AB463E"/>
    <w:rsid w:val="00AB46E9"/>
    <w:rsid w:val="00AB4B90"/>
    <w:rsid w:val="00AB4BEF"/>
    <w:rsid w:val="00AB4DD6"/>
    <w:rsid w:val="00AB4E21"/>
    <w:rsid w:val="00AB4FD0"/>
    <w:rsid w:val="00AB5094"/>
    <w:rsid w:val="00AB523D"/>
    <w:rsid w:val="00AB5357"/>
    <w:rsid w:val="00AB54A8"/>
    <w:rsid w:val="00AB54EF"/>
    <w:rsid w:val="00AB56CC"/>
    <w:rsid w:val="00AB5856"/>
    <w:rsid w:val="00AB5CE5"/>
    <w:rsid w:val="00AB5FC6"/>
    <w:rsid w:val="00AB61E8"/>
    <w:rsid w:val="00AB62F4"/>
    <w:rsid w:val="00AB6401"/>
    <w:rsid w:val="00AB68FD"/>
    <w:rsid w:val="00AB6ACD"/>
    <w:rsid w:val="00AB6B25"/>
    <w:rsid w:val="00AB6B58"/>
    <w:rsid w:val="00AB6BD6"/>
    <w:rsid w:val="00AB6C14"/>
    <w:rsid w:val="00AB6D0E"/>
    <w:rsid w:val="00AB6D24"/>
    <w:rsid w:val="00AB6D29"/>
    <w:rsid w:val="00AB6F42"/>
    <w:rsid w:val="00AB6FB2"/>
    <w:rsid w:val="00AB7038"/>
    <w:rsid w:val="00AB70DD"/>
    <w:rsid w:val="00AB7191"/>
    <w:rsid w:val="00AB77A3"/>
    <w:rsid w:val="00AB77DC"/>
    <w:rsid w:val="00AB79AD"/>
    <w:rsid w:val="00AB7C7D"/>
    <w:rsid w:val="00AB7CFA"/>
    <w:rsid w:val="00AB7D6A"/>
    <w:rsid w:val="00AB7E6A"/>
    <w:rsid w:val="00AC04B2"/>
    <w:rsid w:val="00AC07D1"/>
    <w:rsid w:val="00AC07ED"/>
    <w:rsid w:val="00AC0942"/>
    <w:rsid w:val="00AC0C85"/>
    <w:rsid w:val="00AC0CA6"/>
    <w:rsid w:val="00AC0E7C"/>
    <w:rsid w:val="00AC0F74"/>
    <w:rsid w:val="00AC0F7B"/>
    <w:rsid w:val="00AC1075"/>
    <w:rsid w:val="00AC13D5"/>
    <w:rsid w:val="00AC14B4"/>
    <w:rsid w:val="00AC154F"/>
    <w:rsid w:val="00AC15E4"/>
    <w:rsid w:val="00AC160E"/>
    <w:rsid w:val="00AC17ED"/>
    <w:rsid w:val="00AC184B"/>
    <w:rsid w:val="00AC18A0"/>
    <w:rsid w:val="00AC18CC"/>
    <w:rsid w:val="00AC1E92"/>
    <w:rsid w:val="00AC1F7B"/>
    <w:rsid w:val="00AC2068"/>
    <w:rsid w:val="00AC209B"/>
    <w:rsid w:val="00AC23DB"/>
    <w:rsid w:val="00AC2E78"/>
    <w:rsid w:val="00AC2FAB"/>
    <w:rsid w:val="00AC3252"/>
    <w:rsid w:val="00AC36E9"/>
    <w:rsid w:val="00AC3960"/>
    <w:rsid w:val="00AC3A8D"/>
    <w:rsid w:val="00AC3D6F"/>
    <w:rsid w:val="00AC3E7E"/>
    <w:rsid w:val="00AC3F9A"/>
    <w:rsid w:val="00AC42A9"/>
    <w:rsid w:val="00AC44AE"/>
    <w:rsid w:val="00AC4583"/>
    <w:rsid w:val="00AC4664"/>
    <w:rsid w:val="00AC46BF"/>
    <w:rsid w:val="00AC46D6"/>
    <w:rsid w:val="00AC4796"/>
    <w:rsid w:val="00AC49A7"/>
    <w:rsid w:val="00AC4C2A"/>
    <w:rsid w:val="00AC4C86"/>
    <w:rsid w:val="00AC4D23"/>
    <w:rsid w:val="00AC4D44"/>
    <w:rsid w:val="00AC4E48"/>
    <w:rsid w:val="00AC5281"/>
    <w:rsid w:val="00AC5AD5"/>
    <w:rsid w:val="00AC5C76"/>
    <w:rsid w:val="00AC5E60"/>
    <w:rsid w:val="00AC60D6"/>
    <w:rsid w:val="00AC6109"/>
    <w:rsid w:val="00AC6131"/>
    <w:rsid w:val="00AC6221"/>
    <w:rsid w:val="00AC633F"/>
    <w:rsid w:val="00AC6346"/>
    <w:rsid w:val="00AC64B4"/>
    <w:rsid w:val="00AC6A27"/>
    <w:rsid w:val="00AC6B43"/>
    <w:rsid w:val="00AC6DA1"/>
    <w:rsid w:val="00AC6DED"/>
    <w:rsid w:val="00AC6E28"/>
    <w:rsid w:val="00AC6FDF"/>
    <w:rsid w:val="00AC721D"/>
    <w:rsid w:val="00AC72B2"/>
    <w:rsid w:val="00AC733D"/>
    <w:rsid w:val="00AC76C1"/>
    <w:rsid w:val="00AC7844"/>
    <w:rsid w:val="00AC78D5"/>
    <w:rsid w:val="00AC7CFB"/>
    <w:rsid w:val="00AC7F97"/>
    <w:rsid w:val="00AD02BF"/>
    <w:rsid w:val="00AD0421"/>
    <w:rsid w:val="00AD0430"/>
    <w:rsid w:val="00AD047D"/>
    <w:rsid w:val="00AD04C0"/>
    <w:rsid w:val="00AD0515"/>
    <w:rsid w:val="00AD0585"/>
    <w:rsid w:val="00AD05A1"/>
    <w:rsid w:val="00AD07A8"/>
    <w:rsid w:val="00AD0A67"/>
    <w:rsid w:val="00AD0AC6"/>
    <w:rsid w:val="00AD0C23"/>
    <w:rsid w:val="00AD0E75"/>
    <w:rsid w:val="00AD0E7F"/>
    <w:rsid w:val="00AD129D"/>
    <w:rsid w:val="00AD12EF"/>
    <w:rsid w:val="00AD1415"/>
    <w:rsid w:val="00AD141F"/>
    <w:rsid w:val="00AD14E8"/>
    <w:rsid w:val="00AD17F8"/>
    <w:rsid w:val="00AD1FA8"/>
    <w:rsid w:val="00AD2082"/>
    <w:rsid w:val="00AD2469"/>
    <w:rsid w:val="00AD24FD"/>
    <w:rsid w:val="00AD25E2"/>
    <w:rsid w:val="00AD26ED"/>
    <w:rsid w:val="00AD2AF5"/>
    <w:rsid w:val="00AD2E6F"/>
    <w:rsid w:val="00AD314D"/>
    <w:rsid w:val="00AD32BA"/>
    <w:rsid w:val="00AD3343"/>
    <w:rsid w:val="00AD3417"/>
    <w:rsid w:val="00AD3587"/>
    <w:rsid w:val="00AD35FC"/>
    <w:rsid w:val="00AD37B2"/>
    <w:rsid w:val="00AD3859"/>
    <w:rsid w:val="00AD38CC"/>
    <w:rsid w:val="00AD39B0"/>
    <w:rsid w:val="00AD3BCB"/>
    <w:rsid w:val="00AD3D74"/>
    <w:rsid w:val="00AD3DB2"/>
    <w:rsid w:val="00AD4340"/>
    <w:rsid w:val="00AD4905"/>
    <w:rsid w:val="00AD492F"/>
    <w:rsid w:val="00AD4C54"/>
    <w:rsid w:val="00AD4D58"/>
    <w:rsid w:val="00AD4D88"/>
    <w:rsid w:val="00AD4EF2"/>
    <w:rsid w:val="00AD51C4"/>
    <w:rsid w:val="00AD5480"/>
    <w:rsid w:val="00AD5631"/>
    <w:rsid w:val="00AD56F8"/>
    <w:rsid w:val="00AD5B6A"/>
    <w:rsid w:val="00AD5D08"/>
    <w:rsid w:val="00AD6104"/>
    <w:rsid w:val="00AD67F6"/>
    <w:rsid w:val="00AD680F"/>
    <w:rsid w:val="00AD6864"/>
    <w:rsid w:val="00AD68F2"/>
    <w:rsid w:val="00AD6FFA"/>
    <w:rsid w:val="00AD7073"/>
    <w:rsid w:val="00AD7372"/>
    <w:rsid w:val="00AD7539"/>
    <w:rsid w:val="00AD77AB"/>
    <w:rsid w:val="00AD7A68"/>
    <w:rsid w:val="00AD7BFA"/>
    <w:rsid w:val="00AE0193"/>
    <w:rsid w:val="00AE01C8"/>
    <w:rsid w:val="00AE01F6"/>
    <w:rsid w:val="00AE030E"/>
    <w:rsid w:val="00AE0315"/>
    <w:rsid w:val="00AE0334"/>
    <w:rsid w:val="00AE07C2"/>
    <w:rsid w:val="00AE0932"/>
    <w:rsid w:val="00AE0A71"/>
    <w:rsid w:val="00AE0D33"/>
    <w:rsid w:val="00AE1441"/>
    <w:rsid w:val="00AE18EB"/>
    <w:rsid w:val="00AE1B0F"/>
    <w:rsid w:val="00AE1BFB"/>
    <w:rsid w:val="00AE1C91"/>
    <w:rsid w:val="00AE1FE6"/>
    <w:rsid w:val="00AE2083"/>
    <w:rsid w:val="00AE20D5"/>
    <w:rsid w:val="00AE2424"/>
    <w:rsid w:val="00AE25E9"/>
    <w:rsid w:val="00AE291A"/>
    <w:rsid w:val="00AE2D9B"/>
    <w:rsid w:val="00AE2DCA"/>
    <w:rsid w:val="00AE35E0"/>
    <w:rsid w:val="00AE36D6"/>
    <w:rsid w:val="00AE37BD"/>
    <w:rsid w:val="00AE3A60"/>
    <w:rsid w:val="00AE3A68"/>
    <w:rsid w:val="00AE4585"/>
    <w:rsid w:val="00AE4688"/>
    <w:rsid w:val="00AE4689"/>
    <w:rsid w:val="00AE47D1"/>
    <w:rsid w:val="00AE487C"/>
    <w:rsid w:val="00AE48FD"/>
    <w:rsid w:val="00AE4A58"/>
    <w:rsid w:val="00AE4D0E"/>
    <w:rsid w:val="00AE4E65"/>
    <w:rsid w:val="00AE512A"/>
    <w:rsid w:val="00AE53BA"/>
    <w:rsid w:val="00AE5905"/>
    <w:rsid w:val="00AE5C84"/>
    <w:rsid w:val="00AE5CAB"/>
    <w:rsid w:val="00AE5FA0"/>
    <w:rsid w:val="00AE622E"/>
    <w:rsid w:val="00AE63BE"/>
    <w:rsid w:val="00AE650C"/>
    <w:rsid w:val="00AE6598"/>
    <w:rsid w:val="00AE678E"/>
    <w:rsid w:val="00AE6CE7"/>
    <w:rsid w:val="00AE6DEE"/>
    <w:rsid w:val="00AE73DA"/>
    <w:rsid w:val="00AE7695"/>
    <w:rsid w:val="00AE7B67"/>
    <w:rsid w:val="00AE7CEA"/>
    <w:rsid w:val="00AE7F06"/>
    <w:rsid w:val="00AE7FEA"/>
    <w:rsid w:val="00AF015F"/>
    <w:rsid w:val="00AF04A5"/>
    <w:rsid w:val="00AF0822"/>
    <w:rsid w:val="00AF0A3C"/>
    <w:rsid w:val="00AF1101"/>
    <w:rsid w:val="00AF1152"/>
    <w:rsid w:val="00AF125E"/>
    <w:rsid w:val="00AF135A"/>
    <w:rsid w:val="00AF13C6"/>
    <w:rsid w:val="00AF1864"/>
    <w:rsid w:val="00AF1954"/>
    <w:rsid w:val="00AF1ACA"/>
    <w:rsid w:val="00AF1B4E"/>
    <w:rsid w:val="00AF1D64"/>
    <w:rsid w:val="00AF1D96"/>
    <w:rsid w:val="00AF1EBD"/>
    <w:rsid w:val="00AF1F36"/>
    <w:rsid w:val="00AF1F88"/>
    <w:rsid w:val="00AF21DF"/>
    <w:rsid w:val="00AF2732"/>
    <w:rsid w:val="00AF27E1"/>
    <w:rsid w:val="00AF288E"/>
    <w:rsid w:val="00AF293A"/>
    <w:rsid w:val="00AF2A9E"/>
    <w:rsid w:val="00AF2A9F"/>
    <w:rsid w:val="00AF2CEF"/>
    <w:rsid w:val="00AF2F24"/>
    <w:rsid w:val="00AF2F72"/>
    <w:rsid w:val="00AF3085"/>
    <w:rsid w:val="00AF3143"/>
    <w:rsid w:val="00AF3455"/>
    <w:rsid w:val="00AF34C7"/>
    <w:rsid w:val="00AF3520"/>
    <w:rsid w:val="00AF354B"/>
    <w:rsid w:val="00AF3716"/>
    <w:rsid w:val="00AF398D"/>
    <w:rsid w:val="00AF39B1"/>
    <w:rsid w:val="00AF3A7A"/>
    <w:rsid w:val="00AF3BE2"/>
    <w:rsid w:val="00AF3F59"/>
    <w:rsid w:val="00AF400E"/>
    <w:rsid w:val="00AF4205"/>
    <w:rsid w:val="00AF425D"/>
    <w:rsid w:val="00AF43A0"/>
    <w:rsid w:val="00AF4495"/>
    <w:rsid w:val="00AF45EB"/>
    <w:rsid w:val="00AF4618"/>
    <w:rsid w:val="00AF471E"/>
    <w:rsid w:val="00AF4942"/>
    <w:rsid w:val="00AF4CB7"/>
    <w:rsid w:val="00AF4D9C"/>
    <w:rsid w:val="00AF4EF5"/>
    <w:rsid w:val="00AF4F06"/>
    <w:rsid w:val="00AF4FA1"/>
    <w:rsid w:val="00AF530A"/>
    <w:rsid w:val="00AF5507"/>
    <w:rsid w:val="00AF582C"/>
    <w:rsid w:val="00AF596E"/>
    <w:rsid w:val="00AF597A"/>
    <w:rsid w:val="00AF5C07"/>
    <w:rsid w:val="00AF5D0A"/>
    <w:rsid w:val="00AF5D6D"/>
    <w:rsid w:val="00AF5E84"/>
    <w:rsid w:val="00AF5FD6"/>
    <w:rsid w:val="00AF609E"/>
    <w:rsid w:val="00AF60F4"/>
    <w:rsid w:val="00AF6195"/>
    <w:rsid w:val="00AF61AA"/>
    <w:rsid w:val="00AF62E0"/>
    <w:rsid w:val="00AF6349"/>
    <w:rsid w:val="00AF6353"/>
    <w:rsid w:val="00AF66CB"/>
    <w:rsid w:val="00AF678F"/>
    <w:rsid w:val="00AF6931"/>
    <w:rsid w:val="00AF698B"/>
    <w:rsid w:val="00AF6F36"/>
    <w:rsid w:val="00AF7039"/>
    <w:rsid w:val="00AF70CC"/>
    <w:rsid w:val="00AF721D"/>
    <w:rsid w:val="00AF7375"/>
    <w:rsid w:val="00AF746E"/>
    <w:rsid w:val="00AF74FC"/>
    <w:rsid w:val="00AF76B2"/>
    <w:rsid w:val="00AF76B6"/>
    <w:rsid w:val="00AF7A75"/>
    <w:rsid w:val="00AF7B4D"/>
    <w:rsid w:val="00AF7C4D"/>
    <w:rsid w:val="00B00100"/>
    <w:rsid w:val="00B0016D"/>
    <w:rsid w:val="00B00211"/>
    <w:rsid w:val="00B003AF"/>
    <w:rsid w:val="00B003B4"/>
    <w:rsid w:val="00B004C8"/>
    <w:rsid w:val="00B005AD"/>
    <w:rsid w:val="00B00815"/>
    <w:rsid w:val="00B00A73"/>
    <w:rsid w:val="00B00AB9"/>
    <w:rsid w:val="00B00BDC"/>
    <w:rsid w:val="00B00C47"/>
    <w:rsid w:val="00B00D60"/>
    <w:rsid w:val="00B00E62"/>
    <w:rsid w:val="00B00F21"/>
    <w:rsid w:val="00B01462"/>
    <w:rsid w:val="00B01719"/>
    <w:rsid w:val="00B01772"/>
    <w:rsid w:val="00B0190C"/>
    <w:rsid w:val="00B01C3E"/>
    <w:rsid w:val="00B01C6D"/>
    <w:rsid w:val="00B01CA1"/>
    <w:rsid w:val="00B01D9A"/>
    <w:rsid w:val="00B01F66"/>
    <w:rsid w:val="00B01FF1"/>
    <w:rsid w:val="00B020A9"/>
    <w:rsid w:val="00B0213D"/>
    <w:rsid w:val="00B023B1"/>
    <w:rsid w:val="00B023B6"/>
    <w:rsid w:val="00B027F2"/>
    <w:rsid w:val="00B028A0"/>
    <w:rsid w:val="00B028F4"/>
    <w:rsid w:val="00B0296C"/>
    <w:rsid w:val="00B02B07"/>
    <w:rsid w:val="00B02B15"/>
    <w:rsid w:val="00B02B4D"/>
    <w:rsid w:val="00B02CA5"/>
    <w:rsid w:val="00B02D80"/>
    <w:rsid w:val="00B0309B"/>
    <w:rsid w:val="00B03793"/>
    <w:rsid w:val="00B037C3"/>
    <w:rsid w:val="00B039F9"/>
    <w:rsid w:val="00B03A24"/>
    <w:rsid w:val="00B03B05"/>
    <w:rsid w:val="00B03BB3"/>
    <w:rsid w:val="00B03D48"/>
    <w:rsid w:val="00B03ECE"/>
    <w:rsid w:val="00B03F88"/>
    <w:rsid w:val="00B0416D"/>
    <w:rsid w:val="00B0418D"/>
    <w:rsid w:val="00B044B6"/>
    <w:rsid w:val="00B0485B"/>
    <w:rsid w:val="00B048FB"/>
    <w:rsid w:val="00B04D41"/>
    <w:rsid w:val="00B04EC0"/>
    <w:rsid w:val="00B04FE9"/>
    <w:rsid w:val="00B05311"/>
    <w:rsid w:val="00B058E9"/>
    <w:rsid w:val="00B05C7D"/>
    <w:rsid w:val="00B05E2D"/>
    <w:rsid w:val="00B06761"/>
    <w:rsid w:val="00B0688C"/>
    <w:rsid w:val="00B069A9"/>
    <w:rsid w:val="00B069AE"/>
    <w:rsid w:val="00B06A2B"/>
    <w:rsid w:val="00B06A74"/>
    <w:rsid w:val="00B06D25"/>
    <w:rsid w:val="00B06D65"/>
    <w:rsid w:val="00B06E71"/>
    <w:rsid w:val="00B06EB4"/>
    <w:rsid w:val="00B06ED3"/>
    <w:rsid w:val="00B06FD1"/>
    <w:rsid w:val="00B073A5"/>
    <w:rsid w:val="00B07A00"/>
    <w:rsid w:val="00B07BBC"/>
    <w:rsid w:val="00B07D72"/>
    <w:rsid w:val="00B07DB6"/>
    <w:rsid w:val="00B07F64"/>
    <w:rsid w:val="00B07F77"/>
    <w:rsid w:val="00B100D1"/>
    <w:rsid w:val="00B10146"/>
    <w:rsid w:val="00B105D6"/>
    <w:rsid w:val="00B1062D"/>
    <w:rsid w:val="00B1065A"/>
    <w:rsid w:val="00B10691"/>
    <w:rsid w:val="00B1083F"/>
    <w:rsid w:val="00B108E6"/>
    <w:rsid w:val="00B109F6"/>
    <w:rsid w:val="00B10B7C"/>
    <w:rsid w:val="00B10BEE"/>
    <w:rsid w:val="00B10F9C"/>
    <w:rsid w:val="00B11171"/>
    <w:rsid w:val="00B1186C"/>
    <w:rsid w:val="00B11A1C"/>
    <w:rsid w:val="00B11BF6"/>
    <w:rsid w:val="00B11C74"/>
    <w:rsid w:val="00B11C90"/>
    <w:rsid w:val="00B124EF"/>
    <w:rsid w:val="00B12622"/>
    <w:rsid w:val="00B1280E"/>
    <w:rsid w:val="00B12AFF"/>
    <w:rsid w:val="00B12B38"/>
    <w:rsid w:val="00B12B87"/>
    <w:rsid w:val="00B12C14"/>
    <w:rsid w:val="00B1318E"/>
    <w:rsid w:val="00B13933"/>
    <w:rsid w:val="00B13B89"/>
    <w:rsid w:val="00B13CE3"/>
    <w:rsid w:val="00B13E70"/>
    <w:rsid w:val="00B13F4F"/>
    <w:rsid w:val="00B1414E"/>
    <w:rsid w:val="00B1430C"/>
    <w:rsid w:val="00B1445F"/>
    <w:rsid w:val="00B14728"/>
    <w:rsid w:val="00B147E0"/>
    <w:rsid w:val="00B1481B"/>
    <w:rsid w:val="00B149D8"/>
    <w:rsid w:val="00B14B67"/>
    <w:rsid w:val="00B14D01"/>
    <w:rsid w:val="00B14E82"/>
    <w:rsid w:val="00B151C3"/>
    <w:rsid w:val="00B15391"/>
    <w:rsid w:val="00B1558D"/>
    <w:rsid w:val="00B15B03"/>
    <w:rsid w:val="00B15CA4"/>
    <w:rsid w:val="00B15EA3"/>
    <w:rsid w:val="00B15EE1"/>
    <w:rsid w:val="00B16262"/>
    <w:rsid w:val="00B16274"/>
    <w:rsid w:val="00B16479"/>
    <w:rsid w:val="00B16513"/>
    <w:rsid w:val="00B16801"/>
    <w:rsid w:val="00B16844"/>
    <w:rsid w:val="00B16ACF"/>
    <w:rsid w:val="00B16BC3"/>
    <w:rsid w:val="00B16CCF"/>
    <w:rsid w:val="00B16CD3"/>
    <w:rsid w:val="00B16D2D"/>
    <w:rsid w:val="00B16E43"/>
    <w:rsid w:val="00B16EB7"/>
    <w:rsid w:val="00B16FB6"/>
    <w:rsid w:val="00B16FD4"/>
    <w:rsid w:val="00B170E5"/>
    <w:rsid w:val="00B17184"/>
    <w:rsid w:val="00B1732E"/>
    <w:rsid w:val="00B174B9"/>
    <w:rsid w:val="00B1758B"/>
    <w:rsid w:val="00B17E21"/>
    <w:rsid w:val="00B20310"/>
    <w:rsid w:val="00B203A0"/>
    <w:rsid w:val="00B20516"/>
    <w:rsid w:val="00B207CC"/>
    <w:rsid w:val="00B207CF"/>
    <w:rsid w:val="00B2080E"/>
    <w:rsid w:val="00B20926"/>
    <w:rsid w:val="00B209ED"/>
    <w:rsid w:val="00B20A4C"/>
    <w:rsid w:val="00B20B9E"/>
    <w:rsid w:val="00B20C8A"/>
    <w:rsid w:val="00B20F04"/>
    <w:rsid w:val="00B211E6"/>
    <w:rsid w:val="00B21557"/>
    <w:rsid w:val="00B215DD"/>
    <w:rsid w:val="00B21604"/>
    <w:rsid w:val="00B2196D"/>
    <w:rsid w:val="00B219AC"/>
    <w:rsid w:val="00B21D9A"/>
    <w:rsid w:val="00B21E58"/>
    <w:rsid w:val="00B220CD"/>
    <w:rsid w:val="00B2267B"/>
    <w:rsid w:val="00B227F7"/>
    <w:rsid w:val="00B22B59"/>
    <w:rsid w:val="00B22C4F"/>
    <w:rsid w:val="00B22D8D"/>
    <w:rsid w:val="00B233B6"/>
    <w:rsid w:val="00B2347E"/>
    <w:rsid w:val="00B2348B"/>
    <w:rsid w:val="00B234D7"/>
    <w:rsid w:val="00B2354E"/>
    <w:rsid w:val="00B23572"/>
    <w:rsid w:val="00B235C1"/>
    <w:rsid w:val="00B23892"/>
    <w:rsid w:val="00B23954"/>
    <w:rsid w:val="00B23A3F"/>
    <w:rsid w:val="00B23B70"/>
    <w:rsid w:val="00B23C6F"/>
    <w:rsid w:val="00B23FD1"/>
    <w:rsid w:val="00B2404A"/>
    <w:rsid w:val="00B2406D"/>
    <w:rsid w:val="00B242E0"/>
    <w:rsid w:val="00B2453C"/>
    <w:rsid w:val="00B2494B"/>
    <w:rsid w:val="00B24D95"/>
    <w:rsid w:val="00B24F73"/>
    <w:rsid w:val="00B25214"/>
    <w:rsid w:val="00B253B0"/>
    <w:rsid w:val="00B25672"/>
    <w:rsid w:val="00B25A18"/>
    <w:rsid w:val="00B25BB4"/>
    <w:rsid w:val="00B25BDA"/>
    <w:rsid w:val="00B25DD9"/>
    <w:rsid w:val="00B26163"/>
    <w:rsid w:val="00B26253"/>
    <w:rsid w:val="00B262B0"/>
    <w:rsid w:val="00B263FA"/>
    <w:rsid w:val="00B26826"/>
    <w:rsid w:val="00B269A5"/>
    <w:rsid w:val="00B269ED"/>
    <w:rsid w:val="00B269F8"/>
    <w:rsid w:val="00B26A8C"/>
    <w:rsid w:val="00B26B53"/>
    <w:rsid w:val="00B26C22"/>
    <w:rsid w:val="00B26C61"/>
    <w:rsid w:val="00B26EB7"/>
    <w:rsid w:val="00B26FD5"/>
    <w:rsid w:val="00B270F3"/>
    <w:rsid w:val="00B2728B"/>
    <w:rsid w:val="00B273AC"/>
    <w:rsid w:val="00B27565"/>
    <w:rsid w:val="00B27664"/>
    <w:rsid w:val="00B276F4"/>
    <w:rsid w:val="00B278EB"/>
    <w:rsid w:val="00B27A08"/>
    <w:rsid w:val="00B27A5A"/>
    <w:rsid w:val="00B27D7E"/>
    <w:rsid w:val="00B27D99"/>
    <w:rsid w:val="00B27E13"/>
    <w:rsid w:val="00B27ED6"/>
    <w:rsid w:val="00B3002D"/>
    <w:rsid w:val="00B301C4"/>
    <w:rsid w:val="00B30284"/>
    <w:rsid w:val="00B302D0"/>
    <w:rsid w:val="00B30330"/>
    <w:rsid w:val="00B3047F"/>
    <w:rsid w:val="00B305A4"/>
    <w:rsid w:val="00B30831"/>
    <w:rsid w:val="00B30929"/>
    <w:rsid w:val="00B30A37"/>
    <w:rsid w:val="00B30A7A"/>
    <w:rsid w:val="00B30C7F"/>
    <w:rsid w:val="00B30D02"/>
    <w:rsid w:val="00B30D2D"/>
    <w:rsid w:val="00B30D53"/>
    <w:rsid w:val="00B314A0"/>
    <w:rsid w:val="00B31808"/>
    <w:rsid w:val="00B31B1D"/>
    <w:rsid w:val="00B31F9E"/>
    <w:rsid w:val="00B31FDB"/>
    <w:rsid w:val="00B3207C"/>
    <w:rsid w:val="00B32084"/>
    <w:rsid w:val="00B32130"/>
    <w:rsid w:val="00B3217D"/>
    <w:rsid w:val="00B322CC"/>
    <w:rsid w:val="00B32455"/>
    <w:rsid w:val="00B3245C"/>
    <w:rsid w:val="00B3253C"/>
    <w:rsid w:val="00B32700"/>
    <w:rsid w:val="00B32818"/>
    <w:rsid w:val="00B32B22"/>
    <w:rsid w:val="00B32E46"/>
    <w:rsid w:val="00B3301F"/>
    <w:rsid w:val="00B33231"/>
    <w:rsid w:val="00B3343F"/>
    <w:rsid w:val="00B335A5"/>
    <w:rsid w:val="00B33616"/>
    <w:rsid w:val="00B336B4"/>
    <w:rsid w:val="00B337CE"/>
    <w:rsid w:val="00B33956"/>
    <w:rsid w:val="00B339DB"/>
    <w:rsid w:val="00B33A39"/>
    <w:rsid w:val="00B33D59"/>
    <w:rsid w:val="00B33F00"/>
    <w:rsid w:val="00B33FD7"/>
    <w:rsid w:val="00B3418D"/>
    <w:rsid w:val="00B34C04"/>
    <w:rsid w:val="00B34D4F"/>
    <w:rsid w:val="00B34E51"/>
    <w:rsid w:val="00B3500A"/>
    <w:rsid w:val="00B350FE"/>
    <w:rsid w:val="00B35102"/>
    <w:rsid w:val="00B35162"/>
    <w:rsid w:val="00B352A7"/>
    <w:rsid w:val="00B353E9"/>
    <w:rsid w:val="00B3540E"/>
    <w:rsid w:val="00B3557D"/>
    <w:rsid w:val="00B3559C"/>
    <w:rsid w:val="00B355EB"/>
    <w:rsid w:val="00B35AEC"/>
    <w:rsid w:val="00B35D86"/>
    <w:rsid w:val="00B3604F"/>
    <w:rsid w:val="00B36207"/>
    <w:rsid w:val="00B36665"/>
    <w:rsid w:val="00B3671E"/>
    <w:rsid w:val="00B367AC"/>
    <w:rsid w:val="00B369B3"/>
    <w:rsid w:val="00B36A8E"/>
    <w:rsid w:val="00B36D21"/>
    <w:rsid w:val="00B36FC4"/>
    <w:rsid w:val="00B372F0"/>
    <w:rsid w:val="00B37340"/>
    <w:rsid w:val="00B373B2"/>
    <w:rsid w:val="00B375C6"/>
    <w:rsid w:val="00B376BE"/>
    <w:rsid w:val="00B37837"/>
    <w:rsid w:val="00B378D9"/>
    <w:rsid w:val="00B379CD"/>
    <w:rsid w:val="00B37ADC"/>
    <w:rsid w:val="00B37B35"/>
    <w:rsid w:val="00B37E99"/>
    <w:rsid w:val="00B37EAA"/>
    <w:rsid w:val="00B40131"/>
    <w:rsid w:val="00B4027F"/>
    <w:rsid w:val="00B40285"/>
    <w:rsid w:val="00B403A6"/>
    <w:rsid w:val="00B40474"/>
    <w:rsid w:val="00B404B2"/>
    <w:rsid w:val="00B405A5"/>
    <w:rsid w:val="00B40646"/>
    <w:rsid w:val="00B4095E"/>
    <w:rsid w:val="00B40B19"/>
    <w:rsid w:val="00B40B51"/>
    <w:rsid w:val="00B40EA5"/>
    <w:rsid w:val="00B40EF2"/>
    <w:rsid w:val="00B410E2"/>
    <w:rsid w:val="00B410F1"/>
    <w:rsid w:val="00B41559"/>
    <w:rsid w:val="00B41610"/>
    <w:rsid w:val="00B4163E"/>
    <w:rsid w:val="00B4188F"/>
    <w:rsid w:val="00B41979"/>
    <w:rsid w:val="00B419E3"/>
    <w:rsid w:val="00B41B0D"/>
    <w:rsid w:val="00B41B71"/>
    <w:rsid w:val="00B41CF2"/>
    <w:rsid w:val="00B41D6A"/>
    <w:rsid w:val="00B42320"/>
    <w:rsid w:val="00B4239F"/>
    <w:rsid w:val="00B424D1"/>
    <w:rsid w:val="00B4256D"/>
    <w:rsid w:val="00B42C69"/>
    <w:rsid w:val="00B42CE2"/>
    <w:rsid w:val="00B42F03"/>
    <w:rsid w:val="00B42F06"/>
    <w:rsid w:val="00B43197"/>
    <w:rsid w:val="00B431E8"/>
    <w:rsid w:val="00B434D9"/>
    <w:rsid w:val="00B43637"/>
    <w:rsid w:val="00B43911"/>
    <w:rsid w:val="00B43993"/>
    <w:rsid w:val="00B43A15"/>
    <w:rsid w:val="00B43FA6"/>
    <w:rsid w:val="00B4413A"/>
    <w:rsid w:val="00B4437D"/>
    <w:rsid w:val="00B4459E"/>
    <w:rsid w:val="00B446F5"/>
    <w:rsid w:val="00B4475A"/>
    <w:rsid w:val="00B4485B"/>
    <w:rsid w:val="00B448A8"/>
    <w:rsid w:val="00B44B49"/>
    <w:rsid w:val="00B44E66"/>
    <w:rsid w:val="00B44F58"/>
    <w:rsid w:val="00B45087"/>
    <w:rsid w:val="00B450E2"/>
    <w:rsid w:val="00B4512F"/>
    <w:rsid w:val="00B4526B"/>
    <w:rsid w:val="00B4531F"/>
    <w:rsid w:val="00B456B8"/>
    <w:rsid w:val="00B4580D"/>
    <w:rsid w:val="00B45C0D"/>
    <w:rsid w:val="00B45CCB"/>
    <w:rsid w:val="00B45DBD"/>
    <w:rsid w:val="00B45F30"/>
    <w:rsid w:val="00B45FDD"/>
    <w:rsid w:val="00B461C4"/>
    <w:rsid w:val="00B461F6"/>
    <w:rsid w:val="00B46218"/>
    <w:rsid w:val="00B46290"/>
    <w:rsid w:val="00B462AC"/>
    <w:rsid w:val="00B4658C"/>
    <w:rsid w:val="00B46797"/>
    <w:rsid w:val="00B469A7"/>
    <w:rsid w:val="00B46A6F"/>
    <w:rsid w:val="00B46D05"/>
    <w:rsid w:val="00B46DF4"/>
    <w:rsid w:val="00B46F36"/>
    <w:rsid w:val="00B46F50"/>
    <w:rsid w:val="00B4715F"/>
    <w:rsid w:val="00B471AA"/>
    <w:rsid w:val="00B479D4"/>
    <w:rsid w:val="00B47E19"/>
    <w:rsid w:val="00B500D4"/>
    <w:rsid w:val="00B5026A"/>
    <w:rsid w:val="00B5089C"/>
    <w:rsid w:val="00B5098C"/>
    <w:rsid w:val="00B50AAD"/>
    <w:rsid w:val="00B50B33"/>
    <w:rsid w:val="00B50D37"/>
    <w:rsid w:val="00B50F97"/>
    <w:rsid w:val="00B51221"/>
    <w:rsid w:val="00B5152F"/>
    <w:rsid w:val="00B5162A"/>
    <w:rsid w:val="00B516E6"/>
    <w:rsid w:val="00B51A2E"/>
    <w:rsid w:val="00B51B53"/>
    <w:rsid w:val="00B51BBD"/>
    <w:rsid w:val="00B51FCC"/>
    <w:rsid w:val="00B5206E"/>
    <w:rsid w:val="00B52211"/>
    <w:rsid w:val="00B522A7"/>
    <w:rsid w:val="00B522E9"/>
    <w:rsid w:val="00B52607"/>
    <w:rsid w:val="00B52845"/>
    <w:rsid w:val="00B5297E"/>
    <w:rsid w:val="00B529E4"/>
    <w:rsid w:val="00B52CFF"/>
    <w:rsid w:val="00B5305D"/>
    <w:rsid w:val="00B5334F"/>
    <w:rsid w:val="00B53702"/>
    <w:rsid w:val="00B53A2F"/>
    <w:rsid w:val="00B53AB5"/>
    <w:rsid w:val="00B53B83"/>
    <w:rsid w:val="00B53E03"/>
    <w:rsid w:val="00B5404F"/>
    <w:rsid w:val="00B5413A"/>
    <w:rsid w:val="00B541BF"/>
    <w:rsid w:val="00B54645"/>
    <w:rsid w:val="00B547E4"/>
    <w:rsid w:val="00B54A4A"/>
    <w:rsid w:val="00B54B8F"/>
    <w:rsid w:val="00B54C85"/>
    <w:rsid w:val="00B54CD6"/>
    <w:rsid w:val="00B54D5B"/>
    <w:rsid w:val="00B54FFF"/>
    <w:rsid w:val="00B55019"/>
    <w:rsid w:val="00B55032"/>
    <w:rsid w:val="00B5507A"/>
    <w:rsid w:val="00B5591D"/>
    <w:rsid w:val="00B559F8"/>
    <w:rsid w:val="00B55A2E"/>
    <w:rsid w:val="00B55E8B"/>
    <w:rsid w:val="00B55EC2"/>
    <w:rsid w:val="00B56044"/>
    <w:rsid w:val="00B563C6"/>
    <w:rsid w:val="00B56465"/>
    <w:rsid w:val="00B56558"/>
    <w:rsid w:val="00B5663F"/>
    <w:rsid w:val="00B56C2B"/>
    <w:rsid w:val="00B56CED"/>
    <w:rsid w:val="00B56F05"/>
    <w:rsid w:val="00B5700C"/>
    <w:rsid w:val="00B570E5"/>
    <w:rsid w:val="00B57202"/>
    <w:rsid w:val="00B573DA"/>
    <w:rsid w:val="00B57473"/>
    <w:rsid w:val="00B576B0"/>
    <w:rsid w:val="00B57813"/>
    <w:rsid w:val="00B57984"/>
    <w:rsid w:val="00B57A48"/>
    <w:rsid w:val="00B57B68"/>
    <w:rsid w:val="00B57B84"/>
    <w:rsid w:val="00B57BAE"/>
    <w:rsid w:val="00B57EB7"/>
    <w:rsid w:val="00B57FB3"/>
    <w:rsid w:val="00B6017F"/>
    <w:rsid w:val="00B602A6"/>
    <w:rsid w:val="00B60596"/>
    <w:rsid w:val="00B6065C"/>
    <w:rsid w:val="00B60798"/>
    <w:rsid w:val="00B60947"/>
    <w:rsid w:val="00B60C07"/>
    <w:rsid w:val="00B60CC3"/>
    <w:rsid w:val="00B60E84"/>
    <w:rsid w:val="00B61679"/>
    <w:rsid w:val="00B6172B"/>
    <w:rsid w:val="00B61740"/>
    <w:rsid w:val="00B61807"/>
    <w:rsid w:val="00B61DF4"/>
    <w:rsid w:val="00B6213D"/>
    <w:rsid w:val="00B625DE"/>
    <w:rsid w:val="00B62909"/>
    <w:rsid w:val="00B62DBA"/>
    <w:rsid w:val="00B6351F"/>
    <w:rsid w:val="00B6359C"/>
    <w:rsid w:val="00B63658"/>
    <w:rsid w:val="00B636F6"/>
    <w:rsid w:val="00B6382C"/>
    <w:rsid w:val="00B63959"/>
    <w:rsid w:val="00B63AA2"/>
    <w:rsid w:val="00B63B0E"/>
    <w:rsid w:val="00B63C4F"/>
    <w:rsid w:val="00B63DD5"/>
    <w:rsid w:val="00B63E03"/>
    <w:rsid w:val="00B63EB6"/>
    <w:rsid w:val="00B63EEF"/>
    <w:rsid w:val="00B642AB"/>
    <w:rsid w:val="00B642B5"/>
    <w:rsid w:val="00B64359"/>
    <w:rsid w:val="00B64384"/>
    <w:rsid w:val="00B645B1"/>
    <w:rsid w:val="00B645CA"/>
    <w:rsid w:val="00B647BA"/>
    <w:rsid w:val="00B64A59"/>
    <w:rsid w:val="00B64D8F"/>
    <w:rsid w:val="00B64F39"/>
    <w:rsid w:val="00B64FD9"/>
    <w:rsid w:val="00B64FEB"/>
    <w:rsid w:val="00B65126"/>
    <w:rsid w:val="00B65313"/>
    <w:rsid w:val="00B656EE"/>
    <w:rsid w:val="00B6576D"/>
    <w:rsid w:val="00B65845"/>
    <w:rsid w:val="00B65F0B"/>
    <w:rsid w:val="00B65F38"/>
    <w:rsid w:val="00B6603A"/>
    <w:rsid w:val="00B6697C"/>
    <w:rsid w:val="00B670D0"/>
    <w:rsid w:val="00B67739"/>
    <w:rsid w:val="00B67878"/>
    <w:rsid w:val="00B678B0"/>
    <w:rsid w:val="00B67B00"/>
    <w:rsid w:val="00B67BFD"/>
    <w:rsid w:val="00B67C6F"/>
    <w:rsid w:val="00B67E14"/>
    <w:rsid w:val="00B67E75"/>
    <w:rsid w:val="00B67EDD"/>
    <w:rsid w:val="00B67EEE"/>
    <w:rsid w:val="00B700A1"/>
    <w:rsid w:val="00B70336"/>
    <w:rsid w:val="00B7070E"/>
    <w:rsid w:val="00B70828"/>
    <w:rsid w:val="00B70B54"/>
    <w:rsid w:val="00B70D31"/>
    <w:rsid w:val="00B70D56"/>
    <w:rsid w:val="00B712D0"/>
    <w:rsid w:val="00B7134E"/>
    <w:rsid w:val="00B7136C"/>
    <w:rsid w:val="00B713A1"/>
    <w:rsid w:val="00B7186E"/>
    <w:rsid w:val="00B718A6"/>
    <w:rsid w:val="00B71A27"/>
    <w:rsid w:val="00B71D04"/>
    <w:rsid w:val="00B71DCA"/>
    <w:rsid w:val="00B71FA6"/>
    <w:rsid w:val="00B72202"/>
    <w:rsid w:val="00B72391"/>
    <w:rsid w:val="00B72705"/>
    <w:rsid w:val="00B729E6"/>
    <w:rsid w:val="00B72B6C"/>
    <w:rsid w:val="00B72CEA"/>
    <w:rsid w:val="00B72DE6"/>
    <w:rsid w:val="00B73045"/>
    <w:rsid w:val="00B7306C"/>
    <w:rsid w:val="00B73287"/>
    <w:rsid w:val="00B734B9"/>
    <w:rsid w:val="00B73509"/>
    <w:rsid w:val="00B735C4"/>
    <w:rsid w:val="00B7399F"/>
    <w:rsid w:val="00B73C37"/>
    <w:rsid w:val="00B73C4D"/>
    <w:rsid w:val="00B73ECE"/>
    <w:rsid w:val="00B7411F"/>
    <w:rsid w:val="00B7441A"/>
    <w:rsid w:val="00B74630"/>
    <w:rsid w:val="00B747DE"/>
    <w:rsid w:val="00B74914"/>
    <w:rsid w:val="00B74CEE"/>
    <w:rsid w:val="00B7540E"/>
    <w:rsid w:val="00B7544B"/>
    <w:rsid w:val="00B75771"/>
    <w:rsid w:val="00B7591E"/>
    <w:rsid w:val="00B75BC7"/>
    <w:rsid w:val="00B75C0A"/>
    <w:rsid w:val="00B75C95"/>
    <w:rsid w:val="00B75CF1"/>
    <w:rsid w:val="00B75D66"/>
    <w:rsid w:val="00B75DE7"/>
    <w:rsid w:val="00B75FDD"/>
    <w:rsid w:val="00B7605E"/>
    <w:rsid w:val="00B7615E"/>
    <w:rsid w:val="00B7636F"/>
    <w:rsid w:val="00B766C1"/>
    <w:rsid w:val="00B7678F"/>
    <w:rsid w:val="00B767B2"/>
    <w:rsid w:val="00B76AC4"/>
    <w:rsid w:val="00B76B55"/>
    <w:rsid w:val="00B76FE5"/>
    <w:rsid w:val="00B770F2"/>
    <w:rsid w:val="00B775C9"/>
    <w:rsid w:val="00B77760"/>
    <w:rsid w:val="00B77D0E"/>
    <w:rsid w:val="00B77E62"/>
    <w:rsid w:val="00B77F12"/>
    <w:rsid w:val="00B77F9F"/>
    <w:rsid w:val="00B80015"/>
    <w:rsid w:val="00B8067B"/>
    <w:rsid w:val="00B808BE"/>
    <w:rsid w:val="00B808EF"/>
    <w:rsid w:val="00B80995"/>
    <w:rsid w:val="00B80A81"/>
    <w:rsid w:val="00B80C4F"/>
    <w:rsid w:val="00B80D43"/>
    <w:rsid w:val="00B80E48"/>
    <w:rsid w:val="00B80F4C"/>
    <w:rsid w:val="00B81177"/>
    <w:rsid w:val="00B811B2"/>
    <w:rsid w:val="00B81801"/>
    <w:rsid w:val="00B818B9"/>
    <w:rsid w:val="00B8198E"/>
    <w:rsid w:val="00B81B83"/>
    <w:rsid w:val="00B81EC3"/>
    <w:rsid w:val="00B81F06"/>
    <w:rsid w:val="00B8214E"/>
    <w:rsid w:val="00B82198"/>
    <w:rsid w:val="00B821A4"/>
    <w:rsid w:val="00B826AE"/>
    <w:rsid w:val="00B82B70"/>
    <w:rsid w:val="00B82BE5"/>
    <w:rsid w:val="00B8302C"/>
    <w:rsid w:val="00B8361F"/>
    <w:rsid w:val="00B8373E"/>
    <w:rsid w:val="00B839B2"/>
    <w:rsid w:val="00B83B9F"/>
    <w:rsid w:val="00B83CDA"/>
    <w:rsid w:val="00B83D04"/>
    <w:rsid w:val="00B83DA6"/>
    <w:rsid w:val="00B84021"/>
    <w:rsid w:val="00B84175"/>
    <w:rsid w:val="00B841AD"/>
    <w:rsid w:val="00B8437F"/>
    <w:rsid w:val="00B845CB"/>
    <w:rsid w:val="00B8464F"/>
    <w:rsid w:val="00B846D8"/>
    <w:rsid w:val="00B84CE5"/>
    <w:rsid w:val="00B85264"/>
    <w:rsid w:val="00B8526D"/>
    <w:rsid w:val="00B85815"/>
    <w:rsid w:val="00B8593B"/>
    <w:rsid w:val="00B85B30"/>
    <w:rsid w:val="00B85B8A"/>
    <w:rsid w:val="00B85B8F"/>
    <w:rsid w:val="00B85FD2"/>
    <w:rsid w:val="00B86092"/>
    <w:rsid w:val="00B862E2"/>
    <w:rsid w:val="00B86300"/>
    <w:rsid w:val="00B865A3"/>
    <w:rsid w:val="00B8662E"/>
    <w:rsid w:val="00B866FD"/>
    <w:rsid w:val="00B867B8"/>
    <w:rsid w:val="00B867C3"/>
    <w:rsid w:val="00B86C59"/>
    <w:rsid w:val="00B86C84"/>
    <w:rsid w:val="00B86DF6"/>
    <w:rsid w:val="00B86E4A"/>
    <w:rsid w:val="00B86F74"/>
    <w:rsid w:val="00B87022"/>
    <w:rsid w:val="00B87236"/>
    <w:rsid w:val="00B872CB"/>
    <w:rsid w:val="00B87315"/>
    <w:rsid w:val="00B87679"/>
    <w:rsid w:val="00B876A2"/>
    <w:rsid w:val="00B876EB"/>
    <w:rsid w:val="00B879AD"/>
    <w:rsid w:val="00B87A66"/>
    <w:rsid w:val="00B87C40"/>
    <w:rsid w:val="00B87C96"/>
    <w:rsid w:val="00B87E1E"/>
    <w:rsid w:val="00B90012"/>
    <w:rsid w:val="00B90138"/>
    <w:rsid w:val="00B90230"/>
    <w:rsid w:val="00B904DB"/>
    <w:rsid w:val="00B90620"/>
    <w:rsid w:val="00B90773"/>
    <w:rsid w:val="00B908B5"/>
    <w:rsid w:val="00B90A95"/>
    <w:rsid w:val="00B90B2E"/>
    <w:rsid w:val="00B90B8E"/>
    <w:rsid w:val="00B90D0B"/>
    <w:rsid w:val="00B91072"/>
    <w:rsid w:val="00B9148F"/>
    <w:rsid w:val="00B916BB"/>
    <w:rsid w:val="00B9185B"/>
    <w:rsid w:val="00B91944"/>
    <w:rsid w:val="00B919A2"/>
    <w:rsid w:val="00B919C8"/>
    <w:rsid w:val="00B91A7C"/>
    <w:rsid w:val="00B920C4"/>
    <w:rsid w:val="00B9229D"/>
    <w:rsid w:val="00B9232C"/>
    <w:rsid w:val="00B92558"/>
    <w:rsid w:val="00B927BA"/>
    <w:rsid w:val="00B928D6"/>
    <w:rsid w:val="00B92B89"/>
    <w:rsid w:val="00B92D39"/>
    <w:rsid w:val="00B92D43"/>
    <w:rsid w:val="00B92FC3"/>
    <w:rsid w:val="00B9308B"/>
    <w:rsid w:val="00B93513"/>
    <w:rsid w:val="00B93AF9"/>
    <w:rsid w:val="00B93C87"/>
    <w:rsid w:val="00B93CEF"/>
    <w:rsid w:val="00B93CF5"/>
    <w:rsid w:val="00B93DA9"/>
    <w:rsid w:val="00B93E02"/>
    <w:rsid w:val="00B93E03"/>
    <w:rsid w:val="00B93E12"/>
    <w:rsid w:val="00B93F06"/>
    <w:rsid w:val="00B94298"/>
    <w:rsid w:val="00B943D9"/>
    <w:rsid w:val="00B94418"/>
    <w:rsid w:val="00B946CB"/>
    <w:rsid w:val="00B949FF"/>
    <w:rsid w:val="00B94B30"/>
    <w:rsid w:val="00B94C79"/>
    <w:rsid w:val="00B94DDB"/>
    <w:rsid w:val="00B950C9"/>
    <w:rsid w:val="00B955E6"/>
    <w:rsid w:val="00B95671"/>
    <w:rsid w:val="00B957D3"/>
    <w:rsid w:val="00B95A4F"/>
    <w:rsid w:val="00B95C0A"/>
    <w:rsid w:val="00B95E8E"/>
    <w:rsid w:val="00B95EA1"/>
    <w:rsid w:val="00B961D9"/>
    <w:rsid w:val="00B96362"/>
    <w:rsid w:val="00B96626"/>
    <w:rsid w:val="00B968D9"/>
    <w:rsid w:val="00B96C3B"/>
    <w:rsid w:val="00B96E87"/>
    <w:rsid w:val="00B9706D"/>
    <w:rsid w:val="00B971CC"/>
    <w:rsid w:val="00B972A6"/>
    <w:rsid w:val="00B9736A"/>
    <w:rsid w:val="00B973F7"/>
    <w:rsid w:val="00B975FD"/>
    <w:rsid w:val="00B97817"/>
    <w:rsid w:val="00B979E5"/>
    <w:rsid w:val="00B97B09"/>
    <w:rsid w:val="00B97D06"/>
    <w:rsid w:val="00B97E77"/>
    <w:rsid w:val="00BA0174"/>
    <w:rsid w:val="00BA024A"/>
    <w:rsid w:val="00BA03DD"/>
    <w:rsid w:val="00BA046F"/>
    <w:rsid w:val="00BA058C"/>
    <w:rsid w:val="00BA05D5"/>
    <w:rsid w:val="00BA061F"/>
    <w:rsid w:val="00BA066D"/>
    <w:rsid w:val="00BA0A5E"/>
    <w:rsid w:val="00BA0AEA"/>
    <w:rsid w:val="00BA0B09"/>
    <w:rsid w:val="00BA0F22"/>
    <w:rsid w:val="00BA122D"/>
    <w:rsid w:val="00BA13D1"/>
    <w:rsid w:val="00BA1466"/>
    <w:rsid w:val="00BA14C7"/>
    <w:rsid w:val="00BA15AD"/>
    <w:rsid w:val="00BA15E0"/>
    <w:rsid w:val="00BA163D"/>
    <w:rsid w:val="00BA18A5"/>
    <w:rsid w:val="00BA1AB9"/>
    <w:rsid w:val="00BA1E1A"/>
    <w:rsid w:val="00BA1E94"/>
    <w:rsid w:val="00BA1EB7"/>
    <w:rsid w:val="00BA2056"/>
    <w:rsid w:val="00BA2216"/>
    <w:rsid w:val="00BA230F"/>
    <w:rsid w:val="00BA23B0"/>
    <w:rsid w:val="00BA266F"/>
    <w:rsid w:val="00BA2778"/>
    <w:rsid w:val="00BA28A0"/>
    <w:rsid w:val="00BA2A2D"/>
    <w:rsid w:val="00BA2BAA"/>
    <w:rsid w:val="00BA2D1F"/>
    <w:rsid w:val="00BA3056"/>
    <w:rsid w:val="00BA305F"/>
    <w:rsid w:val="00BA31A0"/>
    <w:rsid w:val="00BA3552"/>
    <w:rsid w:val="00BA3577"/>
    <w:rsid w:val="00BA3739"/>
    <w:rsid w:val="00BA38CC"/>
    <w:rsid w:val="00BA39B1"/>
    <w:rsid w:val="00BA3DD0"/>
    <w:rsid w:val="00BA420C"/>
    <w:rsid w:val="00BA441C"/>
    <w:rsid w:val="00BA44A3"/>
    <w:rsid w:val="00BA463D"/>
    <w:rsid w:val="00BA4668"/>
    <w:rsid w:val="00BA47E9"/>
    <w:rsid w:val="00BA4A25"/>
    <w:rsid w:val="00BA4A30"/>
    <w:rsid w:val="00BA4A64"/>
    <w:rsid w:val="00BA4E3C"/>
    <w:rsid w:val="00BA4E69"/>
    <w:rsid w:val="00BA4F2C"/>
    <w:rsid w:val="00BA4F88"/>
    <w:rsid w:val="00BA4FD3"/>
    <w:rsid w:val="00BA506C"/>
    <w:rsid w:val="00BA5186"/>
    <w:rsid w:val="00BA5477"/>
    <w:rsid w:val="00BA548F"/>
    <w:rsid w:val="00BA54BE"/>
    <w:rsid w:val="00BA552C"/>
    <w:rsid w:val="00BA559A"/>
    <w:rsid w:val="00BA586B"/>
    <w:rsid w:val="00BA58CE"/>
    <w:rsid w:val="00BA5A34"/>
    <w:rsid w:val="00BA5A59"/>
    <w:rsid w:val="00BA5C55"/>
    <w:rsid w:val="00BA6096"/>
    <w:rsid w:val="00BA613B"/>
    <w:rsid w:val="00BA61D1"/>
    <w:rsid w:val="00BA64DE"/>
    <w:rsid w:val="00BA662A"/>
    <w:rsid w:val="00BA671B"/>
    <w:rsid w:val="00BA685E"/>
    <w:rsid w:val="00BA6D99"/>
    <w:rsid w:val="00BA6DD0"/>
    <w:rsid w:val="00BA6E21"/>
    <w:rsid w:val="00BA7088"/>
    <w:rsid w:val="00BA713C"/>
    <w:rsid w:val="00BA735B"/>
    <w:rsid w:val="00BA7457"/>
    <w:rsid w:val="00BA76FF"/>
    <w:rsid w:val="00BA79CC"/>
    <w:rsid w:val="00BA7AB2"/>
    <w:rsid w:val="00BA7AF1"/>
    <w:rsid w:val="00BA7B45"/>
    <w:rsid w:val="00BA7B7E"/>
    <w:rsid w:val="00BA7D5B"/>
    <w:rsid w:val="00BA7E00"/>
    <w:rsid w:val="00BA7F3B"/>
    <w:rsid w:val="00BB005E"/>
    <w:rsid w:val="00BB012A"/>
    <w:rsid w:val="00BB0665"/>
    <w:rsid w:val="00BB0A29"/>
    <w:rsid w:val="00BB0A2F"/>
    <w:rsid w:val="00BB0A48"/>
    <w:rsid w:val="00BB0E77"/>
    <w:rsid w:val="00BB127F"/>
    <w:rsid w:val="00BB1290"/>
    <w:rsid w:val="00BB142A"/>
    <w:rsid w:val="00BB1666"/>
    <w:rsid w:val="00BB173C"/>
    <w:rsid w:val="00BB1747"/>
    <w:rsid w:val="00BB17DE"/>
    <w:rsid w:val="00BB1D3A"/>
    <w:rsid w:val="00BB1F18"/>
    <w:rsid w:val="00BB1F31"/>
    <w:rsid w:val="00BB1F5D"/>
    <w:rsid w:val="00BB2731"/>
    <w:rsid w:val="00BB2B72"/>
    <w:rsid w:val="00BB2C36"/>
    <w:rsid w:val="00BB2CA1"/>
    <w:rsid w:val="00BB2DA2"/>
    <w:rsid w:val="00BB2DC3"/>
    <w:rsid w:val="00BB2E81"/>
    <w:rsid w:val="00BB2E97"/>
    <w:rsid w:val="00BB3573"/>
    <w:rsid w:val="00BB36F2"/>
    <w:rsid w:val="00BB372B"/>
    <w:rsid w:val="00BB3B75"/>
    <w:rsid w:val="00BB3B7D"/>
    <w:rsid w:val="00BB3F69"/>
    <w:rsid w:val="00BB42ED"/>
    <w:rsid w:val="00BB4366"/>
    <w:rsid w:val="00BB458A"/>
    <w:rsid w:val="00BB45F9"/>
    <w:rsid w:val="00BB47A0"/>
    <w:rsid w:val="00BB49FA"/>
    <w:rsid w:val="00BB4A37"/>
    <w:rsid w:val="00BB4A71"/>
    <w:rsid w:val="00BB4ABA"/>
    <w:rsid w:val="00BB4D70"/>
    <w:rsid w:val="00BB5113"/>
    <w:rsid w:val="00BB5205"/>
    <w:rsid w:val="00BB5243"/>
    <w:rsid w:val="00BB5295"/>
    <w:rsid w:val="00BB5448"/>
    <w:rsid w:val="00BB5518"/>
    <w:rsid w:val="00BB5B17"/>
    <w:rsid w:val="00BB5C17"/>
    <w:rsid w:val="00BB5E0E"/>
    <w:rsid w:val="00BB61C0"/>
    <w:rsid w:val="00BB64B3"/>
    <w:rsid w:val="00BB677F"/>
    <w:rsid w:val="00BB6979"/>
    <w:rsid w:val="00BB6AE3"/>
    <w:rsid w:val="00BB7105"/>
    <w:rsid w:val="00BB714E"/>
    <w:rsid w:val="00BB71A7"/>
    <w:rsid w:val="00BB7285"/>
    <w:rsid w:val="00BB7817"/>
    <w:rsid w:val="00BB7D6A"/>
    <w:rsid w:val="00BB7DC1"/>
    <w:rsid w:val="00BC0050"/>
    <w:rsid w:val="00BC0144"/>
    <w:rsid w:val="00BC0264"/>
    <w:rsid w:val="00BC04A2"/>
    <w:rsid w:val="00BC08E8"/>
    <w:rsid w:val="00BC0BC0"/>
    <w:rsid w:val="00BC0C21"/>
    <w:rsid w:val="00BC0F3F"/>
    <w:rsid w:val="00BC10F2"/>
    <w:rsid w:val="00BC1446"/>
    <w:rsid w:val="00BC14BB"/>
    <w:rsid w:val="00BC1625"/>
    <w:rsid w:val="00BC17E6"/>
    <w:rsid w:val="00BC1833"/>
    <w:rsid w:val="00BC1B23"/>
    <w:rsid w:val="00BC1B75"/>
    <w:rsid w:val="00BC1BDE"/>
    <w:rsid w:val="00BC1CBE"/>
    <w:rsid w:val="00BC1E25"/>
    <w:rsid w:val="00BC1E7B"/>
    <w:rsid w:val="00BC2095"/>
    <w:rsid w:val="00BC2160"/>
    <w:rsid w:val="00BC2380"/>
    <w:rsid w:val="00BC24FC"/>
    <w:rsid w:val="00BC28EC"/>
    <w:rsid w:val="00BC2940"/>
    <w:rsid w:val="00BC29EA"/>
    <w:rsid w:val="00BC2AC0"/>
    <w:rsid w:val="00BC2DE1"/>
    <w:rsid w:val="00BC2E2B"/>
    <w:rsid w:val="00BC3724"/>
    <w:rsid w:val="00BC3743"/>
    <w:rsid w:val="00BC39D4"/>
    <w:rsid w:val="00BC3AA6"/>
    <w:rsid w:val="00BC3E73"/>
    <w:rsid w:val="00BC3F17"/>
    <w:rsid w:val="00BC4153"/>
    <w:rsid w:val="00BC4157"/>
    <w:rsid w:val="00BC442F"/>
    <w:rsid w:val="00BC44D1"/>
    <w:rsid w:val="00BC4A06"/>
    <w:rsid w:val="00BC4BCB"/>
    <w:rsid w:val="00BC4DCE"/>
    <w:rsid w:val="00BC4ED8"/>
    <w:rsid w:val="00BC4F17"/>
    <w:rsid w:val="00BC5318"/>
    <w:rsid w:val="00BC5374"/>
    <w:rsid w:val="00BC56C2"/>
    <w:rsid w:val="00BC572F"/>
    <w:rsid w:val="00BC586B"/>
    <w:rsid w:val="00BC5930"/>
    <w:rsid w:val="00BC5B3C"/>
    <w:rsid w:val="00BC5C5F"/>
    <w:rsid w:val="00BC5DCA"/>
    <w:rsid w:val="00BC5E44"/>
    <w:rsid w:val="00BC60F3"/>
    <w:rsid w:val="00BC6382"/>
    <w:rsid w:val="00BC65C2"/>
    <w:rsid w:val="00BC6620"/>
    <w:rsid w:val="00BC667C"/>
    <w:rsid w:val="00BC69FB"/>
    <w:rsid w:val="00BC6BA0"/>
    <w:rsid w:val="00BC6C58"/>
    <w:rsid w:val="00BC6DC6"/>
    <w:rsid w:val="00BC6E1F"/>
    <w:rsid w:val="00BC6EA1"/>
    <w:rsid w:val="00BC704E"/>
    <w:rsid w:val="00BC7064"/>
    <w:rsid w:val="00BC70CA"/>
    <w:rsid w:val="00BC7232"/>
    <w:rsid w:val="00BC7709"/>
    <w:rsid w:val="00BC7945"/>
    <w:rsid w:val="00BC79EC"/>
    <w:rsid w:val="00BC79F0"/>
    <w:rsid w:val="00BC7B77"/>
    <w:rsid w:val="00BD00B9"/>
    <w:rsid w:val="00BD011B"/>
    <w:rsid w:val="00BD021F"/>
    <w:rsid w:val="00BD0555"/>
    <w:rsid w:val="00BD09AF"/>
    <w:rsid w:val="00BD0BF9"/>
    <w:rsid w:val="00BD0CD8"/>
    <w:rsid w:val="00BD0D1E"/>
    <w:rsid w:val="00BD0F39"/>
    <w:rsid w:val="00BD103A"/>
    <w:rsid w:val="00BD10D7"/>
    <w:rsid w:val="00BD1182"/>
    <w:rsid w:val="00BD132B"/>
    <w:rsid w:val="00BD1424"/>
    <w:rsid w:val="00BD1489"/>
    <w:rsid w:val="00BD1679"/>
    <w:rsid w:val="00BD17DF"/>
    <w:rsid w:val="00BD1804"/>
    <w:rsid w:val="00BD18B8"/>
    <w:rsid w:val="00BD1919"/>
    <w:rsid w:val="00BD1A97"/>
    <w:rsid w:val="00BD1AE9"/>
    <w:rsid w:val="00BD1BA6"/>
    <w:rsid w:val="00BD1CB3"/>
    <w:rsid w:val="00BD1CD5"/>
    <w:rsid w:val="00BD22AC"/>
    <w:rsid w:val="00BD231A"/>
    <w:rsid w:val="00BD23E5"/>
    <w:rsid w:val="00BD25CD"/>
    <w:rsid w:val="00BD2A99"/>
    <w:rsid w:val="00BD2B23"/>
    <w:rsid w:val="00BD2E53"/>
    <w:rsid w:val="00BD2F74"/>
    <w:rsid w:val="00BD300D"/>
    <w:rsid w:val="00BD3176"/>
    <w:rsid w:val="00BD343B"/>
    <w:rsid w:val="00BD3446"/>
    <w:rsid w:val="00BD381E"/>
    <w:rsid w:val="00BD38AC"/>
    <w:rsid w:val="00BD39B7"/>
    <w:rsid w:val="00BD3D7B"/>
    <w:rsid w:val="00BD405B"/>
    <w:rsid w:val="00BD408D"/>
    <w:rsid w:val="00BD426C"/>
    <w:rsid w:val="00BD42B7"/>
    <w:rsid w:val="00BD4359"/>
    <w:rsid w:val="00BD45A2"/>
    <w:rsid w:val="00BD45D9"/>
    <w:rsid w:val="00BD45FC"/>
    <w:rsid w:val="00BD49DF"/>
    <w:rsid w:val="00BD4ACF"/>
    <w:rsid w:val="00BD4D3D"/>
    <w:rsid w:val="00BD4E28"/>
    <w:rsid w:val="00BD4F15"/>
    <w:rsid w:val="00BD516C"/>
    <w:rsid w:val="00BD54EB"/>
    <w:rsid w:val="00BD5972"/>
    <w:rsid w:val="00BD5D2B"/>
    <w:rsid w:val="00BD5EF0"/>
    <w:rsid w:val="00BD604E"/>
    <w:rsid w:val="00BD6093"/>
    <w:rsid w:val="00BD630F"/>
    <w:rsid w:val="00BD631A"/>
    <w:rsid w:val="00BD64B6"/>
    <w:rsid w:val="00BD6530"/>
    <w:rsid w:val="00BD66AE"/>
    <w:rsid w:val="00BD6843"/>
    <w:rsid w:val="00BD687A"/>
    <w:rsid w:val="00BD696B"/>
    <w:rsid w:val="00BD6AEA"/>
    <w:rsid w:val="00BD6C30"/>
    <w:rsid w:val="00BD6FBE"/>
    <w:rsid w:val="00BD74EC"/>
    <w:rsid w:val="00BD76DF"/>
    <w:rsid w:val="00BD770C"/>
    <w:rsid w:val="00BD78ED"/>
    <w:rsid w:val="00BD7A93"/>
    <w:rsid w:val="00BD7AF2"/>
    <w:rsid w:val="00BD7D58"/>
    <w:rsid w:val="00BD7DF5"/>
    <w:rsid w:val="00BD7E93"/>
    <w:rsid w:val="00BD7EFA"/>
    <w:rsid w:val="00BE00A9"/>
    <w:rsid w:val="00BE00E3"/>
    <w:rsid w:val="00BE0198"/>
    <w:rsid w:val="00BE03DB"/>
    <w:rsid w:val="00BE048D"/>
    <w:rsid w:val="00BE069B"/>
    <w:rsid w:val="00BE0E29"/>
    <w:rsid w:val="00BE0EC8"/>
    <w:rsid w:val="00BE1093"/>
    <w:rsid w:val="00BE1320"/>
    <w:rsid w:val="00BE15DA"/>
    <w:rsid w:val="00BE164B"/>
    <w:rsid w:val="00BE1706"/>
    <w:rsid w:val="00BE17BC"/>
    <w:rsid w:val="00BE1824"/>
    <w:rsid w:val="00BE1947"/>
    <w:rsid w:val="00BE1A43"/>
    <w:rsid w:val="00BE1A51"/>
    <w:rsid w:val="00BE1C34"/>
    <w:rsid w:val="00BE1E7A"/>
    <w:rsid w:val="00BE2048"/>
    <w:rsid w:val="00BE22AA"/>
    <w:rsid w:val="00BE2427"/>
    <w:rsid w:val="00BE248C"/>
    <w:rsid w:val="00BE2719"/>
    <w:rsid w:val="00BE2907"/>
    <w:rsid w:val="00BE2A3C"/>
    <w:rsid w:val="00BE2CC8"/>
    <w:rsid w:val="00BE2D5A"/>
    <w:rsid w:val="00BE2F13"/>
    <w:rsid w:val="00BE3118"/>
    <w:rsid w:val="00BE335B"/>
    <w:rsid w:val="00BE3B6E"/>
    <w:rsid w:val="00BE3B7D"/>
    <w:rsid w:val="00BE3D2A"/>
    <w:rsid w:val="00BE4086"/>
    <w:rsid w:val="00BE4587"/>
    <w:rsid w:val="00BE48C8"/>
    <w:rsid w:val="00BE4915"/>
    <w:rsid w:val="00BE4C38"/>
    <w:rsid w:val="00BE4CB8"/>
    <w:rsid w:val="00BE4E11"/>
    <w:rsid w:val="00BE4E44"/>
    <w:rsid w:val="00BE500D"/>
    <w:rsid w:val="00BE5321"/>
    <w:rsid w:val="00BE5365"/>
    <w:rsid w:val="00BE54D5"/>
    <w:rsid w:val="00BE5616"/>
    <w:rsid w:val="00BE5789"/>
    <w:rsid w:val="00BE5862"/>
    <w:rsid w:val="00BE5CF2"/>
    <w:rsid w:val="00BE600E"/>
    <w:rsid w:val="00BE60FB"/>
    <w:rsid w:val="00BE6100"/>
    <w:rsid w:val="00BE626F"/>
    <w:rsid w:val="00BE63EC"/>
    <w:rsid w:val="00BE6409"/>
    <w:rsid w:val="00BE652B"/>
    <w:rsid w:val="00BE675B"/>
    <w:rsid w:val="00BE69CB"/>
    <w:rsid w:val="00BE69D9"/>
    <w:rsid w:val="00BE6C93"/>
    <w:rsid w:val="00BE6D8B"/>
    <w:rsid w:val="00BE6DB8"/>
    <w:rsid w:val="00BE6E15"/>
    <w:rsid w:val="00BE6EF7"/>
    <w:rsid w:val="00BE70AE"/>
    <w:rsid w:val="00BE7203"/>
    <w:rsid w:val="00BE751C"/>
    <w:rsid w:val="00BE7520"/>
    <w:rsid w:val="00BE7754"/>
    <w:rsid w:val="00BE7C76"/>
    <w:rsid w:val="00BF009E"/>
    <w:rsid w:val="00BF02F8"/>
    <w:rsid w:val="00BF079D"/>
    <w:rsid w:val="00BF09CF"/>
    <w:rsid w:val="00BF0B8B"/>
    <w:rsid w:val="00BF0C44"/>
    <w:rsid w:val="00BF12D0"/>
    <w:rsid w:val="00BF14AC"/>
    <w:rsid w:val="00BF14FD"/>
    <w:rsid w:val="00BF1601"/>
    <w:rsid w:val="00BF16D1"/>
    <w:rsid w:val="00BF16E5"/>
    <w:rsid w:val="00BF1795"/>
    <w:rsid w:val="00BF195E"/>
    <w:rsid w:val="00BF1995"/>
    <w:rsid w:val="00BF19C5"/>
    <w:rsid w:val="00BF19C9"/>
    <w:rsid w:val="00BF1AC4"/>
    <w:rsid w:val="00BF1DCA"/>
    <w:rsid w:val="00BF1E8E"/>
    <w:rsid w:val="00BF1F7C"/>
    <w:rsid w:val="00BF1FE1"/>
    <w:rsid w:val="00BF284D"/>
    <w:rsid w:val="00BF286E"/>
    <w:rsid w:val="00BF29DB"/>
    <w:rsid w:val="00BF2A1D"/>
    <w:rsid w:val="00BF2BE0"/>
    <w:rsid w:val="00BF2F3D"/>
    <w:rsid w:val="00BF30E8"/>
    <w:rsid w:val="00BF3334"/>
    <w:rsid w:val="00BF3600"/>
    <w:rsid w:val="00BF36FF"/>
    <w:rsid w:val="00BF3890"/>
    <w:rsid w:val="00BF38EC"/>
    <w:rsid w:val="00BF39C4"/>
    <w:rsid w:val="00BF3B06"/>
    <w:rsid w:val="00BF4006"/>
    <w:rsid w:val="00BF427F"/>
    <w:rsid w:val="00BF4388"/>
    <w:rsid w:val="00BF468F"/>
    <w:rsid w:val="00BF4AB9"/>
    <w:rsid w:val="00BF4B17"/>
    <w:rsid w:val="00BF4EA4"/>
    <w:rsid w:val="00BF53C4"/>
    <w:rsid w:val="00BF53F3"/>
    <w:rsid w:val="00BF56D2"/>
    <w:rsid w:val="00BF584B"/>
    <w:rsid w:val="00BF59C6"/>
    <w:rsid w:val="00BF5A91"/>
    <w:rsid w:val="00BF5B36"/>
    <w:rsid w:val="00BF5C87"/>
    <w:rsid w:val="00BF5D20"/>
    <w:rsid w:val="00BF5D21"/>
    <w:rsid w:val="00BF608B"/>
    <w:rsid w:val="00BF6127"/>
    <w:rsid w:val="00BF61C1"/>
    <w:rsid w:val="00BF63D5"/>
    <w:rsid w:val="00BF6495"/>
    <w:rsid w:val="00BF64AB"/>
    <w:rsid w:val="00BF64E5"/>
    <w:rsid w:val="00BF661A"/>
    <w:rsid w:val="00BF6A24"/>
    <w:rsid w:val="00BF6BD1"/>
    <w:rsid w:val="00BF6C5D"/>
    <w:rsid w:val="00BF6DEF"/>
    <w:rsid w:val="00BF6FD6"/>
    <w:rsid w:val="00BF73A2"/>
    <w:rsid w:val="00BF73DE"/>
    <w:rsid w:val="00BF7782"/>
    <w:rsid w:val="00BF796D"/>
    <w:rsid w:val="00BF79D0"/>
    <w:rsid w:val="00BF7FA0"/>
    <w:rsid w:val="00C000E7"/>
    <w:rsid w:val="00C00316"/>
    <w:rsid w:val="00C004B5"/>
    <w:rsid w:val="00C0057D"/>
    <w:rsid w:val="00C0085C"/>
    <w:rsid w:val="00C00A3F"/>
    <w:rsid w:val="00C00AE2"/>
    <w:rsid w:val="00C00B31"/>
    <w:rsid w:val="00C011FE"/>
    <w:rsid w:val="00C01287"/>
    <w:rsid w:val="00C01589"/>
    <w:rsid w:val="00C017B3"/>
    <w:rsid w:val="00C017E1"/>
    <w:rsid w:val="00C017EF"/>
    <w:rsid w:val="00C01808"/>
    <w:rsid w:val="00C01821"/>
    <w:rsid w:val="00C01B9F"/>
    <w:rsid w:val="00C01C81"/>
    <w:rsid w:val="00C01E09"/>
    <w:rsid w:val="00C01E9E"/>
    <w:rsid w:val="00C01EBE"/>
    <w:rsid w:val="00C02241"/>
    <w:rsid w:val="00C02294"/>
    <w:rsid w:val="00C0267A"/>
    <w:rsid w:val="00C026E0"/>
    <w:rsid w:val="00C02773"/>
    <w:rsid w:val="00C0283D"/>
    <w:rsid w:val="00C02A4A"/>
    <w:rsid w:val="00C02E19"/>
    <w:rsid w:val="00C02FE5"/>
    <w:rsid w:val="00C03089"/>
    <w:rsid w:val="00C03261"/>
    <w:rsid w:val="00C03553"/>
    <w:rsid w:val="00C03956"/>
    <w:rsid w:val="00C039D8"/>
    <w:rsid w:val="00C03D5E"/>
    <w:rsid w:val="00C03DB5"/>
    <w:rsid w:val="00C042A3"/>
    <w:rsid w:val="00C04503"/>
    <w:rsid w:val="00C045DA"/>
    <w:rsid w:val="00C045F0"/>
    <w:rsid w:val="00C046B2"/>
    <w:rsid w:val="00C04C19"/>
    <w:rsid w:val="00C04F41"/>
    <w:rsid w:val="00C04F45"/>
    <w:rsid w:val="00C05089"/>
    <w:rsid w:val="00C05113"/>
    <w:rsid w:val="00C051A3"/>
    <w:rsid w:val="00C05220"/>
    <w:rsid w:val="00C058BD"/>
    <w:rsid w:val="00C05951"/>
    <w:rsid w:val="00C05AD0"/>
    <w:rsid w:val="00C05B1C"/>
    <w:rsid w:val="00C05F7E"/>
    <w:rsid w:val="00C061AC"/>
    <w:rsid w:val="00C0652F"/>
    <w:rsid w:val="00C065E4"/>
    <w:rsid w:val="00C065ED"/>
    <w:rsid w:val="00C0666F"/>
    <w:rsid w:val="00C06805"/>
    <w:rsid w:val="00C06966"/>
    <w:rsid w:val="00C06D9E"/>
    <w:rsid w:val="00C06EFA"/>
    <w:rsid w:val="00C06F06"/>
    <w:rsid w:val="00C0747B"/>
    <w:rsid w:val="00C07628"/>
    <w:rsid w:val="00C0781D"/>
    <w:rsid w:val="00C07F7F"/>
    <w:rsid w:val="00C101F8"/>
    <w:rsid w:val="00C10476"/>
    <w:rsid w:val="00C105ED"/>
    <w:rsid w:val="00C1066A"/>
    <w:rsid w:val="00C10815"/>
    <w:rsid w:val="00C108E1"/>
    <w:rsid w:val="00C10A05"/>
    <w:rsid w:val="00C10A38"/>
    <w:rsid w:val="00C10AEB"/>
    <w:rsid w:val="00C10B3D"/>
    <w:rsid w:val="00C10B54"/>
    <w:rsid w:val="00C10B58"/>
    <w:rsid w:val="00C10F69"/>
    <w:rsid w:val="00C110F1"/>
    <w:rsid w:val="00C111B7"/>
    <w:rsid w:val="00C111D8"/>
    <w:rsid w:val="00C11491"/>
    <w:rsid w:val="00C114FE"/>
    <w:rsid w:val="00C11684"/>
    <w:rsid w:val="00C1180F"/>
    <w:rsid w:val="00C118B4"/>
    <w:rsid w:val="00C11AA7"/>
    <w:rsid w:val="00C11B6A"/>
    <w:rsid w:val="00C11CB3"/>
    <w:rsid w:val="00C11F5C"/>
    <w:rsid w:val="00C12156"/>
    <w:rsid w:val="00C1220B"/>
    <w:rsid w:val="00C12601"/>
    <w:rsid w:val="00C126E8"/>
    <w:rsid w:val="00C128D8"/>
    <w:rsid w:val="00C1290F"/>
    <w:rsid w:val="00C12936"/>
    <w:rsid w:val="00C129A5"/>
    <w:rsid w:val="00C12A0A"/>
    <w:rsid w:val="00C12A4E"/>
    <w:rsid w:val="00C12D95"/>
    <w:rsid w:val="00C12DDD"/>
    <w:rsid w:val="00C12EE3"/>
    <w:rsid w:val="00C13075"/>
    <w:rsid w:val="00C13192"/>
    <w:rsid w:val="00C131B1"/>
    <w:rsid w:val="00C13777"/>
    <w:rsid w:val="00C13CF1"/>
    <w:rsid w:val="00C13D27"/>
    <w:rsid w:val="00C13D36"/>
    <w:rsid w:val="00C13D64"/>
    <w:rsid w:val="00C13E1A"/>
    <w:rsid w:val="00C13F98"/>
    <w:rsid w:val="00C142FE"/>
    <w:rsid w:val="00C14340"/>
    <w:rsid w:val="00C14371"/>
    <w:rsid w:val="00C14708"/>
    <w:rsid w:val="00C14956"/>
    <w:rsid w:val="00C14B6E"/>
    <w:rsid w:val="00C14CF2"/>
    <w:rsid w:val="00C14E1D"/>
    <w:rsid w:val="00C14EF2"/>
    <w:rsid w:val="00C1505E"/>
    <w:rsid w:val="00C150C2"/>
    <w:rsid w:val="00C15114"/>
    <w:rsid w:val="00C152A1"/>
    <w:rsid w:val="00C152AC"/>
    <w:rsid w:val="00C1531A"/>
    <w:rsid w:val="00C1561F"/>
    <w:rsid w:val="00C1577E"/>
    <w:rsid w:val="00C1581E"/>
    <w:rsid w:val="00C158B9"/>
    <w:rsid w:val="00C15904"/>
    <w:rsid w:val="00C15BFD"/>
    <w:rsid w:val="00C15C4E"/>
    <w:rsid w:val="00C15D7C"/>
    <w:rsid w:val="00C1614D"/>
    <w:rsid w:val="00C1644D"/>
    <w:rsid w:val="00C16623"/>
    <w:rsid w:val="00C16723"/>
    <w:rsid w:val="00C169F2"/>
    <w:rsid w:val="00C16B5B"/>
    <w:rsid w:val="00C171D3"/>
    <w:rsid w:val="00C17363"/>
    <w:rsid w:val="00C17449"/>
    <w:rsid w:val="00C17A55"/>
    <w:rsid w:val="00C17B45"/>
    <w:rsid w:val="00C17D58"/>
    <w:rsid w:val="00C201EE"/>
    <w:rsid w:val="00C20310"/>
    <w:rsid w:val="00C20445"/>
    <w:rsid w:val="00C2045F"/>
    <w:rsid w:val="00C20487"/>
    <w:rsid w:val="00C204F8"/>
    <w:rsid w:val="00C206F9"/>
    <w:rsid w:val="00C20758"/>
    <w:rsid w:val="00C2075D"/>
    <w:rsid w:val="00C2078A"/>
    <w:rsid w:val="00C208FD"/>
    <w:rsid w:val="00C20C8A"/>
    <w:rsid w:val="00C21360"/>
    <w:rsid w:val="00C21417"/>
    <w:rsid w:val="00C21880"/>
    <w:rsid w:val="00C21BC7"/>
    <w:rsid w:val="00C21EE7"/>
    <w:rsid w:val="00C220C9"/>
    <w:rsid w:val="00C22146"/>
    <w:rsid w:val="00C222E1"/>
    <w:rsid w:val="00C2267E"/>
    <w:rsid w:val="00C22AFA"/>
    <w:rsid w:val="00C22E13"/>
    <w:rsid w:val="00C2304B"/>
    <w:rsid w:val="00C2309C"/>
    <w:rsid w:val="00C2316A"/>
    <w:rsid w:val="00C2331A"/>
    <w:rsid w:val="00C236D4"/>
    <w:rsid w:val="00C23ACC"/>
    <w:rsid w:val="00C23F40"/>
    <w:rsid w:val="00C247EA"/>
    <w:rsid w:val="00C24B73"/>
    <w:rsid w:val="00C24D91"/>
    <w:rsid w:val="00C250E1"/>
    <w:rsid w:val="00C25376"/>
    <w:rsid w:val="00C25433"/>
    <w:rsid w:val="00C254E2"/>
    <w:rsid w:val="00C256DA"/>
    <w:rsid w:val="00C25838"/>
    <w:rsid w:val="00C258AB"/>
    <w:rsid w:val="00C25B28"/>
    <w:rsid w:val="00C25F3C"/>
    <w:rsid w:val="00C25FC3"/>
    <w:rsid w:val="00C26223"/>
    <w:rsid w:val="00C263C9"/>
    <w:rsid w:val="00C26500"/>
    <w:rsid w:val="00C26933"/>
    <w:rsid w:val="00C2699E"/>
    <w:rsid w:val="00C26A32"/>
    <w:rsid w:val="00C26AC7"/>
    <w:rsid w:val="00C26D39"/>
    <w:rsid w:val="00C26D72"/>
    <w:rsid w:val="00C26DA7"/>
    <w:rsid w:val="00C27204"/>
    <w:rsid w:val="00C2752F"/>
    <w:rsid w:val="00C2770E"/>
    <w:rsid w:val="00C2788E"/>
    <w:rsid w:val="00C278BA"/>
    <w:rsid w:val="00C27B16"/>
    <w:rsid w:val="00C27ED0"/>
    <w:rsid w:val="00C27F2D"/>
    <w:rsid w:val="00C27F2E"/>
    <w:rsid w:val="00C30025"/>
    <w:rsid w:val="00C3010D"/>
    <w:rsid w:val="00C30171"/>
    <w:rsid w:val="00C301C6"/>
    <w:rsid w:val="00C301DB"/>
    <w:rsid w:val="00C3074D"/>
    <w:rsid w:val="00C30883"/>
    <w:rsid w:val="00C309FA"/>
    <w:rsid w:val="00C30B02"/>
    <w:rsid w:val="00C30BA7"/>
    <w:rsid w:val="00C30CE8"/>
    <w:rsid w:val="00C30D81"/>
    <w:rsid w:val="00C30D85"/>
    <w:rsid w:val="00C3107C"/>
    <w:rsid w:val="00C31251"/>
    <w:rsid w:val="00C312F7"/>
    <w:rsid w:val="00C3147D"/>
    <w:rsid w:val="00C31655"/>
    <w:rsid w:val="00C316B9"/>
    <w:rsid w:val="00C31877"/>
    <w:rsid w:val="00C31D3E"/>
    <w:rsid w:val="00C32046"/>
    <w:rsid w:val="00C3252F"/>
    <w:rsid w:val="00C325A6"/>
    <w:rsid w:val="00C32649"/>
    <w:rsid w:val="00C32D25"/>
    <w:rsid w:val="00C32EEA"/>
    <w:rsid w:val="00C33003"/>
    <w:rsid w:val="00C33098"/>
    <w:rsid w:val="00C338A2"/>
    <w:rsid w:val="00C33B69"/>
    <w:rsid w:val="00C33C07"/>
    <w:rsid w:val="00C33D5C"/>
    <w:rsid w:val="00C34122"/>
    <w:rsid w:val="00C342B2"/>
    <w:rsid w:val="00C34575"/>
    <w:rsid w:val="00C34619"/>
    <w:rsid w:val="00C3464C"/>
    <w:rsid w:val="00C3487D"/>
    <w:rsid w:val="00C349E7"/>
    <w:rsid w:val="00C34AA6"/>
    <w:rsid w:val="00C34AFC"/>
    <w:rsid w:val="00C34C43"/>
    <w:rsid w:val="00C34D7C"/>
    <w:rsid w:val="00C34EBF"/>
    <w:rsid w:val="00C34EDB"/>
    <w:rsid w:val="00C34FE3"/>
    <w:rsid w:val="00C35004"/>
    <w:rsid w:val="00C350D0"/>
    <w:rsid w:val="00C35207"/>
    <w:rsid w:val="00C35618"/>
    <w:rsid w:val="00C359CF"/>
    <w:rsid w:val="00C35A23"/>
    <w:rsid w:val="00C35DBC"/>
    <w:rsid w:val="00C35DE9"/>
    <w:rsid w:val="00C35E83"/>
    <w:rsid w:val="00C3608E"/>
    <w:rsid w:val="00C36332"/>
    <w:rsid w:val="00C36781"/>
    <w:rsid w:val="00C36868"/>
    <w:rsid w:val="00C369DB"/>
    <w:rsid w:val="00C36E00"/>
    <w:rsid w:val="00C36F27"/>
    <w:rsid w:val="00C36F8D"/>
    <w:rsid w:val="00C371B4"/>
    <w:rsid w:val="00C375E7"/>
    <w:rsid w:val="00C37885"/>
    <w:rsid w:val="00C37ABE"/>
    <w:rsid w:val="00C37CCB"/>
    <w:rsid w:val="00C37DDE"/>
    <w:rsid w:val="00C4026C"/>
    <w:rsid w:val="00C4031F"/>
    <w:rsid w:val="00C4048D"/>
    <w:rsid w:val="00C406BE"/>
    <w:rsid w:val="00C40723"/>
    <w:rsid w:val="00C40730"/>
    <w:rsid w:val="00C4082B"/>
    <w:rsid w:val="00C408D6"/>
    <w:rsid w:val="00C40907"/>
    <w:rsid w:val="00C4097F"/>
    <w:rsid w:val="00C409A8"/>
    <w:rsid w:val="00C40D2F"/>
    <w:rsid w:val="00C41097"/>
    <w:rsid w:val="00C414E4"/>
    <w:rsid w:val="00C41A7C"/>
    <w:rsid w:val="00C41DD3"/>
    <w:rsid w:val="00C41FEA"/>
    <w:rsid w:val="00C420BB"/>
    <w:rsid w:val="00C422E0"/>
    <w:rsid w:val="00C42358"/>
    <w:rsid w:val="00C4249F"/>
    <w:rsid w:val="00C429AD"/>
    <w:rsid w:val="00C42A3B"/>
    <w:rsid w:val="00C42B1F"/>
    <w:rsid w:val="00C42D07"/>
    <w:rsid w:val="00C42DAE"/>
    <w:rsid w:val="00C43242"/>
    <w:rsid w:val="00C43407"/>
    <w:rsid w:val="00C43447"/>
    <w:rsid w:val="00C43487"/>
    <w:rsid w:val="00C435AC"/>
    <w:rsid w:val="00C43B40"/>
    <w:rsid w:val="00C43DF6"/>
    <w:rsid w:val="00C43E9F"/>
    <w:rsid w:val="00C43EED"/>
    <w:rsid w:val="00C44509"/>
    <w:rsid w:val="00C4463F"/>
    <w:rsid w:val="00C4473E"/>
    <w:rsid w:val="00C449B7"/>
    <w:rsid w:val="00C44C14"/>
    <w:rsid w:val="00C44D5C"/>
    <w:rsid w:val="00C45160"/>
    <w:rsid w:val="00C45584"/>
    <w:rsid w:val="00C4566B"/>
    <w:rsid w:val="00C45A43"/>
    <w:rsid w:val="00C45B8D"/>
    <w:rsid w:val="00C45E75"/>
    <w:rsid w:val="00C45FB5"/>
    <w:rsid w:val="00C462BF"/>
    <w:rsid w:val="00C46561"/>
    <w:rsid w:val="00C468C1"/>
    <w:rsid w:val="00C46980"/>
    <w:rsid w:val="00C46AC9"/>
    <w:rsid w:val="00C46C15"/>
    <w:rsid w:val="00C46D8D"/>
    <w:rsid w:val="00C46F6C"/>
    <w:rsid w:val="00C46F7D"/>
    <w:rsid w:val="00C47375"/>
    <w:rsid w:val="00C47376"/>
    <w:rsid w:val="00C473C0"/>
    <w:rsid w:val="00C474FC"/>
    <w:rsid w:val="00C47529"/>
    <w:rsid w:val="00C47A14"/>
    <w:rsid w:val="00C50165"/>
    <w:rsid w:val="00C50BD8"/>
    <w:rsid w:val="00C50C7B"/>
    <w:rsid w:val="00C50D21"/>
    <w:rsid w:val="00C50E65"/>
    <w:rsid w:val="00C51027"/>
    <w:rsid w:val="00C5107D"/>
    <w:rsid w:val="00C5119C"/>
    <w:rsid w:val="00C512E8"/>
    <w:rsid w:val="00C51502"/>
    <w:rsid w:val="00C51644"/>
    <w:rsid w:val="00C516D8"/>
    <w:rsid w:val="00C516F3"/>
    <w:rsid w:val="00C519AA"/>
    <w:rsid w:val="00C519C4"/>
    <w:rsid w:val="00C51A9C"/>
    <w:rsid w:val="00C51AC0"/>
    <w:rsid w:val="00C51DB3"/>
    <w:rsid w:val="00C51E08"/>
    <w:rsid w:val="00C51FA0"/>
    <w:rsid w:val="00C51FCA"/>
    <w:rsid w:val="00C5218C"/>
    <w:rsid w:val="00C529D7"/>
    <w:rsid w:val="00C52AF6"/>
    <w:rsid w:val="00C52B04"/>
    <w:rsid w:val="00C52C0E"/>
    <w:rsid w:val="00C52C30"/>
    <w:rsid w:val="00C52C7F"/>
    <w:rsid w:val="00C532C4"/>
    <w:rsid w:val="00C5332A"/>
    <w:rsid w:val="00C5342A"/>
    <w:rsid w:val="00C53798"/>
    <w:rsid w:val="00C539B4"/>
    <w:rsid w:val="00C53AA5"/>
    <w:rsid w:val="00C53AF5"/>
    <w:rsid w:val="00C53B84"/>
    <w:rsid w:val="00C53DB5"/>
    <w:rsid w:val="00C53E32"/>
    <w:rsid w:val="00C54079"/>
    <w:rsid w:val="00C541C1"/>
    <w:rsid w:val="00C54219"/>
    <w:rsid w:val="00C54604"/>
    <w:rsid w:val="00C54FD0"/>
    <w:rsid w:val="00C550CD"/>
    <w:rsid w:val="00C5536D"/>
    <w:rsid w:val="00C5539C"/>
    <w:rsid w:val="00C553C5"/>
    <w:rsid w:val="00C55411"/>
    <w:rsid w:val="00C557CB"/>
    <w:rsid w:val="00C55B6D"/>
    <w:rsid w:val="00C5627E"/>
    <w:rsid w:val="00C563C6"/>
    <w:rsid w:val="00C56619"/>
    <w:rsid w:val="00C567A5"/>
    <w:rsid w:val="00C568CB"/>
    <w:rsid w:val="00C56FB2"/>
    <w:rsid w:val="00C5713F"/>
    <w:rsid w:val="00C5773A"/>
    <w:rsid w:val="00C57789"/>
    <w:rsid w:val="00C57ACE"/>
    <w:rsid w:val="00C60260"/>
    <w:rsid w:val="00C6048C"/>
    <w:rsid w:val="00C60797"/>
    <w:rsid w:val="00C60A66"/>
    <w:rsid w:val="00C60CD2"/>
    <w:rsid w:val="00C61028"/>
    <w:rsid w:val="00C61066"/>
    <w:rsid w:val="00C61311"/>
    <w:rsid w:val="00C6139B"/>
    <w:rsid w:val="00C614E7"/>
    <w:rsid w:val="00C616F5"/>
    <w:rsid w:val="00C618A1"/>
    <w:rsid w:val="00C618EB"/>
    <w:rsid w:val="00C61CE5"/>
    <w:rsid w:val="00C62075"/>
    <w:rsid w:val="00C624B0"/>
    <w:rsid w:val="00C626BF"/>
    <w:rsid w:val="00C628F5"/>
    <w:rsid w:val="00C62980"/>
    <w:rsid w:val="00C629F5"/>
    <w:rsid w:val="00C62A4B"/>
    <w:rsid w:val="00C62B87"/>
    <w:rsid w:val="00C62E26"/>
    <w:rsid w:val="00C62F05"/>
    <w:rsid w:val="00C6310F"/>
    <w:rsid w:val="00C63504"/>
    <w:rsid w:val="00C63514"/>
    <w:rsid w:val="00C63741"/>
    <w:rsid w:val="00C639F7"/>
    <w:rsid w:val="00C63C33"/>
    <w:rsid w:val="00C63CD0"/>
    <w:rsid w:val="00C63EFA"/>
    <w:rsid w:val="00C64082"/>
    <w:rsid w:val="00C64188"/>
    <w:rsid w:val="00C64419"/>
    <w:rsid w:val="00C64A0F"/>
    <w:rsid w:val="00C64A70"/>
    <w:rsid w:val="00C64A99"/>
    <w:rsid w:val="00C64DF6"/>
    <w:rsid w:val="00C64F9A"/>
    <w:rsid w:val="00C64FA7"/>
    <w:rsid w:val="00C65377"/>
    <w:rsid w:val="00C65428"/>
    <w:rsid w:val="00C65431"/>
    <w:rsid w:val="00C654E1"/>
    <w:rsid w:val="00C65500"/>
    <w:rsid w:val="00C65615"/>
    <w:rsid w:val="00C65636"/>
    <w:rsid w:val="00C6580B"/>
    <w:rsid w:val="00C65881"/>
    <w:rsid w:val="00C65941"/>
    <w:rsid w:val="00C659E3"/>
    <w:rsid w:val="00C65BB7"/>
    <w:rsid w:val="00C65F3C"/>
    <w:rsid w:val="00C6603A"/>
    <w:rsid w:val="00C66167"/>
    <w:rsid w:val="00C66281"/>
    <w:rsid w:val="00C66305"/>
    <w:rsid w:val="00C66886"/>
    <w:rsid w:val="00C6696E"/>
    <w:rsid w:val="00C66E7E"/>
    <w:rsid w:val="00C66FC9"/>
    <w:rsid w:val="00C672D2"/>
    <w:rsid w:val="00C6766F"/>
    <w:rsid w:val="00C6778E"/>
    <w:rsid w:val="00C67924"/>
    <w:rsid w:val="00C67AE8"/>
    <w:rsid w:val="00C67CD3"/>
    <w:rsid w:val="00C70378"/>
    <w:rsid w:val="00C705BA"/>
    <w:rsid w:val="00C7089F"/>
    <w:rsid w:val="00C7092C"/>
    <w:rsid w:val="00C7093A"/>
    <w:rsid w:val="00C70A83"/>
    <w:rsid w:val="00C70B8F"/>
    <w:rsid w:val="00C70E49"/>
    <w:rsid w:val="00C712A7"/>
    <w:rsid w:val="00C71398"/>
    <w:rsid w:val="00C715C4"/>
    <w:rsid w:val="00C715E2"/>
    <w:rsid w:val="00C717DD"/>
    <w:rsid w:val="00C7190C"/>
    <w:rsid w:val="00C71912"/>
    <w:rsid w:val="00C7196D"/>
    <w:rsid w:val="00C719B0"/>
    <w:rsid w:val="00C71AB4"/>
    <w:rsid w:val="00C71E7F"/>
    <w:rsid w:val="00C7202C"/>
    <w:rsid w:val="00C7208E"/>
    <w:rsid w:val="00C7210C"/>
    <w:rsid w:val="00C72528"/>
    <w:rsid w:val="00C72647"/>
    <w:rsid w:val="00C72742"/>
    <w:rsid w:val="00C7310F"/>
    <w:rsid w:val="00C73222"/>
    <w:rsid w:val="00C733A7"/>
    <w:rsid w:val="00C73518"/>
    <w:rsid w:val="00C735B1"/>
    <w:rsid w:val="00C73D24"/>
    <w:rsid w:val="00C740F5"/>
    <w:rsid w:val="00C74188"/>
    <w:rsid w:val="00C74456"/>
    <w:rsid w:val="00C744E4"/>
    <w:rsid w:val="00C7456F"/>
    <w:rsid w:val="00C746D4"/>
    <w:rsid w:val="00C74848"/>
    <w:rsid w:val="00C74B4E"/>
    <w:rsid w:val="00C74C18"/>
    <w:rsid w:val="00C74C3E"/>
    <w:rsid w:val="00C74FEE"/>
    <w:rsid w:val="00C7500C"/>
    <w:rsid w:val="00C7508A"/>
    <w:rsid w:val="00C753FE"/>
    <w:rsid w:val="00C754FB"/>
    <w:rsid w:val="00C755D0"/>
    <w:rsid w:val="00C7571D"/>
    <w:rsid w:val="00C7591B"/>
    <w:rsid w:val="00C75947"/>
    <w:rsid w:val="00C759C7"/>
    <w:rsid w:val="00C759E8"/>
    <w:rsid w:val="00C75A9C"/>
    <w:rsid w:val="00C75B48"/>
    <w:rsid w:val="00C75DC6"/>
    <w:rsid w:val="00C75ECA"/>
    <w:rsid w:val="00C75F59"/>
    <w:rsid w:val="00C75F61"/>
    <w:rsid w:val="00C7620A"/>
    <w:rsid w:val="00C764A2"/>
    <w:rsid w:val="00C764B7"/>
    <w:rsid w:val="00C7651C"/>
    <w:rsid w:val="00C766BE"/>
    <w:rsid w:val="00C769B9"/>
    <w:rsid w:val="00C76A03"/>
    <w:rsid w:val="00C76A16"/>
    <w:rsid w:val="00C76E12"/>
    <w:rsid w:val="00C773B3"/>
    <w:rsid w:val="00C774EA"/>
    <w:rsid w:val="00C77771"/>
    <w:rsid w:val="00C777B9"/>
    <w:rsid w:val="00C77871"/>
    <w:rsid w:val="00C77F23"/>
    <w:rsid w:val="00C8001C"/>
    <w:rsid w:val="00C80128"/>
    <w:rsid w:val="00C801C3"/>
    <w:rsid w:val="00C80394"/>
    <w:rsid w:val="00C80546"/>
    <w:rsid w:val="00C80D52"/>
    <w:rsid w:val="00C80E07"/>
    <w:rsid w:val="00C80EBE"/>
    <w:rsid w:val="00C80F36"/>
    <w:rsid w:val="00C810F5"/>
    <w:rsid w:val="00C812A6"/>
    <w:rsid w:val="00C81320"/>
    <w:rsid w:val="00C81321"/>
    <w:rsid w:val="00C81430"/>
    <w:rsid w:val="00C817F0"/>
    <w:rsid w:val="00C81CF4"/>
    <w:rsid w:val="00C81EDD"/>
    <w:rsid w:val="00C82173"/>
    <w:rsid w:val="00C8223C"/>
    <w:rsid w:val="00C82280"/>
    <w:rsid w:val="00C82366"/>
    <w:rsid w:val="00C8263F"/>
    <w:rsid w:val="00C8265C"/>
    <w:rsid w:val="00C82BC7"/>
    <w:rsid w:val="00C82BE1"/>
    <w:rsid w:val="00C82D7E"/>
    <w:rsid w:val="00C8300C"/>
    <w:rsid w:val="00C83015"/>
    <w:rsid w:val="00C83032"/>
    <w:rsid w:val="00C8309F"/>
    <w:rsid w:val="00C8310F"/>
    <w:rsid w:val="00C8320E"/>
    <w:rsid w:val="00C83743"/>
    <w:rsid w:val="00C83B66"/>
    <w:rsid w:val="00C8409C"/>
    <w:rsid w:val="00C846DB"/>
    <w:rsid w:val="00C84C02"/>
    <w:rsid w:val="00C84D67"/>
    <w:rsid w:val="00C851BB"/>
    <w:rsid w:val="00C854F0"/>
    <w:rsid w:val="00C85587"/>
    <w:rsid w:val="00C8588F"/>
    <w:rsid w:val="00C85BD8"/>
    <w:rsid w:val="00C85FE9"/>
    <w:rsid w:val="00C8615C"/>
    <w:rsid w:val="00C861CA"/>
    <w:rsid w:val="00C86254"/>
    <w:rsid w:val="00C862A1"/>
    <w:rsid w:val="00C862ED"/>
    <w:rsid w:val="00C86498"/>
    <w:rsid w:val="00C866C3"/>
    <w:rsid w:val="00C86A1D"/>
    <w:rsid w:val="00C86B79"/>
    <w:rsid w:val="00C86F94"/>
    <w:rsid w:val="00C87676"/>
    <w:rsid w:val="00C877C9"/>
    <w:rsid w:val="00C87D41"/>
    <w:rsid w:val="00C87DA0"/>
    <w:rsid w:val="00C90196"/>
    <w:rsid w:val="00C90282"/>
    <w:rsid w:val="00C902FD"/>
    <w:rsid w:val="00C90493"/>
    <w:rsid w:val="00C906FB"/>
    <w:rsid w:val="00C90C50"/>
    <w:rsid w:val="00C90D8D"/>
    <w:rsid w:val="00C90E17"/>
    <w:rsid w:val="00C90E5E"/>
    <w:rsid w:val="00C90E68"/>
    <w:rsid w:val="00C911E3"/>
    <w:rsid w:val="00C911F2"/>
    <w:rsid w:val="00C9145D"/>
    <w:rsid w:val="00C914AC"/>
    <w:rsid w:val="00C9155A"/>
    <w:rsid w:val="00C918AF"/>
    <w:rsid w:val="00C919C9"/>
    <w:rsid w:val="00C91A00"/>
    <w:rsid w:val="00C91B49"/>
    <w:rsid w:val="00C91D09"/>
    <w:rsid w:val="00C91D10"/>
    <w:rsid w:val="00C91D2D"/>
    <w:rsid w:val="00C91DE5"/>
    <w:rsid w:val="00C92077"/>
    <w:rsid w:val="00C923C9"/>
    <w:rsid w:val="00C92467"/>
    <w:rsid w:val="00C924BE"/>
    <w:rsid w:val="00C9265C"/>
    <w:rsid w:val="00C9267E"/>
    <w:rsid w:val="00C926E1"/>
    <w:rsid w:val="00C928BB"/>
    <w:rsid w:val="00C92AD8"/>
    <w:rsid w:val="00C92B2F"/>
    <w:rsid w:val="00C92FBB"/>
    <w:rsid w:val="00C932FE"/>
    <w:rsid w:val="00C934C9"/>
    <w:rsid w:val="00C9366D"/>
    <w:rsid w:val="00C936D9"/>
    <w:rsid w:val="00C937B7"/>
    <w:rsid w:val="00C93862"/>
    <w:rsid w:val="00C93AAE"/>
    <w:rsid w:val="00C93DC5"/>
    <w:rsid w:val="00C93F87"/>
    <w:rsid w:val="00C942D2"/>
    <w:rsid w:val="00C94377"/>
    <w:rsid w:val="00C944E2"/>
    <w:rsid w:val="00C945C4"/>
    <w:rsid w:val="00C94C71"/>
    <w:rsid w:val="00C94C75"/>
    <w:rsid w:val="00C94DBC"/>
    <w:rsid w:val="00C95086"/>
    <w:rsid w:val="00C95246"/>
    <w:rsid w:val="00C954C1"/>
    <w:rsid w:val="00C95519"/>
    <w:rsid w:val="00C9575F"/>
    <w:rsid w:val="00C95B25"/>
    <w:rsid w:val="00C95D2C"/>
    <w:rsid w:val="00C95D43"/>
    <w:rsid w:val="00C95D57"/>
    <w:rsid w:val="00C95DCF"/>
    <w:rsid w:val="00C965F3"/>
    <w:rsid w:val="00C966BA"/>
    <w:rsid w:val="00C967CF"/>
    <w:rsid w:val="00C96860"/>
    <w:rsid w:val="00C968B3"/>
    <w:rsid w:val="00C96C2B"/>
    <w:rsid w:val="00C96CED"/>
    <w:rsid w:val="00C96E66"/>
    <w:rsid w:val="00C9716C"/>
    <w:rsid w:val="00C97278"/>
    <w:rsid w:val="00C978CE"/>
    <w:rsid w:val="00C97933"/>
    <w:rsid w:val="00C97B51"/>
    <w:rsid w:val="00C97BC3"/>
    <w:rsid w:val="00C97E08"/>
    <w:rsid w:val="00C97EC9"/>
    <w:rsid w:val="00CA004E"/>
    <w:rsid w:val="00CA0114"/>
    <w:rsid w:val="00CA0239"/>
    <w:rsid w:val="00CA0309"/>
    <w:rsid w:val="00CA0510"/>
    <w:rsid w:val="00CA09E8"/>
    <w:rsid w:val="00CA0C93"/>
    <w:rsid w:val="00CA0FAB"/>
    <w:rsid w:val="00CA119D"/>
    <w:rsid w:val="00CA1396"/>
    <w:rsid w:val="00CA1447"/>
    <w:rsid w:val="00CA156B"/>
    <w:rsid w:val="00CA1A63"/>
    <w:rsid w:val="00CA1B12"/>
    <w:rsid w:val="00CA1C30"/>
    <w:rsid w:val="00CA1C92"/>
    <w:rsid w:val="00CA1D35"/>
    <w:rsid w:val="00CA1D6E"/>
    <w:rsid w:val="00CA1E72"/>
    <w:rsid w:val="00CA1E9C"/>
    <w:rsid w:val="00CA1EAA"/>
    <w:rsid w:val="00CA2183"/>
    <w:rsid w:val="00CA225A"/>
    <w:rsid w:val="00CA2775"/>
    <w:rsid w:val="00CA2906"/>
    <w:rsid w:val="00CA2DEA"/>
    <w:rsid w:val="00CA2F32"/>
    <w:rsid w:val="00CA309A"/>
    <w:rsid w:val="00CA3197"/>
    <w:rsid w:val="00CA31D1"/>
    <w:rsid w:val="00CA3236"/>
    <w:rsid w:val="00CA3364"/>
    <w:rsid w:val="00CA3489"/>
    <w:rsid w:val="00CA3623"/>
    <w:rsid w:val="00CA36D7"/>
    <w:rsid w:val="00CA3749"/>
    <w:rsid w:val="00CA37E5"/>
    <w:rsid w:val="00CA3BD7"/>
    <w:rsid w:val="00CA3E0F"/>
    <w:rsid w:val="00CA402D"/>
    <w:rsid w:val="00CA4675"/>
    <w:rsid w:val="00CA4A1D"/>
    <w:rsid w:val="00CA4ACC"/>
    <w:rsid w:val="00CA4BB8"/>
    <w:rsid w:val="00CA4BC0"/>
    <w:rsid w:val="00CA4F93"/>
    <w:rsid w:val="00CA4FA2"/>
    <w:rsid w:val="00CA52AD"/>
    <w:rsid w:val="00CA533C"/>
    <w:rsid w:val="00CA5351"/>
    <w:rsid w:val="00CA54BC"/>
    <w:rsid w:val="00CA5563"/>
    <w:rsid w:val="00CA55FD"/>
    <w:rsid w:val="00CA5755"/>
    <w:rsid w:val="00CA5E1D"/>
    <w:rsid w:val="00CA5EA7"/>
    <w:rsid w:val="00CA5FBD"/>
    <w:rsid w:val="00CA6028"/>
    <w:rsid w:val="00CA6078"/>
    <w:rsid w:val="00CA60D5"/>
    <w:rsid w:val="00CA629B"/>
    <w:rsid w:val="00CA642C"/>
    <w:rsid w:val="00CA64D4"/>
    <w:rsid w:val="00CA64F8"/>
    <w:rsid w:val="00CA6693"/>
    <w:rsid w:val="00CA68CA"/>
    <w:rsid w:val="00CA6B77"/>
    <w:rsid w:val="00CA6F35"/>
    <w:rsid w:val="00CA6F55"/>
    <w:rsid w:val="00CA70B8"/>
    <w:rsid w:val="00CA711D"/>
    <w:rsid w:val="00CA7635"/>
    <w:rsid w:val="00CA769B"/>
    <w:rsid w:val="00CA76BC"/>
    <w:rsid w:val="00CA7938"/>
    <w:rsid w:val="00CA79B1"/>
    <w:rsid w:val="00CB08A2"/>
    <w:rsid w:val="00CB08EB"/>
    <w:rsid w:val="00CB0B84"/>
    <w:rsid w:val="00CB100D"/>
    <w:rsid w:val="00CB112B"/>
    <w:rsid w:val="00CB14B5"/>
    <w:rsid w:val="00CB14BA"/>
    <w:rsid w:val="00CB153A"/>
    <w:rsid w:val="00CB15F5"/>
    <w:rsid w:val="00CB1877"/>
    <w:rsid w:val="00CB1C41"/>
    <w:rsid w:val="00CB1E30"/>
    <w:rsid w:val="00CB1F1A"/>
    <w:rsid w:val="00CB1F1E"/>
    <w:rsid w:val="00CB2004"/>
    <w:rsid w:val="00CB2228"/>
    <w:rsid w:val="00CB22F5"/>
    <w:rsid w:val="00CB2504"/>
    <w:rsid w:val="00CB2534"/>
    <w:rsid w:val="00CB25FD"/>
    <w:rsid w:val="00CB26B3"/>
    <w:rsid w:val="00CB26F8"/>
    <w:rsid w:val="00CB27CE"/>
    <w:rsid w:val="00CB299B"/>
    <w:rsid w:val="00CB2F37"/>
    <w:rsid w:val="00CB2FCB"/>
    <w:rsid w:val="00CB3102"/>
    <w:rsid w:val="00CB3175"/>
    <w:rsid w:val="00CB3470"/>
    <w:rsid w:val="00CB3554"/>
    <w:rsid w:val="00CB3736"/>
    <w:rsid w:val="00CB37BB"/>
    <w:rsid w:val="00CB3964"/>
    <w:rsid w:val="00CB3A67"/>
    <w:rsid w:val="00CB3CF6"/>
    <w:rsid w:val="00CB3E1C"/>
    <w:rsid w:val="00CB3FAC"/>
    <w:rsid w:val="00CB428F"/>
    <w:rsid w:val="00CB4460"/>
    <w:rsid w:val="00CB4538"/>
    <w:rsid w:val="00CB47DC"/>
    <w:rsid w:val="00CB497D"/>
    <w:rsid w:val="00CB4E1F"/>
    <w:rsid w:val="00CB4EFC"/>
    <w:rsid w:val="00CB510B"/>
    <w:rsid w:val="00CB5153"/>
    <w:rsid w:val="00CB5360"/>
    <w:rsid w:val="00CB544D"/>
    <w:rsid w:val="00CB567E"/>
    <w:rsid w:val="00CB598C"/>
    <w:rsid w:val="00CB5B18"/>
    <w:rsid w:val="00CB5CD1"/>
    <w:rsid w:val="00CB5F2D"/>
    <w:rsid w:val="00CB5F77"/>
    <w:rsid w:val="00CB5FAE"/>
    <w:rsid w:val="00CB627C"/>
    <w:rsid w:val="00CB6441"/>
    <w:rsid w:val="00CB6767"/>
    <w:rsid w:val="00CB6822"/>
    <w:rsid w:val="00CB6BBA"/>
    <w:rsid w:val="00CB6CA3"/>
    <w:rsid w:val="00CB70AA"/>
    <w:rsid w:val="00CB710A"/>
    <w:rsid w:val="00CB71E8"/>
    <w:rsid w:val="00CB73CB"/>
    <w:rsid w:val="00CB75DF"/>
    <w:rsid w:val="00CB7684"/>
    <w:rsid w:val="00CB7A95"/>
    <w:rsid w:val="00CB7C91"/>
    <w:rsid w:val="00CB7CDB"/>
    <w:rsid w:val="00CB7E4D"/>
    <w:rsid w:val="00CB7E63"/>
    <w:rsid w:val="00CC012C"/>
    <w:rsid w:val="00CC025C"/>
    <w:rsid w:val="00CC02D5"/>
    <w:rsid w:val="00CC047B"/>
    <w:rsid w:val="00CC04E3"/>
    <w:rsid w:val="00CC0563"/>
    <w:rsid w:val="00CC0A11"/>
    <w:rsid w:val="00CC0A4F"/>
    <w:rsid w:val="00CC0A92"/>
    <w:rsid w:val="00CC0BD8"/>
    <w:rsid w:val="00CC0CEE"/>
    <w:rsid w:val="00CC0E1E"/>
    <w:rsid w:val="00CC10E7"/>
    <w:rsid w:val="00CC13A6"/>
    <w:rsid w:val="00CC13AA"/>
    <w:rsid w:val="00CC14CA"/>
    <w:rsid w:val="00CC15D9"/>
    <w:rsid w:val="00CC1955"/>
    <w:rsid w:val="00CC19E1"/>
    <w:rsid w:val="00CC1A42"/>
    <w:rsid w:val="00CC1BFD"/>
    <w:rsid w:val="00CC1C9C"/>
    <w:rsid w:val="00CC1D99"/>
    <w:rsid w:val="00CC22F5"/>
    <w:rsid w:val="00CC28B2"/>
    <w:rsid w:val="00CC3238"/>
    <w:rsid w:val="00CC32C7"/>
    <w:rsid w:val="00CC3387"/>
    <w:rsid w:val="00CC35AB"/>
    <w:rsid w:val="00CC3B25"/>
    <w:rsid w:val="00CC3EAE"/>
    <w:rsid w:val="00CC4118"/>
    <w:rsid w:val="00CC430A"/>
    <w:rsid w:val="00CC4636"/>
    <w:rsid w:val="00CC47C1"/>
    <w:rsid w:val="00CC499F"/>
    <w:rsid w:val="00CC4D9E"/>
    <w:rsid w:val="00CC4DD4"/>
    <w:rsid w:val="00CC4DE1"/>
    <w:rsid w:val="00CC4E31"/>
    <w:rsid w:val="00CC5041"/>
    <w:rsid w:val="00CC50C2"/>
    <w:rsid w:val="00CC52C8"/>
    <w:rsid w:val="00CC5301"/>
    <w:rsid w:val="00CC57F9"/>
    <w:rsid w:val="00CC58C9"/>
    <w:rsid w:val="00CC597B"/>
    <w:rsid w:val="00CC59D2"/>
    <w:rsid w:val="00CC5C3E"/>
    <w:rsid w:val="00CC65B6"/>
    <w:rsid w:val="00CC6636"/>
    <w:rsid w:val="00CC686F"/>
    <w:rsid w:val="00CC6B9B"/>
    <w:rsid w:val="00CC6DEB"/>
    <w:rsid w:val="00CC70B6"/>
    <w:rsid w:val="00CC724E"/>
    <w:rsid w:val="00CC7BA9"/>
    <w:rsid w:val="00CC7BB0"/>
    <w:rsid w:val="00CC7CB6"/>
    <w:rsid w:val="00CC7CCA"/>
    <w:rsid w:val="00CC7CD2"/>
    <w:rsid w:val="00CC7E11"/>
    <w:rsid w:val="00CD04C8"/>
    <w:rsid w:val="00CD05B8"/>
    <w:rsid w:val="00CD0700"/>
    <w:rsid w:val="00CD076C"/>
    <w:rsid w:val="00CD09BA"/>
    <w:rsid w:val="00CD09D1"/>
    <w:rsid w:val="00CD0B31"/>
    <w:rsid w:val="00CD0B55"/>
    <w:rsid w:val="00CD0D9C"/>
    <w:rsid w:val="00CD0DA4"/>
    <w:rsid w:val="00CD15A3"/>
    <w:rsid w:val="00CD17DF"/>
    <w:rsid w:val="00CD1B25"/>
    <w:rsid w:val="00CD1BC5"/>
    <w:rsid w:val="00CD1D65"/>
    <w:rsid w:val="00CD1DB7"/>
    <w:rsid w:val="00CD21B6"/>
    <w:rsid w:val="00CD224D"/>
    <w:rsid w:val="00CD22B5"/>
    <w:rsid w:val="00CD2A18"/>
    <w:rsid w:val="00CD2A34"/>
    <w:rsid w:val="00CD2A87"/>
    <w:rsid w:val="00CD2AA2"/>
    <w:rsid w:val="00CD2CEC"/>
    <w:rsid w:val="00CD2E65"/>
    <w:rsid w:val="00CD31BC"/>
    <w:rsid w:val="00CD335E"/>
    <w:rsid w:val="00CD33DC"/>
    <w:rsid w:val="00CD3748"/>
    <w:rsid w:val="00CD39A1"/>
    <w:rsid w:val="00CD3AD6"/>
    <w:rsid w:val="00CD3DFF"/>
    <w:rsid w:val="00CD3E9E"/>
    <w:rsid w:val="00CD3EE5"/>
    <w:rsid w:val="00CD47C0"/>
    <w:rsid w:val="00CD47F5"/>
    <w:rsid w:val="00CD4D35"/>
    <w:rsid w:val="00CD4F28"/>
    <w:rsid w:val="00CD4F85"/>
    <w:rsid w:val="00CD52F3"/>
    <w:rsid w:val="00CD5369"/>
    <w:rsid w:val="00CD54AD"/>
    <w:rsid w:val="00CD580D"/>
    <w:rsid w:val="00CD5C0C"/>
    <w:rsid w:val="00CD5E0A"/>
    <w:rsid w:val="00CD5F40"/>
    <w:rsid w:val="00CD5F9F"/>
    <w:rsid w:val="00CD5FDE"/>
    <w:rsid w:val="00CD62F9"/>
    <w:rsid w:val="00CD6A33"/>
    <w:rsid w:val="00CD6C00"/>
    <w:rsid w:val="00CD6EE9"/>
    <w:rsid w:val="00CD7182"/>
    <w:rsid w:val="00CD748A"/>
    <w:rsid w:val="00CD75EC"/>
    <w:rsid w:val="00CD7916"/>
    <w:rsid w:val="00CD7A79"/>
    <w:rsid w:val="00CD7A92"/>
    <w:rsid w:val="00CD7C61"/>
    <w:rsid w:val="00CD7E39"/>
    <w:rsid w:val="00CD7EE4"/>
    <w:rsid w:val="00CE00EF"/>
    <w:rsid w:val="00CE0346"/>
    <w:rsid w:val="00CE0875"/>
    <w:rsid w:val="00CE0B0C"/>
    <w:rsid w:val="00CE0B61"/>
    <w:rsid w:val="00CE12E6"/>
    <w:rsid w:val="00CE15B2"/>
    <w:rsid w:val="00CE1911"/>
    <w:rsid w:val="00CE19C4"/>
    <w:rsid w:val="00CE1A16"/>
    <w:rsid w:val="00CE1C34"/>
    <w:rsid w:val="00CE1CC0"/>
    <w:rsid w:val="00CE1CEA"/>
    <w:rsid w:val="00CE1E0B"/>
    <w:rsid w:val="00CE22DC"/>
    <w:rsid w:val="00CE2504"/>
    <w:rsid w:val="00CE2693"/>
    <w:rsid w:val="00CE28E2"/>
    <w:rsid w:val="00CE2954"/>
    <w:rsid w:val="00CE2B4A"/>
    <w:rsid w:val="00CE2C69"/>
    <w:rsid w:val="00CE2EB1"/>
    <w:rsid w:val="00CE3180"/>
    <w:rsid w:val="00CE32CE"/>
    <w:rsid w:val="00CE3300"/>
    <w:rsid w:val="00CE337F"/>
    <w:rsid w:val="00CE350B"/>
    <w:rsid w:val="00CE3B2B"/>
    <w:rsid w:val="00CE3DAA"/>
    <w:rsid w:val="00CE3DDC"/>
    <w:rsid w:val="00CE3FB9"/>
    <w:rsid w:val="00CE3FDF"/>
    <w:rsid w:val="00CE4057"/>
    <w:rsid w:val="00CE434D"/>
    <w:rsid w:val="00CE4378"/>
    <w:rsid w:val="00CE43E8"/>
    <w:rsid w:val="00CE453C"/>
    <w:rsid w:val="00CE4926"/>
    <w:rsid w:val="00CE4AA8"/>
    <w:rsid w:val="00CE4EB1"/>
    <w:rsid w:val="00CE4F2C"/>
    <w:rsid w:val="00CE5596"/>
    <w:rsid w:val="00CE57F9"/>
    <w:rsid w:val="00CE585B"/>
    <w:rsid w:val="00CE5A70"/>
    <w:rsid w:val="00CE5AD5"/>
    <w:rsid w:val="00CE5B9C"/>
    <w:rsid w:val="00CE5C23"/>
    <w:rsid w:val="00CE5CCC"/>
    <w:rsid w:val="00CE5DB0"/>
    <w:rsid w:val="00CE60F5"/>
    <w:rsid w:val="00CE6643"/>
    <w:rsid w:val="00CE6855"/>
    <w:rsid w:val="00CE685E"/>
    <w:rsid w:val="00CE6A7D"/>
    <w:rsid w:val="00CE6B11"/>
    <w:rsid w:val="00CE6BCE"/>
    <w:rsid w:val="00CE6C29"/>
    <w:rsid w:val="00CE6C9F"/>
    <w:rsid w:val="00CE6CE7"/>
    <w:rsid w:val="00CE6D3A"/>
    <w:rsid w:val="00CE71D0"/>
    <w:rsid w:val="00CE7274"/>
    <w:rsid w:val="00CE756F"/>
    <w:rsid w:val="00CE759A"/>
    <w:rsid w:val="00CE7928"/>
    <w:rsid w:val="00CF00DA"/>
    <w:rsid w:val="00CF0409"/>
    <w:rsid w:val="00CF0C8F"/>
    <w:rsid w:val="00CF100C"/>
    <w:rsid w:val="00CF101A"/>
    <w:rsid w:val="00CF10CE"/>
    <w:rsid w:val="00CF1567"/>
    <w:rsid w:val="00CF1686"/>
    <w:rsid w:val="00CF17CA"/>
    <w:rsid w:val="00CF17F7"/>
    <w:rsid w:val="00CF187F"/>
    <w:rsid w:val="00CF1981"/>
    <w:rsid w:val="00CF19A8"/>
    <w:rsid w:val="00CF1DD2"/>
    <w:rsid w:val="00CF2329"/>
    <w:rsid w:val="00CF232B"/>
    <w:rsid w:val="00CF255D"/>
    <w:rsid w:val="00CF278B"/>
    <w:rsid w:val="00CF2BE6"/>
    <w:rsid w:val="00CF2BE7"/>
    <w:rsid w:val="00CF2C53"/>
    <w:rsid w:val="00CF2CCE"/>
    <w:rsid w:val="00CF2D2D"/>
    <w:rsid w:val="00CF2E5E"/>
    <w:rsid w:val="00CF2FA7"/>
    <w:rsid w:val="00CF3025"/>
    <w:rsid w:val="00CF3059"/>
    <w:rsid w:val="00CF3112"/>
    <w:rsid w:val="00CF357E"/>
    <w:rsid w:val="00CF3588"/>
    <w:rsid w:val="00CF372C"/>
    <w:rsid w:val="00CF375A"/>
    <w:rsid w:val="00CF39B9"/>
    <w:rsid w:val="00CF3A9D"/>
    <w:rsid w:val="00CF3AC8"/>
    <w:rsid w:val="00CF3B0D"/>
    <w:rsid w:val="00CF3D3A"/>
    <w:rsid w:val="00CF3E67"/>
    <w:rsid w:val="00CF3E6D"/>
    <w:rsid w:val="00CF4413"/>
    <w:rsid w:val="00CF469E"/>
    <w:rsid w:val="00CF4B06"/>
    <w:rsid w:val="00CF4BAD"/>
    <w:rsid w:val="00CF4BCE"/>
    <w:rsid w:val="00CF4D9B"/>
    <w:rsid w:val="00CF4E14"/>
    <w:rsid w:val="00CF4E8F"/>
    <w:rsid w:val="00CF50DA"/>
    <w:rsid w:val="00CF53A2"/>
    <w:rsid w:val="00CF544A"/>
    <w:rsid w:val="00CF55F1"/>
    <w:rsid w:val="00CF569B"/>
    <w:rsid w:val="00CF58CC"/>
    <w:rsid w:val="00CF58F2"/>
    <w:rsid w:val="00CF5B08"/>
    <w:rsid w:val="00CF5B25"/>
    <w:rsid w:val="00CF6024"/>
    <w:rsid w:val="00CF6598"/>
    <w:rsid w:val="00CF67C4"/>
    <w:rsid w:val="00CF6F32"/>
    <w:rsid w:val="00CF7C1D"/>
    <w:rsid w:val="00CF7FC9"/>
    <w:rsid w:val="00D00209"/>
    <w:rsid w:val="00D00212"/>
    <w:rsid w:val="00D00362"/>
    <w:rsid w:val="00D00426"/>
    <w:rsid w:val="00D006E3"/>
    <w:rsid w:val="00D007B8"/>
    <w:rsid w:val="00D009E3"/>
    <w:rsid w:val="00D00AFC"/>
    <w:rsid w:val="00D00BCB"/>
    <w:rsid w:val="00D00C9A"/>
    <w:rsid w:val="00D00D7A"/>
    <w:rsid w:val="00D00DC3"/>
    <w:rsid w:val="00D00FE1"/>
    <w:rsid w:val="00D0118A"/>
    <w:rsid w:val="00D012E1"/>
    <w:rsid w:val="00D01414"/>
    <w:rsid w:val="00D0189D"/>
    <w:rsid w:val="00D018D8"/>
    <w:rsid w:val="00D01AF7"/>
    <w:rsid w:val="00D01D91"/>
    <w:rsid w:val="00D01DD1"/>
    <w:rsid w:val="00D023A2"/>
    <w:rsid w:val="00D023CF"/>
    <w:rsid w:val="00D025F2"/>
    <w:rsid w:val="00D02696"/>
    <w:rsid w:val="00D02AC9"/>
    <w:rsid w:val="00D02C06"/>
    <w:rsid w:val="00D02C21"/>
    <w:rsid w:val="00D02E28"/>
    <w:rsid w:val="00D03256"/>
    <w:rsid w:val="00D0342C"/>
    <w:rsid w:val="00D037C5"/>
    <w:rsid w:val="00D038FA"/>
    <w:rsid w:val="00D03CA3"/>
    <w:rsid w:val="00D03D68"/>
    <w:rsid w:val="00D03EDF"/>
    <w:rsid w:val="00D03F06"/>
    <w:rsid w:val="00D03F36"/>
    <w:rsid w:val="00D040A4"/>
    <w:rsid w:val="00D04167"/>
    <w:rsid w:val="00D0422E"/>
    <w:rsid w:val="00D04333"/>
    <w:rsid w:val="00D04410"/>
    <w:rsid w:val="00D0449C"/>
    <w:rsid w:val="00D04629"/>
    <w:rsid w:val="00D04797"/>
    <w:rsid w:val="00D049CF"/>
    <w:rsid w:val="00D04A1A"/>
    <w:rsid w:val="00D04CEC"/>
    <w:rsid w:val="00D04D30"/>
    <w:rsid w:val="00D04D3D"/>
    <w:rsid w:val="00D04D92"/>
    <w:rsid w:val="00D04E26"/>
    <w:rsid w:val="00D05078"/>
    <w:rsid w:val="00D05319"/>
    <w:rsid w:val="00D05567"/>
    <w:rsid w:val="00D0575F"/>
    <w:rsid w:val="00D0577A"/>
    <w:rsid w:val="00D05791"/>
    <w:rsid w:val="00D05A16"/>
    <w:rsid w:val="00D05B72"/>
    <w:rsid w:val="00D05D06"/>
    <w:rsid w:val="00D05DA2"/>
    <w:rsid w:val="00D05FDD"/>
    <w:rsid w:val="00D060F8"/>
    <w:rsid w:val="00D0613B"/>
    <w:rsid w:val="00D062E1"/>
    <w:rsid w:val="00D06461"/>
    <w:rsid w:val="00D064C0"/>
    <w:rsid w:val="00D066C7"/>
    <w:rsid w:val="00D06DAA"/>
    <w:rsid w:val="00D07012"/>
    <w:rsid w:val="00D0711F"/>
    <w:rsid w:val="00D0757E"/>
    <w:rsid w:val="00D075E1"/>
    <w:rsid w:val="00D078EE"/>
    <w:rsid w:val="00D079CB"/>
    <w:rsid w:val="00D07B13"/>
    <w:rsid w:val="00D07BD5"/>
    <w:rsid w:val="00D07D6C"/>
    <w:rsid w:val="00D10136"/>
    <w:rsid w:val="00D104B5"/>
    <w:rsid w:val="00D105E8"/>
    <w:rsid w:val="00D106B5"/>
    <w:rsid w:val="00D10830"/>
    <w:rsid w:val="00D108BA"/>
    <w:rsid w:val="00D10996"/>
    <w:rsid w:val="00D10C7F"/>
    <w:rsid w:val="00D10D0E"/>
    <w:rsid w:val="00D10DF0"/>
    <w:rsid w:val="00D10F1A"/>
    <w:rsid w:val="00D11317"/>
    <w:rsid w:val="00D1147E"/>
    <w:rsid w:val="00D114EC"/>
    <w:rsid w:val="00D11520"/>
    <w:rsid w:val="00D1157A"/>
    <w:rsid w:val="00D11770"/>
    <w:rsid w:val="00D11815"/>
    <w:rsid w:val="00D11BD6"/>
    <w:rsid w:val="00D11FD1"/>
    <w:rsid w:val="00D12087"/>
    <w:rsid w:val="00D12405"/>
    <w:rsid w:val="00D124A5"/>
    <w:rsid w:val="00D125A8"/>
    <w:rsid w:val="00D1264E"/>
    <w:rsid w:val="00D12D27"/>
    <w:rsid w:val="00D12D6A"/>
    <w:rsid w:val="00D12DD3"/>
    <w:rsid w:val="00D1309C"/>
    <w:rsid w:val="00D13506"/>
    <w:rsid w:val="00D139E4"/>
    <w:rsid w:val="00D13A33"/>
    <w:rsid w:val="00D13E1B"/>
    <w:rsid w:val="00D13F15"/>
    <w:rsid w:val="00D13F2F"/>
    <w:rsid w:val="00D1403D"/>
    <w:rsid w:val="00D140FA"/>
    <w:rsid w:val="00D1437C"/>
    <w:rsid w:val="00D14563"/>
    <w:rsid w:val="00D14584"/>
    <w:rsid w:val="00D14B62"/>
    <w:rsid w:val="00D14CF6"/>
    <w:rsid w:val="00D14D8F"/>
    <w:rsid w:val="00D14DD1"/>
    <w:rsid w:val="00D14F37"/>
    <w:rsid w:val="00D14F5E"/>
    <w:rsid w:val="00D1503B"/>
    <w:rsid w:val="00D150E1"/>
    <w:rsid w:val="00D15131"/>
    <w:rsid w:val="00D15252"/>
    <w:rsid w:val="00D1536F"/>
    <w:rsid w:val="00D1540D"/>
    <w:rsid w:val="00D15497"/>
    <w:rsid w:val="00D15539"/>
    <w:rsid w:val="00D15642"/>
    <w:rsid w:val="00D15DBC"/>
    <w:rsid w:val="00D15E21"/>
    <w:rsid w:val="00D15EE4"/>
    <w:rsid w:val="00D15F8D"/>
    <w:rsid w:val="00D15F9F"/>
    <w:rsid w:val="00D16022"/>
    <w:rsid w:val="00D16047"/>
    <w:rsid w:val="00D1636C"/>
    <w:rsid w:val="00D16474"/>
    <w:rsid w:val="00D16CD2"/>
    <w:rsid w:val="00D16D92"/>
    <w:rsid w:val="00D16F70"/>
    <w:rsid w:val="00D1724B"/>
    <w:rsid w:val="00D1738B"/>
    <w:rsid w:val="00D173DF"/>
    <w:rsid w:val="00D173E6"/>
    <w:rsid w:val="00D174C2"/>
    <w:rsid w:val="00D175B7"/>
    <w:rsid w:val="00D17622"/>
    <w:rsid w:val="00D17748"/>
    <w:rsid w:val="00D17956"/>
    <w:rsid w:val="00D17975"/>
    <w:rsid w:val="00D17BDC"/>
    <w:rsid w:val="00D17C4A"/>
    <w:rsid w:val="00D17D44"/>
    <w:rsid w:val="00D17E69"/>
    <w:rsid w:val="00D2004E"/>
    <w:rsid w:val="00D20187"/>
    <w:rsid w:val="00D20289"/>
    <w:rsid w:val="00D20478"/>
    <w:rsid w:val="00D20864"/>
    <w:rsid w:val="00D20A26"/>
    <w:rsid w:val="00D20ADF"/>
    <w:rsid w:val="00D20BC7"/>
    <w:rsid w:val="00D20FCD"/>
    <w:rsid w:val="00D2124C"/>
    <w:rsid w:val="00D213F4"/>
    <w:rsid w:val="00D21458"/>
    <w:rsid w:val="00D21B71"/>
    <w:rsid w:val="00D21B9F"/>
    <w:rsid w:val="00D21CAB"/>
    <w:rsid w:val="00D21E63"/>
    <w:rsid w:val="00D21FCF"/>
    <w:rsid w:val="00D22070"/>
    <w:rsid w:val="00D2211C"/>
    <w:rsid w:val="00D22411"/>
    <w:rsid w:val="00D22462"/>
    <w:rsid w:val="00D22464"/>
    <w:rsid w:val="00D224C1"/>
    <w:rsid w:val="00D228E9"/>
    <w:rsid w:val="00D22A4F"/>
    <w:rsid w:val="00D22BB7"/>
    <w:rsid w:val="00D22BEC"/>
    <w:rsid w:val="00D22D02"/>
    <w:rsid w:val="00D23194"/>
    <w:rsid w:val="00D232CC"/>
    <w:rsid w:val="00D233C5"/>
    <w:rsid w:val="00D23490"/>
    <w:rsid w:val="00D239E6"/>
    <w:rsid w:val="00D23A8B"/>
    <w:rsid w:val="00D23CE4"/>
    <w:rsid w:val="00D23DD8"/>
    <w:rsid w:val="00D23E8E"/>
    <w:rsid w:val="00D24667"/>
    <w:rsid w:val="00D24793"/>
    <w:rsid w:val="00D247DB"/>
    <w:rsid w:val="00D24817"/>
    <w:rsid w:val="00D2493A"/>
    <w:rsid w:val="00D24DD9"/>
    <w:rsid w:val="00D24FB5"/>
    <w:rsid w:val="00D25451"/>
    <w:rsid w:val="00D2566B"/>
    <w:rsid w:val="00D257C2"/>
    <w:rsid w:val="00D257F0"/>
    <w:rsid w:val="00D25A4E"/>
    <w:rsid w:val="00D25D22"/>
    <w:rsid w:val="00D263C7"/>
    <w:rsid w:val="00D264FF"/>
    <w:rsid w:val="00D2681E"/>
    <w:rsid w:val="00D268A1"/>
    <w:rsid w:val="00D26B20"/>
    <w:rsid w:val="00D26BEB"/>
    <w:rsid w:val="00D26ED2"/>
    <w:rsid w:val="00D2722E"/>
    <w:rsid w:val="00D272EE"/>
    <w:rsid w:val="00D27411"/>
    <w:rsid w:val="00D274C2"/>
    <w:rsid w:val="00D27587"/>
    <w:rsid w:val="00D2779B"/>
    <w:rsid w:val="00D27C4D"/>
    <w:rsid w:val="00D27C54"/>
    <w:rsid w:val="00D27D77"/>
    <w:rsid w:val="00D300B7"/>
    <w:rsid w:val="00D301A8"/>
    <w:rsid w:val="00D30271"/>
    <w:rsid w:val="00D3038B"/>
    <w:rsid w:val="00D305A8"/>
    <w:rsid w:val="00D306CA"/>
    <w:rsid w:val="00D306F5"/>
    <w:rsid w:val="00D30997"/>
    <w:rsid w:val="00D30AE0"/>
    <w:rsid w:val="00D30B91"/>
    <w:rsid w:val="00D31494"/>
    <w:rsid w:val="00D314AB"/>
    <w:rsid w:val="00D3169A"/>
    <w:rsid w:val="00D317B3"/>
    <w:rsid w:val="00D31B26"/>
    <w:rsid w:val="00D31C7E"/>
    <w:rsid w:val="00D31E74"/>
    <w:rsid w:val="00D32080"/>
    <w:rsid w:val="00D322AA"/>
    <w:rsid w:val="00D32396"/>
    <w:rsid w:val="00D3243D"/>
    <w:rsid w:val="00D3257F"/>
    <w:rsid w:val="00D32830"/>
    <w:rsid w:val="00D32AAE"/>
    <w:rsid w:val="00D32CCE"/>
    <w:rsid w:val="00D32D5F"/>
    <w:rsid w:val="00D32DE3"/>
    <w:rsid w:val="00D331A5"/>
    <w:rsid w:val="00D3351C"/>
    <w:rsid w:val="00D3399E"/>
    <w:rsid w:val="00D33C2A"/>
    <w:rsid w:val="00D33DD1"/>
    <w:rsid w:val="00D33E49"/>
    <w:rsid w:val="00D340D2"/>
    <w:rsid w:val="00D342D1"/>
    <w:rsid w:val="00D34473"/>
    <w:rsid w:val="00D34675"/>
    <w:rsid w:val="00D3469B"/>
    <w:rsid w:val="00D3498F"/>
    <w:rsid w:val="00D34A62"/>
    <w:rsid w:val="00D34BFC"/>
    <w:rsid w:val="00D35032"/>
    <w:rsid w:val="00D3572B"/>
    <w:rsid w:val="00D358C2"/>
    <w:rsid w:val="00D358F3"/>
    <w:rsid w:val="00D35A2F"/>
    <w:rsid w:val="00D35B0C"/>
    <w:rsid w:val="00D35EEA"/>
    <w:rsid w:val="00D36046"/>
    <w:rsid w:val="00D364AA"/>
    <w:rsid w:val="00D364F8"/>
    <w:rsid w:val="00D36D30"/>
    <w:rsid w:val="00D36D6D"/>
    <w:rsid w:val="00D370D3"/>
    <w:rsid w:val="00D37374"/>
    <w:rsid w:val="00D373E0"/>
    <w:rsid w:val="00D379A7"/>
    <w:rsid w:val="00D37B19"/>
    <w:rsid w:val="00D37E51"/>
    <w:rsid w:val="00D402AD"/>
    <w:rsid w:val="00D40365"/>
    <w:rsid w:val="00D4071D"/>
    <w:rsid w:val="00D40726"/>
    <w:rsid w:val="00D40818"/>
    <w:rsid w:val="00D40A3D"/>
    <w:rsid w:val="00D40AA0"/>
    <w:rsid w:val="00D40AFD"/>
    <w:rsid w:val="00D40B5C"/>
    <w:rsid w:val="00D40BD0"/>
    <w:rsid w:val="00D40CD7"/>
    <w:rsid w:val="00D4108A"/>
    <w:rsid w:val="00D41098"/>
    <w:rsid w:val="00D411A9"/>
    <w:rsid w:val="00D41223"/>
    <w:rsid w:val="00D415A2"/>
    <w:rsid w:val="00D41983"/>
    <w:rsid w:val="00D41B6B"/>
    <w:rsid w:val="00D41B83"/>
    <w:rsid w:val="00D41C8A"/>
    <w:rsid w:val="00D41E89"/>
    <w:rsid w:val="00D41F8A"/>
    <w:rsid w:val="00D423A0"/>
    <w:rsid w:val="00D423F4"/>
    <w:rsid w:val="00D4265D"/>
    <w:rsid w:val="00D4284C"/>
    <w:rsid w:val="00D42E3E"/>
    <w:rsid w:val="00D42ED9"/>
    <w:rsid w:val="00D42F25"/>
    <w:rsid w:val="00D43241"/>
    <w:rsid w:val="00D43252"/>
    <w:rsid w:val="00D4331B"/>
    <w:rsid w:val="00D4335A"/>
    <w:rsid w:val="00D43795"/>
    <w:rsid w:val="00D43928"/>
    <w:rsid w:val="00D43CCC"/>
    <w:rsid w:val="00D43D8A"/>
    <w:rsid w:val="00D441FD"/>
    <w:rsid w:val="00D4465D"/>
    <w:rsid w:val="00D446C7"/>
    <w:rsid w:val="00D44706"/>
    <w:rsid w:val="00D44772"/>
    <w:rsid w:val="00D44AEF"/>
    <w:rsid w:val="00D44B83"/>
    <w:rsid w:val="00D450A0"/>
    <w:rsid w:val="00D45442"/>
    <w:rsid w:val="00D45862"/>
    <w:rsid w:val="00D458DE"/>
    <w:rsid w:val="00D45930"/>
    <w:rsid w:val="00D45B7E"/>
    <w:rsid w:val="00D45BDA"/>
    <w:rsid w:val="00D45E3F"/>
    <w:rsid w:val="00D46013"/>
    <w:rsid w:val="00D4623B"/>
    <w:rsid w:val="00D463F0"/>
    <w:rsid w:val="00D463F1"/>
    <w:rsid w:val="00D46464"/>
    <w:rsid w:val="00D46491"/>
    <w:rsid w:val="00D4698D"/>
    <w:rsid w:val="00D46F52"/>
    <w:rsid w:val="00D47399"/>
    <w:rsid w:val="00D473EE"/>
    <w:rsid w:val="00D477B0"/>
    <w:rsid w:val="00D4793A"/>
    <w:rsid w:val="00D47C8D"/>
    <w:rsid w:val="00D47D8B"/>
    <w:rsid w:val="00D47DDA"/>
    <w:rsid w:val="00D5016F"/>
    <w:rsid w:val="00D50643"/>
    <w:rsid w:val="00D50A57"/>
    <w:rsid w:val="00D51521"/>
    <w:rsid w:val="00D5169A"/>
    <w:rsid w:val="00D518E7"/>
    <w:rsid w:val="00D51941"/>
    <w:rsid w:val="00D5194A"/>
    <w:rsid w:val="00D51AC9"/>
    <w:rsid w:val="00D51AE0"/>
    <w:rsid w:val="00D51B1A"/>
    <w:rsid w:val="00D51B67"/>
    <w:rsid w:val="00D51D56"/>
    <w:rsid w:val="00D51D90"/>
    <w:rsid w:val="00D51E51"/>
    <w:rsid w:val="00D51E53"/>
    <w:rsid w:val="00D51F3E"/>
    <w:rsid w:val="00D5231D"/>
    <w:rsid w:val="00D524D5"/>
    <w:rsid w:val="00D525F0"/>
    <w:rsid w:val="00D527E6"/>
    <w:rsid w:val="00D52F81"/>
    <w:rsid w:val="00D530B4"/>
    <w:rsid w:val="00D530CE"/>
    <w:rsid w:val="00D53348"/>
    <w:rsid w:val="00D5349D"/>
    <w:rsid w:val="00D53617"/>
    <w:rsid w:val="00D5367F"/>
    <w:rsid w:val="00D53829"/>
    <w:rsid w:val="00D538A8"/>
    <w:rsid w:val="00D5394F"/>
    <w:rsid w:val="00D53A11"/>
    <w:rsid w:val="00D53C51"/>
    <w:rsid w:val="00D5401E"/>
    <w:rsid w:val="00D5415D"/>
    <w:rsid w:val="00D54245"/>
    <w:rsid w:val="00D543BB"/>
    <w:rsid w:val="00D5460D"/>
    <w:rsid w:val="00D54867"/>
    <w:rsid w:val="00D54975"/>
    <w:rsid w:val="00D54A36"/>
    <w:rsid w:val="00D550FA"/>
    <w:rsid w:val="00D552F4"/>
    <w:rsid w:val="00D55497"/>
    <w:rsid w:val="00D555D4"/>
    <w:rsid w:val="00D55B00"/>
    <w:rsid w:val="00D55C04"/>
    <w:rsid w:val="00D55E09"/>
    <w:rsid w:val="00D55F80"/>
    <w:rsid w:val="00D55FA1"/>
    <w:rsid w:val="00D56198"/>
    <w:rsid w:val="00D562A2"/>
    <w:rsid w:val="00D562F3"/>
    <w:rsid w:val="00D5634B"/>
    <w:rsid w:val="00D56459"/>
    <w:rsid w:val="00D56526"/>
    <w:rsid w:val="00D56547"/>
    <w:rsid w:val="00D56939"/>
    <w:rsid w:val="00D569EE"/>
    <w:rsid w:val="00D56BF6"/>
    <w:rsid w:val="00D56C56"/>
    <w:rsid w:val="00D56CAC"/>
    <w:rsid w:val="00D56D3E"/>
    <w:rsid w:val="00D56DDF"/>
    <w:rsid w:val="00D57051"/>
    <w:rsid w:val="00D5721F"/>
    <w:rsid w:val="00D57446"/>
    <w:rsid w:val="00D574AC"/>
    <w:rsid w:val="00D575E4"/>
    <w:rsid w:val="00D57831"/>
    <w:rsid w:val="00D57BE0"/>
    <w:rsid w:val="00D57E0C"/>
    <w:rsid w:val="00D57EDB"/>
    <w:rsid w:val="00D601C4"/>
    <w:rsid w:val="00D6050B"/>
    <w:rsid w:val="00D6053A"/>
    <w:rsid w:val="00D60929"/>
    <w:rsid w:val="00D6095B"/>
    <w:rsid w:val="00D6095C"/>
    <w:rsid w:val="00D60BD1"/>
    <w:rsid w:val="00D60C48"/>
    <w:rsid w:val="00D60D5E"/>
    <w:rsid w:val="00D60F85"/>
    <w:rsid w:val="00D61696"/>
    <w:rsid w:val="00D61DB9"/>
    <w:rsid w:val="00D61DBD"/>
    <w:rsid w:val="00D62097"/>
    <w:rsid w:val="00D6210C"/>
    <w:rsid w:val="00D6214B"/>
    <w:rsid w:val="00D6249E"/>
    <w:rsid w:val="00D624C9"/>
    <w:rsid w:val="00D627CA"/>
    <w:rsid w:val="00D6282D"/>
    <w:rsid w:val="00D62B12"/>
    <w:rsid w:val="00D62C6B"/>
    <w:rsid w:val="00D62CA4"/>
    <w:rsid w:val="00D62D85"/>
    <w:rsid w:val="00D62E3B"/>
    <w:rsid w:val="00D62F4E"/>
    <w:rsid w:val="00D630C0"/>
    <w:rsid w:val="00D6317F"/>
    <w:rsid w:val="00D63504"/>
    <w:rsid w:val="00D635E1"/>
    <w:rsid w:val="00D63906"/>
    <w:rsid w:val="00D63EC3"/>
    <w:rsid w:val="00D64341"/>
    <w:rsid w:val="00D643A8"/>
    <w:rsid w:val="00D645EB"/>
    <w:rsid w:val="00D64666"/>
    <w:rsid w:val="00D64C81"/>
    <w:rsid w:val="00D64ECF"/>
    <w:rsid w:val="00D65082"/>
    <w:rsid w:val="00D650F1"/>
    <w:rsid w:val="00D652F5"/>
    <w:rsid w:val="00D6572D"/>
    <w:rsid w:val="00D6593F"/>
    <w:rsid w:val="00D65A45"/>
    <w:rsid w:val="00D65CE7"/>
    <w:rsid w:val="00D65FB6"/>
    <w:rsid w:val="00D6685A"/>
    <w:rsid w:val="00D66901"/>
    <w:rsid w:val="00D669F2"/>
    <w:rsid w:val="00D66BD9"/>
    <w:rsid w:val="00D66CFE"/>
    <w:rsid w:val="00D66F89"/>
    <w:rsid w:val="00D670A6"/>
    <w:rsid w:val="00D670C1"/>
    <w:rsid w:val="00D670FD"/>
    <w:rsid w:val="00D672C5"/>
    <w:rsid w:val="00D67312"/>
    <w:rsid w:val="00D673FB"/>
    <w:rsid w:val="00D6745C"/>
    <w:rsid w:val="00D6779D"/>
    <w:rsid w:val="00D679FA"/>
    <w:rsid w:val="00D67A9E"/>
    <w:rsid w:val="00D67C1E"/>
    <w:rsid w:val="00D67C26"/>
    <w:rsid w:val="00D67EE9"/>
    <w:rsid w:val="00D70015"/>
    <w:rsid w:val="00D704F5"/>
    <w:rsid w:val="00D7064E"/>
    <w:rsid w:val="00D7069E"/>
    <w:rsid w:val="00D7073A"/>
    <w:rsid w:val="00D707A7"/>
    <w:rsid w:val="00D70993"/>
    <w:rsid w:val="00D70AE2"/>
    <w:rsid w:val="00D70E6C"/>
    <w:rsid w:val="00D70E9E"/>
    <w:rsid w:val="00D71230"/>
    <w:rsid w:val="00D713F3"/>
    <w:rsid w:val="00D716D7"/>
    <w:rsid w:val="00D71760"/>
    <w:rsid w:val="00D718C9"/>
    <w:rsid w:val="00D71A7F"/>
    <w:rsid w:val="00D7222A"/>
    <w:rsid w:val="00D7236B"/>
    <w:rsid w:val="00D723A2"/>
    <w:rsid w:val="00D72903"/>
    <w:rsid w:val="00D72955"/>
    <w:rsid w:val="00D72A7C"/>
    <w:rsid w:val="00D72B20"/>
    <w:rsid w:val="00D72BF1"/>
    <w:rsid w:val="00D72D69"/>
    <w:rsid w:val="00D72DBA"/>
    <w:rsid w:val="00D7303F"/>
    <w:rsid w:val="00D73139"/>
    <w:rsid w:val="00D73335"/>
    <w:rsid w:val="00D7360E"/>
    <w:rsid w:val="00D739C6"/>
    <w:rsid w:val="00D74307"/>
    <w:rsid w:val="00D74349"/>
    <w:rsid w:val="00D7476C"/>
    <w:rsid w:val="00D748A8"/>
    <w:rsid w:val="00D749F4"/>
    <w:rsid w:val="00D74A48"/>
    <w:rsid w:val="00D74B89"/>
    <w:rsid w:val="00D7533C"/>
    <w:rsid w:val="00D75535"/>
    <w:rsid w:val="00D75AAE"/>
    <w:rsid w:val="00D75AF8"/>
    <w:rsid w:val="00D75F22"/>
    <w:rsid w:val="00D75F23"/>
    <w:rsid w:val="00D75FFF"/>
    <w:rsid w:val="00D7606A"/>
    <w:rsid w:val="00D76145"/>
    <w:rsid w:val="00D761F4"/>
    <w:rsid w:val="00D76360"/>
    <w:rsid w:val="00D764AA"/>
    <w:rsid w:val="00D764BB"/>
    <w:rsid w:val="00D764DF"/>
    <w:rsid w:val="00D76538"/>
    <w:rsid w:val="00D766ED"/>
    <w:rsid w:val="00D767E5"/>
    <w:rsid w:val="00D76936"/>
    <w:rsid w:val="00D76CCE"/>
    <w:rsid w:val="00D76E8D"/>
    <w:rsid w:val="00D76F24"/>
    <w:rsid w:val="00D77318"/>
    <w:rsid w:val="00D773F0"/>
    <w:rsid w:val="00D77409"/>
    <w:rsid w:val="00D774A6"/>
    <w:rsid w:val="00D777F7"/>
    <w:rsid w:val="00D77ADA"/>
    <w:rsid w:val="00D77EBD"/>
    <w:rsid w:val="00D8006F"/>
    <w:rsid w:val="00D80274"/>
    <w:rsid w:val="00D80472"/>
    <w:rsid w:val="00D805A5"/>
    <w:rsid w:val="00D8096E"/>
    <w:rsid w:val="00D80A51"/>
    <w:rsid w:val="00D80A72"/>
    <w:rsid w:val="00D80AEB"/>
    <w:rsid w:val="00D80BB2"/>
    <w:rsid w:val="00D80D5C"/>
    <w:rsid w:val="00D80FCD"/>
    <w:rsid w:val="00D8102C"/>
    <w:rsid w:val="00D810D9"/>
    <w:rsid w:val="00D8112E"/>
    <w:rsid w:val="00D81342"/>
    <w:rsid w:val="00D813B7"/>
    <w:rsid w:val="00D8152C"/>
    <w:rsid w:val="00D816DB"/>
    <w:rsid w:val="00D81DC8"/>
    <w:rsid w:val="00D81F33"/>
    <w:rsid w:val="00D8212D"/>
    <w:rsid w:val="00D82311"/>
    <w:rsid w:val="00D82A9A"/>
    <w:rsid w:val="00D82B96"/>
    <w:rsid w:val="00D82C7A"/>
    <w:rsid w:val="00D830D5"/>
    <w:rsid w:val="00D830DE"/>
    <w:rsid w:val="00D8332C"/>
    <w:rsid w:val="00D83892"/>
    <w:rsid w:val="00D83931"/>
    <w:rsid w:val="00D83E3E"/>
    <w:rsid w:val="00D840EC"/>
    <w:rsid w:val="00D84122"/>
    <w:rsid w:val="00D8446A"/>
    <w:rsid w:val="00D845AA"/>
    <w:rsid w:val="00D84604"/>
    <w:rsid w:val="00D8463E"/>
    <w:rsid w:val="00D8482F"/>
    <w:rsid w:val="00D84B21"/>
    <w:rsid w:val="00D84C00"/>
    <w:rsid w:val="00D84D19"/>
    <w:rsid w:val="00D84DE7"/>
    <w:rsid w:val="00D850D8"/>
    <w:rsid w:val="00D85159"/>
    <w:rsid w:val="00D855FF"/>
    <w:rsid w:val="00D85873"/>
    <w:rsid w:val="00D858C1"/>
    <w:rsid w:val="00D85B75"/>
    <w:rsid w:val="00D85BEA"/>
    <w:rsid w:val="00D85C89"/>
    <w:rsid w:val="00D85E08"/>
    <w:rsid w:val="00D85ED4"/>
    <w:rsid w:val="00D865BA"/>
    <w:rsid w:val="00D8672A"/>
    <w:rsid w:val="00D86A27"/>
    <w:rsid w:val="00D86AE9"/>
    <w:rsid w:val="00D86C31"/>
    <w:rsid w:val="00D86DD7"/>
    <w:rsid w:val="00D86DE0"/>
    <w:rsid w:val="00D86DF7"/>
    <w:rsid w:val="00D8753D"/>
    <w:rsid w:val="00D875FA"/>
    <w:rsid w:val="00D87715"/>
    <w:rsid w:val="00D879B9"/>
    <w:rsid w:val="00D87FB0"/>
    <w:rsid w:val="00D902DE"/>
    <w:rsid w:val="00D90639"/>
    <w:rsid w:val="00D909F8"/>
    <w:rsid w:val="00D90B36"/>
    <w:rsid w:val="00D90ECE"/>
    <w:rsid w:val="00D90F8B"/>
    <w:rsid w:val="00D91011"/>
    <w:rsid w:val="00D91138"/>
    <w:rsid w:val="00D91690"/>
    <w:rsid w:val="00D91A0D"/>
    <w:rsid w:val="00D91CE4"/>
    <w:rsid w:val="00D91F73"/>
    <w:rsid w:val="00D92087"/>
    <w:rsid w:val="00D920CB"/>
    <w:rsid w:val="00D920D2"/>
    <w:rsid w:val="00D921F3"/>
    <w:rsid w:val="00D923ED"/>
    <w:rsid w:val="00D92646"/>
    <w:rsid w:val="00D928A3"/>
    <w:rsid w:val="00D92ABD"/>
    <w:rsid w:val="00D92AF1"/>
    <w:rsid w:val="00D92F03"/>
    <w:rsid w:val="00D932AE"/>
    <w:rsid w:val="00D93374"/>
    <w:rsid w:val="00D934DC"/>
    <w:rsid w:val="00D93623"/>
    <w:rsid w:val="00D9381D"/>
    <w:rsid w:val="00D939B8"/>
    <w:rsid w:val="00D93B65"/>
    <w:rsid w:val="00D93C6C"/>
    <w:rsid w:val="00D93CDE"/>
    <w:rsid w:val="00D93FC2"/>
    <w:rsid w:val="00D941EA"/>
    <w:rsid w:val="00D94236"/>
    <w:rsid w:val="00D9428E"/>
    <w:rsid w:val="00D944BC"/>
    <w:rsid w:val="00D946C6"/>
    <w:rsid w:val="00D94C19"/>
    <w:rsid w:val="00D94CB7"/>
    <w:rsid w:val="00D94EF8"/>
    <w:rsid w:val="00D94FD6"/>
    <w:rsid w:val="00D95052"/>
    <w:rsid w:val="00D9505D"/>
    <w:rsid w:val="00D95618"/>
    <w:rsid w:val="00D95B3A"/>
    <w:rsid w:val="00D95EA2"/>
    <w:rsid w:val="00D95EB4"/>
    <w:rsid w:val="00D95F66"/>
    <w:rsid w:val="00D95F90"/>
    <w:rsid w:val="00D960DD"/>
    <w:rsid w:val="00D9610D"/>
    <w:rsid w:val="00D961B4"/>
    <w:rsid w:val="00D96236"/>
    <w:rsid w:val="00D962FD"/>
    <w:rsid w:val="00D9648E"/>
    <w:rsid w:val="00D965FF"/>
    <w:rsid w:val="00D968AA"/>
    <w:rsid w:val="00D96BD7"/>
    <w:rsid w:val="00D97295"/>
    <w:rsid w:val="00D973BE"/>
    <w:rsid w:val="00D97552"/>
    <w:rsid w:val="00D977E3"/>
    <w:rsid w:val="00D97B53"/>
    <w:rsid w:val="00D97B73"/>
    <w:rsid w:val="00D97CAD"/>
    <w:rsid w:val="00DA003B"/>
    <w:rsid w:val="00DA0111"/>
    <w:rsid w:val="00DA0431"/>
    <w:rsid w:val="00DA051C"/>
    <w:rsid w:val="00DA0561"/>
    <w:rsid w:val="00DA0D2A"/>
    <w:rsid w:val="00DA0DAB"/>
    <w:rsid w:val="00DA1157"/>
    <w:rsid w:val="00DA1193"/>
    <w:rsid w:val="00DA1299"/>
    <w:rsid w:val="00DA12B4"/>
    <w:rsid w:val="00DA15FD"/>
    <w:rsid w:val="00DA1823"/>
    <w:rsid w:val="00DA1852"/>
    <w:rsid w:val="00DA19C3"/>
    <w:rsid w:val="00DA1A44"/>
    <w:rsid w:val="00DA1D08"/>
    <w:rsid w:val="00DA2105"/>
    <w:rsid w:val="00DA2192"/>
    <w:rsid w:val="00DA2267"/>
    <w:rsid w:val="00DA2572"/>
    <w:rsid w:val="00DA263F"/>
    <w:rsid w:val="00DA2751"/>
    <w:rsid w:val="00DA2771"/>
    <w:rsid w:val="00DA2C84"/>
    <w:rsid w:val="00DA3324"/>
    <w:rsid w:val="00DA3745"/>
    <w:rsid w:val="00DA37B8"/>
    <w:rsid w:val="00DA383C"/>
    <w:rsid w:val="00DA38B9"/>
    <w:rsid w:val="00DA3A45"/>
    <w:rsid w:val="00DA3A5E"/>
    <w:rsid w:val="00DA3AE3"/>
    <w:rsid w:val="00DA3AF9"/>
    <w:rsid w:val="00DA3DC8"/>
    <w:rsid w:val="00DA4033"/>
    <w:rsid w:val="00DA40AD"/>
    <w:rsid w:val="00DA415B"/>
    <w:rsid w:val="00DA41E0"/>
    <w:rsid w:val="00DA465D"/>
    <w:rsid w:val="00DA48B6"/>
    <w:rsid w:val="00DA4994"/>
    <w:rsid w:val="00DA4A26"/>
    <w:rsid w:val="00DA4B23"/>
    <w:rsid w:val="00DA4DAA"/>
    <w:rsid w:val="00DA502A"/>
    <w:rsid w:val="00DA54B6"/>
    <w:rsid w:val="00DA5559"/>
    <w:rsid w:val="00DA55C4"/>
    <w:rsid w:val="00DA593D"/>
    <w:rsid w:val="00DA5D43"/>
    <w:rsid w:val="00DA632D"/>
    <w:rsid w:val="00DA639D"/>
    <w:rsid w:val="00DA66B5"/>
    <w:rsid w:val="00DA6885"/>
    <w:rsid w:val="00DA691C"/>
    <w:rsid w:val="00DA6CF3"/>
    <w:rsid w:val="00DA6E4F"/>
    <w:rsid w:val="00DA6E9D"/>
    <w:rsid w:val="00DA70F9"/>
    <w:rsid w:val="00DA720F"/>
    <w:rsid w:val="00DA722F"/>
    <w:rsid w:val="00DA7243"/>
    <w:rsid w:val="00DA731B"/>
    <w:rsid w:val="00DA74F3"/>
    <w:rsid w:val="00DA7708"/>
    <w:rsid w:val="00DA7738"/>
    <w:rsid w:val="00DA77D0"/>
    <w:rsid w:val="00DA7AAF"/>
    <w:rsid w:val="00DA7AD8"/>
    <w:rsid w:val="00DB06F4"/>
    <w:rsid w:val="00DB07CE"/>
    <w:rsid w:val="00DB08D2"/>
    <w:rsid w:val="00DB0960"/>
    <w:rsid w:val="00DB0976"/>
    <w:rsid w:val="00DB097D"/>
    <w:rsid w:val="00DB09CE"/>
    <w:rsid w:val="00DB0BC6"/>
    <w:rsid w:val="00DB0D14"/>
    <w:rsid w:val="00DB0D79"/>
    <w:rsid w:val="00DB0DCB"/>
    <w:rsid w:val="00DB0E82"/>
    <w:rsid w:val="00DB11F6"/>
    <w:rsid w:val="00DB1491"/>
    <w:rsid w:val="00DB1726"/>
    <w:rsid w:val="00DB1A72"/>
    <w:rsid w:val="00DB1C1C"/>
    <w:rsid w:val="00DB1C89"/>
    <w:rsid w:val="00DB20EA"/>
    <w:rsid w:val="00DB2306"/>
    <w:rsid w:val="00DB232C"/>
    <w:rsid w:val="00DB23B4"/>
    <w:rsid w:val="00DB2724"/>
    <w:rsid w:val="00DB2888"/>
    <w:rsid w:val="00DB2A3A"/>
    <w:rsid w:val="00DB2B28"/>
    <w:rsid w:val="00DB2D0F"/>
    <w:rsid w:val="00DB2EC4"/>
    <w:rsid w:val="00DB2F49"/>
    <w:rsid w:val="00DB31A1"/>
    <w:rsid w:val="00DB3670"/>
    <w:rsid w:val="00DB3835"/>
    <w:rsid w:val="00DB3A4D"/>
    <w:rsid w:val="00DB3AF8"/>
    <w:rsid w:val="00DB3BBD"/>
    <w:rsid w:val="00DB3D3E"/>
    <w:rsid w:val="00DB3D9F"/>
    <w:rsid w:val="00DB4014"/>
    <w:rsid w:val="00DB403E"/>
    <w:rsid w:val="00DB413B"/>
    <w:rsid w:val="00DB429A"/>
    <w:rsid w:val="00DB42E0"/>
    <w:rsid w:val="00DB43EE"/>
    <w:rsid w:val="00DB446E"/>
    <w:rsid w:val="00DB44A9"/>
    <w:rsid w:val="00DB468F"/>
    <w:rsid w:val="00DB48AB"/>
    <w:rsid w:val="00DB490D"/>
    <w:rsid w:val="00DB49AA"/>
    <w:rsid w:val="00DB4B54"/>
    <w:rsid w:val="00DB4E12"/>
    <w:rsid w:val="00DB4EFF"/>
    <w:rsid w:val="00DB5086"/>
    <w:rsid w:val="00DB510D"/>
    <w:rsid w:val="00DB5720"/>
    <w:rsid w:val="00DB5755"/>
    <w:rsid w:val="00DB58BA"/>
    <w:rsid w:val="00DB5B5D"/>
    <w:rsid w:val="00DB5CA8"/>
    <w:rsid w:val="00DB5E7D"/>
    <w:rsid w:val="00DB5FAC"/>
    <w:rsid w:val="00DB606A"/>
    <w:rsid w:val="00DB618F"/>
    <w:rsid w:val="00DB61A6"/>
    <w:rsid w:val="00DB6248"/>
    <w:rsid w:val="00DB63E6"/>
    <w:rsid w:val="00DB66D4"/>
    <w:rsid w:val="00DB67EA"/>
    <w:rsid w:val="00DB6A22"/>
    <w:rsid w:val="00DB6A29"/>
    <w:rsid w:val="00DB6A81"/>
    <w:rsid w:val="00DB71C9"/>
    <w:rsid w:val="00DB7288"/>
    <w:rsid w:val="00DB7376"/>
    <w:rsid w:val="00DB7647"/>
    <w:rsid w:val="00DB7693"/>
    <w:rsid w:val="00DB7BDA"/>
    <w:rsid w:val="00DB7C4C"/>
    <w:rsid w:val="00DB7D88"/>
    <w:rsid w:val="00DB7E7F"/>
    <w:rsid w:val="00DC000C"/>
    <w:rsid w:val="00DC0168"/>
    <w:rsid w:val="00DC0432"/>
    <w:rsid w:val="00DC05F0"/>
    <w:rsid w:val="00DC0BD7"/>
    <w:rsid w:val="00DC0D52"/>
    <w:rsid w:val="00DC0D84"/>
    <w:rsid w:val="00DC0E5A"/>
    <w:rsid w:val="00DC10EF"/>
    <w:rsid w:val="00DC153C"/>
    <w:rsid w:val="00DC154A"/>
    <w:rsid w:val="00DC1737"/>
    <w:rsid w:val="00DC1A11"/>
    <w:rsid w:val="00DC1B58"/>
    <w:rsid w:val="00DC1BE3"/>
    <w:rsid w:val="00DC1CD9"/>
    <w:rsid w:val="00DC1CE0"/>
    <w:rsid w:val="00DC1DCA"/>
    <w:rsid w:val="00DC23AF"/>
    <w:rsid w:val="00DC261C"/>
    <w:rsid w:val="00DC273A"/>
    <w:rsid w:val="00DC2BB5"/>
    <w:rsid w:val="00DC30AC"/>
    <w:rsid w:val="00DC3215"/>
    <w:rsid w:val="00DC3528"/>
    <w:rsid w:val="00DC36B0"/>
    <w:rsid w:val="00DC384A"/>
    <w:rsid w:val="00DC38AC"/>
    <w:rsid w:val="00DC3C5E"/>
    <w:rsid w:val="00DC3F65"/>
    <w:rsid w:val="00DC43E4"/>
    <w:rsid w:val="00DC4463"/>
    <w:rsid w:val="00DC464B"/>
    <w:rsid w:val="00DC4720"/>
    <w:rsid w:val="00DC4B51"/>
    <w:rsid w:val="00DC4CDD"/>
    <w:rsid w:val="00DC500B"/>
    <w:rsid w:val="00DC5455"/>
    <w:rsid w:val="00DC549E"/>
    <w:rsid w:val="00DC564B"/>
    <w:rsid w:val="00DC5AAD"/>
    <w:rsid w:val="00DC5D1B"/>
    <w:rsid w:val="00DC5ECB"/>
    <w:rsid w:val="00DC5EF1"/>
    <w:rsid w:val="00DC615F"/>
    <w:rsid w:val="00DC6453"/>
    <w:rsid w:val="00DC65F5"/>
    <w:rsid w:val="00DC67A7"/>
    <w:rsid w:val="00DC68B4"/>
    <w:rsid w:val="00DC6B5B"/>
    <w:rsid w:val="00DC6BCF"/>
    <w:rsid w:val="00DC6C59"/>
    <w:rsid w:val="00DC6DBF"/>
    <w:rsid w:val="00DC7244"/>
    <w:rsid w:val="00DC74C7"/>
    <w:rsid w:val="00DC7572"/>
    <w:rsid w:val="00DC7784"/>
    <w:rsid w:val="00DC789D"/>
    <w:rsid w:val="00DC7A64"/>
    <w:rsid w:val="00DC7AC9"/>
    <w:rsid w:val="00DC7B9A"/>
    <w:rsid w:val="00DC7BFB"/>
    <w:rsid w:val="00DC7F57"/>
    <w:rsid w:val="00DC7FC4"/>
    <w:rsid w:val="00DD00C7"/>
    <w:rsid w:val="00DD0179"/>
    <w:rsid w:val="00DD0A57"/>
    <w:rsid w:val="00DD0C23"/>
    <w:rsid w:val="00DD0C3F"/>
    <w:rsid w:val="00DD0EAB"/>
    <w:rsid w:val="00DD10A7"/>
    <w:rsid w:val="00DD147C"/>
    <w:rsid w:val="00DD14C6"/>
    <w:rsid w:val="00DD1704"/>
    <w:rsid w:val="00DD1795"/>
    <w:rsid w:val="00DD1F1B"/>
    <w:rsid w:val="00DD2365"/>
    <w:rsid w:val="00DD2366"/>
    <w:rsid w:val="00DD274F"/>
    <w:rsid w:val="00DD2798"/>
    <w:rsid w:val="00DD287C"/>
    <w:rsid w:val="00DD28FE"/>
    <w:rsid w:val="00DD2A19"/>
    <w:rsid w:val="00DD2A25"/>
    <w:rsid w:val="00DD2B54"/>
    <w:rsid w:val="00DD2FEE"/>
    <w:rsid w:val="00DD3586"/>
    <w:rsid w:val="00DD3A0F"/>
    <w:rsid w:val="00DD3AF6"/>
    <w:rsid w:val="00DD3CEC"/>
    <w:rsid w:val="00DD3D69"/>
    <w:rsid w:val="00DD3E3D"/>
    <w:rsid w:val="00DD415D"/>
    <w:rsid w:val="00DD43C4"/>
    <w:rsid w:val="00DD47C3"/>
    <w:rsid w:val="00DD48DC"/>
    <w:rsid w:val="00DD48F9"/>
    <w:rsid w:val="00DD4B1C"/>
    <w:rsid w:val="00DD4BF2"/>
    <w:rsid w:val="00DD4FAC"/>
    <w:rsid w:val="00DD507D"/>
    <w:rsid w:val="00DD52EE"/>
    <w:rsid w:val="00DD5966"/>
    <w:rsid w:val="00DD59D3"/>
    <w:rsid w:val="00DD5BB6"/>
    <w:rsid w:val="00DD5D18"/>
    <w:rsid w:val="00DD5DD8"/>
    <w:rsid w:val="00DD5F2A"/>
    <w:rsid w:val="00DD5FC8"/>
    <w:rsid w:val="00DD60C5"/>
    <w:rsid w:val="00DD621A"/>
    <w:rsid w:val="00DD6610"/>
    <w:rsid w:val="00DD6752"/>
    <w:rsid w:val="00DD690A"/>
    <w:rsid w:val="00DD6D94"/>
    <w:rsid w:val="00DD6D95"/>
    <w:rsid w:val="00DD7087"/>
    <w:rsid w:val="00DD7138"/>
    <w:rsid w:val="00DD7178"/>
    <w:rsid w:val="00DD71BA"/>
    <w:rsid w:val="00DD71DB"/>
    <w:rsid w:val="00DD721D"/>
    <w:rsid w:val="00DD74E9"/>
    <w:rsid w:val="00DD787A"/>
    <w:rsid w:val="00DD78DE"/>
    <w:rsid w:val="00DD7981"/>
    <w:rsid w:val="00DD7B1E"/>
    <w:rsid w:val="00DD7C33"/>
    <w:rsid w:val="00DE0059"/>
    <w:rsid w:val="00DE00D6"/>
    <w:rsid w:val="00DE0287"/>
    <w:rsid w:val="00DE04DB"/>
    <w:rsid w:val="00DE06CD"/>
    <w:rsid w:val="00DE0738"/>
    <w:rsid w:val="00DE0739"/>
    <w:rsid w:val="00DE08D4"/>
    <w:rsid w:val="00DE0B5C"/>
    <w:rsid w:val="00DE0F5A"/>
    <w:rsid w:val="00DE1077"/>
    <w:rsid w:val="00DE132E"/>
    <w:rsid w:val="00DE165E"/>
    <w:rsid w:val="00DE16BB"/>
    <w:rsid w:val="00DE1722"/>
    <w:rsid w:val="00DE1775"/>
    <w:rsid w:val="00DE1827"/>
    <w:rsid w:val="00DE19DC"/>
    <w:rsid w:val="00DE1A61"/>
    <w:rsid w:val="00DE1B23"/>
    <w:rsid w:val="00DE1BA6"/>
    <w:rsid w:val="00DE1BD5"/>
    <w:rsid w:val="00DE1BDF"/>
    <w:rsid w:val="00DE1C75"/>
    <w:rsid w:val="00DE1FF4"/>
    <w:rsid w:val="00DE27E9"/>
    <w:rsid w:val="00DE280A"/>
    <w:rsid w:val="00DE2936"/>
    <w:rsid w:val="00DE2D44"/>
    <w:rsid w:val="00DE3068"/>
    <w:rsid w:val="00DE3080"/>
    <w:rsid w:val="00DE3089"/>
    <w:rsid w:val="00DE30A1"/>
    <w:rsid w:val="00DE30ED"/>
    <w:rsid w:val="00DE3598"/>
    <w:rsid w:val="00DE3644"/>
    <w:rsid w:val="00DE392E"/>
    <w:rsid w:val="00DE3D48"/>
    <w:rsid w:val="00DE3DB3"/>
    <w:rsid w:val="00DE4285"/>
    <w:rsid w:val="00DE42AE"/>
    <w:rsid w:val="00DE4892"/>
    <w:rsid w:val="00DE4A8F"/>
    <w:rsid w:val="00DE4D18"/>
    <w:rsid w:val="00DE4FA9"/>
    <w:rsid w:val="00DE4FC8"/>
    <w:rsid w:val="00DE501C"/>
    <w:rsid w:val="00DE52E9"/>
    <w:rsid w:val="00DE59A1"/>
    <w:rsid w:val="00DE59C4"/>
    <w:rsid w:val="00DE5A6F"/>
    <w:rsid w:val="00DE5A8B"/>
    <w:rsid w:val="00DE5A9D"/>
    <w:rsid w:val="00DE5B0D"/>
    <w:rsid w:val="00DE5FA8"/>
    <w:rsid w:val="00DE6035"/>
    <w:rsid w:val="00DE6137"/>
    <w:rsid w:val="00DE6240"/>
    <w:rsid w:val="00DE641C"/>
    <w:rsid w:val="00DE657A"/>
    <w:rsid w:val="00DE6833"/>
    <w:rsid w:val="00DE6ADA"/>
    <w:rsid w:val="00DE6D74"/>
    <w:rsid w:val="00DE6D89"/>
    <w:rsid w:val="00DE6F41"/>
    <w:rsid w:val="00DE6FC9"/>
    <w:rsid w:val="00DE7162"/>
    <w:rsid w:val="00DE71EF"/>
    <w:rsid w:val="00DE745B"/>
    <w:rsid w:val="00DE7488"/>
    <w:rsid w:val="00DE74AE"/>
    <w:rsid w:val="00DE75CF"/>
    <w:rsid w:val="00DE787C"/>
    <w:rsid w:val="00DE78D7"/>
    <w:rsid w:val="00DE79DA"/>
    <w:rsid w:val="00DE7A09"/>
    <w:rsid w:val="00DE7BB6"/>
    <w:rsid w:val="00DE7E74"/>
    <w:rsid w:val="00DF00E4"/>
    <w:rsid w:val="00DF00FF"/>
    <w:rsid w:val="00DF0225"/>
    <w:rsid w:val="00DF037A"/>
    <w:rsid w:val="00DF0422"/>
    <w:rsid w:val="00DF046A"/>
    <w:rsid w:val="00DF0577"/>
    <w:rsid w:val="00DF05E6"/>
    <w:rsid w:val="00DF069A"/>
    <w:rsid w:val="00DF0717"/>
    <w:rsid w:val="00DF07B6"/>
    <w:rsid w:val="00DF08E3"/>
    <w:rsid w:val="00DF0918"/>
    <w:rsid w:val="00DF0A61"/>
    <w:rsid w:val="00DF0A6F"/>
    <w:rsid w:val="00DF0E8D"/>
    <w:rsid w:val="00DF0F96"/>
    <w:rsid w:val="00DF108A"/>
    <w:rsid w:val="00DF10FE"/>
    <w:rsid w:val="00DF1108"/>
    <w:rsid w:val="00DF1362"/>
    <w:rsid w:val="00DF1605"/>
    <w:rsid w:val="00DF168E"/>
    <w:rsid w:val="00DF16A5"/>
    <w:rsid w:val="00DF1750"/>
    <w:rsid w:val="00DF1802"/>
    <w:rsid w:val="00DF19F1"/>
    <w:rsid w:val="00DF1C8A"/>
    <w:rsid w:val="00DF1D8F"/>
    <w:rsid w:val="00DF1E83"/>
    <w:rsid w:val="00DF1F2A"/>
    <w:rsid w:val="00DF1F62"/>
    <w:rsid w:val="00DF1F97"/>
    <w:rsid w:val="00DF1F9B"/>
    <w:rsid w:val="00DF204B"/>
    <w:rsid w:val="00DF259B"/>
    <w:rsid w:val="00DF274A"/>
    <w:rsid w:val="00DF284F"/>
    <w:rsid w:val="00DF28CC"/>
    <w:rsid w:val="00DF33A1"/>
    <w:rsid w:val="00DF3A75"/>
    <w:rsid w:val="00DF3B77"/>
    <w:rsid w:val="00DF3C0A"/>
    <w:rsid w:val="00DF3FA6"/>
    <w:rsid w:val="00DF4049"/>
    <w:rsid w:val="00DF4078"/>
    <w:rsid w:val="00DF4240"/>
    <w:rsid w:val="00DF458C"/>
    <w:rsid w:val="00DF45C3"/>
    <w:rsid w:val="00DF4687"/>
    <w:rsid w:val="00DF479B"/>
    <w:rsid w:val="00DF4BAD"/>
    <w:rsid w:val="00DF4D1C"/>
    <w:rsid w:val="00DF518E"/>
    <w:rsid w:val="00DF52DF"/>
    <w:rsid w:val="00DF5419"/>
    <w:rsid w:val="00DF57D5"/>
    <w:rsid w:val="00DF5824"/>
    <w:rsid w:val="00DF59C5"/>
    <w:rsid w:val="00DF5AAD"/>
    <w:rsid w:val="00DF5B1D"/>
    <w:rsid w:val="00DF5E8E"/>
    <w:rsid w:val="00DF6307"/>
    <w:rsid w:val="00DF6356"/>
    <w:rsid w:val="00DF6E53"/>
    <w:rsid w:val="00DF6E6E"/>
    <w:rsid w:val="00DF7133"/>
    <w:rsid w:val="00DF7202"/>
    <w:rsid w:val="00DF7514"/>
    <w:rsid w:val="00DF7944"/>
    <w:rsid w:val="00DF797D"/>
    <w:rsid w:val="00DF79C0"/>
    <w:rsid w:val="00DF7D14"/>
    <w:rsid w:val="00DF7D6A"/>
    <w:rsid w:val="00DF7DF3"/>
    <w:rsid w:val="00DF7E6A"/>
    <w:rsid w:val="00E001A3"/>
    <w:rsid w:val="00E0030C"/>
    <w:rsid w:val="00E005AB"/>
    <w:rsid w:val="00E00666"/>
    <w:rsid w:val="00E007E4"/>
    <w:rsid w:val="00E00820"/>
    <w:rsid w:val="00E0087F"/>
    <w:rsid w:val="00E0089D"/>
    <w:rsid w:val="00E009A8"/>
    <w:rsid w:val="00E00B09"/>
    <w:rsid w:val="00E00C32"/>
    <w:rsid w:val="00E01409"/>
    <w:rsid w:val="00E01576"/>
    <w:rsid w:val="00E0198E"/>
    <w:rsid w:val="00E01B0C"/>
    <w:rsid w:val="00E01B87"/>
    <w:rsid w:val="00E01DD0"/>
    <w:rsid w:val="00E02126"/>
    <w:rsid w:val="00E022D7"/>
    <w:rsid w:val="00E023CF"/>
    <w:rsid w:val="00E02419"/>
    <w:rsid w:val="00E02464"/>
    <w:rsid w:val="00E02574"/>
    <w:rsid w:val="00E02692"/>
    <w:rsid w:val="00E026AD"/>
    <w:rsid w:val="00E026B0"/>
    <w:rsid w:val="00E0279A"/>
    <w:rsid w:val="00E028A4"/>
    <w:rsid w:val="00E0293C"/>
    <w:rsid w:val="00E02CB7"/>
    <w:rsid w:val="00E02D34"/>
    <w:rsid w:val="00E02D7F"/>
    <w:rsid w:val="00E03530"/>
    <w:rsid w:val="00E0363B"/>
    <w:rsid w:val="00E036E9"/>
    <w:rsid w:val="00E03CB5"/>
    <w:rsid w:val="00E03DFA"/>
    <w:rsid w:val="00E04013"/>
    <w:rsid w:val="00E045D0"/>
    <w:rsid w:val="00E046FB"/>
    <w:rsid w:val="00E04990"/>
    <w:rsid w:val="00E04D87"/>
    <w:rsid w:val="00E04E0C"/>
    <w:rsid w:val="00E0513F"/>
    <w:rsid w:val="00E053A0"/>
    <w:rsid w:val="00E05443"/>
    <w:rsid w:val="00E054DF"/>
    <w:rsid w:val="00E056D0"/>
    <w:rsid w:val="00E05724"/>
    <w:rsid w:val="00E0585D"/>
    <w:rsid w:val="00E05992"/>
    <w:rsid w:val="00E05A8E"/>
    <w:rsid w:val="00E05CC7"/>
    <w:rsid w:val="00E05F63"/>
    <w:rsid w:val="00E05FC6"/>
    <w:rsid w:val="00E06366"/>
    <w:rsid w:val="00E065E7"/>
    <w:rsid w:val="00E066C6"/>
    <w:rsid w:val="00E069AE"/>
    <w:rsid w:val="00E06A58"/>
    <w:rsid w:val="00E06FE9"/>
    <w:rsid w:val="00E07181"/>
    <w:rsid w:val="00E0720B"/>
    <w:rsid w:val="00E075B6"/>
    <w:rsid w:val="00E077C3"/>
    <w:rsid w:val="00E077D2"/>
    <w:rsid w:val="00E07924"/>
    <w:rsid w:val="00E07A31"/>
    <w:rsid w:val="00E07A68"/>
    <w:rsid w:val="00E07C19"/>
    <w:rsid w:val="00E07D23"/>
    <w:rsid w:val="00E07E77"/>
    <w:rsid w:val="00E07E7B"/>
    <w:rsid w:val="00E07FF8"/>
    <w:rsid w:val="00E1014D"/>
    <w:rsid w:val="00E10326"/>
    <w:rsid w:val="00E1035E"/>
    <w:rsid w:val="00E104B7"/>
    <w:rsid w:val="00E105DA"/>
    <w:rsid w:val="00E10812"/>
    <w:rsid w:val="00E10885"/>
    <w:rsid w:val="00E10B75"/>
    <w:rsid w:val="00E10BC2"/>
    <w:rsid w:val="00E10EA0"/>
    <w:rsid w:val="00E10F5D"/>
    <w:rsid w:val="00E10FA2"/>
    <w:rsid w:val="00E10FBA"/>
    <w:rsid w:val="00E1117B"/>
    <w:rsid w:val="00E11307"/>
    <w:rsid w:val="00E11667"/>
    <w:rsid w:val="00E11AA5"/>
    <w:rsid w:val="00E11D47"/>
    <w:rsid w:val="00E120DC"/>
    <w:rsid w:val="00E121F4"/>
    <w:rsid w:val="00E12423"/>
    <w:rsid w:val="00E1243D"/>
    <w:rsid w:val="00E125FE"/>
    <w:rsid w:val="00E1270B"/>
    <w:rsid w:val="00E128F5"/>
    <w:rsid w:val="00E12C3D"/>
    <w:rsid w:val="00E12D8C"/>
    <w:rsid w:val="00E130AE"/>
    <w:rsid w:val="00E131EC"/>
    <w:rsid w:val="00E13329"/>
    <w:rsid w:val="00E13485"/>
    <w:rsid w:val="00E135CE"/>
    <w:rsid w:val="00E1373C"/>
    <w:rsid w:val="00E13813"/>
    <w:rsid w:val="00E1383C"/>
    <w:rsid w:val="00E13A07"/>
    <w:rsid w:val="00E13A27"/>
    <w:rsid w:val="00E13B01"/>
    <w:rsid w:val="00E13C34"/>
    <w:rsid w:val="00E13C81"/>
    <w:rsid w:val="00E13D42"/>
    <w:rsid w:val="00E140A3"/>
    <w:rsid w:val="00E14220"/>
    <w:rsid w:val="00E145D1"/>
    <w:rsid w:val="00E146E5"/>
    <w:rsid w:val="00E14913"/>
    <w:rsid w:val="00E1492B"/>
    <w:rsid w:val="00E14B10"/>
    <w:rsid w:val="00E14B19"/>
    <w:rsid w:val="00E14C9F"/>
    <w:rsid w:val="00E14CF6"/>
    <w:rsid w:val="00E14DD6"/>
    <w:rsid w:val="00E14EFB"/>
    <w:rsid w:val="00E15437"/>
    <w:rsid w:val="00E1553F"/>
    <w:rsid w:val="00E15688"/>
    <w:rsid w:val="00E1581C"/>
    <w:rsid w:val="00E15B91"/>
    <w:rsid w:val="00E15D9D"/>
    <w:rsid w:val="00E16215"/>
    <w:rsid w:val="00E1647A"/>
    <w:rsid w:val="00E167F6"/>
    <w:rsid w:val="00E1699A"/>
    <w:rsid w:val="00E16AC6"/>
    <w:rsid w:val="00E16B90"/>
    <w:rsid w:val="00E16D34"/>
    <w:rsid w:val="00E16D41"/>
    <w:rsid w:val="00E16DBD"/>
    <w:rsid w:val="00E17027"/>
    <w:rsid w:val="00E1745B"/>
    <w:rsid w:val="00E17715"/>
    <w:rsid w:val="00E17824"/>
    <w:rsid w:val="00E178A7"/>
    <w:rsid w:val="00E17A30"/>
    <w:rsid w:val="00E17CD6"/>
    <w:rsid w:val="00E17EC3"/>
    <w:rsid w:val="00E2018B"/>
    <w:rsid w:val="00E2019E"/>
    <w:rsid w:val="00E201C2"/>
    <w:rsid w:val="00E20521"/>
    <w:rsid w:val="00E20659"/>
    <w:rsid w:val="00E2075F"/>
    <w:rsid w:val="00E20935"/>
    <w:rsid w:val="00E2095A"/>
    <w:rsid w:val="00E20AFC"/>
    <w:rsid w:val="00E20BBB"/>
    <w:rsid w:val="00E20E32"/>
    <w:rsid w:val="00E20EB0"/>
    <w:rsid w:val="00E2117C"/>
    <w:rsid w:val="00E21495"/>
    <w:rsid w:val="00E217B7"/>
    <w:rsid w:val="00E21843"/>
    <w:rsid w:val="00E21A1E"/>
    <w:rsid w:val="00E21B2C"/>
    <w:rsid w:val="00E21BBC"/>
    <w:rsid w:val="00E2209C"/>
    <w:rsid w:val="00E223CE"/>
    <w:rsid w:val="00E22420"/>
    <w:rsid w:val="00E22A2D"/>
    <w:rsid w:val="00E22A39"/>
    <w:rsid w:val="00E22A6C"/>
    <w:rsid w:val="00E22B8C"/>
    <w:rsid w:val="00E22E68"/>
    <w:rsid w:val="00E23047"/>
    <w:rsid w:val="00E23060"/>
    <w:rsid w:val="00E232D7"/>
    <w:rsid w:val="00E23480"/>
    <w:rsid w:val="00E234EE"/>
    <w:rsid w:val="00E23537"/>
    <w:rsid w:val="00E23880"/>
    <w:rsid w:val="00E23AB5"/>
    <w:rsid w:val="00E23B08"/>
    <w:rsid w:val="00E23D86"/>
    <w:rsid w:val="00E23F35"/>
    <w:rsid w:val="00E23FCA"/>
    <w:rsid w:val="00E24007"/>
    <w:rsid w:val="00E24268"/>
    <w:rsid w:val="00E242CA"/>
    <w:rsid w:val="00E242E1"/>
    <w:rsid w:val="00E2432E"/>
    <w:rsid w:val="00E244E6"/>
    <w:rsid w:val="00E24507"/>
    <w:rsid w:val="00E245B1"/>
    <w:rsid w:val="00E24798"/>
    <w:rsid w:val="00E24D82"/>
    <w:rsid w:val="00E251F0"/>
    <w:rsid w:val="00E252B8"/>
    <w:rsid w:val="00E25329"/>
    <w:rsid w:val="00E254C9"/>
    <w:rsid w:val="00E254E2"/>
    <w:rsid w:val="00E255AD"/>
    <w:rsid w:val="00E25759"/>
    <w:rsid w:val="00E257C2"/>
    <w:rsid w:val="00E25982"/>
    <w:rsid w:val="00E25C6A"/>
    <w:rsid w:val="00E25E0F"/>
    <w:rsid w:val="00E25F98"/>
    <w:rsid w:val="00E265B4"/>
    <w:rsid w:val="00E265BA"/>
    <w:rsid w:val="00E265FD"/>
    <w:rsid w:val="00E266F8"/>
    <w:rsid w:val="00E26733"/>
    <w:rsid w:val="00E267BF"/>
    <w:rsid w:val="00E268E5"/>
    <w:rsid w:val="00E26991"/>
    <w:rsid w:val="00E26BF0"/>
    <w:rsid w:val="00E26E07"/>
    <w:rsid w:val="00E26EEC"/>
    <w:rsid w:val="00E27190"/>
    <w:rsid w:val="00E272CA"/>
    <w:rsid w:val="00E27327"/>
    <w:rsid w:val="00E27388"/>
    <w:rsid w:val="00E273EB"/>
    <w:rsid w:val="00E27A40"/>
    <w:rsid w:val="00E27BF5"/>
    <w:rsid w:val="00E27C6F"/>
    <w:rsid w:val="00E27D01"/>
    <w:rsid w:val="00E27DE0"/>
    <w:rsid w:val="00E27EAB"/>
    <w:rsid w:val="00E30504"/>
    <w:rsid w:val="00E30724"/>
    <w:rsid w:val="00E30988"/>
    <w:rsid w:val="00E30AD5"/>
    <w:rsid w:val="00E30C1E"/>
    <w:rsid w:val="00E30E3C"/>
    <w:rsid w:val="00E30F65"/>
    <w:rsid w:val="00E31009"/>
    <w:rsid w:val="00E31028"/>
    <w:rsid w:val="00E3149B"/>
    <w:rsid w:val="00E314FA"/>
    <w:rsid w:val="00E31547"/>
    <w:rsid w:val="00E31656"/>
    <w:rsid w:val="00E3172D"/>
    <w:rsid w:val="00E31878"/>
    <w:rsid w:val="00E31961"/>
    <w:rsid w:val="00E31B6F"/>
    <w:rsid w:val="00E31C97"/>
    <w:rsid w:val="00E31EDD"/>
    <w:rsid w:val="00E3200C"/>
    <w:rsid w:val="00E320D0"/>
    <w:rsid w:val="00E3220D"/>
    <w:rsid w:val="00E32229"/>
    <w:rsid w:val="00E323D3"/>
    <w:rsid w:val="00E325A0"/>
    <w:rsid w:val="00E3270A"/>
    <w:rsid w:val="00E32F0E"/>
    <w:rsid w:val="00E33367"/>
    <w:rsid w:val="00E33376"/>
    <w:rsid w:val="00E333A1"/>
    <w:rsid w:val="00E33401"/>
    <w:rsid w:val="00E336A7"/>
    <w:rsid w:val="00E337C8"/>
    <w:rsid w:val="00E33B44"/>
    <w:rsid w:val="00E33BF8"/>
    <w:rsid w:val="00E33CBF"/>
    <w:rsid w:val="00E33CCC"/>
    <w:rsid w:val="00E340E8"/>
    <w:rsid w:val="00E343C2"/>
    <w:rsid w:val="00E344DE"/>
    <w:rsid w:val="00E34ACD"/>
    <w:rsid w:val="00E34E1E"/>
    <w:rsid w:val="00E34F75"/>
    <w:rsid w:val="00E35141"/>
    <w:rsid w:val="00E3527E"/>
    <w:rsid w:val="00E3536A"/>
    <w:rsid w:val="00E3542C"/>
    <w:rsid w:val="00E354D6"/>
    <w:rsid w:val="00E35517"/>
    <w:rsid w:val="00E359D2"/>
    <w:rsid w:val="00E359F1"/>
    <w:rsid w:val="00E35ADC"/>
    <w:rsid w:val="00E35B33"/>
    <w:rsid w:val="00E35EA9"/>
    <w:rsid w:val="00E35F1F"/>
    <w:rsid w:val="00E361F4"/>
    <w:rsid w:val="00E363A7"/>
    <w:rsid w:val="00E36703"/>
    <w:rsid w:val="00E368CD"/>
    <w:rsid w:val="00E36903"/>
    <w:rsid w:val="00E36ADA"/>
    <w:rsid w:val="00E36B47"/>
    <w:rsid w:val="00E36CBF"/>
    <w:rsid w:val="00E36D2B"/>
    <w:rsid w:val="00E36DFE"/>
    <w:rsid w:val="00E370F8"/>
    <w:rsid w:val="00E37569"/>
    <w:rsid w:val="00E3756A"/>
    <w:rsid w:val="00E37682"/>
    <w:rsid w:val="00E37B99"/>
    <w:rsid w:val="00E37C00"/>
    <w:rsid w:val="00E37CBA"/>
    <w:rsid w:val="00E37E4A"/>
    <w:rsid w:val="00E37E59"/>
    <w:rsid w:val="00E37FA0"/>
    <w:rsid w:val="00E40052"/>
    <w:rsid w:val="00E40106"/>
    <w:rsid w:val="00E402BC"/>
    <w:rsid w:val="00E40389"/>
    <w:rsid w:val="00E403A5"/>
    <w:rsid w:val="00E40523"/>
    <w:rsid w:val="00E40887"/>
    <w:rsid w:val="00E4088A"/>
    <w:rsid w:val="00E40E8F"/>
    <w:rsid w:val="00E4111D"/>
    <w:rsid w:val="00E41270"/>
    <w:rsid w:val="00E412BD"/>
    <w:rsid w:val="00E413E4"/>
    <w:rsid w:val="00E4142C"/>
    <w:rsid w:val="00E415EC"/>
    <w:rsid w:val="00E419C3"/>
    <w:rsid w:val="00E41A59"/>
    <w:rsid w:val="00E41A84"/>
    <w:rsid w:val="00E41C0A"/>
    <w:rsid w:val="00E41DD1"/>
    <w:rsid w:val="00E41DE6"/>
    <w:rsid w:val="00E420FD"/>
    <w:rsid w:val="00E4252F"/>
    <w:rsid w:val="00E42581"/>
    <w:rsid w:val="00E42657"/>
    <w:rsid w:val="00E42750"/>
    <w:rsid w:val="00E42822"/>
    <w:rsid w:val="00E42850"/>
    <w:rsid w:val="00E42BB1"/>
    <w:rsid w:val="00E42D1B"/>
    <w:rsid w:val="00E42EE1"/>
    <w:rsid w:val="00E42EF0"/>
    <w:rsid w:val="00E4328D"/>
    <w:rsid w:val="00E43362"/>
    <w:rsid w:val="00E43684"/>
    <w:rsid w:val="00E4378E"/>
    <w:rsid w:val="00E437F5"/>
    <w:rsid w:val="00E437FE"/>
    <w:rsid w:val="00E4381D"/>
    <w:rsid w:val="00E438E4"/>
    <w:rsid w:val="00E43A1B"/>
    <w:rsid w:val="00E43B6E"/>
    <w:rsid w:val="00E43CB2"/>
    <w:rsid w:val="00E43CEC"/>
    <w:rsid w:val="00E43F87"/>
    <w:rsid w:val="00E44245"/>
    <w:rsid w:val="00E444C7"/>
    <w:rsid w:val="00E44BE2"/>
    <w:rsid w:val="00E44CEF"/>
    <w:rsid w:val="00E44E5C"/>
    <w:rsid w:val="00E44F5A"/>
    <w:rsid w:val="00E452F9"/>
    <w:rsid w:val="00E455EF"/>
    <w:rsid w:val="00E4568D"/>
    <w:rsid w:val="00E4596F"/>
    <w:rsid w:val="00E45A89"/>
    <w:rsid w:val="00E45AD7"/>
    <w:rsid w:val="00E45B7D"/>
    <w:rsid w:val="00E45BC8"/>
    <w:rsid w:val="00E45D4B"/>
    <w:rsid w:val="00E45E2F"/>
    <w:rsid w:val="00E45F37"/>
    <w:rsid w:val="00E46030"/>
    <w:rsid w:val="00E46094"/>
    <w:rsid w:val="00E460A2"/>
    <w:rsid w:val="00E4623B"/>
    <w:rsid w:val="00E46250"/>
    <w:rsid w:val="00E4632A"/>
    <w:rsid w:val="00E46635"/>
    <w:rsid w:val="00E46748"/>
    <w:rsid w:val="00E467A4"/>
    <w:rsid w:val="00E469F1"/>
    <w:rsid w:val="00E46A61"/>
    <w:rsid w:val="00E46AC1"/>
    <w:rsid w:val="00E46D4D"/>
    <w:rsid w:val="00E46E8E"/>
    <w:rsid w:val="00E46FBC"/>
    <w:rsid w:val="00E47047"/>
    <w:rsid w:val="00E4704B"/>
    <w:rsid w:val="00E470BF"/>
    <w:rsid w:val="00E47362"/>
    <w:rsid w:val="00E474B9"/>
    <w:rsid w:val="00E47548"/>
    <w:rsid w:val="00E478AC"/>
    <w:rsid w:val="00E479F6"/>
    <w:rsid w:val="00E47A7D"/>
    <w:rsid w:val="00E47BF0"/>
    <w:rsid w:val="00E47EEF"/>
    <w:rsid w:val="00E47FA5"/>
    <w:rsid w:val="00E5005F"/>
    <w:rsid w:val="00E506FB"/>
    <w:rsid w:val="00E507B2"/>
    <w:rsid w:val="00E50A9C"/>
    <w:rsid w:val="00E50B43"/>
    <w:rsid w:val="00E50D47"/>
    <w:rsid w:val="00E50D93"/>
    <w:rsid w:val="00E50F73"/>
    <w:rsid w:val="00E51071"/>
    <w:rsid w:val="00E510C7"/>
    <w:rsid w:val="00E51699"/>
    <w:rsid w:val="00E5172E"/>
    <w:rsid w:val="00E51941"/>
    <w:rsid w:val="00E519D8"/>
    <w:rsid w:val="00E51E18"/>
    <w:rsid w:val="00E51F1F"/>
    <w:rsid w:val="00E522F1"/>
    <w:rsid w:val="00E52A69"/>
    <w:rsid w:val="00E52ABE"/>
    <w:rsid w:val="00E52C48"/>
    <w:rsid w:val="00E52C69"/>
    <w:rsid w:val="00E52CE6"/>
    <w:rsid w:val="00E52D3A"/>
    <w:rsid w:val="00E52FC2"/>
    <w:rsid w:val="00E53CD8"/>
    <w:rsid w:val="00E53D04"/>
    <w:rsid w:val="00E53DF6"/>
    <w:rsid w:val="00E53E61"/>
    <w:rsid w:val="00E53E9B"/>
    <w:rsid w:val="00E53FA2"/>
    <w:rsid w:val="00E54012"/>
    <w:rsid w:val="00E54295"/>
    <w:rsid w:val="00E54426"/>
    <w:rsid w:val="00E54506"/>
    <w:rsid w:val="00E549CB"/>
    <w:rsid w:val="00E54A1A"/>
    <w:rsid w:val="00E54A91"/>
    <w:rsid w:val="00E54CA0"/>
    <w:rsid w:val="00E54D36"/>
    <w:rsid w:val="00E54E96"/>
    <w:rsid w:val="00E54F59"/>
    <w:rsid w:val="00E551E1"/>
    <w:rsid w:val="00E55692"/>
    <w:rsid w:val="00E55BAA"/>
    <w:rsid w:val="00E55CA9"/>
    <w:rsid w:val="00E55DDA"/>
    <w:rsid w:val="00E565ED"/>
    <w:rsid w:val="00E56654"/>
    <w:rsid w:val="00E5694A"/>
    <w:rsid w:val="00E56B01"/>
    <w:rsid w:val="00E56B2D"/>
    <w:rsid w:val="00E56B50"/>
    <w:rsid w:val="00E56C91"/>
    <w:rsid w:val="00E56CD0"/>
    <w:rsid w:val="00E56E6C"/>
    <w:rsid w:val="00E57062"/>
    <w:rsid w:val="00E57191"/>
    <w:rsid w:val="00E577E0"/>
    <w:rsid w:val="00E57887"/>
    <w:rsid w:val="00E57A24"/>
    <w:rsid w:val="00E57B37"/>
    <w:rsid w:val="00E57B59"/>
    <w:rsid w:val="00E57C00"/>
    <w:rsid w:val="00E57D95"/>
    <w:rsid w:val="00E60141"/>
    <w:rsid w:val="00E6044A"/>
    <w:rsid w:val="00E60838"/>
    <w:rsid w:val="00E60F7C"/>
    <w:rsid w:val="00E61272"/>
    <w:rsid w:val="00E6134C"/>
    <w:rsid w:val="00E613E5"/>
    <w:rsid w:val="00E613F0"/>
    <w:rsid w:val="00E61EE3"/>
    <w:rsid w:val="00E61FD0"/>
    <w:rsid w:val="00E620C8"/>
    <w:rsid w:val="00E621CF"/>
    <w:rsid w:val="00E6247F"/>
    <w:rsid w:val="00E62772"/>
    <w:rsid w:val="00E628C0"/>
    <w:rsid w:val="00E6294C"/>
    <w:rsid w:val="00E62CD0"/>
    <w:rsid w:val="00E62F92"/>
    <w:rsid w:val="00E62F9D"/>
    <w:rsid w:val="00E62FB7"/>
    <w:rsid w:val="00E631AC"/>
    <w:rsid w:val="00E631CC"/>
    <w:rsid w:val="00E635D1"/>
    <w:rsid w:val="00E639EB"/>
    <w:rsid w:val="00E63A42"/>
    <w:rsid w:val="00E63C7C"/>
    <w:rsid w:val="00E63F75"/>
    <w:rsid w:val="00E6423F"/>
    <w:rsid w:val="00E64388"/>
    <w:rsid w:val="00E64436"/>
    <w:rsid w:val="00E645E6"/>
    <w:rsid w:val="00E64977"/>
    <w:rsid w:val="00E649BF"/>
    <w:rsid w:val="00E64B48"/>
    <w:rsid w:val="00E64C8B"/>
    <w:rsid w:val="00E6546C"/>
    <w:rsid w:val="00E655C2"/>
    <w:rsid w:val="00E65883"/>
    <w:rsid w:val="00E65B15"/>
    <w:rsid w:val="00E65D29"/>
    <w:rsid w:val="00E65EE9"/>
    <w:rsid w:val="00E6601F"/>
    <w:rsid w:val="00E6608C"/>
    <w:rsid w:val="00E66118"/>
    <w:rsid w:val="00E66162"/>
    <w:rsid w:val="00E66199"/>
    <w:rsid w:val="00E6621C"/>
    <w:rsid w:val="00E6626B"/>
    <w:rsid w:val="00E662A5"/>
    <w:rsid w:val="00E66320"/>
    <w:rsid w:val="00E664A9"/>
    <w:rsid w:val="00E6682E"/>
    <w:rsid w:val="00E66946"/>
    <w:rsid w:val="00E66BF7"/>
    <w:rsid w:val="00E66C15"/>
    <w:rsid w:val="00E66C59"/>
    <w:rsid w:val="00E66E01"/>
    <w:rsid w:val="00E66E60"/>
    <w:rsid w:val="00E66EB2"/>
    <w:rsid w:val="00E672B0"/>
    <w:rsid w:val="00E679ED"/>
    <w:rsid w:val="00E67EFF"/>
    <w:rsid w:val="00E67F27"/>
    <w:rsid w:val="00E70061"/>
    <w:rsid w:val="00E704A6"/>
    <w:rsid w:val="00E7081F"/>
    <w:rsid w:val="00E70BDE"/>
    <w:rsid w:val="00E70C37"/>
    <w:rsid w:val="00E7104E"/>
    <w:rsid w:val="00E7166C"/>
    <w:rsid w:val="00E717DF"/>
    <w:rsid w:val="00E7189B"/>
    <w:rsid w:val="00E718A9"/>
    <w:rsid w:val="00E7196E"/>
    <w:rsid w:val="00E71CDD"/>
    <w:rsid w:val="00E71EC0"/>
    <w:rsid w:val="00E7205A"/>
    <w:rsid w:val="00E7215B"/>
    <w:rsid w:val="00E72C9F"/>
    <w:rsid w:val="00E72CF1"/>
    <w:rsid w:val="00E72D5A"/>
    <w:rsid w:val="00E72DED"/>
    <w:rsid w:val="00E73007"/>
    <w:rsid w:val="00E730E0"/>
    <w:rsid w:val="00E73168"/>
    <w:rsid w:val="00E733B1"/>
    <w:rsid w:val="00E733BD"/>
    <w:rsid w:val="00E736AC"/>
    <w:rsid w:val="00E736C2"/>
    <w:rsid w:val="00E736F7"/>
    <w:rsid w:val="00E737D3"/>
    <w:rsid w:val="00E73A88"/>
    <w:rsid w:val="00E73C5D"/>
    <w:rsid w:val="00E73D83"/>
    <w:rsid w:val="00E73F65"/>
    <w:rsid w:val="00E74178"/>
    <w:rsid w:val="00E7420F"/>
    <w:rsid w:val="00E74222"/>
    <w:rsid w:val="00E745E1"/>
    <w:rsid w:val="00E745F6"/>
    <w:rsid w:val="00E74688"/>
    <w:rsid w:val="00E74A1C"/>
    <w:rsid w:val="00E74A52"/>
    <w:rsid w:val="00E74B31"/>
    <w:rsid w:val="00E74C8A"/>
    <w:rsid w:val="00E74D4E"/>
    <w:rsid w:val="00E74D72"/>
    <w:rsid w:val="00E74F4E"/>
    <w:rsid w:val="00E74FA3"/>
    <w:rsid w:val="00E7502D"/>
    <w:rsid w:val="00E7511E"/>
    <w:rsid w:val="00E7515A"/>
    <w:rsid w:val="00E752A3"/>
    <w:rsid w:val="00E754BE"/>
    <w:rsid w:val="00E754D0"/>
    <w:rsid w:val="00E75864"/>
    <w:rsid w:val="00E759C7"/>
    <w:rsid w:val="00E759DC"/>
    <w:rsid w:val="00E759E2"/>
    <w:rsid w:val="00E75B7F"/>
    <w:rsid w:val="00E75DDE"/>
    <w:rsid w:val="00E75ED8"/>
    <w:rsid w:val="00E75FE8"/>
    <w:rsid w:val="00E76009"/>
    <w:rsid w:val="00E76033"/>
    <w:rsid w:val="00E7604C"/>
    <w:rsid w:val="00E76164"/>
    <w:rsid w:val="00E76580"/>
    <w:rsid w:val="00E766CA"/>
    <w:rsid w:val="00E766F1"/>
    <w:rsid w:val="00E76CA6"/>
    <w:rsid w:val="00E76F06"/>
    <w:rsid w:val="00E77110"/>
    <w:rsid w:val="00E7732E"/>
    <w:rsid w:val="00E773EE"/>
    <w:rsid w:val="00E7767D"/>
    <w:rsid w:val="00E777E0"/>
    <w:rsid w:val="00E77957"/>
    <w:rsid w:val="00E77CB8"/>
    <w:rsid w:val="00E77EFF"/>
    <w:rsid w:val="00E77F47"/>
    <w:rsid w:val="00E800AB"/>
    <w:rsid w:val="00E801A2"/>
    <w:rsid w:val="00E8034C"/>
    <w:rsid w:val="00E803AB"/>
    <w:rsid w:val="00E80410"/>
    <w:rsid w:val="00E8056F"/>
    <w:rsid w:val="00E8072F"/>
    <w:rsid w:val="00E8087A"/>
    <w:rsid w:val="00E80B1A"/>
    <w:rsid w:val="00E80E35"/>
    <w:rsid w:val="00E81087"/>
    <w:rsid w:val="00E8110F"/>
    <w:rsid w:val="00E811AE"/>
    <w:rsid w:val="00E8128D"/>
    <w:rsid w:val="00E8164A"/>
    <w:rsid w:val="00E8198A"/>
    <w:rsid w:val="00E81A2F"/>
    <w:rsid w:val="00E81BB3"/>
    <w:rsid w:val="00E81D29"/>
    <w:rsid w:val="00E81EEB"/>
    <w:rsid w:val="00E82173"/>
    <w:rsid w:val="00E82220"/>
    <w:rsid w:val="00E8263B"/>
    <w:rsid w:val="00E829F3"/>
    <w:rsid w:val="00E82ADD"/>
    <w:rsid w:val="00E82F29"/>
    <w:rsid w:val="00E83099"/>
    <w:rsid w:val="00E830B0"/>
    <w:rsid w:val="00E83502"/>
    <w:rsid w:val="00E837D2"/>
    <w:rsid w:val="00E83B40"/>
    <w:rsid w:val="00E84220"/>
    <w:rsid w:val="00E84426"/>
    <w:rsid w:val="00E84891"/>
    <w:rsid w:val="00E8492B"/>
    <w:rsid w:val="00E84B29"/>
    <w:rsid w:val="00E84C8A"/>
    <w:rsid w:val="00E84D64"/>
    <w:rsid w:val="00E852A5"/>
    <w:rsid w:val="00E85722"/>
    <w:rsid w:val="00E8578E"/>
    <w:rsid w:val="00E85BF2"/>
    <w:rsid w:val="00E85C35"/>
    <w:rsid w:val="00E85E0E"/>
    <w:rsid w:val="00E85E5E"/>
    <w:rsid w:val="00E8604E"/>
    <w:rsid w:val="00E8625C"/>
    <w:rsid w:val="00E8631D"/>
    <w:rsid w:val="00E86330"/>
    <w:rsid w:val="00E86337"/>
    <w:rsid w:val="00E864DB"/>
    <w:rsid w:val="00E865D4"/>
    <w:rsid w:val="00E867CE"/>
    <w:rsid w:val="00E86812"/>
    <w:rsid w:val="00E86816"/>
    <w:rsid w:val="00E869AD"/>
    <w:rsid w:val="00E86B8B"/>
    <w:rsid w:val="00E86D54"/>
    <w:rsid w:val="00E87327"/>
    <w:rsid w:val="00E8789B"/>
    <w:rsid w:val="00E879ED"/>
    <w:rsid w:val="00E87AEE"/>
    <w:rsid w:val="00E87B85"/>
    <w:rsid w:val="00E87C39"/>
    <w:rsid w:val="00E87C4A"/>
    <w:rsid w:val="00E87E0F"/>
    <w:rsid w:val="00E87EC3"/>
    <w:rsid w:val="00E87F21"/>
    <w:rsid w:val="00E87F70"/>
    <w:rsid w:val="00E87FE4"/>
    <w:rsid w:val="00E901CC"/>
    <w:rsid w:val="00E90463"/>
    <w:rsid w:val="00E906B7"/>
    <w:rsid w:val="00E90865"/>
    <w:rsid w:val="00E908FD"/>
    <w:rsid w:val="00E90A52"/>
    <w:rsid w:val="00E90AF8"/>
    <w:rsid w:val="00E90EE9"/>
    <w:rsid w:val="00E912FC"/>
    <w:rsid w:val="00E9133A"/>
    <w:rsid w:val="00E91404"/>
    <w:rsid w:val="00E914FB"/>
    <w:rsid w:val="00E9157F"/>
    <w:rsid w:val="00E91811"/>
    <w:rsid w:val="00E918A1"/>
    <w:rsid w:val="00E91ADD"/>
    <w:rsid w:val="00E91DC1"/>
    <w:rsid w:val="00E91F95"/>
    <w:rsid w:val="00E92177"/>
    <w:rsid w:val="00E9245B"/>
    <w:rsid w:val="00E92778"/>
    <w:rsid w:val="00E92879"/>
    <w:rsid w:val="00E92896"/>
    <w:rsid w:val="00E928CF"/>
    <w:rsid w:val="00E92A0B"/>
    <w:rsid w:val="00E92B0E"/>
    <w:rsid w:val="00E92F6F"/>
    <w:rsid w:val="00E92FED"/>
    <w:rsid w:val="00E9302C"/>
    <w:rsid w:val="00E9304D"/>
    <w:rsid w:val="00E93158"/>
    <w:rsid w:val="00E936EA"/>
    <w:rsid w:val="00E938F1"/>
    <w:rsid w:val="00E93BE3"/>
    <w:rsid w:val="00E93DFB"/>
    <w:rsid w:val="00E93F5B"/>
    <w:rsid w:val="00E93FEA"/>
    <w:rsid w:val="00E9423D"/>
    <w:rsid w:val="00E9444C"/>
    <w:rsid w:val="00E944EC"/>
    <w:rsid w:val="00E946D1"/>
    <w:rsid w:val="00E9476F"/>
    <w:rsid w:val="00E94817"/>
    <w:rsid w:val="00E9493E"/>
    <w:rsid w:val="00E94AE4"/>
    <w:rsid w:val="00E94BB2"/>
    <w:rsid w:val="00E94EFD"/>
    <w:rsid w:val="00E94F62"/>
    <w:rsid w:val="00E95505"/>
    <w:rsid w:val="00E955C2"/>
    <w:rsid w:val="00E95664"/>
    <w:rsid w:val="00E957D5"/>
    <w:rsid w:val="00E95B95"/>
    <w:rsid w:val="00E95EB5"/>
    <w:rsid w:val="00E9607E"/>
    <w:rsid w:val="00E9624E"/>
    <w:rsid w:val="00E963DA"/>
    <w:rsid w:val="00E96469"/>
    <w:rsid w:val="00E96711"/>
    <w:rsid w:val="00E96747"/>
    <w:rsid w:val="00E967BA"/>
    <w:rsid w:val="00E96B76"/>
    <w:rsid w:val="00E9705D"/>
    <w:rsid w:val="00E97481"/>
    <w:rsid w:val="00E974D4"/>
    <w:rsid w:val="00E974F8"/>
    <w:rsid w:val="00E97527"/>
    <w:rsid w:val="00E97544"/>
    <w:rsid w:val="00E9782C"/>
    <w:rsid w:val="00E9787B"/>
    <w:rsid w:val="00E978E3"/>
    <w:rsid w:val="00E97930"/>
    <w:rsid w:val="00E97948"/>
    <w:rsid w:val="00E97B6D"/>
    <w:rsid w:val="00E97FBF"/>
    <w:rsid w:val="00EA01B5"/>
    <w:rsid w:val="00EA0236"/>
    <w:rsid w:val="00EA0602"/>
    <w:rsid w:val="00EA06C6"/>
    <w:rsid w:val="00EA07D0"/>
    <w:rsid w:val="00EA09FC"/>
    <w:rsid w:val="00EA0B83"/>
    <w:rsid w:val="00EA0C97"/>
    <w:rsid w:val="00EA0D4C"/>
    <w:rsid w:val="00EA1003"/>
    <w:rsid w:val="00EA10D9"/>
    <w:rsid w:val="00EA11CC"/>
    <w:rsid w:val="00EA1229"/>
    <w:rsid w:val="00EA14B6"/>
    <w:rsid w:val="00EA15B6"/>
    <w:rsid w:val="00EA1BD3"/>
    <w:rsid w:val="00EA1CEB"/>
    <w:rsid w:val="00EA1E2D"/>
    <w:rsid w:val="00EA204B"/>
    <w:rsid w:val="00EA20C9"/>
    <w:rsid w:val="00EA23AF"/>
    <w:rsid w:val="00EA2504"/>
    <w:rsid w:val="00EA264B"/>
    <w:rsid w:val="00EA2741"/>
    <w:rsid w:val="00EA27D3"/>
    <w:rsid w:val="00EA2A10"/>
    <w:rsid w:val="00EA2A66"/>
    <w:rsid w:val="00EA2AC9"/>
    <w:rsid w:val="00EA2DDB"/>
    <w:rsid w:val="00EA2E77"/>
    <w:rsid w:val="00EA2FFC"/>
    <w:rsid w:val="00EA3616"/>
    <w:rsid w:val="00EA4135"/>
    <w:rsid w:val="00EA41B6"/>
    <w:rsid w:val="00EA4594"/>
    <w:rsid w:val="00EA466C"/>
    <w:rsid w:val="00EA4864"/>
    <w:rsid w:val="00EA493D"/>
    <w:rsid w:val="00EA4973"/>
    <w:rsid w:val="00EA4A2C"/>
    <w:rsid w:val="00EA4BA3"/>
    <w:rsid w:val="00EA4C31"/>
    <w:rsid w:val="00EA4C35"/>
    <w:rsid w:val="00EA4CF6"/>
    <w:rsid w:val="00EA4DBD"/>
    <w:rsid w:val="00EA4DE9"/>
    <w:rsid w:val="00EA4E19"/>
    <w:rsid w:val="00EA4EB7"/>
    <w:rsid w:val="00EA4F51"/>
    <w:rsid w:val="00EA556E"/>
    <w:rsid w:val="00EA580B"/>
    <w:rsid w:val="00EA587B"/>
    <w:rsid w:val="00EA58C7"/>
    <w:rsid w:val="00EA5DA9"/>
    <w:rsid w:val="00EA6094"/>
    <w:rsid w:val="00EA6342"/>
    <w:rsid w:val="00EA69CA"/>
    <w:rsid w:val="00EA6AEE"/>
    <w:rsid w:val="00EA6B09"/>
    <w:rsid w:val="00EA6C1F"/>
    <w:rsid w:val="00EA6C43"/>
    <w:rsid w:val="00EA6E0E"/>
    <w:rsid w:val="00EA7443"/>
    <w:rsid w:val="00EA75BA"/>
    <w:rsid w:val="00EA7860"/>
    <w:rsid w:val="00EA7E82"/>
    <w:rsid w:val="00EA7F1C"/>
    <w:rsid w:val="00EB0136"/>
    <w:rsid w:val="00EB043C"/>
    <w:rsid w:val="00EB0834"/>
    <w:rsid w:val="00EB0A7E"/>
    <w:rsid w:val="00EB0B40"/>
    <w:rsid w:val="00EB0D7E"/>
    <w:rsid w:val="00EB0D88"/>
    <w:rsid w:val="00EB0E1E"/>
    <w:rsid w:val="00EB141F"/>
    <w:rsid w:val="00EB17B4"/>
    <w:rsid w:val="00EB1C51"/>
    <w:rsid w:val="00EB1DF4"/>
    <w:rsid w:val="00EB1EA8"/>
    <w:rsid w:val="00EB1F5D"/>
    <w:rsid w:val="00EB1FF9"/>
    <w:rsid w:val="00EB2195"/>
    <w:rsid w:val="00EB2429"/>
    <w:rsid w:val="00EB2577"/>
    <w:rsid w:val="00EB2DCC"/>
    <w:rsid w:val="00EB2F9E"/>
    <w:rsid w:val="00EB2FE2"/>
    <w:rsid w:val="00EB31FC"/>
    <w:rsid w:val="00EB327D"/>
    <w:rsid w:val="00EB35D0"/>
    <w:rsid w:val="00EB3885"/>
    <w:rsid w:val="00EB3986"/>
    <w:rsid w:val="00EB3BFC"/>
    <w:rsid w:val="00EB3C9C"/>
    <w:rsid w:val="00EB3CB6"/>
    <w:rsid w:val="00EB3E9A"/>
    <w:rsid w:val="00EB4527"/>
    <w:rsid w:val="00EB45C3"/>
    <w:rsid w:val="00EB46A9"/>
    <w:rsid w:val="00EB48AE"/>
    <w:rsid w:val="00EB4A6F"/>
    <w:rsid w:val="00EB4C83"/>
    <w:rsid w:val="00EB4C8C"/>
    <w:rsid w:val="00EB5321"/>
    <w:rsid w:val="00EB53E3"/>
    <w:rsid w:val="00EB5758"/>
    <w:rsid w:val="00EB5C87"/>
    <w:rsid w:val="00EB5DFB"/>
    <w:rsid w:val="00EB5E5F"/>
    <w:rsid w:val="00EB62E1"/>
    <w:rsid w:val="00EB6484"/>
    <w:rsid w:val="00EB6573"/>
    <w:rsid w:val="00EB66AE"/>
    <w:rsid w:val="00EB6774"/>
    <w:rsid w:val="00EB6854"/>
    <w:rsid w:val="00EB6CE1"/>
    <w:rsid w:val="00EB6E16"/>
    <w:rsid w:val="00EB6ECB"/>
    <w:rsid w:val="00EB7123"/>
    <w:rsid w:val="00EB72FD"/>
    <w:rsid w:val="00EB73F6"/>
    <w:rsid w:val="00EB74EC"/>
    <w:rsid w:val="00EB7720"/>
    <w:rsid w:val="00EB772D"/>
    <w:rsid w:val="00EB7799"/>
    <w:rsid w:val="00EB7916"/>
    <w:rsid w:val="00EB7A49"/>
    <w:rsid w:val="00EB7AC9"/>
    <w:rsid w:val="00EB7B13"/>
    <w:rsid w:val="00EB7C05"/>
    <w:rsid w:val="00EB7E28"/>
    <w:rsid w:val="00EB7E5C"/>
    <w:rsid w:val="00EC0322"/>
    <w:rsid w:val="00EC0508"/>
    <w:rsid w:val="00EC061E"/>
    <w:rsid w:val="00EC0879"/>
    <w:rsid w:val="00EC12B5"/>
    <w:rsid w:val="00EC1348"/>
    <w:rsid w:val="00EC13FD"/>
    <w:rsid w:val="00EC1776"/>
    <w:rsid w:val="00EC1DDD"/>
    <w:rsid w:val="00EC1DFF"/>
    <w:rsid w:val="00EC1F2E"/>
    <w:rsid w:val="00EC1F6A"/>
    <w:rsid w:val="00EC1F73"/>
    <w:rsid w:val="00EC2217"/>
    <w:rsid w:val="00EC2330"/>
    <w:rsid w:val="00EC253B"/>
    <w:rsid w:val="00EC25F3"/>
    <w:rsid w:val="00EC283D"/>
    <w:rsid w:val="00EC284A"/>
    <w:rsid w:val="00EC29EC"/>
    <w:rsid w:val="00EC2B0B"/>
    <w:rsid w:val="00EC2CDC"/>
    <w:rsid w:val="00EC307D"/>
    <w:rsid w:val="00EC3295"/>
    <w:rsid w:val="00EC353B"/>
    <w:rsid w:val="00EC38A9"/>
    <w:rsid w:val="00EC39C2"/>
    <w:rsid w:val="00EC4190"/>
    <w:rsid w:val="00EC4389"/>
    <w:rsid w:val="00EC4417"/>
    <w:rsid w:val="00EC4493"/>
    <w:rsid w:val="00EC44AB"/>
    <w:rsid w:val="00EC50BB"/>
    <w:rsid w:val="00EC527D"/>
    <w:rsid w:val="00EC528A"/>
    <w:rsid w:val="00EC559B"/>
    <w:rsid w:val="00EC56FC"/>
    <w:rsid w:val="00EC5988"/>
    <w:rsid w:val="00EC5A19"/>
    <w:rsid w:val="00EC5A7A"/>
    <w:rsid w:val="00EC5DA9"/>
    <w:rsid w:val="00EC5DD2"/>
    <w:rsid w:val="00EC5E3E"/>
    <w:rsid w:val="00EC6233"/>
    <w:rsid w:val="00EC640D"/>
    <w:rsid w:val="00EC641E"/>
    <w:rsid w:val="00EC64D1"/>
    <w:rsid w:val="00EC662B"/>
    <w:rsid w:val="00EC68DD"/>
    <w:rsid w:val="00EC693D"/>
    <w:rsid w:val="00EC69F7"/>
    <w:rsid w:val="00EC6D61"/>
    <w:rsid w:val="00EC6DAF"/>
    <w:rsid w:val="00EC7157"/>
    <w:rsid w:val="00EC72DA"/>
    <w:rsid w:val="00EC7335"/>
    <w:rsid w:val="00EC73F3"/>
    <w:rsid w:val="00EC74C1"/>
    <w:rsid w:val="00EC755B"/>
    <w:rsid w:val="00EC7642"/>
    <w:rsid w:val="00EC7811"/>
    <w:rsid w:val="00EC7B63"/>
    <w:rsid w:val="00EC7C07"/>
    <w:rsid w:val="00EC7DAD"/>
    <w:rsid w:val="00EC7EE6"/>
    <w:rsid w:val="00EC7FFE"/>
    <w:rsid w:val="00ED0009"/>
    <w:rsid w:val="00ED01BF"/>
    <w:rsid w:val="00ED021A"/>
    <w:rsid w:val="00ED08DB"/>
    <w:rsid w:val="00ED090A"/>
    <w:rsid w:val="00ED09C3"/>
    <w:rsid w:val="00ED0D1A"/>
    <w:rsid w:val="00ED0DD9"/>
    <w:rsid w:val="00ED0E0C"/>
    <w:rsid w:val="00ED0ED2"/>
    <w:rsid w:val="00ED0FA0"/>
    <w:rsid w:val="00ED10FA"/>
    <w:rsid w:val="00ED1211"/>
    <w:rsid w:val="00ED135B"/>
    <w:rsid w:val="00ED1553"/>
    <w:rsid w:val="00ED170B"/>
    <w:rsid w:val="00ED1734"/>
    <w:rsid w:val="00ED17E3"/>
    <w:rsid w:val="00ED1A27"/>
    <w:rsid w:val="00ED22A3"/>
    <w:rsid w:val="00ED22CB"/>
    <w:rsid w:val="00ED2743"/>
    <w:rsid w:val="00ED2A19"/>
    <w:rsid w:val="00ED2CA0"/>
    <w:rsid w:val="00ED2CFE"/>
    <w:rsid w:val="00ED2F91"/>
    <w:rsid w:val="00ED321C"/>
    <w:rsid w:val="00ED337A"/>
    <w:rsid w:val="00ED3431"/>
    <w:rsid w:val="00ED34F3"/>
    <w:rsid w:val="00ED35AC"/>
    <w:rsid w:val="00ED37C0"/>
    <w:rsid w:val="00ED3A21"/>
    <w:rsid w:val="00ED3B94"/>
    <w:rsid w:val="00ED3D6A"/>
    <w:rsid w:val="00ED3E2D"/>
    <w:rsid w:val="00ED4014"/>
    <w:rsid w:val="00ED4046"/>
    <w:rsid w:val="00ED412B"/>
    <w:rsid w:val="00ED4333"/>
    <w:rsid w:val="00ED443F"/>
    <w:rsid w:val="00ED44EA"/>
    <w:rsid w:val="00ED483B"/>
    <w:rsid w:val="00ED4957"/>
    <w:rsid w:val="00ED4A79"/>
    <w:rsid w:val="00ED4BA9"/>
    <w:rsid w:val="00ED4C40"/>
    <w:rsid w:val="00ED5147"/>
    <w:rsid w:val="00ED51FD"/>
    <w:rsid w:val="00ED53D5"/>
    <w:rsid w:val="00ED5657"/>
    <w:rsid w:val="00ED58E9"/>
    <w:rsid w:val="00ED5DEB"/>
    <w:rsid w:val="00ED5EDC"/>
    <w:rsid w:val="00ED5FCC"/>
    <w:rsid w:val="00ED65D1"/>
    <w:rsid w:val="00ED666F"/>
    <w:rsid w:val="00ED66E2"/>
    <w:rsid w:val="00ED67A0"/>
    <w:rsid w:val="00ED6824"/>
    <w:rsid w:val="00ED695C"/>
    <w:rsid w:val="00ED69CA"/>
    <w:rsid w:val="00ED6C79"/>
    <w:rsid w:val="00ED6D3D"/>
    <w:rsid w:val="00ED6DFA"/>
    <w:rsid w:val="00ED723D"/>
    <w:rsid w:val="00ED734E"/>
    <w:rsid w:val="00ED742F"/>
    <w:rsid w:val="00ED77DE"/>
    <w:rsid w:val="00ED7885"/>
    <w:rsid w:val="00ED78C8"/>
    <w:rsid w:val="00ED7DD9"/>
    <w:rsid w:val="00EE007B"/>
    <w:rsid w:val="00EE0305"/>
    <w:rsid w:val="00EE0421"/>
    <w:rsid w:val="00EE064B"/>
    <w:rsid w:val="00EE06E1"/>
    <w:rsid w:val="00EE0AFD"/>
    <w:rsid w:val="00EE0D5D"/>
    <w:rsid w:val="00EE0E32"/>
    <w:rsid w:val="00EE0E63"/>
    <w:rsid w:val="00EE0EC8"/>
    <w:rsid w:val="00EE10A2"/>
    <w:rsid w:val="00EE1152"/>
    <w:rsid w:val="00EE11D4"/>
    <w:rsid w:val="00EE134F"/>
    <w:rsid w:val="00EE13C5"/>
    <w:rsid w:val="00EE14BA"/>
    <w:rsid w:val="00EE1520"/>
    <w:rsid w:val="00EE185D"/>
    <w:rsid w:val="00EE1920"/>
    <w:rsid w:val="00EE1A03"/>
    <w:rsid w:val="00EE1A2E"/>
    <w:rsid w:val="00EE1B20"/>
    <w:rsid w:val="00EE1D95"/>
    <w:rsid w:val="00EE1E42"/>
    <w:rsid w:val="00EE2112"/>
    <w:rsid w:val="00EE218A"/>
    <w:rsid w:val="00EE2293"/>
    <w:rsid w:val="00EE231A"/>
    <w:rsid w:val="00EE2742"/>
    <w:rsid w:val="00EE27E2"/>
    <w:rsid w:val="00EE286E"/>
    <w:rsid w:val="00EE2B47"/>
    <w:rsid w:val="00EE3137"/>
    <w:rsid w:val="00EE3163"/>
    <w:rsid w:val="00EE3322"/>
    <w:rsid w:val="00EE37B9"/>
    <w:rsid w:val="00EE3C1A"/>
    <w:rsid w:val="00EE3D08"/>
    <w:rsid w:val="00EE4276"/>
    <w:rsid w:val="00EE45D8"/>
    <w:rsid w:val="00EE484A"/>
    <w:rsid w:val="00EE4917"/>
    <w:rsid w:val="00EE4A86"/>
    <w:rsid w:val="00EE4FCD"/>
    <w:rsid w:val="00EE4FE2"/>
    <w:rsid w:val="00EE4FE5"/>
    <w:rsid w:val="00EE5005"/>
    <w:rsid w:val="00EE51CB"/>
    <w:rsid w:val="00EE5323"/>
    <w:rsid w:val="00EE5571"/>
    <w:rsid w:val="00EE5651"/>
    <w:rsid w:val="00EE5695"/>
    <w:rsid w:val="00EE592B"/>
    <w:rsid w:val="00EE5A63"/>
    <w:rsid w:val="00EE5CB2"/>
    <w:rsid w:val="00EE5D4F"/>
    <w:rsid w:val="00EE6018"/>
    <w:rsid w:val="00EE63BD"/>
    <w:rsid w:val="00EE642B"/>
    <w:rsid w:val="00EE676D"/>
    <w:rsid w:val="00EE68B5"/>
    <w:rsid w:val="00EE6BB6"/>
    <w:rsid w:val="00EE6FEB"/>
    <w:rsid w:val="00EE7538"/>
    <w:rsid w:val="00EE76CE"/>
    <w:rsid w:val="00EE799F"/>
    <w:rsid w:val="00EE7C07"/>
    <w:rsid w:val="00EE7F59"/>
    <w:rsid w:val="00EF0378"/>
    <w:rsid w:val="00EF0552"/>
    <w:rsid w:val="00EF0718"/>
    <w:rsid w:val="00EF0729"/>
    <w:rsid w:val="00EF07A3"/>
    <w:rsid w:val="00EF08AC"/>
    <w:rsid w:val="00EF08EF"/>
    <w:rsid w:val="00EF0940"/>
    <w:rsid w:val="00EF0942"/>
    <w:rsid w:val="00EF097B"/>
    <w:rsid w:val="00EF0A6C"/>
    <w:rsid w:val="00EF0B93"/>
    <w:rsid w:val="00EF0C30"/>
    <w:rsid w:val="00EF0EB5"/>
    <w:rsid w:val="00EF1322"/>
    <w:rsid w:val="00EF1400"/>
    <w:rsid w:val="00EF15FE"/>
    <w:rsid w:val="00EF1717"/>
    <w:rsid w:val="00EF1ACF"/>
    <w:rsid w:val="00EF1AEF"/>
    <w:rsid w:val="00EF1E2F"/>
    <w:rsid w:val="00EF1FAC"/>
    <w:rsid w:val="00EF20F6"/>
    <w:rsid w:val="00EF22DB"/>
    <w:rsid w:val="00EF2547"/>
    <w:rsid w:val="00EF2591"/>
    <w:rsid w:val="00EF2630"/>
    <w:rsid w:val="00EF2768"/>
    <w:rsid w:val="00EF282A"/>
    <w:rsid w:val="00EF2EB6"/>
    <w:rsid w:val="00EF31D5"/>
    <w:rsid w:val="00EF31D6"/>
    <w:rsid w:val="00EF3211"/>
    <w:rsid w:val="00EF324E"/>
    <w:rsid w:val="00EF32BB"/>
    <w:rsid w:val="00EF3398"/>
    <w:rsid w:val="00EF3513"/>
    <w:rsid w:val="00EF362B"/>
    <w:rsid w:val="00EF3754"/>
    <w:rsid w:val="00EF3890"/>
    <w:rsid w:val="00EF399E"/>
    <w:rsid w:val="00EF3DF0"/>
    <w:rsid w:val="00EF3E24"/>
    <w:rsid w:val="00EF3E39"/>
    <w:rsid w:val="00EF3EEA"/>
    <w:rsid w:val="00EF3F34"/>
    <w:rsid w:val="00EF4394"/>
    <w:rsid w:val="00EF465F"/>
    <w:rsid w:val="00EF4950"/>
    <w:rsid w:val="00EF4C33"/>
    <w:rsid w:val="00EF57E4"/>
    <w:rsid w:val="00EF58CA"/>
    <w:rsid w:val="00EF5999"/>
    <w:rsid w:val="00EF5A88"/>
    <w:rsid w:val="00EF5ABC"/>
    <w:rsid w:val="00EF5B47"/>
    <w:rsid w:val="00EF5C18"/>
    <w:rsid w:val="00EF5C8C"/>
    <w:rsid w:val="00EF5D6A"/>
    <w:rsid w:val="00EF6531"/>
    <w:rsid w:val="00EF65D1"/>
    <w:rsid w:val="00EF672E"/>
    <w:rsid w:val="00EF689F"/>
    <w:rsid w:val="00EF6BC0"/>
    <w:rsid w:val="00EF6D03"/>
    <w:rsid w:val="00EF6E1B"/>
    <w:rsid w:val="00EF6E2D"/>
    <w:rsid w:val="00EF6F39"/>
    <w:rsid w:val="00EF73F9"/>
    <w:rsid w:val="00EF744E"/>
    <w:rsid w:val="00EF75E1"/>
    <w:rsid w:val="00EF7740"/>
    <w:rsid w:val="00EF786D"/>
    <w:rsid w:val="00EF7964"/>
    <w:rsid w:val="00EF7A02"/>
    <w:rsid w:val="00EF7C27"/>
    <w:rsid w:val="00EF7C31"/>
    <w:rsid w:val="00EF7E3A"/>
    <w:rsid w:val="00F000D9"/>
    <w:rsid w:val="00F001F4"/>
    <w:rsid w:val="00F00364"/>
    <w:rsid w:val="00F0041C"/>
    <w:rsid w:val="00F004EB"/>
    <w:rsid w:val="00F005A0"/>
    <w:rsid w:val="00F00603"/>
    <w:rsid w:val="00F006EB"/>
    <w:rsid w:val="00F008A9"/>
    <w:rsid w:val="00F00AB5"/>
    <w:rsid w:val="00F00B7F"/>
    <w:rsid w:val="00F00B95"/>
    <w:rsid w:val="00F00E61"/>
    <w:rsid w:val="00F01002"/>
    <w:rsid w:val="00F012E1"/>
    <w:rsid w:val="00F015B6"/>
    <w:rsid w:val="00F015BD"/>
    <w:rsid w:val="00F0195A"/>
    <w:rsid w:val="00F01C04"/>
    <w:rsid w:val="00F0221A"/>
    <w:rsid w:val="00F022A9"/>
    <w:rsid w:val="00F02328"/>
    <w:rsid w:val="00F02639"/>
    <w:rsid w:val="00F0264A"/>
    <w:rsid w:val="00F02791"/>
    <w:rsid w:val="00F027A7"/>
    <w:rsid w:val="00F02A95"/>
    <w:rsid w:val="00F02B7B"/>
    <w:rsid w:val="00F02C82"/>
    <w:rsid w:val="00F02D38"/>
    <w:rsid w:val="00F03044"/>
    <w:rsid w:val="00F03543"/>
    <w:rsid w:val="00F0382D"/>
    <w:rsid w:val="00F038D0"/>
    <w:rsid w:val="00F039E0"/>
    <w:rsid w:val="00F03BA7"/>
    <w:rsid w:val="00F03D5A"/>
    <w:rsid w:val="00F03D6D"/>
    <w:rsid w:val="00F03F27"/>
    <w:rsid w:val="00F04B7F"/>
    <w:rsid w:val="00F04CA4"/>
    <w:rsid w:val="00F04D15"/>
    <w:rsid w:val="00F04D20"/>
    <w:rsid w:val="00F04E13"/>
    <w:rsid w:val="00F05380"/>
    <w:rsid w:val="00F0543C"/>
    <w:rsid w:val="00F05498"/>
    <w:rsid w:val="00F05503"/>
    <w:rsid w:val="00F05611"/>
    <w:rsid w:val="00F0578F"/>
    <w:rsid w:val="00F058BE"/>
    <w:rsid w:val="00F05BB3"/>
    <w:rsid w:val="00F05CC1"/>
    <w:rsid w:val="00F05F46"/>
    <w:rsid w:val="00F05F94"/>
    <w:rsid w:val="00F06191"/>
    <w:rsid w:val="00F06244"/>
    <w:rsid w:val="00F06291"/>
    <w:rsid w:val="00F064A0"/>
    <w:rsid w:val="00F066D7"/>
    <w:rsid w:val="00F06706"/>
    <w:rsid w:val="00F0691B"/>
    <w:rsid w:val="00F0697B"/>
    <w:rsid w:val="00F06BA6"/>
    <w:rsid w:val="00F06BBA"/>
    <w:rsid w:val="00F06D48"/>
    <w:rsid w:val="00F06EB4"/>
    <w:rsid w:val="00F0716F"/>
    <w:rsid w:val="00F071E3"/>
    <w:rsid w:val="00F072EF"/>
    <w:rsid w:val="00F07529"/>
    <w:rsid w:val="00F0762E"/>
    <w:rsid w:val="00F07974"/>
    <w:rsid w:val="00F07A31"/>
    <w:rsid w:val="00F07B97"/>
    <w:rsid w:val="00F07E05"/>
    <w:rsid w:val="00F07EE5"/>
    <w:rsid w:val="00F07F22"/>
    <w:rsid w:val="00F10188"/>
    <w:rsid w:val="00F101D8"/>
    <w:rsid w:val="00F101EF"/>
    <w:rsid w:val="00F10382"/>
    <w:rsid w:val="00F10479"/>
    <w:rsid w:val="00F10626"/>
    <w:rsid w:val="00F1068B"/>
    <w:rsid w:val="00F10780"/>
    <w:rsid w:val="00F10938"/>
    <w:rsid w:val="00F109FA"/>
    <w:rsid w:val="00F10B6B"/>
    <w:rsid w:val="00F10BD2"/>
    <w:rsid w:val="00F10F22"/>
    <w:rsid w:val="00F113DE"/>
    <w:rsid w:val="00F11583"/>
    <w:rsid w:val="00F115FB"/>
    <w:rsid w:val="00F1171F"/>
    <w:rsid w:val="00F118DF"/>
    <w:rsid w:val="00F12054"/>
    <w:rsid w:val="00F12175"/>
    <w:rsid w:val="00F12267"/>
    <w:rsid w:val="00F129FA"/>
    <w:rsid w:val="00F12A45"/>
    <w:rsid w:val="00F12E61"/>
    <w:rsid w:val="00F13399"/>
    <w:rsid w:val="00F13467"/>
    <w:rsid w:val="00F13B76"/>
    <w:rsid w:val="00F144F4"/>
    <w:rsid w:val="00F1452E"/>
    <w:rsid w:val="00F146F6"/>
    <w:rsid w:val="00F14823"/>
    <w:rsid w:val="00F1491E"/>
    <w:rsid w:val="00F14AB2"/>
    <w:rsid w:val="00F15171"/>
    <w:rsid w:val="00F1526C"/>
    <w:rsid w:val="00F15413"/>
    <w:rsid w:val="00F15415"/>
    <w:rsid w:val="00F1552A"/>
    <w:rsid w:val="00F156C3"/>
    <w:rsid w:val="00F15927"/>
    <w:rsid w:val="00F15B6A"/>
    <w:rsid w:val="00F15BC2"/>
    <w:rsid w:val="00F15C50"/>
    <w:rsid w:val="00F15C96"/>
    <w:rsid w:val="00F15DF4"/>
    <w:rsid w:val="00F15E6C"/>
    <w:rsid w:val="00F15F3F"/>
    <w:rsid w:val="00F15F52"/>
    <w:rsid w:val="00F15F59"/>
    <w:rsid w:val="00F15FD2"/>
    <w:rsid w:val="00F16837"/>
    <w:rsid w:val="00F16885"/>
    <w:rsid w:val="00F16CCC"/>
    <w:rsid w:val="00F16CF9"/>
    <w:rsid w:val="00F16D12"/>
    <w:rsid w:val="00F170A5"/>
    <w:rsid w:val="00F17496"/>
    <w:rsid w:val="00F1768F"/>
    <w:rsid w:val="00F17691"/>
    <w:rsid w:val="00F176ED"/>
    <w:rsid w:val="00F17853"/>
    <w:rsid w:val="00F1787D"/>
    <w:rsid w:val="00F17954"/>
    <w:rsid w:val="00F17982"/>
    <w:rsid w:val="00F179D1"/>
    <w:rsid w:val="00F17A15"/>
    <w:rsid w:val="00F17E25"/>
    <w:rsid w:val="00F2001B"/>
    <w:rsid w:val="00F2011B"/>
    <w:rsid w:val="00F20204"/>
    <w:rsid w:val="00F20241"/>
    <w:rsid w:val="00F202FD"/>
    <w:rsid w:val="00F203FA"/>
    <w:rsid w:val="00F207DE"/>
    <w:rsid w:val="00F208CF"/>
    <w:rsid w:val="00F20B22"/>
    <w:rsid w:val="00F20CDA"/>
    <w:rsid w:val="00F20F94"/>
    <w:rsid w:val="00F210CD"/>
    <w:rsid w:val="00F21196"/>
    <w:rsid w:val="00F21490"/>
    <w:rsid w:val="00F2157B"/>
    <w:rsid w:val="00F2173D"/>
    <w:rsid w:val="00F2199C"/>
    <w:rsid w:val="00F21ADB"/>
    <w:rsid w:val="00F21CCC"/>
    <w:rsid w:val="00F21DAA"/>
    <w:rsid w:val="00F224BF"/>
    <w:rsid w:val="00F22637"/>
    <w:rsid w:val="00F227AD"/>
    <w:rsid w:val="00F22AAA"/>
    <w:rsid w:val="00F22BDD"/>
    <w:rsid w:val="00F22C10"/>
    <w:rsid w:val="00F22EC6"/>
    <w:rsid w:val="00F23016"/>
    <w:rsid w:val="00F23069"/>
    <w:rsid w:val="00F230BB"/>
    <w:rsid w:val="00F234A7"/>
    <w:rsid w:val="00F235F2"/>
    <w:rsid w:val="00F2364D"/>
    <w:rsid w:val="00F2374D"/>
    <w:rsid w:val="00F2375D"/>
    <w:rsid w:val="00F238E2"/>
    <w:rsid w:val="00F23BDC"/>
    <w:rsid w:val="00F23C52"/>
    <w:rsid w:val="00F23CDF"/>
    <w:rsid w:val="00F23DB9"/>
    <w:rsid w:val="00F240E6"/>
    <w:rsid w:val="00F24380"/>
    <w:rsid w:val="00F243FB"/>
    <w:rsid w:val="00F246B8"/>
    <w:rsid w:val="00F24930"/>
    <w:rsid w:val="00F24C36"/>
    <w:rsid w:val="00F24EB7"/>
    <w:rsid w:val="00F24EF5"/>
    <w:rsid w:val="00F252FC"/>
    <w:rsid w:val="00F257A5"/>
    <w:rsid w:val="00F25A48"/>
    <w:rsid w:val="00F25D12"/>
    <w:rsid w:val="00F25E51"/>
    <w:rsid w:val="00F260CB"/>
    <w:rsid w:val="00F26E32"/>
    <w:rsid w:val="00F26EC7"/>
    <w:rsid w:val="00F26F1E"/>
    <w:rsid w:val="00F2741F"/>
    <w:rsid w:val="00F27520"/>
    <w:rsid w:val="00F276CB"/>
    <w:rsid w:val="00F27868"/>
    <w:rsid w:val="00F278FA"/>
    <w:rsid w:val="00F27F27"/>
    <w:rsid w:val="00F27FA0"/>
    <w:rsid w:val="00F30035"/>
    <w:rsid w:val="00F30301"/>
    <w:rsid w:val="00F30497"/>
    <w:rsid w:val="00F307A7"/>
    <w:rsid w:val="00F3090F"/>
    <w:rsid w:val="00F30BFF"/>
    <w:rsid w:val="00F30D81"/>
    <w:rsid w:val="00F3102C"/>
    <w:rsid w:val="00F3114D"/>
    <w:rsid w:val="00F312F5"/>
    <w:rsid w:val="00F313DE"/>
    <w:rsid w:val="00F3148A"/>
    <w:rsid w:val="00F31B49"/>
    <w:rsid w:val="00F31B83"/>
    <w:rsid w:val="00F31DC9"/>
    <w:rsid w:val="00F31E69"/>
    <w:rsid w:val="00F320DC"/>
    <w:rsid w:val="00F32279"/>
    <w:rsid w:val="00F3238A"/>
    <w:rsid w:val="00F325A7"/>
    <w:rsid w:val="00F32615"/>
    <w:rsid w:val="00F32644"/>
    <w:rsid w:val="00F32B66"/>
    <w:rsid w:val="00F32E91"/>
    <w:rsid w:val="00F32EAE"/>
    <w:rsid w:val="00F3312C"/>
    <w:rsid w:val="00F33210"/>
    <w:rsid w:val="00F33395"/>
    <w:rsid w:val="00F333DD"/>
    <w:rsid w:val="00F3348A"/>
    <w:rsid w:val="00F334A9"/>
    <w:rsid w:val="00F33666"/>
    <w:rsid w:val="00F336B1"/>
    <w:rsid w:val="00F3375D"/>
    <w:rsid w:val="00F337FF"/>
    <w:rsid w:val="00F33A7B"/>
    <w:rsid w:val="00F33AD5"/>
    <w:rsid w:val="00F33CCD"/>
    <w:rsid w:val="00F33E8A"/>
    <w:rsid w:val="00F340E7"/>
    <w:rsid w:val="00F3492B"/>
    <w:rsid w:val="00F3515D"/>
    <w:rsid w:val="00F3518A"/>
    <w:rsid w:val="00F351DF"/>
    <w:rsid w:val="00F35239"/>
    <w:rsid w:val="00F35357"/>
    <w:rsid w:val="00F3549C"/>
    <w:rsid w:val="00F355CC"/>
    <w:rsid w:val="00F35EBD"/>
    <w:rsid w:val="00F36429"/>
    <w:rsid w:val="00F3654D"/>
    <w:rsid w:val="00F36729"/>
    <w:rsid w:val="00F368FD"/>
    <w:rsid w:val="00F36971"/>
    <w:rsid w:val="00F36B24"/>
    <w:rsid w:val="00F36B9D"/>
    <w:rsid w:val="00F36FC7"/>
    <w:rsid w:val="00F37148"/>
    <w:rsid w:val="00F372A8"/>
    <w:rsid w:val="00F3764D"/>
    <w:rsid w:val="00F378F4"/>
    <w:rsid w:val="00F37B63"/>
    <w:rsid w:val="00F37FEF"/>
    <w:rsid w:val="00F40036"/>
    <w:rsid w:val="00F400A6"/>
    <w:rsid w:val="00F400DD"/>
    <w:rsid w:val="00F403E4"/>
    <w:rsid w:val="00F40620"/>
    <w:rsid w:val="00F407D2"/>
    <w:rsid w:val="00F408A1"/>
    <w:rsid w:val="00F408E9"/>
    <w:rsid w:val="00F4094F"/>
    <w:rsid w:val="00F40CAD"/>
    <w:rsid w:val="00F40F8C"/>
    <w:rsid w:val="00F410BB"/>
    <w:rsid w:val="00F411C4"/>
    <w:rsid w:val="00F412BC"/>
    <w:rsid w:val="00F41653"/>
    <w:rsid w:val="00F4169D"/>
    <w:rsid w:val="00F41A4B"/>
    <w:rsid w:val="00F41C83"/>
    <w:rsid w:val="00F41D74"/>
    <w:rsid w:val="00F41E72"/>
    <w:rsid w:val="00F41E80"/>
    <w:rsid w:val="00F42544"/>
    <w:rsid w:val="00F425C7"/>
    <w:rsid w:val="00F426EC"/>
    <w:rsid w:val="00F427D8"/>
    <w:rsid w:val="00F42851"/>
    <w:rsid w:val="00F42AB9"/>
    <w:rsid w:val="00F42B4A"/>
    <w:rsid w:val="00F42CAE"/>
    <w:rsid w:val="00F42E90"/>
    <w:rsid w:val="00F42F47"/>
    <w:rsid w:val="00F432A1"/>
    <w:rsid w:val="00F43469"/>
    <w:rsid w:val="00F4367C"/>
    <w:rsid w:val="00F43A85"/>
    <w:rsid w:val="00F43CE0"/>
    <w:rsid w:val="00F43D47"/>
    <w:rsid w:val="00F43EC2"/>
    <w:rsid w:val="00F44014"/>
    <w:rsid w:val="00F44027"/>
    <w:rsid w:val="00F4402E"/>
    <w:rsid w:val="00F4406A"/>
    <w:rsid w:val="00F440CB"/>
    <w:rsid w:val="00F44297"/>
    <w:rsid w:val="00F44403"/>
    <w:rsid w:val="00F444C7"/>
    <w:rsid w:val="00F44555"/>
    <w:rsid w:val="00F445EA"/>
    <w:rsid w:val="00F44CE0"/>
    <w:rsid w:val="00F44D8E"/>
    <w:rsid w:val="00F44DE3"/>
    <w:rsid w:val="00F44F49"/>
    <w:rsid w:val="00F4500C"/>
    <w:rsid w:val="00F4505B"/>
    <w:rsid w:val="00F4514F"/>
    <w:rsid w:val="00F453F4"/>
    <w:rsid w:val="00F45505"/>
    <w:rsid w:val="00F458A6"/>
    <w:rsid w:val="00F45A82"/>
    <w:rsid w:val="00F45BA3"/>
    <w:rsid w:val="00F45F36"/>
    <w:rsid w:val="00F45FD3"/>
    <w:rsid w:val="00F460F0"/>
    <w:rsid w:val="00F462AC"/>
    <w:rsid w:val="00F46437"/>
    <w:rsid w:val="00F46A9F"/>
    <w:rsid w:val="00F46B80"/>
    <w:rsid w:val="00F46F66"/>
    <w:rsid w:val="00F47338"/>
    <w:rsid w:val="00F47519"/>
    <w:rsid w:val="00F47818"/>
    <w:rsid w:val="00F47949"/>
    <w:rsid w:val="00F47DEA"/>
    <w:rsid w:val="00F47EB0"/>
    <w:rsid w:val="00F47ECA"/>
    <w:rsid w:val="00F50128"/>
    <w:rsid w:val="00F503B9"/>
    <w:rsid w:val="00F50458"/>
    <w:rsid w:val="00F504BC"/>
    <w:rsid w:val="00F508CA"/>
    <w:rsid w:val="00F50CA2"/>
    <w:rsid w:val="00F50D10"/>
    <w:rsid w:val="00F50D17"/>
    <w:rsid w:val="00F50D5B"/>
    <w:rsid w:val="00F50E11"/>
    <w:rsid w:val="00F50F39"/>
    <w:rsid w:val="00F50F3C"/>
    <w:rsid w:val="00F50F6C"/>
    <w:rsid w:val="00F51361"/>
    <w:rsid w:val="00F51685"/>
    <w:rsid w:val="00F51B1D"/>
    <w:rsid w:val="00F51C9A"/>
    <w:rsid w:val="00F51FEB"/>
    <w:rsid w:val="00F51FED"/>
    <w:rsid w:val="00F521E7"/>
    <w:rsid w:val="00F5246A"/>
    <w:rsid w:val="00F52AC3"/>
    <w:rsid w:val="00F52B8D"/>
    <w:rsid w:val="00F52C17"/>
    <w:rsid w:val="00F52E89"/>
    <w:rsid w:val="00F52EB9"/>
    <w:rsid w:val="00F52ED6"/>
    <w:rsid w:val="00F52EE4"/>
    <w:rsid w:val="00F52F6E"/>
    <w:rsid w:val="00F532FB"/>
    <w:rsid w:val="00F5332B"/>
    <w:rsid w:val="00F533F5"/>
    <w:rsid w:val="00F5368E"/>
    <w:rsid w:val="00F536D8"/>
    <w:rsid w:val="00F5387B"/>
    <w:rsid w:val="00F53BB3"/>
    <w:rsid w:val="00F53CB5"/>
    <w:rsid w:val="00F53FFD"/>
    <w:rsid w:val="00F5415A"/>
    <w:rsid w:val="00F5444C"/>
    <w:rsid w:val="00F5447A"/>
    <w:rsid w:val="00F54540"/>
    <w:rsid w:val="00F546C0"/>
    <w:rsid w:val="00F54B42"/>
    <w:rsid w:val="00F54D2D"/>
    <w:rsid w:val="00F54E4D"/>
    <w:rsid w:val="00F55074"/>
    <w:rsid w:val="00F550ED"/>
    <w:rsid w:val="00F55367"/>
    <w:rsid w:val="00F553F0"/>
    <w:rsid w:val="00F557B7"/>
    <w:rsid w:val="00F5595E"/>
    <w:rsid w:val="00F55973"/>
    <w:rsid w:val="00F559A0"/>
    <w:rsid w:val="00F55AA3"/>
    <w:rsid w:val="00F55D03"/>
    <w:rsid w:val="00F55E2C"/>
    <w:rsid w:val="00F562AB"/>
    <w:rsid w:val="00F5640C"/>
    <w:rsid w:val="00F56549"/>
    <w:rsid w:val="00F5656C"/>
    <w:rsid w:val="00F5673C"/>
    <w:rsid w:val="00F568F2"/>
    <w:rsid w:val="00F56B34"/>
    <w:rsid w:val="00F56C6E"/>
    <w:rsid w:val="00F56D79"/>
    <w:rsid w:val="00F5711B"/>
    <w:rsid w:val="00F57682"/>
    <w:rsid w:val="00F57741"/>
    <w:rsid w:val="00F57A6E"/>
    <w:rsid w:val="00F57E1F"/>
    <w:rsid w:val="00F57E49"/>
    <w:rsid w:val="00F57FC6"/>
    <w:rsid w:val="00F60035"/>
    <w:rsid w:val="00F600AA"/>
    <w:rsid w:val="00F602FB"/>
    <w:rsid w:val="00F60359"/>
    <w:rsid w:val="00F60428"/>
    <w:rsid w:val="00F604FD"/>
    <w:rsid w:val="00F605C0"/>
    <w:rsid w:val="00F605E1"/>
    <w:rsid w:val="00F60650"/>
    <w:rsid w:val="00F60A25"/>
    <w:rsid w:val="00F60B04"/>
    <w:rsid w:val="00F60D87"/>
    <w:rsid w:val="00F610CA"/>
    <w:rsid w:val="00F61173"/>
    <w:rsid w:val="00F612BE"/>
    <w:rsid w:val="00F61405"/>
    <w:rsid w:val="00F61530"/>
    <w:rsid w:val="00F61681"/>
    <w:rsid w:val="00F616B1"/>
    <w:rsid w:val="00F617DB"/>
    <w:rsid w:val="00F6192B"/>
    <w:rsid w:val="00F62195"/>
    <w:rsid w:val="00F6235C"/>
    <w:rsid w:val="00F623CE"/>
    <w:rsid w:val="00F6256D"/>
    <w:rsid w:val="00F626A9"/>
    <w:rsid w:val="00F62AF3"/>
    <w:rsid w:val="00F62EDC"/>
    <w:rsid w:val="00F63234"/>
    <w:rsid w:val="00F632A1"/>
    <w:rsid w:val="00F632FE"/>
    <w:rsid w:val="00F633FF"/>
    <w:rsid w:val="00F63741"/>
    <w:rsid w:val="00F63773"/>
    <w:rsid w:val="00F63B4C"/>
    <w:rsid w:val="00F63B85"/>
    <w:rsid w:val="00F63CD0"/>
    <w:rsid w:val="00F63CEE"/>
    <w:rsid w:val="00F63E2B"/>
    <w:rsid w:val="00F63EE3"/>
    <w:rsid w:val="00F64265"/>
    <w:rsid w:val="00F64636"/>
    <w:rsid w:val="00F646CA"/>
    <w:rsid w:val="00F646F0"/>
    <w:rsid w:val="00F6482F"/>
    <w:rsid w:val="00F6488E"/>
    <w:rsid w:val="00F64BEB"/>
    <w:rsid w:val="00F651A3"/>
    <w:rsid w:val="00F652CA"/>
    <w:rsid w:val="00F658A2"/>
    <w:rsid w:val="00F65909"/>
    <w:rsid w:val="00F65A35"/>
    <w:rsid w:val="00F65C1E"/>
    <w:rsid w:val="00F65D1A"/>
    <w:rsid w:val="00F65D58"/>
    <w:rsid w:val="00F65FE5"/>
    <w:rsid w:val="00F66076"/>
    <w:rsid w:val="00F660B2"/>
    <w:rsid w:val="00F663B3"/>
    <w:rsid w:val="00F6640C"/>
    <w:rsid w:val="00F66461"/>
    <w:rsid w:val="00F6668D"/>
    <w:rsid w:val="00F666B2"/>
    <w:rsid w:val="00F66871"/>
    <w:rsid w:val="00F669A3"/>
    <w:rsid w:val="00F66ADF"/>
    <w:rsid w:val="00F66D7B"/>
    <w:rsid w:val="00F66DBB"/>
    <w:rsid w:val="00F66EB8"/>
    <w:rsid w:val="00F6707B"/>
    <w:rsid w:val="00F6730D"/>
    <w:rsid w:val="00F67468"/>
    <w:rsid w:val="00F674FD"/>
    <w:rsid w:val="00F67528"/>
    <w:rsid w:val="00F676E0"/>
    <w:rsid w:val="00F67AD5"/>
    <w:rsid w:val="00F67BF0"/>
    <w:rsid w:val="00F7013F"/>
    <w:rsid w:val="00F706F8"/>
    <w:rsid w:val="00F70A3D"/>
    <w:rsid w:val="00F70B43"/>
    <w:rsid w:val="00F70B51"/>
    <w:rsid w:val="00F70F03"/>
    <w:rsid w:val="00F71015"/>
    <w:rsid w:val="00F71061"/>
    <w:rsid w:val="00F71110"/>
    <w:rsid w:val="00F711E9"/>
    <w:rsid w:val="00F712FD"/>
    <w:rsid w:val="00F71367"/>
    <w:rsid w:val="00F71575"/>
    <w:rsid w:val="00F717A5"/>
    <w:rsid w:val="00F717C6"/>
    <w:rsid w:val="00F71815"/>
    <w:rsid w:val="00F71962"/>
    <w:rsid w:val="00F71B0E"/>
    <w:rsid w:val="00F71B8B"/>
    <w:rsid w:val="00F72187"/>
    <w:rsid w:val="00F721A9"/>
    <w:rsid w:val="00F72200"/>
    <w:rsid w:val="00F723DB"/>
    <w:rsid w:val="00F72E3A"/>
    <w:rsid w:val="00F72E6D"/>
    <w:rsid w:val="00F72ED7"/>
    <w:rsid w:val="00F7314F"/>
    <w:rsid w:val="00F7322F"/>
    <w:rsid w:val="00F732B0"/>
    <w:rsid w:val="00F734E2"/>
    <w:rsid w:val="00F735D5"/>
    <w:rsid w:val="00F73927"/>
    <w:rsid w:val="00F73C18"/>
    <w:rsid w:val="00F73F90"/>
    <w:rsid w:val="00F73FD5"/>
    <w:rsid w:val="00F746AC"/>
    <w:rsid w:val="00F74D69"/>
    <w:rsid w:val="00F74F98"/>
    <w:rsid w:val="00F74FB2"/>
    <w:rsid w:val="00F754C9"/>
    <w:rsid w:val="00F757C2"/>
    <w:rsid w:val="00F75934"/>
    <w:rsid w:val="00F75996"/>
    <w:rsid w:val="00F75D47"/>
    <w:rsid w:val="00F75F47"/>
    <w:rsid w:val="00F75F93"/>
    <w:rsid w:val="00F760A6"/>
    <w:rsid w:val="00F76495"/>
    <w:rsid w:val="00F766FA"/>
    <w:rsid w:val="00F76707"/>
    <w:rsid w:val="00F76908"/>
    <w:rsid w:val="00F769B7"/>
    <w:rsid w:val="00F76AC1"/>
    <w:rsid w:val="00F76BF6"/>
    <w:rsid w:val="00F77217"/>
    <w:rsid w:val="00F774B2"/>
    <w:rsid w:val="00F77622"/>
    <w:rsid w:val="00F77652"/>
    <w:rsid w:val="00F7765A"/>
    <w:rsid w:val="00F77766"/>
    <w:rsid w:val="00F77768"/>
    <w:rsid w:val="00F77C28"/>
    <w:rsid w:val="00F77DB9"/>
    <w:rsid w:val="00F77DD5"/>
    <w:rsid w:val="00F77EBF"/>
    <w:rsid w:val="00F8001C"/>
    <w:rsid w:val="00F80301"/>
    <w:rsid w:val="00F8064A"/>
    <w:rsid w:val="00F80702"/>
    <w:rsid w:val="00F8079A"/>
    <w:rsid w:val="00F80C0F"/>
    <w:rsid w:val="00F80CE1"/>
    <w:rsid w:val="00F80CF9"/>
    <w:rsid w:val="00F80DBB"/>
    <w:rsid w:val="00F80E3D"/>
    <w:rsid w:val="00F81095"/>
    <w:rsid w:val="00F8119E"/>
    <w:rsid w:val="00F8128A"/>
    <w:rsid w:val="00F814B2"/>
    <w:rsid w:val="00F81534"/>
    <w:rsid w:val="00F81C99"/>
    <w:rsid w:val="00F81EB5"/>
    <w:rsid w:val="00F82484"/>
    <w:rsid w:val="00F825BB"/>
    <w:rsid w:val="00F825CA"/>
    <w:rsid w:val="00F82697"/>
    <w:rsid w:val="00F826F2"/>
    <w:rsid w:val="00F827B3"/>
    <w:rsid w:val="00F82ADE"/>
    <w:rsid w:val="00F82C21"/>
    <w:rsid w:val="00F83063"/>
    <w:rsid w:val="00F83438"/>
    <w:rsid w:val="00F83511"/>
    <w:rsid w:val="00F83738"/>
    <w:rsid w:val="00F83AF0"/>
    <w:rsid w:val="00F83B28"/>
    <w:rsid w:val="00F83C05"/>
    <w:rsid w:val="00F83DA0"/>
    <w:rsid w:val="00F83F75"/>
    <w:rsid w:val="00F83F96"/>
    <w:rsid w:val="00F8459E"/>
    <w:rsid w:val="00F84D6A"/>
    <w:rsid w:val="00F850E9"/>
    <w:rsid w:val="00F85107"/>
    <w:rsid w:val="00F8522F"/>
    <w:rsid w:val="00F85472"/>
    <w:rsid w:val="00F855C7"/>
    <w:rsid w:val="00F85D02"/>
    <w:rsid w:val="00F85DEF"/>
    <w:rsid w:val="00F860B6"/>
    <w:rsid w:val="00F86212"/>
    <w:rsid w:val="00F8643F"/>
    <w:rsid w:val="00F86528"/>
    <w:rsid w:val="00F8658C"/>
    <w:rsid w:val="00F865EA"/>
    <w:rsid w:val="00F866A7"/>
    <w:rsid w:val="00F867A2"/>
    <w:rsid w:val="00F86926"/>
    <w:rsid w:val="00F86AF1"/>
    <w:rsid w:val="00F86B9F"/>
    <w:rsid w:val="00F86BCB"/>
    <w:rsid w:val="00F86D0B"/>
    <w:rsid w:val="00F86D5C"/>
    <w:rsid w:val="00F86EE0"/>
    <w:rsid w:val="00F8702D"/>
    <w:rsid w:val="00F8753A"/>
    <w:rsid w:val="00F87562"/>
    <w:rsid w:val="00F8778C"/>
    <w:rsid w:val="00F878AF"/>
    <w:rsid w:val="00F87D70"/>
    <w:rsid w:val="00F87DD3"/>
    <w:rsid w:val="00F87E4B"/>
    <w:rsid w:val="00F90247"/>
    <w:rsid w:val="00F90592"/>
    <w:rsid w:val="00F908AF"/>
    <w:rsid w:val="00F908F7"/>
    <w:rsid w:val="00F90B21"/>
    <w:rsid w:val="00F90BB3"/>
    <w:rsid w:val="00F90BCD"/>
    <w:rsid w:val="00F90FCA"/>
    <w:rsid w:val="00F91083"/>
    <w:rsid w:val="00F9118E"/>
    <w:rsid w:val="00F911D8"/>
    <w:rsid w:val="00F91328"/>
    <w:rsid w:val="00F9133F"/>
    <w:rsid w:val="00F914A4"/>
    <w:rsid w:val="00F917EC"/>
    <w:rsid w:val="00F91E1A"/>
    <w:rsid w:val="00F921A6"/>
    <w:rsid w:val="00F92394"/>
    <w:rsid w:val="00F9266D"/>
    <w:rsid w:val="00F92829"/>
    <w:rsid w:val="00F9286A"/>
    <w:rsid w:val="00F9292A"/>
    <w:rsid w:val="00F92B43"/>
    <w:rsid w:val="00F92C59"/>
    <w:rsid w:val="00F92C92"/>
    <w:rsid w:val="00F92E84"/>
    <w:rsid w:val="00F93206"/>
    <w:rsid w:val="00F932C2"/>
    <w:rsid w:val="00F93370"/>
    <w:rsid w:val="00F9368E"/>
    <w:rsid w:val="00F9390D"/>
    <w:rsid w:val="00F93B3C"/>
    <w:rsid w:val="00F93C31"/>
    <w:rsid w:val="00F93CEA"/>
    <w:rsid w:val="00F93D12"/>
    <w:rsid w:val="00F93D96"/>
    <w:rsid w:val="00F93E62"/>
    <w:rsid w:val="00F94161"/>
    <w:rsid w:val="00F945A5"/>
    <w:rsid w:val="00F946F1"/>
    <w:rsid w:val="00F949E9"/>
    <w:rsid w:val="00F94B44"/>
    <w:rsid w:val="00F95030"/>
    <w:rsid w:val="00F953A0"/>
    <w:rsid w:val="00F954CB"/>
    <w:rsid w:val="00F95726"/>
    <w:rsid w:val="00F95743"/>
    <w:rsid w:val="00F95859"/>
    <w:rsid w:val="00F95D89"/>
    <w:rsid w:val="00F96378"/>
    <w:rsid w:val="00F96494"/>
    <w:rsid w:val="00F965EB"/>
    <w:rsid w:val="00F96962"/>
    <w:rsid w:val="00F96B21"/>
    <w:rsid w:val="00F96BA7"/>
    <w:rsid w:val="00F96E77"/>
    <w:rsid w:val="00F96E81"/>
    <w:rsid w:val="00F9706A"/>
    <w:rsid w:val="00F971E4"/>
    <w:rsid w:val="00F972A9"/>
    <w:rsid w:val="00F9775D"/>
    <w:rsid w:val="00F97833"/>
    <w:rsid w:val="00F97851"/>
    <w:rsid w:val="00F97922"/>
    <w:rsid w:val="00F97ACE"/>
    <w:rsid w:val="00F97B45"/>
    <w:rsid w:val="00F97BF0"/>
    <w:rsid w:val="00F97DC1"/>
    <w:rsid w:val="00F97E1B"/>
    <w:rsid w:val="00F97E7C"/>
    <w:rsid w:val="00FA01FF"/>
    <w:rsid w:val="00FA034B"/>
    <w:rsid w:val="00FA059B"/>
    <w:rsid w:val="00FA08A1"/>
    <w:rsid w:val="00FA09DC"/>
    <w:rsid w:val="00FA0EE7"/>
    <w:rsid w:val="00FA12CB"/>
    <w:rsid w:val="00FA1303"/>
    <w:rsid w:val="00FA14FD"/>
    <w:rsid w:val="00FA1747"/>
    <w:rsid w:val="00FA1771"/>
    <w:rsid w:val="00FA179D"/>
    <w:rsid w:val="00FA18A0"/>
    <w:rsid w:val="00FA1924"/>
    <w:rsid w:val="00FA194D"/>
    <w:rsid w:val="00FA1A81"/>
    <w:rsid w:val="00FA1B7F"/>
    <w:rsid w:val="00FA1B91"/>
    <w:rsid w:val="00FA1D86"/>
    <w:rsid w:val="00FA1F68"/>
    <w:rsid w:val="00FA1FC8"/>
    <w:rsid w:val="00FA22B7"/>
    <w:rsid w:val="00FA240D"/>
    <w:rsid w:val="00FA2419"/>
    <w:rsid w:val="00FA2617"/>
    <w:rsid w:val="00FA264E"/>
    <w:rsid w:val="00FA26FE"/>
    <w:rsid w:val="00FA2A26"/>
    <w:rsid w:val="00FA2D21"/>
    <w:rsid w:val="00FA2F41"/>
    <w:rsid w:val="00FA3090"/>
    <w:rsid w:val="00FA30C6"/>
    <w:rsid w:val="00FA3202"/>
    <w:rsid w:val="00FA33D6"/>
    <w:rsid w:val="00FA36EC"/>
    <w:rsid w:val="00FA3957"/>
    <w:rsid w:val="00FA3A17"/>
    <w:rsid w:val="00FA3C64"/>
    <w:rsid w:val="00FA3DA1"/>
    <w:rsid w:val="00FA4162"/>
    <w:rsid w:val="00FA42B3"/>
    <w:rsid w:val="00FA4497"/>
    <w:rsid w:val="00FA451E"/>
    <w:rsid w:val="00FA48DF"/>
    <w:rsid w:val="00FA4902"/>
    <w:rsid w:val="00FA4982"/>
    <w:rsid w:val="00FA56B4"/>
    <w:rsid w:val="00FA5799"/>
    <w:rsid w:val="00FA57E5"/>
    <w:rsid w:val="00FA57FA"/>
    <w:rsid w:val="00FA5AF9"/>
    <w:rsid w:val="00FA5B11"/>
    <w:rsid w:val="00FA5E34"/>
    <w:rsid w:val="00FA62FE"/>
    <w:rsid w:val="00FA67D6"/>
    <w:rsid w:val="00FA6854"/>
    <w:rsid w:val="00FA6920"/>
    <w:rsid w:val="00FA6F4B"/>
    <w:rsid w:val="00FA73B6"/>
    <w:rsid w:val="00FA762A"/>
    <w:rsid w:val="00FA77EE"/>
    <w:rsid w:val="00FA787B"/>
    <w:rsid w:val="00FA7FA7"/>
    <w:rsid w:val="00FB0051"/>
    <w:rsid w:val="00FB03A7"/>
    <w:rsid w:val="00FB0601"/>
    <w:rsid w:val="00FB09F9"/>
    <w:rsid w:val="00FB0CB7"/>
    <w:rsid w:val="00FB108B"/>
    <w:rsid w:val="00FB1139"/>
    <w:rsid w:val="00FB15A2"/>
    <w:rsid w:val="00FB1795"/>
    <w:rsid w:val="00FB1899"/>
    <w:rsid w:val="00FB1A28"/>
    <w:rsid w:val="00FB1ACC"/>
    <w:rsid w:val="00FB1D89"/>
    <w:rsid w:val="00FB2138"/>
    <w:rsid w:val="00FB237D"/>
    <w:rsid w:val="00FB23EA"/>
    <w:rsid w:val="00FB2451"/>
    <w:rsid w:val="00FB26CE"/>
    <w:rsid w:val="00FB295C"/>
    <w:rsid w:val="00FB2B5A"/>
    <w:rsid w:val="00FB2D62"/>
    <w:rsid w:val="00FB32C6"/>
    <w:rsid w:val="00FB3490"/>
    <w:rsid w:val="00FB3888"/>
    <w:rsid w:val="00FB395D"/>
    <w:rsid w:val="00FB3A4A"/>
    <w:rsid w:val="00FB3BF0"/>
    <w:rsid w:val="00FB3C47"/>
    <w:rsid w:val="00FB3D65"/>
    <w:rsid w:val="00FB3E82"/>
    <w:rsid w:val="00FB3FD0"/>
    <w:rsid w:val="00FB41F3"/>
    <w:rsid w:val="00FB4296"/>
    <w:rsid w:val="00FB4537"/>
    <w:rsid w:val="00FB468A"/>
    <w:rsid w:val="00FB4733"/>
    <w:rsid w:val="00FB493A"/>
    <w:rsid w:val="00FB4964"/>
    <w:rsid w:val="00FB4EF7"/>
    <w:rsid w:val="00FB50FD"/>
    <w:rsid w:val="00FB5156"/>
    <w:rsid w:val="00FB51F4"/>
    <w:rsid w:val="00FB5543"/>
    <w:rsid w:val="00FB579D"/>
    <w:rsid w:val="00FB5874"/>
    <w:rsid w:val="00FB5A36"/>
    <w:rsid w:val="00FB5A48"/>
    <w:rsid w:val="00FB5A8F"/>
    <w:rsid w:val="00FB5AB7"/>
    <w:rsid w:val="00FB5ABF"/>
    <w:rsid w:val="00FB5B53"/>
    <w:rsid w:val="00FB5F27"/>
    <w:rsid w:val="00FB61FB"/>
    <w:rsid w:val="00FB64E6"/>
    <w:rsid w:val="00FB65E8"/>
    <w:rsid w:val="00FB6A4F"/>
    <w:rsid w:val="00FB6AC1"/>
    <w:rsid w:val="00FB6B27"/>
    <w:rsid w:val="00FB74FC"/>
    <w:rsid w:val="00FB7546"/>
    <w:rsid w:val="00FB775B"/>
    <w:rsid w:val="00FB77A2"/>
    <w:rsid w:val="00FB795C"/>
    <w:rsid w:val="00FB7A57"/>
    <w:rsid w:val="00FB7DF5"/>
    <w:rsid w:val="00FB7E09"/>
    <w:rsid w:val="00FB7FA0"/>
    <w:rsid w:val="00FB7FAC"/>
    <w:rsid w:val="00FB7FE0"/>
    <w:rsid w:val="00FC014C"/>
    <w:rsid w:val="00FC0466"/>
    <w:rsid w:val="00FC04A0"/>
    <w:rsid w:val="00FC0596"/>
    <w:rsid w:val="00FC05D7"/>
    <w:rsid w:val="00FC06AA"/>
    <w:rsid w:val="00FC0814"/>
    <w:rsid w:val="00FC0971"/>
    <w:rsid w:val="00FC0C01"/>
    <w:rsid w:val="00FC1062"/>
    <w:rsid w:val="00FC1083"/>
    <w:rsid w:val="00FC112F"/>
    <w:rsid w:val="00FC11AD"/>
    <w:rsid w:val="00FC127A"/>
    <w:rsid w:val="00FC128B"/>
    <w:rsid w:val="00FC1641"/>
    <w:rsid w:val="00FC18D4"/>
    <w:rsid w:val="00FC1B33"/>
    <w:rsid w:val="00FC1C90"/>
    <w:rsid w:val="00FC262A"/>
    <w:rsid w:val="00FC2894"/>
    <w:rsid w:val="00FC2935"/>
    <w:rsid w:val="00FC2942"/>
    <w:rsid w:val="00FC2949"/>
    <w:rsid w:val="00FC2A2A"/>
    <w:rsid w:val="00FC2D43"/>
    <w:rsid w:val="00FC2DB9"/>
    <w:rsid w:val="00FC2E38"/>
    <w:rsid w:val="00FC3285"/>
    <w:rsid w:val="00FC33CA"/>
    <w:rsid w:val="00FC354C"/>
    <w:rsid w:val="00FC35E9"/>
    <w:rsid w:val="00FC392A"/>
    <w:rsid w:val="00FC3A57"/>
    <w:rsid w:val="00FC3DB6"/>
    <w:rsid w:val="00FC413E"/>
    <w:rsid w:val="00FC4195"/>
    <w:rsid w:val="00FC4232"/>
    <w:rsid w:val="00FC42BC"/>
    <w:rsid w:val="00FC4348"/>
    <w:rsid w:val="00FC43A0"/>
    <w:rsid w:val="00FC4413"/>
    <w:rsid w:val="00FC4669"/>
    <w:rsid w:val="00FC4942"/>
    <w:rsid w:val="00FC494C"/>
    <w:rsid w:val="00FC4E13"/>
    <w:rsid w:val="00FC54F3"/>
    <w:rsid w:val="00FC55F1"/>
    <w:rsid w:val="00FC5961"/>
    <w:rsid w:val="00FC59A4"/>
    <w:rsid w:val="00FC5AE8"/>
    <w:rsid w:val="00FC5EB1"/>
    <w:rsid w:val="00FC5EBC"/>
    <w:rsid w:val="00FC608E"/>
    <w:rsid w:val="00FC63DA"/>
    <w:rsid w:val="00FC640D"/>
    <w:rsid w:val="00FC6459"/>
    <w:rsid w:val="00FC66C0"/>
    <w:rsid w:val="00FC67F8"/>
    <w:rsid w:val="00FC68D7"/>
    <w:rsid w:val="00FC693C"/>
    <w:rsid w:val="00FC6BDF"/>
    <w:rsid w:val="00FC6C23"/>
    <w:rsid w:val="00FC6F8D"/>
    <w:rsid w:val="00FC72F6"/>
    <w:rsid w:val="00FC75A7"/>
    <w:rsid w:val="00FC76BA"/>
    <w:rsid w:val="00FC76D5"/>
    <w:rsid w:val="00FC7735"/>
    <w:rsid w:val="00FC77C7"/>
    <w:rsid w:val="00FC7B87"/>
    <w:rsid w:val="00FC7BBF"/>
    <w:rsid w:val="00FC7C47"/>
    <w:rsid w:val="00FC7D50"/>
    <w:rsid w:val="00FC7E11"/>
    <w:rsid w:val="00FD015E"/>
    <w:rsid w:val="00FD0555"/>
    <w:rsid w:val="00FD05D6"/>
    <w:rsid w:val="00FD062F"/>
    <w:rsid w:val="00FD071F"/>
    <w:rsid w:val="00FD08D9"/>
    <w:rsid w:val="00FD0B68"/>
    <w:rsid w:val="00FD0D5F"/>
    <w:rsid w:val="00FD0EFF"/>
    <w:rsid w:val="00FD0F17"/>
    <w:rsid w:val="00FD1043"/>
    <w:rsid w:val="00FD13B6"/>
    <w:rsid w:val="00FD1655"/>
    <w:rsid w:val="00FD1ADA"/>
    <w:rsid w:val="00FD1BCE"/>
    <w:rsid w:val="00FD1BE3"/>
    <w:rsid w:val="00FD1C11"/>
    <w:rsid w:val="00FD1C27"/>
    <w:rsid w:val="00FD1C5C"/>
    <w:rsid w:val="00FD1D50"/>
    <w:rsid w:val="00FD1F79"/>
    <w:rsid w:val="00FD208F"/>
    <w:rsid w:val="00FD20EC"/>
    <w:rsid w:val="00FD228C"/>
    <w:rsid w:val="00FD2378"/>
    <w:rsid w:val="00FD25D0"/>
    <w:rsid w:val="00FD2767"/>
    <w:rsid w:val="00FD27A7"/>
    <w:rsid w:val="00FD27AA"/>
    <w:rsid w:val="00FD293E"/>
    <w:rsid w:val="00FD2B62"/>
    <w:rsid w:val="00FD2BF5"/>
    <w:rsid w:val="00FD2C3A"/>
    <w:rsid w:val="00FD2C61"/>
    <w:rsid w:val="00FD2CD0"/>
    <w:rsid w:val="00FD2E11"/>
    <w:rsid w:val="00FD2E8A"/>
    <w:rsid w:val="00FD3390"/>
    <w:rsid w:val="00FD38A0"/>
    <w:rsid w:val="00FD3905"/>
    <w:rsid w:val="00FD39A4"/>
    <w:rsid w:val="00FD3B6F"/>
    <w:rsid w:val="00FD3B80"/>
    <w:rsid w:val="00FD3BE0"/>
    <w:rsid w:val="00FD3E36"/>
    <w:rsid w:val="00FD4064"/>
    <w:rsid w:val="00FD46C4"/>
    <w:rsid w:val="00FD48BB"/>
    <w:rsid w:val="00FD4BC5"/>
    <w:rsid w:val="00FD4D78"/>
    <w:rsid w:val="00FD514F"/>
    <w:rsid w:val="00FD55A6"/>
    <w:rsid w:val="00FD57B6"/>
    <w:rsid w:val="00FD5A71"/>
    <w:rsid w:val="00FD5AFB"/>
    <w:rsid w:val="00FD5DD5"/>
    <w:rsid w:val="00FD5ED6"/>
    <w:rsid w:val="00FD60ED"/>
    <w:rsid w:val="00FD60F8"/>
    <w:rsid w:val="00FD6342"/>
    <w:rsid w:val="00FD644F"/>
    <w:rsid w:val="00FD6512"/>
    <w:rsid w:val="00FD668D"/>
    <w:rsid w:val="00FD68C0"/>
    <w:rsid w:val="00FD6B59"/>
    <w:rsid w:val="00FD6D76"/>
    <w:rsid w:val="00FD739F"/>
    <w:rsid w:val="00FD762B"/>
    <w:rsid w:val="00FD766F"/>
    <w:rsid w:val="00FD78CD"/>
    <w:rsid w:val="00FD7C84"/>
    <w:rsid w:val="00FD7CFA"/>
    <w:rsid w:val="00FD7FA9"/>
    <w:rsid w:val="00FD7FB3"/>
    <w:rsid w:val="00FE03B7"/>
    <w:rsid w:val="00FE0925"/>
    <w:rsid w:val="00FE0C6C"/>
    <w:rsid w:val="00FE0D6B"/>
    <w:rsid w:val="00FE0EC2"/>
    <w:rsid w:val="00FE1476"/>
    <w:rsid w:val="00FE14AE"/>
    <w:rsid w:val="00FE154B"/>
    <w:rsid w:val="00FE1F71"/>
    <w:rsid w:val="00FE1FA8"/>
    <w:rsid w:val="00FE2257"/>
    <w:rsid w:val="00FE256E"/>
    <w:rsid w:val="00FE2729"/>
    <w:rsid w:val="00FE2734"/>
    <w:rsid w:val="00FE2848"/>
    <w:rsid w:val="00FE28CD"/>
    <w:rsid w:val="00FE29A8"/>
    <w:rsid w:val="00FE29B1"/>
    <w:rsid w:val="00FE2B58"/>
    <w:rsid w:val="00FE2CCD"/>
    <w:rsid w:val="00FE3113"/>
    <w:rsid w:val="00FE3238"/>
    <w:rsid w:val="00FE324F"/>
    <w:rsid w:val="00FE35F5"/>
    <w:rsid w:val="00FE3A3E"/>
    <w:rsid w:val="00FE4374"/>
    <w:rsid w:val="00FE43CC"/>
    <w:rsid w:val="00FE4400"/>
    <w:rsid w:val="00FE4504"/>
    <w:rsid w:val="00FE458A"/>
    <w:rsid w:val="00FE45EF"/>
    <w:rsid w:val="00FE4A16"/>
    <w:rsid w:val="00FE4A88"/>
    <w:rsid w:val="00FE4EBB"/>
    <w:rsid w:val="00FE5105"/>
    <w:rsid w:val="00FE5643"/>
    <w:rsid w:val="00FE5D14"/>
    <w:rsid w:val="00FE5D51"/>
    <w:rsid w:val="00FE5EE4"/>
    <w:rsid w:val="00FE5FB0"/>
    <w:rsid w:val="00FE6120"/>
    <w:rsid w:val="00FE6259"/>
    <w:rsid w:val="00FE63F3"/>
    <w:rsid w:val="00FE65D8"/>
    <w:rsid w:val="00FE6823"/>
    <w:rsid w:val="00FE689C"/>
    <w:rsid w:val="00FE6909"/>
    <w:rsid w:val="00FE6B1E"/>
    <w:rsid w:val="00FE6FEF"/>
    <w:rsid w:val="00FE718C"/>
    <w:rsid w:val="00FE721F"/>
    <w:rsid w:val="00FE7248"/>
    <w:rsid w:val="00FE72BF"/>
    <w:rsid w:val="00FE73F8"/>
    <w:rsid w:val="00FE7799"/>
    <w:rsid w:val="00FE781A"/>
    <w:rsid w:val="00FE781F"/>
    <w:rsid w:val="00FE792B"/>
    <w:rsid w:val="00FE796D"/>
    <w:rsid w:val="00FE7E36"/>
    <w:rsid w:val="00FF0207"/>
    <w:rsid w:val="00FF0248"/>
    <w:rsid w:val="00FF0427"/>
    <w:rsid w:val="00FF06A5"/>
    <w:rsid w:val="00FF0A8D"/>
    <w:rsid w:val="00FF0D77"/>
    <w:rsid w:val="00FF11A8"/>
    <w:rsid w:val="00FF12EF"/>
    <w:rsid w:val="00FF13A5"/>
    <w:rsid w:val="00FF1456"/>
    <w:rsid w:val="00FF1595"/>
    <w:rsid w:val="00FF16E1"/>
    <w:rsid w:val="00FF1AD9"/>
    <w:rsid w:val="00FF1B27"/>
    <w:rsid w:val="00FF1B9E"/>
    <w:rsid w:val="00FF1BD8"/>
    <w:rsid w:val="00FF1CE5"/>
    <w:rsid w:val="00FF21EE"/>
    <w:rsid w:val="00FF22C6"/>
    <w:rsid w:val="00FF22E1"/>
    <w:rsid w:val="00FF2472"/>
    <w:rsid w:val="00FF24E3"/>
    <w:rsid w:val="00FF2799"/>
    <w:rsid w:val="00FF2CBC"/>
    <w:rsid w:val="00FF2DAD"/>
    <w:rsid w:val="00FF2E4F"/>
    <w:rsid w:val="00FF2ECA"/>
    <w:rsid w:val="00FF3007"/>
    <w:rsid w:val="00FF300B"/>
    <w:rsid w:val="00FF332D"/>
    <w:rsid w:val="00FF33E8"/>
    <w:rsid w:val="00FF34C9"/>
    <w:rsid w:val="00FF34EB"/>
    <w:rsid w:val="00FF3529"/>
    <w:rsid w:val="00FF389F"/>
    <w:rsid w:val="00FF3985"/>
    <w:rsid w:val="00FF3ADE"/>
    <w:rsid w:val="00FF3B44"/>
    <w:rsid w:val="00FF3B49"/>
    <w:rsid w:val="00FF40F5"/>
    <w:rsid w:val="00FF4212"/>
    <w:rsid w:val="00FF425B"/>
    <w:rsid w:val="00FF43C3"/>
    <w:rsid w:val="00FF43C4"/>
    <w:rsid w:val="00FF4770"/>
    <w:rsid w:val="00FF4880"/>
    <w:rsid w:val="00FF499F"/>
    <w:rsid w:val="00FF4B09"/>
    <w:rsid w:val="00FF4C3F"/>
    <w:rsid w:val="00FF4D1D"/>
    <w:rsid w:val="00FF4EFF"/>
    <w:rsid w:val="00FF5030"/>
    <w:rsid w:val="00FF53B7"/>
    <w:rsid w:val="00FF53FA"/>
    <w:rsid w:val="00FF5515"/>
    <w:rsid w:val="00FF55AB"/>
    <w:rsid w:val="00FF562C"/>
    <w:rsid w:val="00FF5754"/>
    <w:rsid w:val="00FF5C29"/>
    <w:rsid w:val="00FF5EF4"/>
    <w:rsid w:val="00FF5F82"/>
    <w:rsid w:val="00FF6219"/>
    <w:rsid w:val="00FF624D"/>
    <w:rsid w:val="00FF6330"/>
    <w:rsid w:val="00FF6492"/>
    <w:rsid w:val="00FF69D2"/>
    <w:rsid w:val="00FF6B63"/>
    <w:rsid w:val="00FF6E09"/>
    <w:rsid w:val="00FF6F66"/>
    <w:rsid w:val="00FF70FD"/>
    <w:rsid w:val="00FF735F"/>
    <w:rsid w:val="00FF76A1"/>
    <w:rsid w:val="00FF76AA"/>
    <w:rsid w:val="00FF7A7F"/>
    <w:rsid w:val="00FF7B22"/>
    <w:rsid w:val="00FF7BB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o:shapedefaults>
    <o:shapelayout v:ext="edit">
      <o:idmap v:ext="edit" data="1"/>
    </o:shapelayout>
  </w:shapeDefaults>
  <w:decimalSymbol w:val="."/>
  <w:listSeparator w:val=","/>
  <w14:docId w14:val="77E96F76"/>
  <w15:docId w15:val="{BE1F0894-B4DC-4A95-90A1-4C2B90D83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F6EC5"/>
    <w:pPr>
      <w:widowControl w:val="0"/>
    </w:pPr>
    <w:rPr>
      <w:kern w:val="2"/>
      <w:sz w:val="24"/>
    </w:rPr>
  </w:style>
  <w:style w:type="paragraph" w:styleId="10">
    <w:name w:val="heading 1"/>
    <w:basedOn w:val="a"/>
    <w:next w:val="a"/>
    <w:link w:val="11"/>
    <w:qFormat/>
    <w:rsid w:val="00841FDA"/>
    <w:pPr>
      <w:keepNext/>
      <w:spacing w:before="180" w:after="180" w:line="720" w:lineRule="auto"/>
      <w:outlineLvl w:val="0"/>
    </w:pPr>
    <w:rPr>
      <w:rFonts w:ascii="Cambria" w:hAnsi="Cambria"/>
      <w:b/>
      <w:bCs/>
      <w:kern w:val="52"/>
      <w:sz w:val="52"/>
      <w:szCs w:val="52"/>
    </w:rPr>
  </w:style>
  <w:style w:type="paragraph" w:styleId="2">
    <w:name w:val="heading 2"/>
    <w:aliases w:val="標題１．"/>
    <w:basedOn w:val="a"/>
    <w:link w:val="20"/>
    <w:qFormat/>
    <w:rsid w:val="00C4097F"/>
    <w:pPr>
      <w:kinsoku w:val="0"/>
      <w:ind w:left="1207" w:hanging="697"/>
      <w:jc w:val="both"/>
      <w:outlineLvl w:val="1"/>
    </w:pPr>
    <w:rPr>
      <w:rFonts w:ascii="標楷體" w:eastAsia="標楷體" w:hAnsi="Arial"/>
      <w:bCs/>
      <w:kern w:val="0"/>
      <w:sz w:val="32"/>
      <w:szCs w:val="48"/>
    </w:rPr>
  </w:style>
  <w:style w:type="paragraph" w:styleId="3">
    <w:name w:val="heading 3"/>
    <w:basedOn w:val="a"/>
    <w:link w:val="30"/>
    <w:uiPriority w:val="9"/>
    <w:qFormat/>
    <w:rsid w:val="00C4097F"/>
    <w:pPr>
      <w:kinsoku w:val="0"/>
      <w:ind w:left="1887" w:hanging="697"/>
      <w:jc w:val="both"/>
      <w:outlineLvl w:val="2"/>
    </w:pPr>
    <w:rPr>
      <w:rFonts w:ascii="標楷體" w:eastAsia="標楷體" w:hAnsi="Arial"/>
      <w:bCs/>
      <w:kern w:val="0"/>
      <w:sz w:val="32"/>
      <w:szCs w:val="36"/>
    </w:rPr>
  </w:style>
  <w:style w:type="paragraph" w:styleId="4">
    <w:name w:val="heading 4"/>
    <w:aliases w:val="1.標題 4"/>
    <w:link w:val="40"/>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paragraph" w:styleId="5">
    <w:name w:val="heading 5"/>
    <w:basedOn w:val="a"/>
    <w:link w:val="50"/>
    <w:qFormat/>
    <w:rsid w:val="00C4097F"/>
    <w:pPr>
      <w:kinsoku w:val="0"/>
      <w:ind w:left="2095" w:hanging="700"/>
      <w:jc w:val="both"/>
      <w:outlineLvl w:val="4"/>
    </w:pPr>
    <w:rPr>
      <w:rFonts w:ascii="標楷體" w:eastAsia="標楷體" w:hAnsi="Arial"/>
      <w:bCs/>
      <w:sz w:val="32"/>
      <w:szCs w:val="36"/>
    </w:rPr>
  </w:style>
  <w:style w:type="paragraph" w:styleId="6">
    <w:name w:val="heading 6"/>
    <w:basedOn w:val="a"/>
    <w:link w:val="60"/>
    <w:qFormat/>
    <w:rsid w:val="00C4097F"/>
    <w:pPr>
      <w:tabs>
        <w:tab w:val="left" w:pos="2094"/>
      </w:tabs>
      <w:kinsoku w:val="0"/>
      <w:ind w:left="2444" w:hanging="715"/>
      <w:jc w:val="both"/>
      <w:outlineLvl w:val="5"/>
    </w:pPr>
    <w:rPr>
      <w:rFonts w:ascii="標楷體" w:eastAsia="標楷體" w:hAnsi="Arial"/>
      <w:sz w:val="32"/>
      <w:szCs w:val="36"/>
    </w:rPr>
  </w:style>
  <w:style w:type="paragraph" w:styleId="7">
    <w:name w:val="heading 7"/>
    <w:basedOn w:val="a"/>
    <w:link w:val="70"/>
    <w:qFormat/>
    <w:rsid w:val="00C4097F"/>
    <w:pPr>
      <w:kinsoku w:val="0"/>
      <w:ind w:left="2444" w:hanging="352"/>
      <w:jc w:val="both"/>
      <w:outlineLvl w:val="6"/>
    </w:pPr>
    <w:rPr>
      <w:rFonts w:ascii="標楷體" w:eastAsia="標楷體" w:hAnsi="Arial"/>
      <w:bCs/>
      <w:sz w:val="32"/>
      <w:szCs w:val="36"/>
    </w:rPr>
  </w:style>
  <w:style w:type="paragraph" w:styleId="8">
    <w:name w:val="heading 8"/>
    <w:basedOn w:val="a"/>
    <w:link w:val="80"/>
    <w:qFormat/>
    <w:rsid w:val="00C4097F"/>
    <w:pPr>
      <w:kinsoku w:val="0"/>
      <w:ind w:left="2790" w:hanging="349"/>
      <w:jc w:val="both"/>
      <w:outlineLvl w:val="7"/>
    </w:pPr>
    <w:rPr>
      <w:rFonts w:ascii="標楷體" w:eastAsia="標楷體" w:hAnsi="Arial"/>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pPr>
      <w:spacing w:line="360" w:lineRule="exact"/>
      <w:jc w:val="both"/>
    </w:pPr>
    <w:rPr>
      <w:rFonts w:ascii="標楷體" w:eastAsia="標楷體"/>
    </w:rPr>
  </w:style>
  <w:style w:type="paragraph" w:styleId="a7">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rPr>
      <w:rFonts w:ascii="細明體" w:eastAsia="細明體" w:hAnsi="Courier New"/>
    </w:rPr>
  </w:style>
  <w:style w:type="paragraph" w:styleId="21">
    <w:name w:val="Body Text 2"/>
    <w:basedOn w:val="a"/>
    <w:link w:val="22"/>
    <w:pPr>
      <w:ind w:rightChars="-439" w:right="-1054"/>
    </w:pPr>
    <w:rPr>
      <w:rFonts w:ascii="標楷體" w:eastAsia="標楷體"/>
    </w:rPr>
  </w:style>
  <w:style w:type="paragraph" w:styleId="31">
    <w:name w:val="Body Text 3"/>
    <w:basedOn w:val="a"/>
    <w:link w:val="32"/>
    <w:pPr>
      <w:spacing w:line="500" w:lineRule="exact"/>
      <w:jc w:val="both"/>
    </w:pPr>
    <w:rPr>
      <w:rFonts w:ascii="標楷體" w:eastAsia="標楷體"/>
      <w:sz w:val="28"/>
    </w:rPr>
  </w:style>
  <w:style w:type="paragraph" w:styleId="a8">
    <w:name w:val="footer"/>
    <w:basedOn w:val="a"/>
    <w:link w:val="a9"/>
    <w:uiPriority w:val="99"/>
    <w:pPr>
      <w:tabs>
        <w:tab w:val="center" w:pos="4153"/>
        <w:tab w:val="right" w:pos="8306"/>
      </w:tabs>
      <w:snapToGrid w:val="0"/>
    </w:pPr>
    <w:rPr>
      <w:sz w:val="20"/>
    </w:rPr>
  </w:style>
  <w:style w:type="character" w:styleId="aa">
    <w:name w:val="page number"/>
    <w:basedOn w:val="a0"/>
  </w:style>
  <w:style w:type="paragraph" w:styleId="ab">
    <w:name w:val="Body Text Indent"/>
    <w:basedOn w:val="a"/>
    <w:link w:val="ac"/>
    <w:pPr>
      <w:spacing w:beforeLines="25" w:before="90" w:line="500" w:lineRule="exact"/>
      <w:ind w:firstLineChars="200" w:firstLine="560"/>
      <w:jc w:val="both"/>
    </w:pPr>
    <w:rPr>
      <w:rFonts w:ascii="標楷體" w:eastAsia="標楷體"/>
      <w:sz w:val="28"/>
    </w:rPr>
  </w:style>
  <w:style w:type="paragraph" w:styleId="ad">
    <w:name w:val="header"/>
    <w:aliases w:val="頁首 字元 字元"/>
    <w:basedOn w:val="a"/>
    <w:link w:val="ae"/>
    <w:uiPriority w:val="99"/>
    <w:pPr>
      <w:tabs>
        <w:tab w:val="center" w:pos="4153"/>
        <w:tab w:val="right" w:pos="8306"/>
      </w:tabs>
      <w:snapToGrid w:val="0"/>
    </w:pPr>
    <w:rPr>
      <w:sz w:val="20"/>
    </w:rPr>
  </w:style>
  <w:style w:type="paragraph" w:customStyle="1" w:styleId="font5">
    <w:name w:val="font5"/>
    <w:basedOn w:val="a"/>
    <w:pPr>
      <w:widowControl/>
      <w:spacing w:before="100" w:beforeAutospacing="1" w:after="100" w:afterAutospacing="1"/>
    </w:pPr>
    <w:rPr>
      <w:rFonts w:ascii="新細明體" w:hint="eastAsia"/>
      <w:kern w:val="0"/>
      <w:sz w:val="18"/>
      <w:szCs w:val="18"/>
    </w:rPr>
  </w:style>
  <w:style w:type="paragraph" w:customStyle="1" w:styleId="font6">
    <w:name w:val="font6"/>
    <w:basedOn w:val="a"/>
    <w:pPr>
      <w:widowControl/>
      <w:spacing w:before="100" w:beforeAutospacing="1" w:after="100" w:afterAutospacing="1"/>
    </w:pPr>
    <w:rPr>
      <w:kern w:val="0"/>
    </w:rPr>
  </w:style>
  <w:style w:type="paragraph" w:customStyle="1" w:styleId="font7">
    <w:name w:val="font7"/>
    <w:basedOn w:val="a"/>
    <w:pPr>
      <w:widowControl/>
      <w:spacing w:before="100" w:beforeAutospacing="1" w:after="100" w:afterAutospacing="1"/>
    </w:pPr>
    <w:rPr>
      <w:rFonts w:ascii="標楷體" w:eastAsia="標楷體" w:hint="eastAsia"/>
      <w:kern w:val="0"/>
    </w:rPr>
  </w:style>
  <w:style w:type="paragraph" w:customStyle="1" w:styleId="xl24">
    <w:name w:val="xl24"/>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5">
    <w:name w:val="xl25"/>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6">
    <w:name w:val="xl26"/>
    <w:basedOn w:val="a"/>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8">
    <w:name w:val="xl28"/>
    <w:basedOn w:val="a"/>
    <w:pPr>
      <w:widowControl/>
      <w:pBdr>
        <w:left w:val="single" w:sz="4"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9">
    <w:name w:val="xl29"/>
    <w:basedOn w:val="a"/>
    <w:pPr>
      <w:widowControl/>
      <w:pBdr>
        <w:left w:val="single" w:sz="4" w:space="0" w:color="auto"/>
        <w:bottom w:val="single" w:sz="8"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30">
    <w:name w:val="xl30"/>
    <w:basedOn w:val="a"/>
    <w:pPr>
      <w:widowControl/>
      <w:pBdr>
        <w:left w:val="single" w:sz="8" w:space="0" w:color="auto"/>
        <w:right w:val="single" w:sz="4" w:space="0" w:color="auto"/>
      </w:pBdr>
      <w:spacing w:before="100" w:beforeAutospacing="1" w:after="100" w:afterAutospacing="1"/>
      <w:jc w:val="center"/>
    </w:pPr>
    <w:rPr>
      <w:rFonts w:ascii="標楷體" w:eastAsia="標楷體" w:hint="eastAsia"/>
      <w:b/>
      <w:bCs/>
      <w:kern w:val="0"/>
    </w:rPr>
  </w:style>
  <w:style w:type="paragraph" w:customStyle="1" w:styleId="xl31">
    <w:name w:val="xl31"/>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2">
    <w:name w:val="xl32"/>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3">
    <w:name w:val="xl33"/>
    <w:basedOn w:val="a"/>
    <w:pPr>
      <w:widowControl/>
      <w:pBdr>
        <w:left w:val="single" w:sz="4" w:space="0" w:color="auto"/>
        <w:right w:val="single" w:sz="8" w:space="0" w:color="auto"/>
      </w:pBdr>
      <w:spacing w:before="100" w:beforeAutospacing="1" w:after="100" w:afterAutospacing="1"/>
    </w:pPr>
    <w:rPr>
      <w:rFonts w:ascii="標楷體" w:eastAsia="標楷體" w:hint="eastAsia"/>
      <w:kern w:val="0"/>
    </w:rPr>
  </w:style>
  <w:style w:type="paragraph" w:customStyle="1" w:styleId="xl34">
    <w:name w:val="xl34"/>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5">
    <w:name w:val="xl35"/>
    <w:basedOn w:val="a"/>
    <w:pPr>
      <w:widowControl/>
      <w:pBdr>
        <w:left w:val="single" w:sz="8" w:space="0" w:color="auto"/>
        <w:right w:val="single" w:sz="4" w:space="0" w:color="auto"/>
      </w:pBdr>
      <w:spacing w:before="100" w:beforeAutospacing="1" w:after="100" w:afterAutospacing="1"/>
    </w:pPr>
    <w:rPr>
      <w:kern w:val="0"/>
    </w:rPr>
  </w:style>
  <w:style w:type="paragraph" w:customStyle="1" w:styleId="xl36">
    <w:name w:val="xl36"/>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7">
    <w:name w:val="xl37"/>
    <w:basedOn w:val="a"/>
    <w:pPr>
      <w:widowControl/>
      <w:pBdr>
        <w:left w:val="single" w:sz="8" w:space="0" w:color="auto"/>
      </w:pBdr>
      <w:spacing w:before="100" w:beforeAutospacing="1" w:after="100" w:afterAutospacing="1"/>
      <w:jc w:val="center"/>
    </w:pPr>
    <w:rPr>
      <w:rFonts w:ascii="標楷體" w:eastAsia="標楷體" w:hint="eastAsia"/>
      <w:b/>
      <w:bCs/>
      <w:kern w:val="0"/>
    </w:rPr>
  </w:style>
  <w:style w:type="paragraph" w:customStyle="1" w:styleId="xl38">
    <w:name w:val="xl38"/>
    <w:basedOn w:val="a"/>
    <w:pPr>
      <w:widowControl/>
      <w:pBdr>
        <w:left w:val="single" w:sz="8" w:space="0" w:color="auto"/>
      </w:pBdr>
      <w:spacing w:before="100" w:beforeAutospacing="1" w:after="100" w:afterAutospacing="1"/>
    </w:pPr>
    <w:rPr>
      <w:rFonts w:ascii="標楷體" w:eastAsia="標楷體" w:hint="eastAsia"/>
      <w:kern w:val="0"/>
    </w:rPr>
  </w:style>
  <w:style w:type="paragraph" w:customStyle="1" w:styleId="xl39">
    <w:name w:val="xl39"/>
    <w:basedOn w:val="a"/>
    <w:pPr>
      <w:widowControl/>
      <w:pBdr>
        <w:left w:val="single" w:sz="8" w:space="0" w:color="auto"/>
      </w:pBdr>
      <w:spacing w:before="100" w:beforeAutospacing="1" w:after="100" w:afterAutospacing="1"/>
    </w:pPr>
    <w:rPr>
      <w:kern w:val="0"/>
    </w:rPr>
  </w:style>
  <w:style w:type="paragraph" w:customStyle="1" w:styleId="xl40">
    <w:name w:val="xl40"/>
    <w:basedOn w:val="a"/>
    <w:pPr>
      <w:widowControl/>
      <w:pBdr>
        <w:left w:val="single" w:sz="8" w:space="0" w:color="auto"/>
      </w:pBdr>
      <w:spacing w:before="100" w:beforeAutospacing="1" w:after="100" w:afterAutospacing="1"/>
    </w:pPr>
    <w:rPr>
      <w:rFonts w:ascii="標楷體" w:eastAsia="標楷體" w:hint="eastAsia"/>
      <w:b/>
      <w:bCs/>
      <w:kern w:val="0"/>
    </w:rPr>
  </w:style>
  <w:style w:type="paragraph" w:customStyle="1" w:styleId="xl41">
    <w:name w:val="xl41"/>
    <w:basedOn w:val="a"/>
    <w:pPr>
      <w:widowControl/>
      <w:pBdr>
        <w:left w:val="single" w:sz="8" w:space="0" w:color="auto"/>
        <w:bottom w:val="single" w:sz="8" w:space="0" w:color="auto"/>
      </w:pBdr>
      <w:spacing w:before="100" w:beforeAutospacing="1" w:after="100" w:afterAutospacing="1"/>
      <w:jc w:val="center"/>
    </w:pPr>
    <w:rPr>
      <w:rFonts w:ascii="標楷體" w:eastAsia="標楷體" w:hint="eastAsia"/>
      <w:b/>
      <w:bCs/>
      <w:kern w:val="0"/>
    </w:rPr>
  </w:style>
  <w:style w:type="paragraph" w:customStyle="1" w:styleId="xl42">
    <w:name w:val="xl42"/>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3">
    <w:name w:val="xl43"/>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4">
    <w:name w:val="xl44"/>
    <w:basedOn w:val="a"/>
    <w:pPr>
      <w:widowControl/>
      <w:pBdr>
        <w:left w:val="single" w:sz="4" w:space="0" w:color="auto"/>
        <w:bottom w:val="single" w:sz="8" w:space="0" w:color="auto"/>
        <w:right w:val="single" w:sz="8" w:space="0" w:color="auto"/>
      </w:pBdr>
      <w:spacing w:before="100" w:beforeAutospacing="1" w:after="100" w:afterAutospacing="1"/>
    </w:pPr>
    <w:rPr>
      <w:rFonts w:ascii="標楷體" w:eastAsia="標楷體" w:hint="eastAsia"/>
      <w:kern w:val="0"/>
    </w:rPr>
  </w:style>
  <w:style w:type="paragraph" w:customStyle="1" w:styleId="af">
    <w:name w:val="表說"/>
    <w:basedOn w:val="a"/>
    <w:pPr>
      <w:spacing w:line="312" w:lineRule="auto"/>
      <w:jc w:val="both"/>
    </w:pPr>
    <w:rPr>
      <w:rFonts w:ascii="Courier" w:eastAsia="華康楷書體W5" w:hAnsi="Courier"/>
      <w:spacing w:val="4"/>
      <w:sz w:val="21"/>
    </w:rPr>
  </w:style>
  <w:style w:type="paragraph" w:customStyle="1" w:styleId="af0">
    <w:name w:val="單元"/>
    <w:basedOn w:val="a"/>
    <w:pPr>
      <w:snapToGrid w:val="0"/>
      <w:ind w:right="100" w:firstLine="200"/>
      <w:jc w:val="right"/>
    </w:pPr>
    <w:rPr>
      <w:rFonts w:ascii="Arial Narrow" w:eastAsia="華康楷書體W5" w:hAnsi="Arial Narrow"/>
      <w:sz w:val="20"/>
    </w:rPr>
  </w:style>
  <w:style w:type="paragraph" w:customStyle="1" w:styleId="af1">
    <w:name w:val="表頭"/>
    <w:basedOn w:val="a"/>
    <w:pPr>
      <w:ind w:left="30" w:right="30"/>
      <w:jc w:val="distribute"/>
    </w:pPr>
    <w:rPr>
      <w:rFonts w:ascii="華康楷書體W5" w:eastAsia="華康楷書體W5"/>
      <w:sz w:val="20"/>
    </w:rPr>
  </w:style>
  <w:style w:type="paragraph" w:customStyle="1" w:styleId="1-3">
    <w:name w:val="欄1-3"/>
    <w:basedOn w:val="a"/>
    <w:pPr>
      <w:spacing w:before="20" w:after="20"/>
      <w:ind w:left="150"/>
      <w:jc w:val="right"/>
    </w:pPr>
    <w:rPr>
      <w:rFonts w:eastAsia="華康楷書體W5"/>
      <w:spacing w:val="10"/>
      <w:sz w:val="19"/>
    </w:rPr>
  </w:style>
  <w:style w:type="paragraph" w:customStyle="1" w:styleId="1-2">
    <w:name w:val="欄1-2"/>
    <w:basedOn w:val="1-3"/>
    <w:pPr>
      <w:ind w:left="75"/>
      <w:jc w:val="distribute"/>
    </w:pPr>
    <w:rPr>
      <w:rFonts w:eastAsia="華康儷中黑"/>
      <w:spacing w:val="6"/>
    </w:rPr>
  </w:style>
  <w:style w:type="paragraph" w:customStyle="1" w:styleId="1-1">
    <w:name w:val="欄1-1"/>
    <w:basedOn w:val="1-2"/>
    <w:pPr>
      <w:ind w:left="0"/>
    </w:pPr>
    <w:rPr>
      <w:sz w:val="21"/>
    </w:rPr>
  </w:style>
  <w:style w:type="paragraph" w:customStyle="1" w:styleId="1-">
    <w:name w:val="欄1-數字"/>
    <w:basedOn w:val="a"/>
    <w:pPr>
      <w:spacing w:before="72" w:after="72"/>
      <w:ind w:left="24" w:right="24"/>
      <w:jc w:val="right"/>
    </w:pPr>
    <w:rPr>
      <w:rFonts w:eastAsia="華康儷中黑"/>
      <w:b/>
      <w:spacing w:val="-6"/>
      <w:w w:val="85"/>
      <w:sz w:val="20"/>
    </w:rPr>
  </w:style>
  <w:style w:type="paragraph" w:customStyle="1" w:styleId="2-">
    <w:name w:val="欄2-數字"/>
    <w:basedOn w:val="a"/>
    <w:pPr>
      <w:spacing w:before="72" w:after="72"/>
      <w:ind w:left="24" w:right="24"/>
      <w:jc w:val="right"/>
    </w:pPr>
    <w:rPr>
      <w:rFonts w:eastAsia="華康楷書體W5"/>
      <w:b/>
      <w:spacing w:val="-6"/>
      <w:w w:val="85"/>
      <w:sz w:val="20"/>
    </w:rPr>
  </w:style>
  <w:style w:type="paragraph" w:customStyle="1" w:styleId="af2">
    <w:name w:val="跨頁標頭"/>
    <w:basedOn w:val="a"/>
    <w:pPr>
      <w:spacing w:after="180"/>
      <w:jc w:val="right"/>
    </w:pPr>
    <w:rPr>
      <w:rFonts w:ascii="華康楷書體W5" w:eastAsia="華康楷書體W5"/>
      <w:b/>
      <w:spacing w:val="60"/>
      <w:sz w:val="30"/>
      <w:u w:val="single"/>
    </w:rPr>
  </w:style>
  <w:style w:type="paragraph" w:customStyle="1" w:styleId="af3">
    <w:name w:val="甲乙丙"/>
    <w:basedOn w:val="a"/>
    <w:pPr>
      <w:spacing w:after="360" w:line="360" w:lineRule="auto"/>
      <w:jc w:val="center"/>
    </w:pPr>
    <w:rPr>
      <w:rFonts w:ascii="標楷體" w:eastAsia="標楷體"/>
      <w:b/>
      <w:spacing w:val="-10"/>
      <w:sz w:val="40"/>
    </w:rPr>
  </w:style>
  <w:style w:type="paragraph" w:styleId="af4">
    <w:name w:val="Date"/>
    <w:basedOn w:val="a"/>
    <w:next w:val="a"/>
    <w:link w:val="af5"/>
    <w:pPr>
      <w:jc w:val="right"/>
    </w:pPr>
    <w:rPr>
      <w:rFonts w:ascii="標楷體" w:eastAsia="標楷體"/>
      <w:sz w:val="32"/>
    </w:rPr>
  </w:style>
  <w:style w:type="paragraph" w:customStyle="1" w:styleId="af6">
    <w:name w:val="註"/>
    <w:basedOn w:val="a"/>
    <w:qFormat/>
    <w:pPr>
      <w:spacing w:beforeLines="30" w:before="108" w:afterLines="30" w:after="108" w:line="460" w:lineRule="exact"/>
      <w:jc w:val="both"/>
    </w:pPr>
    <w:rPr>
      <w:rFonts w:eastAsia="華康楷書體W5"/>
      <w:spacing w:val="4"/>
      <w:sz w:val="20"/>
    </w:rPr>
  </w:style>
  <w:style w:type="paragraph" w:customStyle="1" w:styleId="af7">
    <w:name w:val="標題一、"/>
    <w:basedOn w:val="a"/>
    <w:pPr>
      <w:spacing w:beforeLines="20" w:afterLines="20" w:line="400" w:lineRule="exact"/>
      <w:ind w:leftChars="100" w:left="310" w:hangingChars="210" w:hanging="210"/>
      <w:jc w:val="both"/>
    </w:pPr>
    <w:rPr>
      <w:rFonts w:eastAsia="標楷體"/>
      <w:bCs/>
      <w:sz w:val="32"/>
      <w:szCs w:val="32"/>
    </w:rPr>
  </w:style>
  <w:style w:type="paragraph" w:customStyle="1" w:styleId="af8">
    <w:name w:val="標題甲、"/>
    <w:basedOn w:val="a"/>
    <w:pPr>
      <w:spacing w:beforeLines="50"/>
      <w:jc w:val="center"/>
    </w:pPr>
    <w:rPr>
      <w:rFonts w:eastAsia="標楷體" w:cs="Century"/>
      <w:b/>
      <w:bCs/>
      <w:sz w:val="40"/>
    </w:rPr>
  </w:style>
  <w:style w:type="paragraph" w:customStyle="1" w:styleId="af9">
    <w:name w:val="標題（一）"/>
    <w:basedOn w:val="af8"/>
    <w:pPr>
      <w:spacing w:beforeLines="20" w:before="20" w:afterLines="20" w:after="20" w:line="400" w:lineRule="exact"/>
      <w:ind w:firstLineChars="200" w:firstLine="200"/>
      <w:jc w:val="both"/>
    </w:pPr>
    <w:rPr>
      <w:rFonts w:cs="新細明體"/>
      <w:sz w:val="28"/>
      <w:szCs w:val="28"/>
    </w:rPr>
  </w:style>
  <w:style w:type="paragraph" w:customStyle="1" w:styleId="1-0">
    <w:name w:val="表格欄1-數字主管"/>
    <w:basedOn w:val="a"/>
    <w:pPr>
      <w:jc w:val="right"/>
    </w:pPr>
    <w:rPr>
      <w:rFonts w:ascii="細明體" w:eastAsia="細明體" w:hAnsi="Arial"/>
      <w:b/>
      <w:bCs/>
      <w:w w:val="90"/>
      <w:sz w:val="20"/>
    </w:rPr>
  </w:style>
  <w:style w:type="paragraph" w:customStyle="1" w:styleId="afa">
    <w:name w:val="乙篇主文 字元"/>
    <w:basedOn w:val="a"/>
    <w:pPr>
      <w:spacing w:line="400" w:lineRule="exact"/>
      <w:ind w:firstLineChars="200" w:firstLine="200"/>
      <w:jc w:val="both"/>
    </w:pPr>
    <w:rPr>
      <w:rFonts w:ascii="標楷體" w:eastAsia="標楷體"/>
      <w:szCs w:val="24"/>
    </w:rPr>
  </w:style>
  <w:style w:type="paragraph" w:customStyle="1" w:styleId="23">
    <w:name w:val="表格欄2數字"/>
    <w:basedOn w:val="1-0"/>
    <w:rPr>
      <w:sz w:val="18"/>
    </w:rPr>
  </w:style>
  <w:style w:type="paragraph" w:customStyle="1" w:styleId="33">
    <w:name w:val="表格欄3數字"/>
    <w:basedOn w:val="23"/>
    <w:rPr>
      <w:b w:val="0"/>
    </w:rPr>
  </w:style>
  <w:style w:type="paragraph" w:customStyle="1" w:styleId="1-10">
    <w:name w:val="表格欄1-1主管"/>
    <w:basedOn w:val="a"/>
    <w:pPr>
      <w:jc w:val="distribute"/>
    </w:pPr>
    <w:rPr>
      <w:rFonts w:eastAsia="標楷體" w:cs="新細明體"/>
      <w:b/>
      <w:sz w:val="20"/>
    </w:rPr>
  </w:style>
  <w:style w:type="paragraph" w:customStyle="1" w:styleId="1-20">
    <w:name w:val="表格欄1-2"/>
    <w:basedOn w:val="a"/>
    <w:pPr>
      <w:ind w:firstLineChars="100" w:firstLine="100"/>
      <w:jc w:val="distribute"/>
    </w:pPr>
    <w:rPr>
      <w:rFonts w:eastAsia="標楷體" w:cs="新細明體"/>
      <w:b/>
      <w:sz w:val="20"/>
      <w:szCs w:val="18"/>
    </w:rPr>
  </w:style>
  <w:style w:type="paragraph" w:customStyle="1" w:styleId="1-31">
    <w:name w:val="表格欄1-3退1"/>
    <w:basedOn w:val="a"/>
    <w:pPr>
      <w:ind w:firstLineChars="100" w:firstLine="100"/>
      <w:jc w:val="distribute"/>
    </w:pPr>
    <w:rPr>
      <w:rFonts w:eastAsia="標楷體" w:cs="新細明體"/>
      <w:sz w:val="18"/>
      <w:szCs w:val="18"/>
    </w:rPr>
  </w:style>
  <w:style w:type="paragraph" w:customStyle="1" w:styleId="1-32">
    <w:name w:val="表格欄1-3退2"/>
    <w:basedOn w:val="1-31"/>
    <w:pPr>
      <w:ind w:firstLineChars="200" w:firstLine="200"/>
    </w:pPr>
  </w:style>
  <w:style w:type="paragraph" w:styleId="afb">
    <w:name w:val="Balloon Text"/>
    <w:basedOn w:val="a"/>
    <w:link w:val="afc"/>
    <w:uiPriority w:val="99"/>
    <w:rPr>
      <w:rFonts w:ascii="Arial" w:hAnsi="Arial"/>
      <w:sz w:val="18"/>
      <w:szCs w:val="18"/>
    </w:rPr>
  </w:style>
  <w:style w:type="paragraph" w:customStyle="1" w:styleId="afd">
    <w:name w:val="標題壹、"/>
    <w:basedOn w:val="a"/>
    <w:link w:val="afe"/>
    <w:pPr>
      <w:spacing w:line="360" w:lineRule="auto"/>
      <w:jc w:val="both"/>
    </w:pPr>
    <w:rPr>
      <w:rFonts w:eastAsia="標楷體" w:cs="新細明體"/>
      <w:b/>
      <w:bCs/>
      <w:sz w:val="36"/>
      <w:szCs w:val="36"/>
    </w:rPr>
  </w:style>
  <w:style w:type="paragraph" w:customStyle="1" w:styleId="aff">
    <w:name w:val="乙篇主文 字元 字元"/>
    <w:basedOn w:val="a"/>
    <w:pPr>
      <w:spacing w:line="400" w:lineRule="exact"/>
      <w:ind w:firstLineChars="200" w:firstLine="200"/>
      <w:jc w:val="both"/>
    </w:pPr>
    <w:rPr>
      <w:rFonts w:ascii="標楷體" w:eastAsia="標楷體"/>
      <w:szCs w:val="24"/>
    </w:rPr>
  </w:style>
  <w:style w:type="character" w:customStyle="1" w:styleId="aff0">
    <w:name w:val="乙篇主文 字元 字元 字元"/>
    <w:rPr>
      <w:rFonts w:ascii="標楷體" w:eastAsia="標楷體"/>
      <w:kern w:val="2"/>
      <w:sz w:val="24"/>
      <w:szCs w:val="24"/>
      <w:lang w:val="en-US" w:eastAsia="zh-TW" w:bidi="ar-SA"/>
    </w:rPr>
  </w:style>
  <w:style w:type="character" w:styleId="aff1">
    <w:name w:val="Hyperlink"/>
    <w:uiPriority w:val="99"/>
    <w:rPr>
      <w:color w:val="0000FF"/>
      <w:u w:val="single"/>
    </w:rPr>
  </w:style>
  <w:style w:type="paragraph" w:customStyle="1" w:styleId="aff2">
    <w:name w:val="標題（一） 字元"/>
    <w:basedOn w:val="a"/>
    <w:pPr>
      <w:spacing w:before="20" w:after="20" w:line="400" w:lineRule="exact"/>
      <w:ind w:firstLine="200"/>
      <w:jc w:val="both"/>
    </w:pPr>
    <w:rPr>
      <w:rFonts w:eastAsia="標楷體"/>
      <w:b/>
      <w:sz w:val="28"/>
    </w:rPr>
  </w:style>
  <w:style w:type="paragraph" w:customStyle="1" w:styleId="12">
    <w:name w:val="(1)內文"/>
    <w:basedOn w:val="a"/>
    <w:pPr>
      <w:kinsoku w:val="0"/>
      <w:adjustRightInd w:val="0"/>
      <w:snapToGrid w:val="0"/>
      <w:spacing w:line="240" w:lineRule="atLeast"/>
      <w:ind w:leftChars="551" w:left="1763" w:firstLineChars="204" w:firstLine="645"/>
      <w:jc w:val="both"/>
      <w:textAlignment w:val="baseline"/>
    </w:pPr>
    <w:rPr>
      <w:rFonts w:ascii="標楷體" w:eastAsia="標楷體" w:hAnsi="標楷體"/>
      <w:snapToGrid w:val="0"/>
      <w:spacing w:val="-2"/>
      <w:kern w:val="0"/>
      <w:sz w:val="32"/>
      <w:szCs w:val="32"/>
    </w:rPr>
  </w:style>
  <w:style w:type="paragraph" w:customStyle="1" w:styleId="aff3">
    <w:name w:val="壹"/>
    <w:basedOn w:val="a7"/>
    <w:pPr>
      <w:jc w:val="both"/>
    </w:pPr>
    <w:rPr>
      <w:rFonts w:ascii="標楷體" w:eastAsia="標楷體"/>
      <w:b/>
      <w:sz w:val="30"/>
    </w:rPr>
  </w:style>
  <w:style w:type="paragraph" w:styleId="24">
    <w:name w:val="Body Text Indent 2"/>
    <w:basedOn w:val="a"/>
    <w:link w:val="25"/>
    <w:pPr>
      <w:spacing w:after="120" w:line="480" w:lineRule="auto"/>
      <w:ind w:leftChars="200" w:left="480"/>
    </w:pPr>
  </w:style>
  <w:style w:type="character" w:customStyle="1" w:styleId="aff4">
    <w:name w:val="內文壹 字元"/>
    <w:aliases w:val="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純文字 字元,一般文字 字元 字元 字元 字元 字元 字元 字元 字元 字元 字元 字元 字元 字元 字元 字元"/>
    <w:rPr>
      <w:rFonts w:ascii="細明體" w:eastAsia="細明體" w:hAnsi="Courier New"/>
      <w:kern w:val="2"/>
      <w:sz w:val="24"/>
      <w:lang w:val="en-US" w:eastAsia="zh-TW" w:bidi="ar-SA"/>
    </w:rPr>
  </w:style>
  <w:style w:type="paragraph" w:customStyle="1" w:styleId="13">
    <w:name w:val="標題1."/>
    <w:basedOn w:val="a"/>
    <w:pPr>
      <w:spacing w:line="400" w:lineRule="exact"/>
      <w:ind w:firstLineChars="450" w:firstLine="450"/>
      <w:jc w:val="both"/>
    </w:pPr>
    <w:rPr>
      <w:rFonts w:ascii="標楷體" w:eastAsia="標楷體" w:cs="新細明體"/>
      <w:bCs/>
      <w:szCs w:val="24"/>
    </w:rPr>
  </w:style>
  <w:style w:type="character" w:customStyle="1" w:styleId="110">
    <w:name w:val="標題1. 字元1"/>
    <w:rPr>
      <w:rFonts w:ascii="標楷體" w:eastAsia="標楷體" w:cs="新細明體"/>
      <w:bCs/>
      <w:kern w:val="2"/>
      <w:sz w:val="24"/>
      <w:szCs w:val="24"/>
      <w:lang w:val="en-US" w:eastAsia="zh-TW" w:bidi="ar-SA"/>
    </w:rPr>
  </w:style>
  <w:style w:type="paragraph" w:customStyle="1" w:styleId="aff5">
    <w:name w:val="乙篇主文"/>
    <w:basedOn w:val="a"/>
    <w:pPr>
      <w:spacing w:line="400" w:lineRule="exact"/>
      <w:ind w:firstLineChars="200" w:firstLine="200"/>
      <w:jc w:val="both"/>
    </w:pPr>
    <w:rPr>
      <w:rFonts w:ascii="標楷體" w:eastAsia="標楷體"/>
      <w:szCs w:val="24"/>
    </w:rPr>
  </w:style>
  <w:style w:type="character" w:customStyle="1" w:styleId="14">
    <w:name w:val="標題（一） 字元1"/>
    <w:uiPriority w:val="99"/>
    <w:rPr>
      <w:rFonts w:eastAsia="標楷體" w:cs="新細明體"/>
      <w:b/>
      <w:bCs/>
      <w:kern w:val="2"/>
      <w:sz w:val="28"/>
      <w:szCs w:val="28"/>
      <w:lang w:val="en-US" w:eastAsia="zh-TW" w:bidi="ar-SA"/>
    </w:rPr>
  </w:style>
  <w:style w:type="paragraph" w:customStyle="1" w:styleId="1-310">
    <w:name w:val="表格欄1-3退1 字元"/>
    <w:basedOn w:val="a"/>
    <w:pPr>
      <w:ind w:firstLineChars="100" w:firstLine="100"/>
      <w:jc w:val="distribute"/>
    </w:pPr>
    <w:rPr>
      <w:rFonts w:eastAsia="標楷體"/>
      <w:sz w:val="18"/>
      <w:szCs w:val="18"/>
    </w:rPr>
  </w:style>
  <w:style w:type="paragraph" w:styleId="aff6">
    <w:name w:val="annotation text"/>
    <w:basedOn w:val="a"/>
    <w:link w:val="aff7"/>
    <w:semiHidden/>
    <w:rPr>
      <w:sz w:val="20"/>
    </w:rPr>
  </w:style>
  <w:style w:type="paragraph" w:customStyle="1" w:styleId="aff8">
    <w:name w:val="查核事實"/>
    <w:basedOn w:val="a"/>
    <w:pPr>
      <w:spacing w:line="560" w:lineRule="exact"/>
      <w:ind w:leftChars="100" w:left="240"/>
    </w:pPr>
    <w:rPr>
      <w:rFonts w:ascii="標楷體" w:eastAsia="標楷體" w:hAnsi="標楷體"/>
      <w:b/>
      <w:sz w:val="32"/>
      <w:szCs w:val="32"/>
    </w:rPr>
  </w:style>
  <w:style w:type="paragraph" w:customStyle="1" w:styleId="15">
    <w:name w:val="(1)"/>
    <w:basedOn w:val="a7"/>
    <w:pPr>
      <w:snapToGrid w:val="0"/>
      <w:spacing w:line="600" w:lineRule="exact"/>
      <w:ind w:left="994" w:hanging="350"/>
      <w:jc w:val="both"/>
    </w:pPr>
    <w:rPr>
      <w:rFonts w:ascii="標楷體" w:eastAsia="標楷體" w:hAnsi="標楷體"/>
      <w:spacing w:val="-2"/>
      <w:sz w:val="32"/>
      <w:szCs w:val="32"/>
    </w:rPr>
  </w:style>
  <w:style w:type="character" w:customStyle="1" w:styleId="st1">
    <w:name w:val="st1"/>
  </w:style>
  <w:style w:type="paragraph" w:customStyle="1" w:styleId="aff9">
    <w:name w:val="說明"/>
    <w:basedOn w:val="ab"/>
    <w:pPr>
      <w:spacing w:beforeLines="0" w:before="0" w:line="640" w:lineRule="exact"/>
      <w:ind w:left="952" w:firstLineChars="0" w:hanging="952"/>
      <w:jc w:val="left"/>
    </w:pPr>
    <w:rPr>
      <w:rFonts w:ascii="Arial" w:hAnsi="Arial"/>
      <w:sz w:val="32"/>
      <w:szCs w:val="24"/>
    </w:rPr>
  </w:style>
  <w:style w:type="paragraph" w:customStyle="1" w:styleId="affa">
    <w:name w:val="副本"/>
    <w:basedOn w:val="34"/>
    <w:pPr>
      <w:snapToGrid w:val="0"/>
      <w:spacing w:after="0" w:line="300" w:lineRule="exact"/>
      <w:ind w:left="720" w:hanging="720"/>
    </w:pPr>
    <w:rPr>
      <w:rFonts w:ascii="Arial" w:eastAsia="標楷體" w:hAnsi="Arial"/>
      <w:sz w:val="24"/>
    </w:rPr>
  </w:style>
  <w:style w:type="paragraph" w:styleId="34">
    <w:name w:val="Body Text Indent 3"/>
    <w:basedOn w:val="a"/>
    <w:link w:val="35"/>
    <w:pPr>
      <w:spacing w:after="120"/>
      <w:ind w:left="480"/>
    </w:pPr>
    <w:rPr>
      <w:sz w:val="16"/>
      <w:szCs w:val="24"/>
    </w:rPr>
  </w:style>
  <w:style w:type="paragraph" w:customStyle="1" w:styleId="affb">
    <w:name w:val="大項"/>
    <w:basedOn w:val="a"/>
    <w:pPr>
      <w:kinsoku w:val="0"/>
      <w:adjustRightInd w:val="0"/>
      <w:spacing w:line="440" w:lineRule="atLeast"/>
      <w:ind w:left="1260" w:hanging="644"/>
      <w:textAlignment w:val="baseline"/>
    </w:pPr>
    <w:rPr>
      <w:rFonts w:ascii="標楷體" w:eastAsia="標楷體"/>
      <w:kern w:val="0"/>
      <w:sz w:val="32"/>
    </w:rPr>
  </w:style>
  <w:style w:type="character" w:customStyle="1" w:styleId="16">
    <w:name w:val="標題1. 字元"/>
    <w:rPr>
      <w:rFonts w:ascii="標楷體" w:eastAsia="標楷體" w:cs="新細明體"/>
      <w:bCs/>
      <w:kern w:val="2"/>
      <w:sz w:val="24"/>
      <w:szCs w:val="24"/>
      <w:lang w:val="en-US" w:eastAsia="zh-TW" w:bidi="ar-SA"/>
    </w:rPr>
  </w:style>
  <w:style w:type="character" w:customStyle="1" w:styleId="affc">
    <w:name w:val="頁首 字元 字元 字元 字元"/>
    <w:rPr>
      <w:rFonts w:eastAsia="新細明體"/>
      <w:kern w:val="2"/>
      <w:lang w:val="en-US" w:eastAsia="zh-TW" w:bidi="ar-SA"/>
    </w:rPr>
  </w:style>
  <w:style w:type="paragraph" w:customStyle="1" w:styleId="Default">
    <w:name w:val="Default"/>
    <w:pPr>
      <w:widowControl w:val="0"/>
      <w:autoSpaceDE w:val="0"/>
      <w:autoSpaceDN w:val="0"/>
      <w:adjustRightInd w:val="0"/>
    </w:pPr>
    <w:rPr>
      <w:rFonts w:ascii="標楷體a分..." w:eastAsia="標楷體a分..."/>
      <w:color w:val="000000"/>
      <w:sz w:val="24"/>
      <w:szCs w:val="24"/>
    </w:rPr>
  </w:style>
  <w:style w:type="character" w:styleId="affd">
    <w:name w:val="FollowedHyperlink"/>
    <w:rPr>
      <w:color w:val="800080"/>
      <w:u w:val="single"/>
    </w:rPr>
  </w:style>
  <w:style w:type="paragraph" w:customStyle="1" w:styleId="affe">
    <w:name w:val="(一)文"/>
    <w:basedOn w:val="a"/>
    <w:qFormat/>
    <w:rsid w:val="00B06761"/>
    <w:pPr>
      <w:snapToGrid w:val="0"/>
      <w:spacing w:line="560" w:lineRule="exact"/>
      <w:ind w:left="910" w:firstLineChars="192" w:firstLine="614"/>
      <w:jc w:val="both"/>
    </w:pPr>
    <w:rPr>
      <w:rFonts w:ascii="標楷體" w:eastAsia="標楷體" w:hAnsi="標楷體" w:cs="Arial"/>
      <w:sz w:val="32"/>
      <w:szCs w:val="32"/>
    </w:rPr>
  </w:style>
  <w:style w:type="table" w:styleId="afff">
    <w:name w:val="Table Grid"/>
    <w:aliases w:val="表格規格,SGS Table Basic 1,表格細"/>
    <w:basedOn w:val="a1"/>
    <w:uiPriority w:val="39"/>
    <w:qFormat/>
    <w:rsid w:val="007C204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一"/>
    <w:basedOn w:val="a"/>
    <w:qFormat/>
    <w:rsid w:val="00D54867"/>
    <w:pPr>
      <w:snapToGrid w:val="0"/>
      <w:spacing w:line="360" w:lineRule="auto"/>
      <w:ind w:firstLineChars="100" w:firstLine="316"/>
      <w:jc w:val="both"/>
      <w:outlineLvl w:val="2"/>
    </w:pPr>
    <w:rPr>
      <w:rFonts w:ascii="標楷體" w:eastAsia="標楷體" w:hAnsi="標楷體" w:cs="DFKaiShu-SB-Estd-BF"/>
      <w:bCs/>
      <w:color w:val="000000"/>
      <w:spacing w:val="-2"/>
      <w:kern w:val="0"/>
      <w:sz w:val="32"/>
      <w:szCs w:val="28"/>
    </w:rPr>
  </w:style>
  <w:style w:type="paragraph" w:styleId="afff1">
    <w:name w:val="Block Text"/>
    <w:basedOn w:val="a"/>
    <w:rsid w:val="003B62CC"/>
    <w:pPr>
      <w:overflowPunct w:val="0"/>
      <w:snapToGrid w:val="0"/>
      <w:spacing w:beforeLines="50" w:before="180" w:line="360" w:lineRule="auto"/>
      <w:ind w:leftChars="95" w:left="304" w:right="-159" w:firstLineChars="207" w:firstLine="663"/>
      <w:jc w:val="both"/>
    </w:pPr>
    <w:rPr>
      <w:rFonts w:ascii="標楷體" w:eastAsia="標楷體" w:hAnsi="標楷體"/>
      <w:b/>
      <w:bCs/>
      <w:kern w:val="0"/>
      <w:sz w:val="32"/>
      <w:szCs w:val="32"/>
    </w:rPr>
  </w:style>
  <w:style w:type="paragraph" w:customStyle="1" w:styleId="a20">
    <w:name w:val="a2"/>
    <w:basedOn w:val="a"/>
    <w:rsid w:val="000B20B9"/>
    <w:pPr>
      <w:widowControl/>
      <w:spacing w:before="100" w:beforeAutospacing="1" w:after="100" w:afterAutospacing="1"/>
    </w:pPr>
    <w:rPr>
      <w:rFonts w:ascii="新細明體" w:hAnsi="新細明體"/>
      <w:kern w:val="0"/>
      <w:szCs w:val="24"/>
    </w:rPr>
  </w:style>
  <w:style w:type="paragraph" w:customStyle="1" w:styleId="afff2">
    <w:name w:val="字元 字元 字元"/>
    <w:basedOn w:val="a"/>
    <w:semiHidden/>
    <w:rsid w:val="00F32644"/>
    <w:pPr>
      <w:widowControl/>
      <w:spacing w:after="160" w:line="240" w:lineRule="exact"/>
    </w:pPr>
    <w:rPr>
      <w:rFonts w:ascii="Verdana" w:eastAsia="Times New Roman" w:hAnsi="Verdana"/>
      <w:kern w:val="0"/>
      <w:sz w:val="20"/>
      <w:lang w:eastAsia="en-US"/>
    </w:rPr>
  </w:style>
  <w:style w:type="paragraph" w:styleId="afff3">
    <w:name w:val="caption"/>
    <w:basedOn w:val="a"/>
    <w:next w:val="a"/>
    <w:qFormat/>
    <w:rsid w:val="003A7F81"/>
    <w:rPr>
      <w:sz w:val="20"/>
    </w:rPr>
  </w:style>
  <w:style w:type="paragraph" w:customStyle="1" w:styleId="xl56">
    <w:name w:val="xl56"/>
    <w:basedOn w:val="a"/>
    <w:rsid w:val="00561C2A"/>
    <w:pPr>
      <w:widowControl/>
      <w:pBdr>
        <w:left w:val="single" w:sz="4" w:space="0" w:color="auto"/>
        <w:right w:val="single" w:sz="4" w:space="0" w:color="auto"/>
      </w:pBdr>
      <w:spacing w:before="100" w:beforeAutospacing="1" w:after="100" w:afterAutospacing="1"/>
      <w:jc w:val="center"/>
      <w:textAlignment w:val="center"/>
    </w:pPr>
    <w:rPr>
      <w:rFonts w:ascii="新細明體" w:hAnsi="新細明體" w:hint="eastAsia"/>
      <w:b/>
      <w:bCs/>
      <w:kern w:val="0"/>
      <w:sz w:val="20"/>
    </w:rPr>
  </w:style>
  <w:style w:type="paragraph" w:customStyle="1" w:styleId="xl46">
    <w:name w:val="xl46"/>
    <w:basedOn w:val="a"/>
    <w:rsid w:val="000703B9"/>
    <w:pPr>
      <w:widowControl/>
      <w:pBdr>
        <w:bottom w:val="single" w:sz="4" w:space="0" w:color="auto"/>
        <w:right w:val="single" w:sz="4" w:space="0" w:color="auto"/>
      </w:pBdr>
      <w:spacing w:before="100" w:beforeAutospacing="1" w:after="100" w:afterAutospacing="1"/>
      <w:jc w:val="center"/>
      <w:textAlignment w:val="center"/>
    </w:pPr>
    <w:rPr>
      <w:rFonts w:ascii="新細明體" w:hAnsi="新細明體"/>
      <w:kern w:val="0"/>
      <w:szCs w:val="24"/>
    </w:rPr>
  </w:style>
  <w:style w:type="paragraph" w:styleId="afff4">
    <w:name w:val="footnote text"/>
    <w:aliases w:val="註腳文字 字元 字元, 字元,註腳文字(博銘), 字元 字元 字元"/>
    <w:basedOn w:val="a"/>
    <w:link w:val="afff5"/>
    <w:uiPriority w:val="99"/>
    <w:rsid w:val="00403719"/>
    <w:pPr>
      <w:snapToGrid w:val="0"/>
    </w:pPr>
    <w:rPr>
      <w:sz w:val="20"/>
    </w:rPr>
  </w:style>
  <w:style w:type="character" w:customStyle="1" w:styleId="afff5">
    <w:name w:val="註腳文字 字元"/>
    <w:aliases w:val="註腳文字 字元 字元 字元, 字元 字元,註腳文字(博銘) 字元, 字元 字元 字元 字元"/>
    <w:link w:val="afff4"/>
    <w:rsid w:val="00403719"/>
    <w:rPr>
      <w:rFonts w:eastAsia="新細明體"/>
      <w:kern w:val="2"/>
      <w:lang w:val="en-US" w:eastAsia="zh-TW" w:bidi="ar-SA"/>
    </w:rPr>
  </w:style>
  <w:style w:type="character" w:styleId="afff6">
    <w:name w:val="footnote reference"/>
    <w:aliases w:val="FR,Ref,de nota al pie,註腳內容,Error-Fußnotenzeichen5,Error-Fußnotenzeichen6,Error-Fußnotenzeichen3,Error-Fusnotßnotenzeichen5,Error-Fußnotenzeic"/>
    <w:uiPriority w:val="99"/>
    <w:rsid w:val="00403719"/>
    <w:rPr>
      <w:vertAlign w:val="superscript"/>
    </w:rPr>
  </w:style>
  <w:style w:type="paragraph" w:customStyle="1" w:styleId="17">
    <w:name w:val="標題1.加粗"/>
    <w:basedOn w:val="a"/>
    <w:link w:val="18"/>
    <w:rsid w:val="00D53829"/>
    <w:pPr>
      <w:spacing w:line="400" w:lineRule="exact"/>
      <w:ind w:firstLineChars="450" w:firstLine="1080"/>
      <w:jc w:val="both"/>
    </w:pPr>
    <w:rPr>
      <w:rFonts w:ascii="標楷體" w:eastAsia="標楷體" w:cs="新細明體"/>
      <w:b/>
      <w:bCs/>
      <w:sz w:val="28"/>
      <w:szCs w:val="28"/>
    </w:rPr>
  </w:style>
  <w:style w:type="character" w:customStyle="1" w:styleId="18">
    <w:name w:val="標題1.加粗 字元"/>
    <w:link w:val="17"/>
    <w:rsid w:val="00D53829"/>
    <w:rPr>
      <w:rFonts w:ascii="標楷體" w:eastAsia="標楷體" w:cs="新細明體"/>
      <w:b/>
      <w:bCs/>
      <w:kern w:val="2"/>
      <w:sz w:val="28"/>
      <w:szCs w:val="28"/>
      <w:lang w:val="en-US" w:eastAsia="zh-TW" w:bidi="ar-SA"/>
    </w:rPr>
  </w:style>
  <w:style w:type="character" w:styleId="afff7">
    <w:name w:val="annotation reference"/>
    <w:semiHidden/>
    <w:rsid w:val="002C696E"/>
    <w:rPr>
      <w:sz w:val="18"/>
    </w:rPr>
  </w:style>
  <w:style w:type="paragraph" w:customStyle="1" w:styleId="19">
    <w:name w:val="內文+1"/>
    <w:basedOn w:val="a"/>
    <w:next w:val="a"/>
    <w:rsid w:val="00154DED"/>
    <w:pPr>
      <w:autoSpaceDE w:val="0"/>
      <w:autoSpaceDN w:val="0"/>
      <w:adjustRightInd w:val="0"/>
    </w:pPr>
    <w:rPr>
      <w:kern w:val="0"/>
      <w:szCs w:val="24"/>
    </w:rPr>
  </w:style>
  <w:style w:type="character" w:customStyle="1" w:styleId="ac">
    <w:name w:val="本文縮排 字元"/>
    <w:link w:val="ab"/>
    <w:rsid w:val="007A4881"/>
    <w:rPr>
      <w:rFonts w:ascii="標楷體" w:eastAsia="標楷體"/>
      <w:kern w:val="2"/>
      <w:sz w:val="28"/>
      <w:lang w:val="en-US" w:eastAsia="zh-TW" w:bidi="ar-SA"/>
    </w:rPr>
  </w:style>
  <w:style w:type="character" w:customStyle="1" w:styleId="1a">
    <w:name w:val="乙篇主文 字元 字元 字元1"/>
    <w:link w:val="1b"/>
    <w:locked/>
    <w:rsid w:val="003E2C52"/>
    <w:rPr>
      <w:rFonts w:ascii="標楷體" w:eastAsia="標楷體"/>
      <w:kern w:val="2"/>
      <w:sz w:val="24"/>
      <w:szCs w:val="24"/>
      <w:lang w:val="en-US" w:eastAsia="zh-TW" w:bidi="ar-SA"/>
    </w:rPr>
  </w:style>
  <w:style w:type="paragraph" w:customStyle="1" w:styleId="1b">
    <w:name w:val="乙篇主文 字元 字元1"/>
    <w:basedOn w:val="a"/>
    <w:link w:val="1a"/>
    <w:rsid w:val="007A547D"/>
    <w:pPr>
      <w:spacing w:line="400" w:lineRule="exact"/>
      <w:ind w:firstLineChars="200" w:firstLine="200"/>
      <w:jc w:val="both"/>
    </w:pPr>
    <w:rPr>
      <w:rFonts w:ascii="標楷體" w:eastAsia="標楷體"/>
      <w:szCs w:val="24"/>
    </w:rPr>
  </w:style>
  <w:style w:type="paragraph" w:styleId="afff8">
    <w:name w:val="annotation subject"/>
    <w:basedOn w:val="aff6"/>
    <w:next w:val="aff6"/>
    <w:link w:val="afff9"/>
    <w:rsid w:val="005276FD"/>
    <w:rPr>
      <w:b/>
      <w:bCs/>
      <w:sz w:val="24"/>
    </w:rPr>
  </w:style>
  <w:style w:type="character" w:customStyle="1" w:styleId="aff7">
    <w:name w:val="註解文字 字元"/>
    <w:link w:val="aff6"/>
    <w:semiHidden/>
    <w:rsid w:val="005276FD"/>
    <w:rPr>
      <w:kern w:val="2"/>
    </w:rPr>
  </w:style>
  <w:style w:type="character" w:customStyle="1" w:styleId="afff9">
    <w:name w:val="註解主旨 字元"/>
    <w:link w:val="afff8"/>
    <w:rsid w:val="005276FD"/>
    <w:rPr>
      <w:b/>
      <w:bCs/>
      <w:kern w:val="2"/>
      <w:sz w:val="24"/>
    </w:rPr>
  </w:style>
  <w:style w:type="character" w:customStyle="1" w:styleId="11">
    <w:name w:val="標題 1 字元"/>
    <w:link w:val="10"/>
    <w:rsid w:val="00841FDA"/>
    <w:rPr>
      <w:rFonts w:ascii="Cambria" w:hAnsi="Cambria"/>
      <w:b/>
      <w:bCs/>
      <w:kern w:val="52"/>
      <w:sz w:val="52"/>
      <w:szCs w:val="52"/>
    </w:rPr>
  </w:style>
  <w:style w:type="paragraph" w:customStyle="1" w:styleId="1c">
    <w:name w:val="字元 字元 字元1"/>
    <w:basedOn w:val="a"/>
    <w:semiHidden/>
    <w:rsid w:val="00841FDA"/>
    <w:pPr>
      <w:widowControl/>
      <w:spacing w:after="160" w:line="240" w:lineRule="exact"/>
    </w:pPr>
    <w:rPr>
      <w:rFonts w:ascii="Verdana" w:eastAsia="Times New Roman" w:hAnsi="Verdana"/>
      <w:kern w:val="0"/>
      <w:sz w:val="20"/>
      <w:lang w:eastAsia="en-US"/>
    </w:rPr>
  </w:style>
  <w:style w:type="paragraph" w:styleId="afffa">
    <w:name w:val="List Paragraph"/>
    <w:basedOn w:val="a"/>
    <w:link w:val="afffb"/>
    <w:uiPriority w:val="34"/>
    <w:qFormat/>
    <w:rsid w:val="00841FDA"/>
    <w:pPr>
      <w:ind w:leftChars="200" w:left="480"/>
    </w:pPr>
  </w:style>
  <w:style w:type="paragraph" w:styleId="Web">
    <w:name w:val="Normal (Web)"/>
    <w:basedOn w:val="a"/>
    <w:uiPriority w:val="99"/>
    <w:unhideWhenUsed/>
    <w:qFormat/>
    <w:rsid w:val="00841FDA"/>
    <w:pPr>
      <w:widowControl/>
      <w:spacing w:before="100" w:beforeAutospacing="1" w:after="100" w:afterAutospacing="1"/>
    </w:pPr>
    <w:rPr>
      <w:rFonts w:ascii="新細明體" w:hAnsi="新細明體" w:cs="新細明體"/>
      <w:kern w:val="0"/>
      <w:szCs w:val="24"/>
    </w:rPr>
  </w:style>
  <w:style w:type="paragraph" w:customStyle="1" w:styleId="NNN">
    <w:name w:val="(一)文NNN"/>
    <w:basedOn w:val="a"/>
    <w:qFormat/>
    <w:rsid w:val="00FA1D86"/>
    <w:pPr>
      <w:snapToGrid w:val="0"/>
      <w:spacing w:line="560" w:lineRule="exact"/>
      <w:ind w:left="924" w:firstLine="685"/>
      <w:jc w:val="both"/>
    </w:pPr>
    <w:rPr>
      <w:rFonts w:eastAsia="標楷體"/>
      <w:sz w:val="32"/>
      <w:szCs w:val="32"/>
    </w:rPr>
  </w:style>
  <w:style w:type="character" w:customStyle="1" w:styleId="mainfont13">
    <w:name w:val="main_font13"/>
    <w:rsid w:val="005F1626"/>
  </w:style>
  <w:style w:type="paragraph" w:customStyle="1" w:styleId="afffc">
    <w:name w:val="一內凹"/>
    <w:basedOn w:val="af7"/>
    <w:link w:val="afffd"/>
    <w:qFormat/>
    <w:rsid w:val="007D62A8"/>
    <w:pPr>
      <w:overflowPunct w:val="0"/>
      <w:spacing w:beforeLines="0" w:afterLines="0" w:line="420" w:lineRule="exact"/>
      <w:ind w:leftChars="0" w:left="0" w:firstLineChars="200" w:firstLine="480"/>
    </w:pPr>
    <w:rPr>
      <w:rFonts w:ascii="標楷體" w:hAnsi="標楷體" w:cs="新細明體"/>
      <w:sz w:val="24"/>
    </w:rPr>
  </w:style>
  <w:style w:type="character" w:customStyle="1" w:styleId="afffd">
    <w:name w:val="一內凹 字元"/>
    <w:link w:val="afffc"/>
    <w:rsid w:val="007D62A8"/>
    <w:rPr>
      <w:rFonts w:ascii="標楷體" w:eastAsia="標楷體" w:hAnsi="標楷體" w:cs="新細明體"/>
      <w:bCs/>
      <w:kern w:val="2"/>
      <w:sz w:val="24"/>
      <w:szCs w:val="32"/>
    </w:rPr>
  </w:style>
  <w:style w:type="paragraph" w:customStyle="1" w:styleId="afffe">
    <w:name w:val="一二三"/>
    <w:basedOn w:val="a"/>
    <w:rsid w:val="00D50A57"/>
    <w:pPr>
      <w:widowControl/>
      <w:spacing w:after="120" w:line="360" w:lineRule="auto"/>
    </w:pPr>
    <w:rPr>
      <w:rFonts w:ascii="標楷體" w:eastAsia="標楷體" w:hAnsi="新細明體" w:cs="新細明體"/>
      <w:spacing w:val="-20"/>
      <w:kern w:val="0"/>
      <w:sz w:val="32"/>
    </w:rPr>
  </w:style>
  <w:style w:type="character" w:styleId="affff">
    <w:name w:val="Strong"/>
    <w:uiPriority w:val="22"/>
    <w:qFormat/>
    <w:rsid w:val="00C41097"/>
    <w:rPr>
      <w:b/>
      <w:bCs/>
    </w:rPr>
  </w:style>
  <w:style w:type="character" w:styleId="affff0">
    <w:name w:val="Emphasis"/>
    <w:uiPriority w:val="20"/>
    <w:qFormat/>
    <w:rsid w:val="007E2324"/>
    <w:rPr>
      <w:i/>
      <w:iCs/>
    </w:rPr>
  </w:style>
  <w:style w:type="paragraph" w:customStyle="1" w:styleId="affff1">
    <w:name w:val="表格內容"/>
    <w:basedOn w:val="a"/>
    <w:link w:val="affff2"/>
    <w:qFormat/>
    <w:rsid w:val="009467EA"/>
    <w:pPr>
      <w:widowControl/>
      <w:spacing w:line="240" w:lineRule="exact"/>
      <w:jc w:val="center"/>
      <w:textAlignment w:val="center"/>
    </w:pPr>
    <w:rPr>
      <w:rFonts w:ascii="標楷體" w:eastAsia="標楷體" w:hAnsi="標楷體"/>
      <w:bCs/>
      <w:sz w:val="20"/>
    </w:rPr>
  </w:style>
  <w:style w:type="character" w:customStyle="1" w:styleId="affff2">
    <w:name w:val="表格內容 字元"/>
    <w:link w:val="affff1"/>
    <w:rsid w:val="009467EA"/>
    <w:rPr>
      <w:rFonts w:ascii="標楷體" w:eastAsia="標楷體" w:hAnsi="標楷體"/>
      <w:bCs/>
      <w:kern w:val="2"/>
    </w:rPr>
  </w:style>
  <w:style w:type="paragraph" w:customStyle="1" w:styleId="2-0">
    <w:name w:val="樣式2-（一）"/>
    <w:basedOn w:val="a"/>
    <w:link w:val="2-1"/>
    <w:qFormat/>
    <w:rsid w:val="002A5215"/>
    <w:pPr>
      <w:spacing w:line="600" w:lineRule="exact"/>
      <w:ind w:left="955" w:hangingChars="298" w:hanging="955"/>
      <w:jc w:val="both"/>
    </w:pPr>
    <w:rPr>
      <w:rFonts w:ascii="標楷體" w:eastAsia="標楷體" w:hAnsi="標楷體"/>
      <w:b/>
      <w:sz w:val="32"/>
      <w:szCs w:val="32"/>
    </w:rPr>
  </w:style>
  <w:style w:type="character" w:customStyle="1" w:styleId="2-1">
    <w:name w:val="樣式2-（一） 字元"/>
    <w:link w:val="2-0"/>
    <w:rsid w:val="002A5215"/>
    <w:rPr>
      <w:rFonts w:ascii="標楷體" w:eastAsia="標楷體" w:hAnsi="標楷體"/>
      <w:b/>
      <w:kern w:val="2"/>
      <w:sz w:val="32"/>
      <w:szCs w:val="32"/>
    </w:rPr>
  </w:style>
  <w:style w:type="character" w:customStyle="1" w:styleId="afe">
    <w:name w:val="標題壹、 字元"/>
    <w:link w:val="afd"/>
    <w:rsid w:val="00B46D05"/>
    <w:rPr>
      <w:rFonts w:eastAsia="標楷體" w:cs="新細明體"/>
      <w:b/>
      <w:bCs/>
      <w:kern w:val="2"/>
      <w:sz w:val="36"/>
      <w:szCs w:val="36"/>
    </w:rPr>
  </w:style>
  <w:style w:type="character" w:customStyle="1" w:styleId="a9">
    <w:name w:val="頁尾 字元"/>
    <w:link w:val="a8"/>
    <w:uiPriority w:val="99"/>
    <w:rsid w:val="007C0D39"/>
    <w:rPr>
      <w:kern w:val="2"/>
    </w:rPr>
  </w:style>
  <w:style w:type="paragraph" w:customStyle="1" w:styleId="affff3">
    <w:name w:val="表目錄"/>
    <w:basedOn w:val="a"/>
    <w:link w:val="affff4"/>
    <w:qFormat/>
    <w:rsid w:val="00736790"/>
    <w:pPr>
      <w:overflowPunct w:val="0"/>
      <w:adjustRightInd w:val="0"/>
      <w:snapToGrid w:val="0"/>
      <w:spacing w:line="280" w:lineRule="exact"/>
      <w:jc w:val="center"/>
    </w:pPr>
    <w:rPr>
      <w:rFonts w:ascii="標楷體" w:eastAsia="標楷體" w:hAnsi="標楷體"/>
      <w:b/>
      <w:bCs/>
    </w:rPr>
  </w:style>
  <w:style w:type="character" w:customStyle="1" w:styleId="affff4">
    <w:name w:val="表目錄 字元"/>
    <w:link w:val="affff3"/>
    <w:rsid w:val="00736790"/>
    <w:rPr>
      <w:rFonts w:ascii="標楷體" w:eastAsia="標楷體" w:hAnsi="標楷體"/>
      <w:b/>
      <w:bCs/>
      <w:kern w:val="2"/>
      <w:sz w:val="24"/>
    </w:rPr>
  </w:style>
  <w:style w:type="paragraph" w:styleId="HTML">
    <w:name w:val="HTML Preformatted"/>
    <w:basedOn w:val="a"/>
    <w:link w:val="HTML0"/>
    <w:uiPriority w:val="99"/>
    <w:unhideWhenUsed/>
    <w:rsid w:val="00427B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427BB8"/>
    <w:rPr>
      <w:rFonts w:ascii="細明體" w:eastAsia="細明體" w:hAnsi="細明體" w:cs="細明體"/>
      <w:sz w:val="24"/>
      <w:szCs w:val="24"/>
    </w:rPr>
  </w:style>
  <w:style w:type="paragraph" w:customStyle="1" w:styleId="affff5">
    <w:name w:val="表說明"/>
    <w:basedOn w:val="a"/>
    <w:link w:val="affff6"/>
    <w:qFormat/>
    <w:rsid w:val="00427BB8"/>
    <w:pPr>
      <w:widowControl/>
      <w:spacing w:beforeLines="30" w:before="108" w:line="520" w:lineRule="exact"/>
      <w:ind w:leftChars="435" w:left="1044" w:firstLineChars="200" w:firstLine="560"/>
      <w:jc w:val="both"/>
      <w:textAlignment w:val="center"/>
    </w:pPr>
    <w:rPr>
      <w:rFonts w:ascii="標楷體" w:eastAsia="標楷體" w:hAnsi="標楷體"/>
      <w:b/>
      <w:sz w:val="26"/>
      <w:szCs w:val="28"/>
    </w:rPr>
  </w:style>
  <w:style w:type="character" w:customStyle="1" w:styleId="affff6">
    <w:name w:val="表說明 字元"/>
    <w:link w:val="affff5"/>
    <w:rsid w:val="00427BB8"/>
    <w:rPr>
      <w:rFonts w:ascii="標楷體" w:eastAsia="標楷體" w:hAnsi="標楷體"/>
      <w:b/>
      <w:kern w:val="2"/>
      <w:sz w:val="26"/>
      <w:szCs w:val="28"/>
    </w:rPr>
  </w:style>
  <w:style w:type="paragraph" w:customStyle="1" w:styleId="affff7">
    <w:name w:val="表註腳"/>
    <w:basedOn w:val="a"/>
    <w:link w:val="affff8"/>
    <w:qFormat/>
    <w:rsid w:val="003E15CD"/>
    <w:pPr>
      <w:widowControl/>
      <w:spacing w:before="60" w:line="240" w:lineRule="exact"/>
      <w:ind w:left="573" w:hanging="573"/>
      <w:jc w:val="both"/>
      <w:textAlignment w:val="center"/>
    </w:pPr>
    <w:rPr>
      <w:rFonts w:ascii="標楷體" w:eastAsia="標楷體" w:hAnsi="標楷體"/>
      <w:sz w:val="20"/>
    </w:rPr>
  </w:style>
  <w:style w:type="character" w:customStyle="1" w:styleId="affff8">
    <w:name w:val="表註腳 字元"/>
    <w:link w:val="affff7"/>
    <w:rsid w:val="003E15CD"/>
    <w:rPr>
      <w:rFonts w:ascii="標楷體" w:eastAsia="標楷體" w:hAnsi="標楷體"/>
      <w:kern w:val="2"/>
    </w:rPr>
  </w:style>
  <w:style w:type="paragraph" w:styleId="affff9">
    <w:name w:val="Title"/>
    <w:basedOn w:val="a"/>
    <w:next w:val="a"/>
    <w:link w:val="affffa"/>
    <w:qFormat/>
    <w:rsid w:val="00AF5E84"/>
    <w:pPr>
      <w:spacing w:before="240" w:after="60"/>
      <w:jc w:val="center"/>
      <w:outlineLvl w:val="0"/>
    </w:pPr>
    <w:rPr>
      <w:rFonts w:ascii="Cambria" w:hAnsi="Cambria"/>
      <w:b/>
      <w:bCs/>
      <w:sz w:val="32"/>
      <w:szCs w:val="32"/>
    </w:rPr>
  </w:style>
  <w:style w:type="character" w:customStyle="1" w:styleId="affffa">
    <w:name w:val="標題 字元"/>
    <w:basedOn w:val="a0"/>
    <w:link w:val="affff9"/>
    <w:rsid w:val="00AF5E84"/>
    <w:rPr>
      <w:rFonts w:ascii="Cambria" w:hAnsi="Cambria"/>
      <w:b/>
      <w:bCs/>
      <w:kern w:val="2"/>
      <w:sz w:val="32"/>
      <w:szCs w:val="32"/>
    </w:rPr>
  </w:style>
  <w:style w:type="paragraph" w:styleId="affffb">
    <w:name w:val="No Spacing"/>
    <w:uiPriority w:val="1"/>
    <w:qFormat/>
    <w:rsid w:val="000B5D05"/>
    <w:pPr>
      <w:widowControl w:val="0"/>
    </w:pPr>
    <w:rPr>
      <w:rFonts w:asciiTheme="minorHAnsi" w:eastAsiaTheme="minorEastAsia" w:hAnsiTheme="minorHAnsi" w:cstheme="minorBidi"/>
      <w:kern w:val="2"/>
      <w:sz w:val="24"/>
      <w:szCs w:val="22"/>
    </w:rPr>
  </w:style>
  <w:style w:type="paragraph" w:customStyle="1" w:styleId="1N">
    <w:name w:val="1N"/>
    <w:basedOn w:val="a"/>
    <w:qFormat/>
    <w:rsid w:val="00F9390D"/>
    <w:pPr>
      <w:snapToGrid w:val="0"/>
      <w:spacing w:line="560" w:lineRule="exact"/>
      <w:ind w:leftChars="264" w:left="1101" w:hangingChars="80" w:hanging="256"/>
      <w:jc w:val="both"/>
    </w:pPr>
    <w:rPr>
      <w:rFonts w:eastAsia="標楷體"/>
      <w:kern w:val="0"/>
      <w:sz w:val="32"/>
      <w:szCs w:val="30"/>
      <w:lang w:val="en-CA"/>
    </w:rPr>
  </w:style>
  <w:style w:type="paragraph" w:styleId="affffc">
    <w:name w:val="Salutation"/>
    <w:basedOn w:val="a"/>
    <w:next w:val="a"/>
    <w:link w:val="affffd"/>
    <w:rsid w:val="00312129"/>
    <w:rPr>
      <w:rFonts w:ascii="標楷體" w:eastAsia="標楷體" w:hAnsi="標楷體"/>
      <w:b/>
      <w:szCs w:val="24"/>
    </w:rPr>
  </w:style>
  <w:style w:type="character" w:customStyle="1" w:styleId="affffd">
    <w:name w:val="問候 字元"/>
    <w:basedOn w:val="a0"/>
    <w:link w:val="affffc"/>
    <w:rsid w:val="00312129"/>
    <w:rPr>
      <w:rFonts w:ascii="標楷體" w:eastAsia="標楷體" w:hAnsi="標楷體"/>
      <w:b/>
      <w:kern w:val="2"/>
      <w:sz w:val="24"/>
      <w:szCs w:val="24"/>
    </w:rPr>
  </w:style>
  <w:style w:type="paragraph" w:styleId="affffe">
    <w:name w:val="Closing"/>
    <w:basedOn w:val="a"/>
    <w:link w:val="afffff"/>
    <w:unhideWhenUsed/>
    <w:rsid w:val="00312129"/>
    <w:pPr>
      <w:ind w:leftChars="1800" w:left="100"/>
    </w:pPr>
    <w:rPr>
      <w:rFonts w:ascii="標楷體" w:eastAsia="標楷體" w:hAnsi="標楷體"/>
      <w:b/>
      <w:szCs w:val="24"/>
    </w:rPr>
  </w:style>
  <w:style w:type="character" w:customStyle="1" w:styleId="afffff">
    <w:name w:val="結語 字元"/>
    <w:basedOn w:val="a0"/>
    <w:link w:val="affffe"/>
    <w:rsid w:val="00312129"/>
    <w:rPr>
      <w:rFonts w:ascii="標楷體" w:eastAsia="標楷體" w:hAnsi="標楷體"/>
      <w:b/>
      <w:kern w:val="2"/>
      <w:sz w:val="24"/>
      <w:szCs w:val="24"/>
    </w:rPr>
  </w:style>
  <w:style w:type="character" w:customStyle="1" w:styleId="mailheadertext1">
    <w:name w:val="mailheadertext1"/>
    <w:basedOn w:val="a0"/>
    <w:rsid w:val="000A582D"/>
    <w:rPr>
      <w:i w:val="0"/>
      <w:iCs w:val="0"/>
      <w:color w:val="353531"/>
    </w:rPr>
  </w:style>
  <w:style w:type="paragraph" w:customStyle="1" w:styleId="afffff0">
    <w:name w:val="表樣式"/>
    <w:basedOn w:val="a"/>
    <w:qFormat/>
    <w:rsid w:val="00EF1322"/>
    <w:pPr>
      <w:framePr w:hSpace="180" w:wrap="around" w:vAnchor="text" w:hAnchor="margin" w:xAlign="right" w:y="4844"/>
      <w:adjustRightInd w:val="0"/>
      <w:snapToGrid w:val="0"/>
      <w:jc w:val="center"/>
    </w:pPr>
    <w:rPr>
      <w:rFonts w:ascii="標楷體" w:eastAsia="標楷體" w:hAnsi="標楷體"/>
      <w:b/>
      <w:szCs w:val="22"/>
    </w:rPr>
  </w:style>
  <w:style w:type="character" w:customStyle="1" w:styleId="20">
    <w:name w:val="標題 2 字元"/>
    <w:aliases w:val="標題１． 字元"/>
    <w:basedOn w:val="a0"/>
    <w:link w:val="2"/>
    <w:rsid w:val="00C4097F"/>
    <w:rPr>
      <w:rFonts w:ascii="標楷體" w:eastAsia="標楷體" w:hAnsi="Arial"/>
      <w:bCs/>
      <w:sz w:val="32"/>
      <w:szCs w:val="48"/>
    </w:rPr>
  </w:style>
  <w:style w:type="character" w:customStyle="1" w:styleId="30">
    <w:name w:val="標題 3 字元"/>
    <w:basedOn w:val="a0"/>
    <w:link w:val="3"/>
    <w:uiPriority w:val="9"/>
    <w:rsid w:val="00C4097F"/>
    <w:rPr>
      <w:rFonts w:ascii="標楷體" w:eastAsia="標楷體" w:hAnsi="Arial"/>
      <w:bCs/>
      <w:sz w:val="32"/>
      <w:szCs w:val="36"/>
    </w:rPr>
  </w:style>
  <w:style w:type="character" w:customStyle="1" w:styleId="50">
    <w:name w:val="標題 5 字元"/>
    <w:basedOn w:val="a0"/>
    <w:link w:val="5"/>
    <w:rsid w:val="00C4097F"/>
    <w:rPr>
      <w:rFonts w:ascii="標楷體" w:eastAsia="標楷體" w:hAnsi="Arial"/>
      <w:bCs/>
      <w:kern w:val="2"/>
      <w:sz w:val="32"/>
      <w:szCs w:val="36"/>
    </w:rPr>
  </w:style>
  <w:style w:type="character" w:customStyle="1" w:styleId="60">
    <w:name w:val="標題 6 字元"/>
    <w:basedOn w:val="a0"/>
    <w:link w:val="6"/>
    <w:rsid w:val="00C4097F"/>
    <w:rPr>
      <w:rFonts w:ascii="標楷體" w:eastAsia="標楷體" w:hAnsi="Arial"/>
      <w:kern w:val="2"/>
      <w:sz w:val="32"/>
      <w:szCs w:val="36"/>
    </w:rPr>
  </w:style>
  <w:style w:type="character" w:customStyle="1" w:styleId="70">
    <w:name w:val="標題 7 字元"/>
    <w:basedOn w:val="a0"/>
    <w:link w:val="7"/>
    <w:rsid w:val="00C4097F"/>
    <w:rPr>
      <w:rFonts w:ascii="標楷體" w:eastAsia="標楷體" w:hAnsi="Arial"/>
      <w:bCs/>
      <w:kern w:val="2"/>
      <w:sz w:val="32"/>
      <w:szCs w:val="36"/>
    </w:rPr>
  </w:style>
  <w:style w:type="character" w:customStyle="1" w:styleId="80">
    <w:name w:val="標題 8 字元"/>
    <w:basedOn w:val="a0"/>
    <w:link w:val="8"/>
    <w:rsid w:val="00C4097F"/>
    <w:rPr>
      <w:rFonts w:ascii="標楷體" w:eastAsia="標楷體" w:hAnsi="Arial"/>
      <w:kern w:val="2"/>
      <w:sz w:val="32"/>
      <w:szCs w:val="36"/>
    </w:rPr>
  </w:style>
  <w:style w:type="character" w:customStyle="1" w:styleId="40">
    <w:name w:val="標題 4 字元"/>
    <w:aliases w:val="1.標題 4 字元"/>
    <w:link w:val="4"/>
    <w:locked/>
    <w:rsid w:val="00C4097F"/>
    <w:rPr>
      <w:rFonts w:ascii="標楷體" w:eastAsia="標楷體" w:hAnsi="Arial"/>
      <w:b/>
      <w:kern w:val="2"/>
      <w:sz w:val="28"/>
      <w:szCs w:val="36"/>
    </w:rPr>
  </w:style>
  <w:style w:type="character" w:customStyle="1" w:styleId="style11">
    <w:name w:val="style11"/>
    <w:rsid w:val="00C4097F"/>
    <w:rPr>
      <w:rFonts w:ascii="標楷體" w:eastAsia="標楷體" w:hAnsi="標楷體" w:cs="Times New Roman"/>
    </w:rPr>
  </w:style>
  <w:style w:type="paragraph" w:customStyle="1" w:styleId="CharCharCharCharCharChar">
    <w:name w:val="字元 字元 Char Char 字元 字元 Char Char 字元 字元 Char Char"/>
    <w:basedOn w:val="a"/>
    <w:rsid w:val="00C4097F"/>
    <w:pPr>
      <w:widowControl/>
      <w:spacing w:after="160" w:line="240" w:lineRule="exact"/>
    </w:pPr>
    <w:rPr>
      <w:rFonts w:ascii="Tahoma" w:hAnsi="Tahoma"/>
      <w:kern w:val="0"/>
      <w:sz w:val="20"/>
      <w:lang w:eastAsia="en-US"/>
    </w:rPr>
  </w:style>
  <w:style w:type="character" w:customStyle="1" w:styleId="ae">
    <w:name w:val="頁首 字元"/>
    <w:aliases w:val="頁首 字元 字元 字元"/>
    <w:basedOn w:val="a0"/>
    <w:link w:val="ad"/>
    <w:uiPriority w:val="99"/>
    <w:locked/>
    <w:rsid w:val="00C4097F"/>
    <w:rPr>
      <w:kern w:val="2"/>
    </w:rPr>
  </w:style>
  <w:style w:type="character" w:customStyle="1" w:styleId="a6">
    <w:name w:val="本文 字元"/>
    <w:link w:val="a5"/>
    <w:locked/>
    <w:rsid w:val="00C4097F"/>
    <w:rPr>
      <w:rFonts w:ascii="標楷體" w:eastAsia="標楷體"/>
      <w:kern w:val="2"/>
      <w:sz w:val="24"/>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C4097F"/>
    <w:rPr>
      <w:rFonts w:ascii="細明體" w:eastAsia="細明體" w:hAnsi="Courier New" w:cs="Courier New"/>
      <w:kern w:val="0"/>
      <w:szCs w:val="24"/>
    </w:rPr>
  </w:style>
  <w:style w:type="character" w:customStyle="1" w:styleId="22">
    <w:name w:val="本文 2 字元"/>
    <w:link w:val="21"/>
    <w:locked/>
    <w:rsid w:val="00C4097F"/>
    <w:rPr>
      <w:rFonts w:ascii="標楷體" w:eastAsia="標楷體"/>
      <w:kern w:val="2"/>
      <w:sz w:val="24"/>
    </w:rPr>
  </w:style>
  <w:style w:type="character" w:customStyle="1" w:styleId="32">
    <w:name w:val="本文 3 字元"/>
    <w:link w:val="31"/>
    <w:locked/>
    <w:rsid w:val="00C4097F"/>
    <w:rPr>
      <w:rFonts w:ascii="標楷體" w:eastAsia="標楷體"/>
      <w:kern w:val="2"/>
      <w:sz w:val="28"/>
    </w:rPr>
  </w:style>
  <w:style w:type="paragraph" w:customStyle="1" w:styleId="xl85">
    <w:name w:val="xl85"/>
    <w:basedOn w:val="a"/>
    <w:rsid w:val="00C4097F"/>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s="Arial Unicode MS"/>
      <w:kern w:val="0"/>
      <w:szCs w:val="24"/>
    </w:rPr>
  </w:style>
  <w:style w:type="paragraph" w:customStyle="1" w:styleId="xl83">
    <w:name w:val="xl83"/>
    <w:basedOn w:val="a"/>
    <w:rsid w:val="00C4097F"/>
    <w:pPr>
      <w:widowControl/>
      <w:pBdr>
        <w:bottom w:val="single" w:sz="4" w:space="0" w:color="auto"/>
      </w:pBdr>
      <w:spacing w:before="100" w:beforeAutospacing="1" w:after="100" w:afterAutospacing="1"/>
      <w:jc w:val="right"/>
    </w:pPr>
    <w:rPr>
      <w:rFonts w:ascii="新細明體" w:hAnsi="新細明體" w:cs="Arial Unicode MS"/>
      <w:kern w:val="0"/>
      <w:sz w:val="22"/>
      <w:szCs w:val="22"/>
    </w:rPr>
  </w:style>
  <w:style w:type="character" w:customStyle="1" w:styleId="1-21">
    <w:name w:val="表格欄1-2 字元"/>
    <w:locked/>
    <w:rsid w:val="00C4097F"/>
    <w:rPr>
      <w:rFonts w:eastAsia="標楷體" w:cs="新細明體"/>
      <w:b/>
      <w:kern w:val="2"/>
      <w:sz w:val="18"/>
      <w:szCs w:val="18"/>
      <w:lang w:val="en-US" w:eastAsia="zh-TW" w:bidi="ar-SA"/>
    </w:rPr>
  </w:style>
  <w:style w:type="character" w:customStyle="1" w:styleId="1-11">
    <w:name w:val="表格欄1-1主管 字元"/>
    <w:locked/>
    <w:rsid w:val="00C4097F"/>
    <w:rPr>
      <w:rFonts w:eastAsia="標楷體" w:cs="新細明體"/>
      <w:b/>
      <w:kern w:val="2"/>
      <w:lang w:val="en-US" w:eastAsia="zh-TW" w:bidi="ar-SA"/>
    </w:rPr>
  </w:style>
  <w:style w:type="character" w:customStyle="1" w:styleId="1-320">
    <w:name w:val="表格欄1-3退2 字元"/>
    <w:locked/>
    <w:rsid w:val="00C4097F"/>
    <w:rPr>
      <w:rFonts w:eastAsia="標楷體" w:cs="新細明體"/>
      <w:kern w:val="2"/>
      <w:sz w:val="18"/>
      <w:szCs w:val="18"/>
      <w:lang w:val="en-US" w:eastAsia="zh-TW" w:bidi="ar-SA"/>
    </w:rPr>
  </w:style>
  <w:style w:type="paragraph" w:customStyle="1" w:styleId="afffff1">
    <w:name w:val="單元 字元"/>
    <w:basedOn w:val="a"/>
    <w:rsid w:val="00C4097F"/>
    <w:pPr>
      <w:snapToGrid w:val="0"/>
      <w:ind w:rightChars="100" w:right="100"/>
      <w:jc w:val="right"/>
    </w:pPr>
    <w:rPr>
      <w:rFonts w:ascii="標楷體" w:eastAsia="標楷體" w:hAnsi="Arial Narrow"/>
      <w:w w:val="95"/>
      <w:sz w:val="20"/>
    </w:rPr>
  </w:style>
  <w:style w:type="character" w:customStyle="1" w:styleId="afffff2">
    <w:name w:val="單元 字元 字元"/>
    <w:locked/>
    <w:rsid w:val="00C4097F"/>
    <w:rPr>
      <w:rFonts w:ascii="標楷體" w:eastAsia="標楷體" w:hAnsi="Arial Narrow" w:cs="Times New Roman"/>
      <w:w w:val="95"/>
      <w:kern w:val="2"/>
      <w:lang w:val="en-US" w:eastAsia="zh-TW" w:bidi="ar-SA"/>
    </w:rPr>
  </w:style>
  <w:style w:type="paragraph" w:customStyle="1" w:styleId="41">
    <w:name w:val="欄4（原因分析）"/>
    <w:basedOn w:val="a"/>
    <w:rsid w:val="00C4097F"/>
    <w:pPr>
      <w:jc w:val="both"/>
    </w:pPr>
    <w:rPr>
      <w:rFonts w:ascii="標楷體" w:eastAsia="標楷體" w:cs="新細明體"/>
      <w:w w:val="90"/>
      <w:sz w:val="18"/>
      <w:szCs w:val="18"/>
    </w:rPr>
  </w:style>
  <w:style w:type="paragraph" w:customStyle="1" w:styleId="afffff3">
    <w:name w:val="甲篇內文"/>
    <w:basedOn w:val="aff5"/>
    <w:rsid w:val="00C4097F"/>
    <w:pPr>
      <w:spacing w:line="460" w:lineRule="exact"/>
    </w:pPr>
    <w:rPr>
      <w:sz w:val="28"/>
      <w:szCs w:val="28"/>
    </w:rPr>
  </w:style>
  <w:style w:type="character" w:customStyle="1" w:styleId="afffff4">
    <w:name w:val="甲篇內文 字元"/>
    <w:locked/>
    <w:rsid w:val="00C4097F"/>
    <w:rPr>
      <w:rFonts w:ascii="標楷體" w:eastAsia="標楷體" w:cs="Times New Roman"/>
      <w:kern w:val="2"/>
      <w:sz w:val="28"/>
      <w:szCs w:val="28"/>
      <w:lang w:val="en-US" w:eastAsia="zh-TW" w:bidi="ar-SA"/>
    </w:rPr>
  </w:style>
  <w:style w:type="paragraph" w:customStyle="1" w:styleId="1d">
    <w:name w:val="表說1."/>
    <w:basedOn w:val="a"/>
    <w:rsid w:val="00C4097F"/>
    <w:pPr>
      <w:spacing w:line="400" w:lineRule="exact"/>
      <w:jc w:val="both"/>
    </w:pPr>
    <w:rPr>
      <w:rFonts w:ascii="標楷體" w:eastAsia="標楷體" w:cs="新細明體"/>
      <w:szCs w:val="24"/>
    </w:rPr>
  </w:style>
  <w:style w:type="paragraph" w:customStyle="1" w:styleId="afffff5">
    <w:name w:val="小計"/>
    <w:basedOn w:val="1-20"/>
    <w:rsid w:val="00C4097F"/>
    <w:pPr>
      <w:ind w:leftChars="250" w:left="250" w:rightChars="100" w:right="100" w:firstLineChars="0" w:firstLine="0"/>
    </w:pPr>
    <w:rPr>
      <w:sz w:val="18"/>
    </w:rPr>
  </w:style>
  <w:style w:type="paragraph" w:customStyle="1" w:styleId="220">
    <w:name w:val="二、2行宋體退2"/>
    <w:basedOn w:val="a"/>
    <w:rsid w:val="00C4097F"/>
    <w:pPr>
      <w:ind w:leftChars="150" w:left="360" w:rightChars="10" w:right="10"/>
      <w:jc w:val="both"/>
    </w:pPr>
    <w:rPr>
      <w:rFonts w:eastAsia="標楷體" w:cs="新細明體"/>
      <w:spacing w:val="-8"/>
      <w:sz w:val="18"/>
      <w:szCs w:val="18"/>
    </w:rPr>
  </w:style>
  <w:style w:type="character" w:customStyle="1" w:styleId="221">
    <w:name w:val="二、2行宋體退2 字元"/>
    <w:locked/>
    <w:rsid w:val="00C4097F"/>
    <w:rPr>
      <w:rFonts w:eastAsia="標楷體" w:cs="新細明體"/>
      <w:spacing w:val="-8"/>
      <w:kern w:val="2"/>
      <w:sz w:val="18"/>
      <w:szCs w:val="18"/>
      <w:lang w:val="en-US" w:eastAsia="zh-TW" w:bidi="ar-SA"/>
    </w:rPr>
  </w:style>
  <w:style w:type="paragraph" w:customStyle="1" w:styleId="1e">
    <w:name w:val="標題(1)"/>
    <w:basedOn w:val="13"/>
    <w:rsid w:val="00C4097F"/>
    <w:pPr>
      <w:ind w:firstLineChars="550" w:firstLine="550"/>
    </w:pPr>
  </w:style>
  <w:style w:type="paragraph" w:customStyle="1" w:styleId="123">
    <w:name w:val="內文123"/>
    <w:rsid w:val="00C4097F"/>
    <w:pPr>
      <w:overflowPunct w:val="0"/>
      <w:spacing w:line="400" w:lineRule="exact"/>
      <w:ind w:firstLineChars="450" w:firstLine="450"/>
      <w:jc w:val="both"/>
    </w:pPr>
    <w:rPr>
      <w:rFonts w:ascii="標楷體" w:eastAsia="標楷體"/>
      <w:kern w:val="2"/>
      <w:sz w:val="24"/>
    </w:rPr>
  </w:style>
  <w:style w:type="paragraph" w:customStyle="1" w:styleId="210">
    <w:name w:val="二、2行黑體退1"/>
    <w:basedOn w:val="a"/>
    <w:rsid w:val="00C4097F"/>
    <w:pPr>
      <w:ind w:leftChars="80" w:left="192"/>
      <w:jc w:val="both"/>
    </w:pPr>
    <w:rPr>
      <w:rFonts w:eastAsia="標楷體" w:cs="新細明體"/>
      <w:b/>
      <w:spacing w:val="-4"/>
      <w:sz w:val="20"/>
    </w:rPr>
  </w:style>
  <w:style w:type="character" w:customStyle="1" w:styleId="afc">
    <w:name w:val="註解方塊文字 字元"/>
    <w:link w:val="afb"/>
    <w:uiPriority w:val="99"/>
    <w:locked/>
    <w:rsid w:val="00C4097F"/>
    <w:rPr>
      <w:rFonts w:ascii="Arial" w:hAnsi="Arial"/>
      <w:kern w:val="2"/>
      <w:sz w:val="18"/>
      <w:szCs w:val="18"/>
    </w:rPr>
  </w:style>
  <w:style w:type="character" w:customStyle="1" w:styleId="afffff6">
    <w:name w:val="本文 字元 字元 字元"/>
    <w:rsid w:val="00C4097F"/>
    <w:rPr>
      <w:rFonts w:ascii="標楷體" w:eastAsia="標楷體" w:cs="Times New Roman"/>
      <w:kern w:val="2"/>
      <w:sz w:val="32"/>
      <w:lang w:val="en-US" w:eastAsia="zh-TW" w:bidi="ar-SA"/>
    </w:rPr>
  </w:style>
  <w:style w:type="character" w:customStyle="1" w:styleId="af5">
    <w:name w:val="日期 字元"/>
    <w:link w:val="af4"/>
    <w:locked/>
    <w:rsid w:val="00C4097F"/>
    <w:rPr>
      <w:rFonts w:ascii="標楷體" w:eastAsia="標楷體"/>
      <w:kern w:val="2"/>
      <w:sz w:val="32"/>
    </w:rPr>
  </w:style>
  <w:style w:type="paragraph" w:customStyle="1" w:styleId="1f">
    <w:name w:val="段落樣式1"/>
    <w:basedOn w:val="a"/>
    <w:rsid w:val="00C4097F"/>
    <w:pPr>
      <w:kinsoku w:val="0"/>
      <w:wordWrap w:val="0"/>
      <w:autoSpaceDE w:val="0"/>
      <w:autoSpaceDN w:val="0"/>
      <w:ind w:leftChars="200" w:left="200" w:firstLineChars="200" w:firstLine="200"/>
      <w:jc w:val="both"/>
    </w:pPr>
    <w:rPr>
      <w:rFonts w:ascii="標楷體" w:eastAsia="標楷體"/>
      <w:kern w:val="0"/>
      <w:sz w:val="32"/>
    </w:rPr>
  </w:style>
  <w:style w:type="paragraph" w:customStyle="1" w:styleId="26">
    <w:name w:val="內文2"/>
    <w:basedOn w:val="a"/>
    <w:link w:val="27"/>
    <w:qFormat/>
    <w:rsid w:val="00C4097F"/>
    <w:pPr>
      <w:adjustRightInd w:val="0"/>
      <w:snapToGrid w:val="0"/>
      <w:spacing w:line="520" w:lineRule="exact"/>
      <w:ind w:leftChars="200" w:left="960" w:hangingChars="100" w:hanging="320"/>
      <w:jc w:val="both"/>
    </w:pPr>
    <w:rPr>
      <w:rFonts w:ascii="標楷體" w:eastAsia="標楷體" w:hAnsi="標楷體"/>
      <w:sz w:val="32"/>
      <w:lang w:val="x-none" w:eastAsia="x-none"/>
    </w:rPr>
  </w:style>
  <w:style w:type="character" w:customStyle="1" w:styleId="27">
    <w:name w:val="內文2 字元"/>
    <w:link w:val="26"/>
    <w:locked/>
    <w:rsid w:val="00C4097F"/>
    <w:rPr>
      <w:rFonts w:ascii="標楷體" w:eastAsia="標楷體" w:hAnsi="標楷體"/>
      <w:kern w:val="2"/>
      <w:sz w:val="32"/>
      <w:lang w:val="x-none" w:eastAsia="x-none"/>
    </w:rPr>
  </w:style>
  <w:style w:type="paragraph" w:customStyle="1" w:styleId="1f0">
    <w:name w:val="清單段落1"/>
    <w:basedOn w:val="a"/>
    <w:uiPriority w:val="99"/>
    <w:rsid w:val="00C4097F"/>
    <w:pPr>
      <w:ind w:leftChars="200" w:left="480"/>
    </w:pPr>
    <w:rPr>
      <w:rFonts w:ascii="Calibri" w:hAnsi="Calibri"/>
      <w:szCs w:val="22"/>
    </w:rPr>
  </w:style>
  <w:style w:type="paragraph" w:customStyle="1" w:styleId="afffff7">
    <w:name w:val="標題(一)"/>
    <w:basedOn w:val="a"/>
    <w:rsid w:val="00C4097F"/>
    <w:pPr>
      <w:tabs>
        <w:tab w:val="left" w:pos="360"/>
        <w:tab w:val="left" w:pos="720"/>
        <w:tab w:val="left" w:pos="1080"/>
        <w:tab w:val="left" w:pos="1440"/>
      </w:tabs>
      <w:autoSpaceDE w:val="0"/>
      <w:autoSpaceDN w:val="0"/>
      <w:adjustRightInd w:val="0"/>
      <w:snapToGrid w:val="0"/>
      <w:spacing w:line="600" w:lineRule="exact"/>
      <w:ind w:left="1305" w:hanging="454"/>
      <w:jc w:val="both"/>
      <w:textAlignment w:val="baseline"/>
    </w:pPr>
    <w:rPr>
      <w:rFonts w:eastAsia="標楷體"/>
      <w:spacing w:val="-4"/>
      <w:kern w:val="0"/>
      <w:sz w:val="28"/>
    </w:rPr>
  </w:style>
  <w:style w:type="paragraph" w:customStyle="1" w:styleId="1">
    <w:name w:val="樣式1."/>
    <w:basedOn w:val="a7"/>
    <w:link w:val="1f1"/>
    <w:qFormat/>
    <w:rsid w:val="00C4097F"/>
    <w:pPr>
      <w:numPr>
        <w:numId w:val="1"/>
      </w:numPr>
      <w:tabs>
        <w:tab w:val="left" w:pos="12480"/>
      </w:tabs>
      <w:snapToGrid w:val="0"/>
      <w:spacing w:before="120" w:line="520" w:lineRule="exact"/>
      <w:jc w:val="both"/>
    </w:pPr>
    <w:rPr>
      <w:rFonts w:ascii="Times New Roman" w:eastAsia="標楷體" w:hAnsi="Times New Roman"/>
      <w:sz w:val="32"/>
      <w:szCs w:val="32"/>
      <w:lang w:val="x-none" w:eastAsia="x-none"/>
    </w:rPr>
  </w:style>
  <w:style w:type="character" w:customStyle="1" w:styleId="1f1">
    <w:name w:val="樣式1. 字元"/>
    <w:link w:val="1"/>
    <w:rsid w:val="00C4097F"/>
    <w:rPr>
      <w:rFonts w:eastAsia="標楷體"/>
      <w:kern w:val="2"/>
      <w:sz w:val="32"/>
      <w:szCs w:val="32"/>
      <w:lang w:val="x-none" w:eastAsia="x-none"/>
    </w:rPr>
  </w:style>
  <w:style w:type="character" w:customStyle="1" w:styleId="35">
    <w:name w:val="本文縮排 3 字元"/>
    <w:link w:val="34"/>
    <w:uiPriority w:val="99"/>
    <w:rsid w:val="00C4097F"/>
    <w:rPr>
      <w:kern w:val="2"/>
      <w:sz w:val="16"/>
      <w:szCs w:val="24"/>
    </w:rPr>
  </w:style>
  <w:style w:type="paragraph" w:customStyle="1" w:styleId="afffff8">
    <w:name w:val="表單位"/>
    <w:basedOn w:val="affff1"/>
    <w:link w:val="afffff9"/>
    <w:qFormat/>
    <w:rsid w:val="00C4097F"/>
    <w:pPr>
      <w:keepNext/>
      <w:spacing w:line="280" w:lineRule="exact"/>
      <w:jc w:val="right"/>
    </w:pPr>
  </w:style>
  <w:style w:type="character" w:customStyle="1" w:styleId="afffff9">
    <w:name w:val="表單位 字元"/>
    <w:link w:val="afffff8"/>
    <w:rsid w:val="00C4097F"/>
    <w:rPr>
      <w:rFonts w:ascii="標楷體" w:eastAsia="標楷體" w:hAnsi="標楷體"/>
      <w:bCs/>
      <w:kern w:val="2"/>
    </w:rPr>
  </w:style>
  <w:style w:type="character" w:customStyle="1" w:styleId="25">
    <w:name w:val="本文縮排 2 字元"/>
    <w:link w:val="24"/>
    <w:rsid w:val="00C4097F"/>
    <w:rPr>
      <w:kern w:val="2"/>
      <w:sz w:val="24"/>
    </w:rPr>
  </w:style>
  <w:style w:type="paragraph" w:customStyle="1" w:styleId="TableParagraph">
    <w:name w:val="Table Paragraph"/>
    <w:basedOn w:val="a"/>
    <w:uiPriority w:val="1"/>
    <w:qFormat/>
    <w:rsid w:val="00C4097F"/>
    <w:rPr>
      <w:rFonts w:ascii="Calibri" w:hAnsi="Calibri"/>
      <w:kern w:val="0"/>
      <w:sz w:val="22"/>
      <w:szCs w:val="22"/>
      <w:lang w:eastAsia="en-US"/>
    </w:rPr>
  </w:style>
  <w:style w:type="table" w:customStyle="1" w:styleId="81">
    <w:name w:val="表格格線81"/>
    <w:basedOn w:val="a1"/>
    <w:next w:val="afff"/>
    <w:uiPriority w:val="39"/>
    <w:rsid w:val="00DA051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清單段落 字元"/>
    <w:basedOn w:val="a0"/>
    <w:link w:val="afffa"/>
    <w:uiPriority w:val="34"/>
    <w:qFormat/>
    <w:rsid w:val="00DA051C"/>
    <w:rPr>
      <w:kern w:val="2"/>
      <w:sz w:val="24"/>
    </w:rPr>
  </w:style>
  <w:style w:type="table" w:customStyle="1" w:styleId="1f2">
    <w:name w:val="表格格線1"/>
    <w:basedOn w:val="a1"/>
    <w:next w:val="afff"/>
    <w:uiPriority w:val="39"/>
    <w:qFormat/>
    <w:rsid w:val="00C854F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1"/>
    <w:next w:val="afff"/>
    <w:uiPriority w:val="59"/>
    <w:rsid w:val="004C1D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
    <w:basedOn w:val="a"/>
    <w:rsid w:val="00B559F8"/>
    <w:pPr>
      <w:ind w:left="1078" w:hanging="352"/>
      <w:jc w:val="both"/>
    </w:pPr>
    <w:rPr>
      <w:rFonts w:ascii="標楷體" w:eastAsia="標楷體" w:hAnsi="標楷體"/>
      <w:sz w:val="32"/>
      <w:szCs w:val="24"/>
    </w:rPr>
  </w:style>
  <w:style w:type="paragraph" w:customStyle="1" w:styleId="28">
    <w:name w:val="註2."/>
    <w:basedOn w:val="a"/>
    <w:qFormat/>
    <w:rsid w:val="00025DDA"/>
    <w:pPr>
      <w:adjustRightInd w:val="0"/>
      <w:snapToGrid w:val="0"/>
      <w:ind w:leftChars="150" w:left="250" w:hangingChars="100" w:hanging="100"/>
      <w:jc w:val="both"/>
    </w:pPr>
    <w:rPr>
      <w:rFonts w:ascii="標楷體" w:eastAsia="標楷體" w:hAnsi="標楷體" w:cs="標楷體"/>
      <w:sz w:val="18"/>
    </w:rPr>
  </w:style>
  <w:style w:type="paragraph" w:customStyle="1" w:styleId="afffffb">
    <w:name w:val="內文（一）"/>
    <w:basedOn w:val="a"/>
    <w:qFormat/>
    <w:rsid w:val="001344B4"/>
    <w:pPr>
      <w:adjustRightInd w:val="0"/>
      <w:snapToGrid w:val="0"/>
      <w:spacing w:line="480" w:lineRule="exact"/>
      <w:ind w:firstLineChars="200" w:firstLine="200"/>
      <w:jc w:val="both"/>
    </w:pPr>
    <w:rPr>
      <w:rFonts w:ascii="標楷體" w:eastAsia="標楷體" w:hAnsi="標楷體" w:cs="標楷體"/>
      <w:sz w:val="32"/>
      <w:szCs w:val="32"/>
    </w:rPr>
  </w:style>
  <w:style w:type="table" w:customStyle="1" w:styleId="29">
    <w:name w:val="表格格線2"/>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f"/>
    <w:uiPriority w:val="59"/>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段落樣式3"/>
    <w:basedOn w:val="a"/>
    <w:qFormat/>
    <w:rsid w:val="009B53E2"/>
    <w:pPr>
      <w:tabs>
        <w:tab w:val="left" w:pos="567"/>
      </w:tabs>
      <w:overflowPunct w:val="0"/>
      <w:autoSpaceDE w:val="0"/>
      <w:autoSpaceDN w:val="0"/>
      <w:ind w:leftChars="400" w:left="400" w:firstLineChars="200" w:firstLine="200"/>
      <w:jc w:val="both"/>
    </w:pPr>
    <w:rPr>
      <w:rFonts w:ascii="標楷體" w:eastAsia="標楷體"/>
      <w:kern w:val="32"/>
      <w:sz w:val="32"/>
    </w:rPr>
  </w:style>
  <w:style w:type="table" w:customStyle="1" w:styleId="211">
    <w:name w:val="表格格線211"/>
    <w:basedOn w:val="a1"/>
    <w:next w:val="afff"/>
    <w:rsid w:val="00162DF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表格格線11"/>
    <w:basedOn w:val="a1"/>
    <w:next w:val="afff"/>
    <w:uiPriority w:val="39"/>
    <w:qFormat/>
    <w:rsid w:val="002916D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ff"/>
    <w:uiPriority w:val="59"/>
    <w:rsid w:val="00FC55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表格格線12"/>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1"/>
    <w:next w:val="afff"/>
    <w:qFormat/>
    <w:rsid w:val="007170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格線21"/>
    <w:basedOn w:val="a1"/>
    <w:next w:val="afff"/>
    <w:uiPriority w:val="59"/>
    <w:qFormat/>
    <w:rsid w:val="0090182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1"/>
    <w:next w:val="afff"/>
    <w:uiPriority w:val="59"/>
    <w:rsid w:val="00C0267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f"/>
    <w:uiPriority w:val="59"/>
    <w:rsid w:val="00E75DD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ff"/>
    <w:uiPriority w:val="59"/>
    <w:rsid w:val="004E57A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1"/>
    <w:next w:val="afff"/>
    <w:uiPriority w:val="39"/>
    <w:rsid w:val="0094778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fff"/>
    <w:uiPriority w:val="39"/>
    <w:rsid w:val="00D15EE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1"/>
    <w:next w:val="afff"/>
    <w:uiPriority w:val="59"/>
    <w:qFormat/>
    <w:rsid w:val="008C3DEC"/>
    <w:pPr>
      <w:spacing w:line="6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fff"/>
    <w:qFormat/>
    <w:rsid w:val="00D301A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1"/>
    <w:next w:val="afff"/>
    <w:uiPriority w:val="59"/>
    <w:rsid w:val="005A09F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ff"/>
    <w:uiPriority w:val="39"/>
    <w:qFormat/>
    <w:rsid w:val="009128A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f"/>
    <w:uiPriority w:val="59"/>
    <w:qFormat/>
    <w:rsid w:val="00765C3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表格格線22"/>
    <w:basedOn w:val="a1"/>
    <w:next w:val="afff"/>
    <w:qFormat/>
    <w:rsid w:val="005A7E7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4"/>
    <w:basedOn w:val="a1"/>
    <w:next w:val="afff"/>
    <w:uiPriority w:val="39"/>
    <w:qFormat/>
    <w:rsid w:val="00C118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f"/>
    <w:uiPriority w:val="59"/>
    <w:qFormat/>
    <w:rsid w:val="006A168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1"/>
    <w:next w:val="afff"/>
    <w:uiPriority w:val="59"/>
    <w:qFormat/>
    <w:rsid w:val="006A1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1"/>
    <w:next w:val="afff"/>
    <w:uiPriority w:val="59"/>
    <w:qFormat/>
    <w:rsid w:val="004E34D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
    <w:uiPriority w:val="59"/>
    <w:rsid w:val="004602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f"/>
    <w:uiPriority w:val="39"/>
    <w:qFormat/>
    <w:rsid w:val="003D785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f"/>
    <w:uiPriority w:val="59"/>
    <w:qFormat/>
    <w:rsid w:val="00B96E8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next w:val="afff"/>
    <w:uiPriority w:val="39"/>
    <w:qFormat/>
    <w:rsid w:val="00A034C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1"/>
    <w:next w:val="afff"/>
    <w:uiPriority w:val="59"/>
    <w:qFormat/>
    <w:rsid w:val="00FC60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f"/>
    <w:uiPriority w:val="39"/>
    <w:qFormat/>
    <w:rsid w:val="0087514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c">
    <w:name w:val="一/內"/>
    <w:basedOn w:val="a"/>
    <w:link w:val="afffffd"/>
    <w:qFormat/>
    <w:rsid w:val="009D1C17"/>
    <w:pPr>
      <w:widowControl/>
      <w:overflowPunct w:val="0"/>
      <w:adjustRightInd w:val="0"/>
      <w:snapToGrid w:val="0"/>
      <w:spacing w:line="540" w:lineRule="exact"/>
      <w:ind w:leftChars="268" w:left="643" w:firstLineChars="200" w:firstLine="640"/>
      <w:jc w:val="both"/>
      <w:outlineLvl w:val="0"/>
    </w:pPr>
    <w:rPr>
      <w:rFonts w:ascii="標楷體" w:eastAsia="標楷體" w:hAnsi="標楷體"/>
      <w:color w:val="000000"/>
      <w:sz w:val="32"/>
      <w:szCs w:val="32"/>
    </w:rPr>
  </w:style>
  <w:style w:type="character" w:customStyle="1" w:styleId="afffffd">
    <w:name w:val="一/內 字元"/>
    <w:link w:val="afffffc"/>
    <w:rsid w:val="009D1C17"/>
    <w:rPr>
      <w:rFonts w:ascii="標楷體" w:eastAsia="標楷體" w:hAnsi="標楷體"/>
      <w:color w:val="000000"/>
      <w:kern w:val="2"/>
      <w:sz w:val="32"/>
      <w:szCs w:val="32"/>
    </w:rPr>
  </w:style>
  <w:style w:type="table" w:customStyle="1" w:styleId="1100">
    <w:name w:val="表格格線110"/>
    <w:basedOn w:val="a1"/>
    <w:next w:val="afff"/>
    <w:uiPriority w:val="59"/>
    <w:qFormat/>
    <w:rsid w:val="004B79A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表格格線2121"/>
    <w:basedOn w:val="a1"/>
    <w:next w:val="afff"/>
    <w:uiPriority w:val="39"/>
    <w:rsid w:val="00137F4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f"/>
    <w:uiPriority w:val="59"/>
    <w:qFormat/>
    <w:rsid w:val="004514E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3"/>
    <w:basedOn w:val="a1"/>
    <w:next w:val="afff"/>
    <w:uiPriority w:val="59"/>
    <w:qFormat/>
    <w:rsid w:val="00BA7D5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e">
    <w:name w:val="Revision"/>
    <w:hidden/>
    <w:uiPriority w:val="99"/>
    <w:semiHidden/>
    <w:rsid w:val="009C753D"/>
    <w:rPr>
      <w:kern w:val="2"/>
      <w:sz w:val="24"/>
    </w:rPr>
  </w:style>
  <w:style w:type="table" w:customStyle="1" w:styleId="200">
    <w:name w:val="表格格線20"/>
    <w:basedOn w:val="a1"/>
    <w:next w:val="afff"/>
    <w:uiPriority w:val="39"/>
    <w:qFormat/>
    <w:rsid w:val="00EB17B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f"/>
    <w:uiPriority w:val="59"/>
    <w:rsid w:val="00193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f"/>
    <w:uiPriority w:val="39"/>
    <w:rsid w:val="002A6A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f"/>
    <w:uiPriority w:val="59"/>
    <w:rsid w:val="001633EC"/>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意見標題一"/>
    <w:basedOn w:val="a"/>
    <w:link w:val="affffff0"/>
    <w:qFormat/>
    <w:rsid w:val="005455D1"/>
    <w:pPr>
      <w:overflowPunct w:val="0"/>
      <w:spacing w:line="600" w:lineRule="exact"/>
      <w:ind w:leftChars="100" w:left="305" w:hangingChars="205" w:hanging="205"/>
      <w:jc w:val="both"/>
    </w:pPr>
    <w:rPr>
      <w:rFonts w:ascii="標楷體" w:eastAsia="標楷體" w:hAnsi="標楷體"/>
      <w:sz w:val="32"/>
      <w:szCs w:val="32"/>
    </w:rPr>
  </w:style>
  <w:style w:type="character" w:customStyle="1" w:styleId="affffff0">
    <w:name w:val="意見標題一 字元"/>
    <w:basedOn w:val="a0"/>
    <w:link w:val="affffff"/>
    <w:rsid w:val="005455D1"/>
    <w:rPr>
      <w:rFonts w:ascii="標楷體" w:eastAsia="標楷體" w:hAnsi="標楷體"/>
      <w:kern w:val="2"/>
      <w:sz w:val="32"/>
      <w:szCs w:val="32"/>
    </w:rPr>
  </w:style>
  <w:style w:type="paragraph" w:customStyle="1" w:styleId="affffff1">
    <w:name w:val="主標題"/>
    <w:basedOn w:val="a"/>
    <w:link w:val="affffff2"/>
    <w:qFormat/>
    <w:rsid w:val="0056137B"/>
    <w:pPr>
      <w:widowControl/>
      <w:overflowPunct w:val="0"/>
      <w:snapToGrid w:val="0"/>
      <w:spacing w:afterLines="20" w:after="72" w:line="400" w:lineRule="exact"/>
      <w:jc w:val="both"/>
    </w:pPr>
    <w:rPr>
      <w:rFonts w:ascii="標楷體" w:eastAsia="標楷體" w:hAnsi="標楷體"/>
      <w:b/>
      <w:kern w:val="0"/>
      <w:sz w:val="28"/>
      <w:szCs w:val="28"/>
    </w:rPr>
  </w:style>
  <w:style w:type="paragraph" w:customStyle="1" w:styleId="-">
    <w:name w:val="內文-重要審核意見"/>
    <w:basedOn w:val="a"/>
    <w:link w:val="-0"/>
    <w:qFormat/>
    <w:rsid w:val="0056137B"/>
    <w:pPr>
      <w:widowControl/>
      <w:overflowPunct w:val="0"/>
      <w:spacing w:line="400" w:lineRule="exact"/>
      <w:ind w:firstLineChars="200" w:firstLine="200"/>
    </w:pPr>
    <w:rPr>
      <w:rFonts w:ascii="標楷體" w:eastAsia="標楷體" w:hAnsi="標楷體"/>
      <w:kern w:val="0"/>
      <w:szCs w:val="24"/>
    </w:rPr>
  </w:style>
  <w:style w:type="character" w:customStyle="1" w:styleId="affffff2">
    <w:name w:val="主標題 字元"/>
    <w:basedOn w:val="a0"/>
    <w:link w:val="affffff1"/>
    <w:rsid w:val="0056137B"/>
    <w:rPr>
      <w:rFonts w:ascii="標楷體" w:eastAsia="標楷體" w:hAnsi="標楷體"/>
      <w:b/>
      <w:sz w:val="28"/>
      <w:szCs w:val="28"/>
    </w:rPr>
  </w:style>
  <w:style w:type="character" w:customStyle="1" w:styleId="-0">
    <w:name w:val="內文-重要審核意見 字元"/>
    <w:basedOn w:val="a0"/>
    <w:link w:val="-"/>
    <w:rsid w:val="0056137B"/>
    <w:rPr>
      <w:rFonts w:ascii="標楷體" w:eastAsia="標楷體" w:hAnsi="標楷體"/>
      <w:sz w:val="24"/>
      <w:szCs w:val="24"/>
    </w:rPr>
  </w:style>
  <w:style w:type="paragraph" w:customStyle="1" w:styleId="2-2">
    <w:name w:val="內文(2)-重要審核意見"/>
    <w:basedOn w:val="-"/>
    <w:link w:val="2-3"/>
    <w:qFormat/>
    <w:rsid w:val="00F15171"/>
    <w:pPr>
      <w:ind w:firstLineChars="450" w:firstLine="1080"/>
    </w:pPr>
    <w:rPr>
      <w:snapToGrid w:val="0"/>
    </w:rPr>
  </w:style>
  <w:style w:type="character" w:customStyle="1" w:styleId="2-3">
    <w:name w:val="內文(2)-重要審核意見 字元"/>
    <w:basedOn w:val="-0"/>
    <w:link w:val="2-2"/>
    <w:rsid w:val="00F15171"/>
    <w:rPr>
      <w:rFonts w:ascii="標楷體" w:eastAsia="標楷體" w:hAnsi="標楷體"/>
      <w:snapToGrid w:val="0"/>
      <w:sz w:val="24"/>
      <w:szCs w:val="24"/>
    </w:rPr>
  </w:style>
  <w:style w:type="table" w:customStyle="1" w:styleId="230">
    <w:name w:val="表格格線23"/>
    <w:basedOn w:val="a1"/>
    <w:next w:val="afff"/>
    <w:uiPriority w:val="39"/>
    <w:qFormat/>
    <w:rsid w:val="00232C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ff"/>
    <w:uiPriority w:val="39"/>
    <w:qFormat/>
    <w:rsid w:val="0018351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f"/>
    <w:uiPriority w:val="39"/>
    <w:qFormat/>
    <w:rsid w:val="00332B8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f"/>
    <w:uiPriority w:val="39"/>
    <w:qFormat/>
    <w:rsid w:val="00332B8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1"/>
    <w:next w:val="afff"/>
    <w:uiPriority w:val="39"/>
    <w:qFormat/>
    <w:rsid w:val="007D09A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ff"/>
    <w:uiPriority w:val="39"/>
    <w:qFormat/>
    <w:rsid w:val="006E38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6E388E"/>
    <w:rPr>
      <w:rFonts w:ascii="DFKaiShu-SB-Estd-BF" w:hAnsi="DFKaiShu-SB-Estd-BF" w:hint="default"/>
      <w:b w:val="0"/>
      <w:bCs w:val="0"/>
      <w:i w:val="0"/>
      <w:iCs w:val="0"/>
      <w:color w:val="000000"/>
      <w:sz w:val="28"/>
      <w:szCs w:val="28"/>
    </w:rPr>
  </w:style>
  <w:style w:type="paragraph" w:customStyle="1" w:styleId="affffff3">
    <w:name w:val="排版(一)"/>
    <w:basedOn w:val="af9"/>
    <w:link w:val="affffff4"/>
    <w:qFormat/>
    <w:rsid w:val="00283CE1"/>
    <w:pPr>
      <w:snapToGrid w:val="0"/>
      <w:spacing w:before="72" w:after="72" w:line="420" w:lineRule="exact"/>
      <w:ind w:firstLine="561"/>
    </w:pPr>
    <w:rPr>
      <w:rFonts w:ascii="標楷體" w:hAnsi="標楷體"/>
      <w:snapToGrid w:val="0"/>
      <w:kern w:val="0"/>
    </w:rPr>
  </w:style>
  <w:style w:type="character" w:customStyle="1" w:styleId="affffff4">
    <w:name w:val="排版(一) 字元"/>
    <w:link w:val="affffff3"/>
    <w:rsid w:val="00283CE1"/>
    <w:rPr>
      <w:rFonts w:ascii="標楷體" w:eastAsia="標楷體" w:hAnsi="標楷體" w:cs="新細明體"/>
      <w:b/>
      <w:bCs/>
      <w:snapToGrid w:val="0"/>
      <w:sz w:val="28"/>
      <w:szCs w:val="28"/>
    </w:rPr>
  </w:style>
  <w:style w:type="table" w:customStyle="1" w:styleId="1611">
    <w:name w:val="表格格線1611"/>
    <w:basedOn w:val="a1"/>
    <w:next w:val="afff"/>
    <w:uiPriority w:val="39"/>
    <w:rsid w:val="0012291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
    <w:name w:val="SGS Table Basic 1111"/>
    <w:basedOn w:val="a1"/>
    <w:next w:val="afff"/>
    <w:uiPriority w:val="39"/>
    <w:qFormat/>
    <w:rsid w:val="001229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1">
    <w:name w:val="SGS Table Basic 11111"/>
    <w:basedOn w:val="a1"/>
    <w:next w:val="afff"/>
    <w:uiPriority w:val="39"/>
    <w:qFormat/>
    <w:rsid w:val="005D10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表格格線1612"/>
    <w:basedOn w:val="a1"/>
    <w:next w:val="afff"/>
    <w:uiPriority w:val="39"/>
    <w:rsid w:val="00622CA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1"/>
    <w:next w:val="afff"/>
    <w:uiPriority w:val="39"/>
    <w:qFormat/>
    <w:rsid w:val="00C110F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1"/>
    <w:next w:val="afff"/>
    <w:uiPriority w:val="39"/>
    <w:qFormat/>
    <w:rsid w:val="000F392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1"/>
    <w:next w:val="afff"/>
    <w:uiPriority w:val="39"/>
    <w:qFormat/>
    <w:rsid w:val="00364AB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1"/>
    <w:next w:val="afff"/>
    <w:uiPriority w:val="39"/>
    <w:qFormat/>
    <w:rsid w:val="0031215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1"/>
    <w:next w:val="afff"/>
    <w:uiPriority w:val="39"/>
    <w:qFormat/>
    <w:rsid w:val="0031215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8"/>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格格線39"/>
    <w:basedOn w:val="a1"/>
    <w:next w:val="afff"/>
    <w:uiPriority w:val="39"/>
    <w:qFormat/>
    <w:rsid w:val="00F6042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附註"/>
    <w:basedOn w:val="a"/>
    <w:link w:val="affffff6"/>
    <w:qFormat/>
    <w:rsid w:val="00F60428"/>
    <w:pPr>
      <w:adjustRightInd w:val="0"/>
      <w:snapToGrid w:val="0"/>
      <w:ind w:left="100" w:hangingChars="100" w:hanging="100"/>
      <w:jc w:val="both"/>
    </w:pPr>
    <w:rPr>
      <w:rFonts w:ascii="標楷體" w:eastAsia="標楷體" w:hAnsi="標楷體" w:cs="Courier New"/>
      <w:sz w:val="18"/>
      <w:szCs w:val="24"/>
    </w:rPr>
  </w:style>
  <w:style w:type="character" w:customStyle="1" w:styleId="affffff6">
    <w:name w:val="附註 字元"/>
    <w:basedOn w:val="a0"/>
    <w:link w:val="affffff5"/>
    <w:rsid w:val="00F60428"/>
    <w:rPr>
      <w:rFonts w:ascii="標楷體" w:eastAsia="標楷體" w:hAnsi="標楷體" w:cs="Courier New"/>
      <w:kern w:val="2"/>
      <w:sz w:val="18"/>
      <w:szCs w:val="24"/>
    </w:rPr>
  </w:style>
  <w:style w:type="paragraph" w:customStyle="1" w:styleId="affffff7">
    <w:name w:val="圖表內文"/>
    <w:basedOn w:val="a"/>
    <w:link w:val="affffff8"/>
    <w:qFormat/>
    <w:rsid w:val="00F60428"/>
    <w:pPr>
      <w:adjustRightInd w:val="0"/>
      <w:snapToGrid w:val="0"/>
      <w:jc w:val="both"/>
    </w:pPr>
    <w:rPr>
      <w:rFonts w:ascii="標楷體" w:eastAsia="標楷體" w:hAnsi="標楷體"/>
      <w:sz w:val="20"/>
    </w:rPr>
  </w:style>
  <w:style w:type="character" w:customStyle="1" w:styleId="affffff8">
    <w:name w:val="圖表內文 字元"/>
    <w:basedOn w:val="a0"/>
    <w:link w:val="affffff7"/>
    <w:rsid w:val="00F60428"/>
    <w:rPr>
      <w:rFonts w:ascii="標楷體" w:eastAsia="標楷體" w:hAnsi="標楷體"/>
      <w:kern w:val="2"/>
    </w:rPr>
  </w:style>
  <w:style w:type="paragraph" w:customStyle="1" w:styleId="-1">
    <w:name w:val="圖表標題-多行"/>
    <w:basedOn w:val="a"/>
    <w:qFormat/>
    <w:rsid w:val="00F60428"/>
    <w:pPr>
      <w:adjustRightInd w:val="0"/>
      <w:snapToGrid w:val="0"/>
      <w:ind w:left="250" w:hangingChars="250" w:hanging="250"/>
      <w:outlineLvl w:val="0"/>
    </w:pPr>
    <w:rPr>
      <w:rFonts w:ascii="標楷體" w:eastAsia="標楷體" w:hAnsi="標楷體" w:cstheme="majorBidi"/>
      <w:b/>
      <w:bCs/>
      <w:szCs w:val="36"/>
    </w:rPr>
  </w:style>
  <w:style w:type="table" w:customStyle="1" w:styleId="400">
    <w:name w:val="表格格線40"/>
    <w:basedOn w:val="a1"/>
    <w:next w:val="afff"/>
    <w:uiPriority w:val="39"/>
    <w:qFormat/>
    <w:rsid w:val="008A76F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表格格線16121"/>
    <w:basedOn w:val="a1"/>
    <w:next w:val="afff"/>
    <w:uiPriority w:val="39"/>
    <w:rsid w:val="003D5BE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f"/>
    <w:uiPriority w:val="39"/>
    <w:rsid w:val="004A427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1"/>
    <w:next w:val="afff"/>
    <w:uiPriority w:val="39"/>
    <w:qFormat/>
    <w:rsid w:val="004A5ED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next w:val="afff"/>
    <w:uiPriority w:val="39"/>
    <w:qFormat/>
    <w:rsid w:val="004A5E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1"/>
    <w:next w:val="afff"/>
    <w:uiPriority w:val="39"/>
    <w:qFormat/>
    <w:rsid w:val="008E61F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3">
    <w:name w:val="SGS Table Basic 13"/>
    <w:basedOn w:val="a1"/>
    <w:next w:val="afff"/>
    <w:uiPriority w:val="39"/>
    <w:qFormat/>
    <w:rsid w:val="0057475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4">
    <w:name w:val="SGS Table Basic 14"/>
    <w:basedOn w:val="a1"/>
    <w:next w:val="afff"/>
    <w:uiPriority w:val="39"/>
    <w:qFormat/>
    <w:rsid w:val="009A42C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圖表名稱-單行"/>
    <w:basedOn w:val="a"/>
    <w:qFormat/>
    <w:rsid w:val="00923584"/>
    <w:pPr>
      <w:kinsoku w:val="0"/>
      <w:overflowPunct w:val="0"/>
      <w:adjustRightInd w:val="0"/>
      <w:snapToGrid w:val="0"/>
      <w:spacing w:after="60" w:line="320" w:lineRule="exact"/>
      <w:jc w:val="center"/>
      <w:textAlignment w:val="baseline"/>
    </w:pPr>
    <w:rPr>
      <w:rFonts w:ascii="標楷體" w:eastAsia="標楷體" w:hAnsi="標楷體"/>
      <w:b/>
      <w:kern w:val="0"/>
      <w:szCs w:val="28"/>
    </w:rPr>
  </w:style>
  <w:style w:type="table" w:customStyle="1" w:styleId="SGSTableBasic111">
    <w:name w:val="SGS Table Basic 111"/>
    <w:basedOn w:val="a1"/>
    <w:next w:val="afff"/>
    <w:uiPriority w:val="39"/>
    <w:qFormat/>
    <w:rsid w:val="00EA580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2">
    <w:name w:val="SGS Table Basic 1112"/>
    <w:basedOn w:val="a1"/>
    <w:next w:val="afff"/>
    <w:uiPriority w:val="39"/>
    <w:qFormat/>
    <w:rsid w:val="00C817F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fff"/>
    <w:uiPriority w:val="39"/>
    <w:rsid w:val="00502A7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3">
    <w:name w:val="SGS Table Basic 1113"/>
    <w:basedOn w:val="a1"/>
    <w:next w:val="afff"/>
    <w:uiPriority w:val="39"/>
    <w:qFormat/>
    <w:rsid w:val="00502A7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表格格線45"/>
    <w:basedOn w:val="a1"/>
    <w:next w:val="afff"/>
    <w:qFormat/>
    <w:rsid w:val="00D94EF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2">
    <w:name w:val="SGS Table Basic 112"/>
    <w:basedOn w:val="a1"/>
    <w:next w:val="afff"/>
    <w:uiPriority w:val="39"/>
    <w:qFormat/>
    <w:rsid w:val="008E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1">
    <w:name w:val="SGS Table Basic 121"/>
    <w:basedOn w:val="a1"/>
    <w:next w:val="afff"/>
    <w:uiPriority w:val="39"/>
    <w:qFormat/>
    <w:rsid w:val="008E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5"/>
    <w:rsid w:val="007B1CF1"/>
    <w:pPr>
      <w:overflowPunct w:val="0"/>
      <w:spacing w:line="520" w:lineRule="exact"/>
    </w:pPr>
    <w:rPr>
      <w:rFonts w:hAnsi="標楷體"/>
      <w:bCs/>
      <w:color w:val="000000"/>
      <w:sz w:val="22"/>
      <w:szCs w:val="32"/>
    </w:rPr>
  </w:style>
  <w:style w:type="table" w:customStyle="1" w:styleId="SGSTableBasic122">
    <w:name w:val="SGS Table Basic 122"/>
    <w:basedOn w:val="a1"/>
    <w:next w:val="afff"/>
    <w:uiPriority w:val="39"/>
    <w:qFormat/>
    <w:rsid w:val="0004124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9">
    <w:name w:val="Placeholder Text"/>
    <w:basedOn w:val="a0"/>
    <w:uiPriority w:val="99"/>
    <w:semiHidden/>
    <w:rsid w:val="00BC79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26155">
      <w:bodyDiv w:val="1"/>
      <w:marLeft w:val="0"/>
      <w:marRight w:val="0"/>
      <w:marTop w:val="0"/>
      <w:marBottom w:val="0"/>
      <w:divBdr>
        <w:top w:val="none" w:sz="0" w:space="0" w:color="auto"/>
        <w:left w:val="none" w:sz="0" w:space="0" w:color="auto"/>
        <w:bottom w:val="none" w:sz="0" w:space="0" w:color="auto"/>
        <w:right w:val="none" w:sz="0" w:space="0" w:color="auto"/>
      </w:divBdr>
    </w:div>
    <w:div w:id="67003048">
      <w:bodyDiv w:val="1"/>
      <w:marLeft w:val="0"/>
      <w:marRight w:val="0"/>
      <w:marTop w:val="0"/>
      <w:marBottom w:val="0"/>
      <w:divBdr>
        <w:top w:val="none" w:sz="0" w:space="0" w:color="auto"/>
        <w:left w:val="none" w:sz="0" w:space="0" w:color="auto"/>
        <w:bottom w:val="none" w:sz="0" w:space="0" w:color="auto"/>
        <w:right w:val="none" w:sz="0" w:space="0" w:color="auto"/>
      </w:divBdr>
    </w:div>
    <w:div w:id="267587284">
      <w:bodyDiv w:val="1"/>
      <w:marLeft w:val="0"/>
      <w:marRight w:val="0"/>
      <w:marTop w:val="0"/>
      <w:marBottom w:val="0"/>
      <w:divBdr>
        <w:top w:val="none" w:sz="0" w:space="0" w:color="auto"/>
        <w:left w:val="none" w:sz="0" w:space="0" w:color="auto"/>
        <w:bottom w:val="none" w:sz="0" w:space="0" w:color="auto"/>
        <w:right w:val="none" w:sz="0" w:space="0" w:color="auto"/>
      </w:divBdr>
    </w:div>
    <w:div w:id="481775013">
      <w:bodyDiv w:val="1"/>
      <w:marLeft w:val="0"/>
      <w:marRight w:val="0"/>
      <w:marTop w:val="0"/>
      <w:marBottom w:val="0"/>
      <w:divBdr>
        <w:top w:val="none" w:sz="0" w:space="0" w:color="auto"/>
        <w:left w:val="none" w:sz="0" w:space="0" w:color="auto"/>
        <w:bottom w:val="none" w:sz="0" w:space="0" w:color="auto"/>
        <w:right w:val="none" w:sz="0" w:space="0" w:color="auto"/>
      </w:divBdr>
    </w:div>
    <w:div w:id="654844726">
      <w:bodyDiv w:val="1"/>
      <w:marLeft w:val="0"/>
      <w:marRight w:val="0"/>
      <w:marTop w:val="0"/>
      <w:marBottom w:val="0"/>
      <w:divBdr>
        <w:top w:val="none" w:sz="0" w:space="0" w:color="auto"/>
        <w:left w:val="none" w:sz="0" w:space="0" w:color="auto"/>
        <w:bottom w:val="none" w:sz="0" w:space="0" w:color="auto"/>
        <w:right w:val="none" w:sz="0" w:space="0" w:color="auto"/>
      </w:divBdr>
    </w:div>
    <w:div w:id="743141364">
      <w:bodyDiv w:val="1"/>
      <w:marLeft w:val="0"/>
      <w:marRight w:val="0"/>
      <w:marTop w:val="0"/>
      <w:marBottom w:val="0"/>
      <w:divBdr>
        <w:top w:val="none" w:sz="0" w:space="0" w:color="auto"/>
        <w:left w:val="none" w:sz="0" w:space="0" w:color="auto"/>
        <w:bottom w:val="none" w:sz="0" w:space="0" w:color="auto"/>
        <w:right w:val="none" w:sz="0" w:space="0" w:color="auto"/>
      </w:divBdr>
    </w:div>
    <w:div w:id="868876992">
      <w:bodyDiv w:val="1"/>
      <w:marLeft w:val="0"/>
      <w:marRight w:val="0"/>
      <w:marTop w:val="0"/>
      <w:marBottom w:val="0"/>
      <w:divBdr>
        <w:top w:val="none" w:sz="0" w:space="0" w:color="auto"/>
        <w:left w:val="none" w:sz="0" w:space="0" w:color="auto"/>
        <w:bottom w:val="none" w:sz="0" w:space="0" w:color="auto"/>
        <w:right w:val="none" w:sz="0" w:space="0" w:color="auto"/>
      </w:divBdr>
    </w:div>
    <w:div w:id="894584095">
      <w:bodyDiv w:val="1"/>
      <w:marLeft w:val="0"/>
      <w:marRight w:val="0"/>
      <w:marTop w:val="0"/>
      <w:marBottom w:val="0"/>
      <w:divBdr>
        <w:top w:val="none" w:sz="0" w:space="0" w:color="auto"/>
        <w:left w:val="none" w:sz="0" w:space="0" w:color="auto"/>
        <w:bottom w:val="none" w:sz="0" w:space="0" w:color="auto"/>
        <w:right w:val="none" w:sz="0" w:space="0" w:color="auto"/>
      </w:divBdr>
    </w:div>
    <w:div w:id="1105422859">
      <w:bodyDiv w:val="1"/>
      <w:marLeft w:val="0"/>
      <w:marRight w:val="0"/>
      <w:marTop w:val="0"/>
      <w:marBottom w:val="0"/>
      <w:divBdr>
        <w:top w:val="none" w:sz="0" w:space="0" w:color="auto"/>
        <w:left w:val="none" w:sz="0" w:space="0" w:color="auto"/>
        <w:bottom w:val="none" w:sz="0" w:space="0" w:color="auto"/>
        <w:right w:val="none" w:sz="0" w:space="0" w:color="auto"/>
      </w:divBdr>
    </w:div>
    <w:div w:id="1168599014">
      <w:bodyDiv w:val="1"/>
      <w:marLeft w:val="0"/>
      <w:marRight w:val="0"/>
      <w:marTop w:val="0"/>
      <w:marBottom w:val="0"/>
      <w:divBdr>
        <w:top w:val="none" w:sz="0" w:space="0" w:color="auto"/>
        <w:left w:val="none" w:sz="0" w:space="0" w:color="auto"/>
        <w:bottom w:val="none" w:sz="0" w:space="0" w:color="auto"/>
        <w:right w:val="none" w:sz="0" w:space="0" w:color="auto"/>
      </w:divBdr>
    </w:div>
    <w:div w:id="1405492049">
      <w:bodyDiv w:val="1"/>
      <w:marLeft w:val="0"/>
      <w:marRight w:val="0"/>
      <w:marTop w:val="0"/>
      <w:marBottom w:val="0"/>
      <w:divBdr>
        <w:top w:val="none" w:sz="0" w:space="0" w:color="auto"/>
        <w:left w:val="none" w:sz="0" w:space="0" w:color="auto"/>
        <w:bottom w:val="none" w:sz="0" w:space="0" w:color="auto"/>
        <w:right w:val="none" w:sz="0" w:space="0" w:color="auto"/>
      </w:divBdr>
    </w:div>
    <w:div w:id="1417703885">
      <w:bodyDiv w:val="1"/>
      <w:marLeft w:val="0"/>
      <w:marRight w:val="0"/>
      <w:marTop w:val="0"/>
      <w:marBottom w:val="0"/>
      <w:divBdr>
        <w:top w:val="none" w:sz="0" w:space="0" w:color="auto"/>
        <w:left w:val="none" w:sz="0" w:space="0" w:color="auto"/>
        <w:bottom w:val="none" w:sz="0" w:space="0" w:color="auto"/>
        <w:right w:val="none" w:sz="0" w:space="0" w:color="auto"/>
      </w:divBdr>
    </w:div>
    <w:div w:id="1498619162">
      <w:bodyDiv w:val="1"/>
      <w:marLeft w:val="0"/>
      <w:marRight w:val="0"/>
      <w:marTop w:val="0"/>
      <w:marBottom w:val="0"/>
      <w:divBdr>
        <w:top w:val="none" w:sz="0" w:space="0" w:color="auto"/>
        <w:left w:val="none" w:sz="0" w:space="0" w:color="auto"/>
        <w:bottom w:val="none" w:sz="0" w:space="0" w:color="auto"/>
        <w:right w:val="none" w:sz="0" w:space="0" w:color="auto"/>
      </w:divBdr>
    </w:div>
    <w:div w:id="1636988555">
      <w:bodyDiv w:val="1"/>
      <w:marLeft w:val="0"/>
      <w:marRight w:val="0"/>
      <w:marTop w:val="0"/>
      <w:marBottom w:val="0"/>
      <w:divBdr>
        <w:top w:val="none" w:sz="0" w:space="0" w:color="auto"/>
        <w:left w:val="none" w:sz="0" w:space="0" w:color="auto"/>
        <w:bottom w:val="none" w:sz="0" w:space="0" w:color="auto"/>
        <w:right w:val="none" w:sz="0" w:space="0" w:color="auto"/>
      </w:divBdr>
    </w:div>
    <w:div w:id="1737584318">
      <w:bodyDiv w:val="1"/>
      <w:marLeft w:val="0"/>
      <w:marRight w:val="0"/>
      <w:marTop w:val="0"/>
      <w:marBottom w:val="0"/>
      <w:divBdr>
        <w:top w:val="none" w:sz="0" w:space="0" w:color="auto"/>
        <w:left w:val="none" w:sz="0" w:space="0" w:color="auto"/>
        <w:bottom w:val="none" w:sz="0" w:space="0" w:color="auto"/>
        <w:right w:val="none" w:sz="0" w:space="0" w:color="auto"/>
      </w:divBdr>
    </w:div>
    <w:div w:id="1799109866">
      <w:bodyDiv w:val="1"/>
      <w:marLeft w:val="0"/>
      <w:marRight w:val="0"/>
      <w:marTop w:val="0"/>
      <w:marBottom w:val="0"/>
      <w:divBdr>
        <w:top w:val="none" w:sz="0" w:space="0" w:color="auto"/>
        <w:left w:val="none" w:sz="0" w:space="0" w:color="auto"/>
        <w:bottom w:val="none" w:sz="0" w:space="0" w:color="auto"/>
        <w:right w:val="none" w:sz="0" w:space="0" w:color="auto"/>
      </w:divBdr>
    </w:div>
    <w:div w:id="1811510640">
      <w:bodyDiv w:val="1"/>
      <w:marLeft w:val="0"/>
      <w:marRight w:val="0"/>
      <w:marTop w:val="0"/>
      <w:marBottom w:val="0"/>
      <w:divBdr>
        <w:top w:val="none" w:sz="0" w:space="0" w:color="auto"/>
        <w:left w:val="none" w:sz="0" w:space="0" w:color="auto"/>
        <w:bottom w:val="none" w:sz="0" w:space="0" w:color="auto"/>
        <w:right w:val="none" w:sz="0" w:space="0" w:color="auto"/>
      </w:divBdr>
    </w:div>
    <w:div w:id="1932739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3.xml"/><Relationship Id="rId26" Type="http://schemas.microsoft.com/office/2007/relationships/hdphoto" Target="media/hdphoto5.wdp"/><Relationship Id="rId39" Type="http://schemas.openxmlformats.org/officeDocument/2006/relationships/image" Target="media/image17.emf"/><Relationship Id="rId21" Type="http://schemas.openxmlformats.org/officeDocument/2006/relationships/image" Target="media/image8.png"/><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0" Type="http://schemas.microsoft.com/office/2007/relationships/hdphoto" Target="media/hdphoto2.wdp"/><Relationship Id="rId29" Type="http://schemas.openxmlformats.org/officeDocument/2006/relationships/image" Target="media/image1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microsoft.com/office/2007/relationships/hdphoto" Target="media/hdphoto4.wdp"/><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image" Target="media/image18.emf"/><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9.png"/><Relationship Id="rId28" Type="http://schemas.openxmlformats.org/officeDocument/2006/relationships/chart" Target="charts/chart4.xml"/><Relationship Id="rId36" Type="http://schemas.openxmlformats.org/officeDocument/2006/relationships/image" Target="media/image15.pn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microsoft.com/office/2007/relationships/hdphoto" Target="media/hdphoto3.wdp"/><Relationship Id="rId27" Type="http://schemas.openxmlformats.org/officeDocument/2006/relationships/image" Target="media/image11.png"/><Relationship Id="rId30" Type="http://schemas.openxmlformats.org/officeDocument/2006/relationships/chart" Target="charts/chart5.xml"/><Relationship Id="rId35" Type="http://schemas.microsoft.com/office/2007/relationships/hdphoto" Target="media/hdphoto6.wdp"/><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image" Target="media/image10.png"/><Relationship Id="rId33" Type="http://schemas.openxmlformats.org/officeDocument/2006/relationships/oleObject" Target="embeddings/Microsoft_Excel_Chart.xls"/><Relationship Id="rId38" Type="http://schemas.openxmlformats.org/officeDocument/2006/relationships/chart" Target="charts/chart7.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embeddings/oleObject2.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6" Type="http://schemas.openxmlformats.org/officeDocument/2006/relationships/chartUserShapes" Target="../drawings/drawing3.xml"/><Relationship Id="rId5" Type="http://schemas.openxmlformats.org/officeDocument/2006/relationships/oleObject" Target="../embeddings/oleObject3.bin"/><Relationship Id="rId4" Type="http://schemas.openxmlformats.org/officeDocument/2006/relationships/image" Target="../media/image6.jpeg"/></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oleObject" Target="../embeddings/oleObject4.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oleObject" Target="file:///D:\&#9733;&#24037;&#20316;&#27284;&#9733;\&#9733;&#36001;&#25277;\&#9734;114-1&#36001;&#25919;&#37096;&#12289;&#22283;&#29986;\&#22283;&#29986;&#32626;\1.&#34892;&#25919;&#38498;&#25972;&#39636;&#24615;\&#29986;&#31821;&#36039;&#26009;&#34920;\&#38290;&#32622;&#37327;.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工作表1!$B$3</c:f>
              <c:strCache>
                <c:ptCount val="1"/>
                <c:pt idx="0">
                  <c:v>戶數</c:v>
                </c:pt>
              </c:strCache>
            </c:strRef>
          </c:tx>
          <c:spPr>
            <a:solidFill>
              <a:schemeClr val="dk1">
                <a:tint val="88500"/>
              </a:schemeClr>
            </a:solid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工作表1!$A$4:$A$8</c:f>
              <c:numCache>
                <c:formatCode>General</c:formatCode>
                <c:ptCount val="5"/>
                <c:pt idx="0">
                  <c:v>109</c:v>
                </c:pt>
                <c:pt idx="1">
                  <c:v>110</c:v>
                </c:pt>
                <c:pt idx="2">
                  <c:v>111</c:v>
                </c:pt>
                <c:pt idx="3">
                  <c:v>112</c:v>
                </c:pt>
                <c:pt idx="4">
                  <c:v>113</c:v>
                </c:pt>
              </c:numCache>
            </c:numRef>
          </c:cat>
          <c:val>
            <c:numRef>
              <c:f>工作表1!$B$4:$B$8</c:f>
              <c:numCache>
                <c:formatCode>#,##0</c:formatCode>
                <c:ptCount val="5"/>
                <c:pt idx="0">
                  <c:v>261182</c:v>
                </c:pt>
                <c:pt idx="1">
                  <c:v>258809</c:v>
                </c:pt>
                <c:pt idx="2">
                  <c:v>254477</c:v>
                </c:pt>
                <c:pt idx="3">
                  <c:v>252332</c:v>
                </c:pt>
                <c:pt idx="4">
                  <c:v>244493</c:v>
                </c:pt>
              </c:numCache>
            </c:numRef>
          </c:val>
          <c:extLst>
            <c:ext xmlns:c16="http://schemas.microsoft.com/office/drawing/2014/chart" uri="{C3380CC4-5D6E-409C-BE32-E72D297353CC}">
              <c16:uniqueId val="{00000000-6047-4036-8756-195F91DDE2BD}"/>
            </c:ext>
          </c:extLst>
        </c:ser>
        <c:dLbls>
          <c:showLegendKey val="0"/>
          <c:showVal val="0"/>
          <c:showCatName val="0"/>
          <c:showSerName val="0"/>
          <c:showPercent val="0"/>
          <c:showBubbleSize val="0"/>
        </c:dLbls>
        <c:gapWidth val="219"/>
        <c:axId val="768717712"/>
        <c:axId val="768727280"/>
      </c:barChart>
      <c:lineChart>
        <c:grouping val="standard"/>
        <c:varyColors val="0"/>
        <c:ser>
          <c:idx val="1"/>
          <c:order val="1"/>
          <c:tx>
            <c:strRef>
              <c:f>工作表1!$C$3</c:f>
              <c:strCache>
                <c:ptCount val="1"/>
                <c:pt idx="0">
                  <c:v>人數</c:v>
                </c:pt>
              </c:strCache>
            </c:strRef>
          </c:tx>
          <c:spPr>
            <a:ln w="28575" cap="rnd">
              <a:solidFill>
                <a:schemeClr val="dk1">
                  <a:tint val="55000"/>
                </a:schemeClr>
              </a:solidFill>
              <a:round/>
            </a:ln>
            <a:effectLst/>
          </c:spPr>
          <c:marker>
            <c:symbol val="circle"/>
            <c:size val="5"/>
            <c:spPr>
              <a:solidFill>
                <a:schemeClr val="dk1">
                  <a:tint val="55000"/>
                </a:schemeClr>
              </a:solidFill>
              <a:ln w="9525">
                <a:solidFill>
                  <a:schemeClr val="dk1">
                    <a:tint val="55000"/>
                  </a:schemeClr>
                </a:solidFill>
              </a:ln>
              <a:effectLst/>
            </c:spPr>
          </c:marker>
          <c:dLbls>
            <c:dLbl>
              <c:idx val="0"/>
              <c:layout>
                <c:manualLayout>
                  <c:x val="0"/>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47-4036-8756-195F91DDE2BD}"/>
                </c:ext>
              </c:extLst>
            </c:dLbl>
            <c:dLbl>
              <c:idx val="1"/>
              <c:layout>
                <c:manualLayout>
                  <c:x val="5.6794056838750896E-17"/>
                  <c:y val="-2.9932651534048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47-4036-8756-195F91DDE2BD}"/>
                </c:ext>
              </c:extLst>
            </c:dLbl>
            <c:dLbl>
              <c:idx val="2"/>
              <c:layout>
                <c:manualLayout>
                  <c:x val="0"/>
                  <c:y val="-4.48989773010725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47-4036-8756-195F91DDE2BD}"/>
                </c:ext>
              </c:extLst>
            </c:dLbl>
            <c:dLbl>
              <c:idx val="3"/>
              <c:layout>
                <c:manualLayout>
                  <c:x val="-3.0978934324659233E-3"/>
                  <c:y val="-4.98877525567473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47-4036-8756-195F91DDE2BD}"/>
                </c:ext>
              </c:extLst>
            </c:dLbl>
            <c:dLbl>
              <c:idx val="4"/>
              <c:layout>
                <c:manualLayout>
                  <c:x val="0"/>
                  <c:y val="-5.48765278124220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47-4036-8756-195F91DDE2B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工作表1!$A$4:$A$8</c:f>
              <c:numCache>
                <c:formatCode>General</c:formatCode>
                <c:ptCount val="5"/>
                <c:pt idx="0">
                  <c:v>109</c:v>
                </c:pt>
                <c:pt idx="1">
                  <c:v>110</c:v>
                </c:pt>
                <c:pt idx="2">
                  <c:v>111</c:v>
                </c:pt>
                <c:pt idx="3">
                  <c:v>112</c:v>
                </c:pt>
                <c:pt idx="4">
                  <c:v>113</c:v>
                </c:pt>
              </c:numCache>
            </c:numRef>
          </c:cat>
          <c:val>
            <c:numRef>
              <c:f>工作表1!$C$4:$C$8</c:f>
              <c:numCache>
                <c:formatCode>#,##0</c:formatCode>
                <c:ptCount val="5"/>
                <c:pt idx="0">
                  <c:v>625922</c:v>
                </c:pt>
                <c:pt idx="1">
                  <c:v>608256</c:v>
                </c:pt>
                <c:pt idx="2">
                  <c:v>585400</c:v>
                </c:pt>
                <c:pt idx="3">
                  <c:v>564081</c:v>
                </c:pt>
                <c:pt idx="4">
                  <c:v>529713</c:v>
                </c:pt>
              </c:numCache>
            </c:numRef>
          </c:val>
          <c:smooth val="0"/>
          <c:extLst>
            <c:ext xmlns:c16="http://schemas.microsoft.com/office/drawing/2014/chart" uri="{C3380CC4-5D6E-409C-BE32-E72D297353CC}">
              <c16:uniqueId val="{00000006-6047-4036-8756-195F91DDE2BD}"/>
            </c:ext>
          </c:extLst>
        </c:ser>
        <c:dLbls>
          <c:showLegendKey val="0"/>
          <c:showVal val="0"/>
          <c:showCatName val="0"/>
          <c:showSerName val="0"/>
          <c:showPercent val="0"/>
          <c:showBubbleSize val="0"/>
        </c:dLbls>
        <c:marker val="1"/>
        <c:smooth val="0"/>
        <c:axId val="768717712"/>
        <c:axId val="768727280"/>
      </c:lineChart>
      <c:valAx>
        <c:axId val="768727280"/>
        <c:scaling>
          <c:orientation val="minMax"/>
        </c:scaling>
        <c:delete val="0"/>
        <c:axPos val="l"/>
        <c:majorGridlines>
          <c:spPr>
            <a:ln w="9525" cap="flat" cmpd="sng" algn="ctr">
              <a:noFill/>
              <a:round/>
            </a:ln>
            <a:effectLst/>
          </c:spPr>
        </c:majorGridlines>
        <c:numFmt formatCode="#,##0" sourceLinked="1"/>
        <c:majorTickMark val="out"/>
        <c:minorTickMark val="none"/>
        <c:tickLblPos val="nextTo"/>
        <c:spPr>
          <a:noFill/>
          <a:ln>
            <a:solidFill>
              <a:sysClr val="window" lastClr="FFFFFF">
                <a:lumMod val="7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768717712"/>
        <c:crosses val="autoZero"/>
        <c:crossBetween val="between"/>
      </c:valAx>
      <c:catAx>
        <c:axId val="76871771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768727280"/>
        <c:crosses val="autoZero"/>
        <c:auto val="1"/>
        <c:lblAlgn val="ctr"/>
        <c:lblOffset val="100"/>
        <c:noMultiLvlLbl val="0"/>
      </c:catAx>
      <c:spPr>
        <a:noFill/>
        <a:ln w="25400">
          <a:noFill/>
        </a:ln>
        <a:effectLst/>
      </c:spPr>
    </c:plotArea>
    <c:legend>
      <c:legendPos val="b"/>
      <c:layout>
        <c:manualLayout>
          <c:xMode val="edge"/>
          <c:yMode val="edge"/>
          <c:x val="0.27073109800215411"/>
          <c:y val="0.88910777522228535"/>
          <c:w val="0.46286580235537012"/>
          <c:h val="7.812554680664916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777777777777778"/>
          <c:y val="0.17694444444444443"/>
          <c:w val="0.79722222222222228"/>
          <c:h val="0.42592204447689835"/>
        </c:manualLayout>
      </c:layout>
      <c:barChart>
        <c:barDir val="col"/>
        <c:grouping val="clustered"/>
        <c:varyColors val="0"/>
        <c:ser>
          <c:idx val="0"/>
          <c:order val="0"/>
          <c:tx>
            <c:strRef>
              <c:f>'[出口表.xlsx]對美國進出口 '!$B$2</c:f>
              <c:strCache>
                <c:ptCount val="1"/>
                <c:pt idx="0">
                  <c:v>出口</c:v>
                </c:pt>
              </c:strCache>
            </c:strRef>
          </c:tx>
          <c:spPr>
            <a:solidFill>
              <a:sysClr val="window" lastClr="FFFFFF">
                <a:lumMod val="65000"/>
              </a:sysClr>
            </a:solidFill>
            <a:ln w="3175">
              <a:noFill/>
            </a:ln>
            <a:effectLst/>
          </c:spPr>
          <c:invertIfNegative val="0"/>
          <c:cat>
            <c:numRef>
              <c:f>'[出口表.xlsx]對美國進出口 '!$A$3:$A$9</c:f>
              <c:numCache>
                <c:formatCode>General</c:formatCode>
                <c:ptCount val="7"/>
                <c:pt idx="0">
                  <c:v>107</c:v>
                </c:pt>
                <c:pt idx="1">
                  <c:v>108</c:v>
                </c:pt>
                <c:pt idx="2">
                  <c:v>109</c:v>
                </c:pt>
                <c:pt idx="3">
                  <c:v>110</c:v>
                </c:pt>
                <c:pt idx="4">
                  <c:v>111</c:v>
                </c:pt>
                <c:pt idx="5">
                  <c:v>112</c:v>
                </c:pt>
                <c:pt idx="6">
                  <c:v>113</c:v>
                </c:pt>
              </c:numCache>
            </c:numRef>
          </c:cat>
          <c:val>
            <c:numRef>
              <c:f>'[出口表.xlsx]對美國進出口 '!$B$3:$B$9</c:f>
              <c:numCache>
                <c:formatCode>General</c:formatCode>
                <c:ptCount val="7"/>
                <c:pt idx="0">
                  <c:v>395</c:v>
                </c:pt>
                <c:pt idx="1">
                  <c:v>462</c:v>
                </c:pt>
                <c:pt idx="2">
                  <c:v>505</c:v>
                </c:pt>
                <c:pt idx="3">
                  <c:v>657</c:v>
                </c:pt>
                <c:pt idx="4">
                  <c:v>751</c:v>
                </c:pt>
                <c:pt idx="5">
                  <c:v>762</c:v>
                </c:pt>
                <c:pt idx="6" formatCode="#,##0">
                  <c:v>1114</c:v>
                </c:pt>
              </c:numCache>
            </c:numRef>
          </c:val>
          <c:extLst>
            <c:ext xmlns:c16="http://schemas.microsoft.com/office/drawing/2014/chart" uri="{C3380CC4-5D6E-409C-BE32-E72D297353CC}">
              <c16:uniqueId val="{00000000-6893-4901-ACFF-4F8A190A07C2}"/>
            </c:ext>
          </c:extLst>
        </c:ser>
        <c:ser>
          <c:idx val="1"/>
          <c:order val="1"/>
          <c:tx>
            <c:strRef>
              <c:f>'[出口表.xlsx]對美國進出口 '!$C$2</c:f>
              <c:strCache>
                <c:ptCount val="1"/>
                <c:pt idx="0">
                  <c:v>進口</c:v>
                </c:pt>
              </c:strCache>
            </c:strRef>
          </c:tx>
          <c:spPr>
            <a:solidFill>
              <a:sysClr val="window" lastClr="FFFFFF">
                <a:lumMod val="85000"/>
              </a:sysClr>
            </a:solidFill>
            <a:ln w="3175">
              <a:noFill/>
            </a:ln>
            <a:effectLst/>
          </c:spPr>
          <c:invertIfNegative val="0"/>
          <c:cat>
            <c:numRef>
              <c:f>'[出口表.xlsx]對美國進出口 '!$A$3:$A$9</c:f>
              <c:numCache>
                <c:formatCode>General</c:formatCode>
                <c:ptCount val="7"/>
                <c:pt idx="0">
                  <c:v>107</c:v>
                </c:pt>
                <c:pt idx="1">
                  <c:v>108</c:v>
                </c:pt>
                <c:pt idx="2">
                  <c:v>109</c:v>
                </c:pt>
                <c:pt idx="3">
                  <c:v>110</c:v>
                </c:pt>
                <c:pt idx="4">
                  <c:v>111</c:v>
                </c:pt>
                <c:pt idx="5">
                  <c:v>112</c:v>
                </c:pt>
                <c:pt idx="6">
                  <c:v>113</c:v>
                </c:pt>
              </c:numCache>
            </c:numRef>
          </c:cat>
          <c:val>
            <c:numRef>
              <c:f>'[出口表.xlsx]對美國進出口 '!$C$3:$C$9</c:f>
              <c:numCache>
                <c:formatCode>General</c:formatCode>
                <c:ptCount val="7"/>
                <c:pt idx="0">
                  <c:v>331</c:v>
                </c:pt>
                <c:pt idx="1">
                  <c:v>348</c:v>
                </c:pt>
                <c:pt idx="2">
                  <c:v>325</c:v>
                </c:pt>
                <c:pt idx="3">
                  <c:v>393</c:v>
                </c:pt>
                <c:pt idx="4">
                  <c:v>457</c:v>
                </c:pt>
                <c:pt idx="5">
                  <c:v>409</c:v>
                </c:pt>
                <c:pt idx="6">
                  <c:v>465</c:v>
                </c:pt>
              </c:numCache>
            </c:numRef>
          </c:val>
          <c:extLst>
            <c:ext xmlns:c16="http://schemas.microsoft.com/office/drawing/2014/chart" uri="{C3380CC4-5D6E-409C-BE32-E72D297353CC}">
              <c16:uniqueId val="{00000001-6893-4901-ACFF-4F8A190A07C2}"/>
            </c:ext>
          </c:extLst>
        </c:ser>
        <c:dLbls>
          <c:showLegendKey val="0"/>
          <c:showVal val="0"/>
          <c:showCatName val="0"/>
          <c:showSerName val="0"/>
          <c:showPercent val="0"/>
          <c:showBubbleSize val="0"/>
        </c:dLbls>
        <c:gapWidth val="219"/>
        <c:overlap val="-27"/>
        <c:axId val="2048007536"/>
        <c:axId val="2048007056"/>
      </c:barChart>
      <c:lineChart>
        <c:grouping val="standard"/>
        <c:varyColors val="0"/>
        <c:ser>
          <c:idx val="2"/>
          <c:order val="2"/>
          <c:tx>
            <c:strRef>
              <c:f>'[出口表.xlsx]對美國進出口 '!$D$2</c:f>
              <c:strCache>
                <c:ptCount val="1"/>
                <c:pt idx="0">
                  <c:v>出超</c:v>
                </c:pt>
              </c:strCache>
            </c:strRef>
          </c:tx>
          <c:spPr>
            <a:ln w="19050" cap="rnd">
              <a:solidFill>
                <a:sysClr val="windowText" lastClr="000000"/>
              </a:solidFill>
              <a:round/>
            </a:ln>
            <a:effectLst/>
          </c:spPr>
          <c:marker>
            <c:symbol val="none"/>
          </c:marker>
          <c:cat>
            <c:numRef>
              <c:f>'[出口表.xlsx]對美國進出口 '!$A$3:$A$9</c:f>
              <c:numCache>
                <c:formatCode>General</c:formatCode>
                <c:ptCount val="7"/>
                <c:pt idx="0">
                  <c:v>107</c:v>
                </c:pt>
                <c:pt idx="1">
                  <c:v>108</c:v>
                </c:pt>
                <c:pt idx="2">
                  <c:v>109</c:v>
                </c:pt>
                <c:pt idx="3">
                  <c:v>110</c:v>
                </c:pt>
                <c:pt idx="4">
                  <c:v>111</c:v>
                </c:pt>
                <c:pt idx="5">
                  <c:v>112</c:v>
                </c:pt>
                <c:pt idx="6">
                  <c:v>113</c:v>
                </c:pt>
              </c:numCache>
            </c:numRef>
          </c:cat>
          <c:val>
            <c:numRef>
              <c:f>'[出口表.xlsx]對美國進出口 '!$D$3:$D$9</c:f>
              <c:numCache>
                <c:formatCode>General</c:formatCode>
                <c:ptCount val="7"/>
                <c:pt idx="0">
                  <c:v>64</c:v>
                </c:pt>
                <c:pt idx="1">
                  <c:v>114</c:v>
                </c:pt>
                <c:pt idx="2">
                  <c:v>180</c:v>
                </c:pt>
                <c:pt idx="3">
                  <c:v>264</c:v>
                </c:pt>
                <c:pt idx="4">
                  <c:v>294</c:v>
                </c:pt>
                <c:pt idx="5">
                  <c:v>353</c:v>
                </c:pt>
                <c:pt idx="6">
                  <c:v>649</c:v>
                </c:pt>
              </c:numCache>
            </c:numRef>
          </c:val>
          <c:smooth val="0"/>
          <c:extLst>
            <c:ext xmlns:c16="http://schemas.microsoft.com/office/drawing/2014/chart" uri="{C3380CC4-5D6E-409C-BE32-E72D297353CC}">
              <c16:uniqueId val="{00000002-6893-4901-ACFF-4F8A190A07C2}"/>
            </c:ext>
          </c:extLst>
        </c:ser>
        <c:dLbls>
          <c:showLegendKey val="0"/>
          <c:showVal val="0"/>
          <c:showCatName val="0"/>
          <c:showSerName val="0"/>
          <c:showPercent val="0"/>
          <c:showBubbleSize val="0"/>
        </c:dLbls>
        <c:marker val="1"/>
        <c:smooth val="0"/>
        <c:axId val="2048007536"/>
        <c:axId val="2048007056"/>
      </c:lineChart>
      <c:catAx>
        <c:axId val="2048007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8007056"/>
        <c:crosses val="autoZero"/>
        <c:auto val="1"/>
        <c:lblAlgn val="ctr"/>
        <c:lblOffset val="100"/>
        <c:noMultiLvlLbl val="0"/>
      </c:catAx>
      <c:valAx>
        <c:axId val="2048007056"/>
        <c:scaling>
          <c:orientation val="minMax"/>
        </c:scaling>
        <c:delete val="0"/>
        <c:axPos val="l"/>
        <c:numFmt formatCode="#,##0_ " sourceLinked="0"/>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8007536"/>
        <c:crosses val="autoZero"/>
        <c:crossBetween val="between"/>
      </c:valAx>
      <c:dTable>
        <c:showHorzBorder val="1"/>
        <c:showVertBorder val="1"/>
        <c:showOutline val="1"/>
        <c:showKeys val="1"/>
        <c:spPr>
          <a:noFill/>
          <a:ln w="317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6  </a:t>
            </a:r>
            <a:r>
              <a:rPr lang="zh-TW" altLang="en-US" sz="1200" b="1">
                <a:solidFill>
                  <a:sysClr val="windowText" lastClr="000000"/>
                </a:solidFill>
                <a:latin typeface="標楷體" panose="03000509000000000000" pitchFamily="65" charset="-120"/>
                <a:ea typeface="標楷體" panose="03000509000000000000" pitchFamily="65" charset="-120"/>
              </a:rPr>
              <a:t>我國出口至美國之商品占比</a:t>
            </a:r>
          </a:p>
        </c:rich>
      </c:tx>
      <c:layout>
        <c:manualLayout>
          <c:xMode val="edge"/>
          <c:yMode val="edge"/>
          <c:x val="0.18071859010567623"/>
          <c:y val="5.0209205020920501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view3D>
      <c:rotX val="30"/>
      <c:rotY val="10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810627942863926E-3"/>
          <c:y val="0.19732942378018647"/>
          <c:w val="0.95245917662879376"/>
          <c:h val="0.6613566008382018"/>
        </c:manualLayout>
      </c:layout>
      <c:pie3DChart>
        <c:varyColors val="1"/>
        <c:ser>
          <c:idx val="0"/>
          <c:order val="0"/>
          <c:explosion val="4"/>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034-49E2-AFC5-F4C7744D0558}"/>
              </c:ext>
            </c:extLst>
          </c:dPt>
          <c:dPt>
            <c:idx val="1"/>
            <c:bubble3D val="0"/>
            <c:spPr>
              <a:blipFill>
                <a:blip xmlns:r="http://schemas.openxmlformats.org/officeDocument/2006/relationships" r:embed="rId4"/>
                <a:tile tx="0" ty="0" sx="100000" sy="100000" flip="none" algn="tl"/>
              </a:blipFill>
              <a:ln w="25400">
                <a:solidFill>
                  <a:schemeClr val="lt1"/>
                </a:solidFill>
              </a:ln>
              <a:effectLst/>
              <a:sp3d contourW="25400">
                <a:contourClr>
                  <a:schemeClr val="lt1"/>
                </a:contourClr>
              </a:sp3d>
            </c:spPr>
            <c:extLst>
              <c:ext xmlns:c16="http://schemas.microsoft.com/office/drawing/2014/chart" uri="{C3380CC4-5D6E-409C-BE32-E72D297353CC}">
                <c16:uniqueId val="{00000003-0034-49E2-AFC5-F4C7744D0558}"/>
              </c:ext>
            </c:extLst>
          </c:dPt>
          <c:dPt>
            <c:idx val="2"/>
            <c:bubble3D val="0"/>
            <c:explosion val="2"/>
            <c:spPr>
              <a:solidFill>
                <a:sysClr val="window" lastClr="FFFFFF">
                  <a:lumMod val="75000"/>
                </a:sys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0034-49E2-AFC5-F4C7744D0558}"/>
              </c:ext>
            </c:extLst>
          </c:dPt>
          <c:dPt>
            <c:idx val="3"/>
            <c:bubble3D val="0"/>
            <c:explosion val="0"/>
            <c:spPr>
              <a:solidFill>
                <a:sysClr val="window" lastClr="FFFFFF">
                  <a:lumMod val="65000"/>
                </a:sysClr>
              </a:solidFill>
              <a:ln w="25400">
                <a:solidFill>
                  <a:srgbClr val="000000"/>
                </a:solidFill>
              </a:ln>
              <a:effectLst/>
              <a:sp3d contourW="25400">
                <a:contourClr>
                  <a:srgbClr val="000000"/>
                </a:contourClr>
              </a:sp3d>
            </c:spPr>
            <c:extLst>
              <c:ext xmlns:c16="http://schemas.microsoft.com/office/drawing/2014/chart" uri="{C3380CC4-5D6E-409C-BE32-E72D297353CC}">
                <c16:uniqueId val="{00000007-0034-49E2-AFC5-F4C7744D0558}"/>
              </c:ext>
            </c:extLst>
          </c:dPt>
          <c:dPt>
            <c:idx val="4"/>
            <c:bubble3D val="0"/>
            <c:explosion val="0"/>
            <c:spPr>
              <a:solidFill>
                <a:sysClr val="window" lastClr="FFFFFF">
                  <a:lumMod val="50000"/>
                </a:sys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0034-49E2-AFC5-F4C7744D0558}"/>
              </c:ext>
            </c:extLst>
          </c:dPt>
          <c:dPt>
            <c:idx val="5"/>
            <c:bubble3D val="0"/>
            <c:spPr>
              <a:solidFill>
                <a:sysClr val="window" lastClr="FFFFFF"/>
              </a:solidFill>
              <a:ln w="25400">
                <a:solidFill>
                  <a:srgbClr val="EEECE1"/>
                </a:solidFill>
              </a:ln>
              <a:effectLst/>
              <a:sp3d contourW="25400">
                <a:contourClr>
                  <a:srgbClr val="EEECE1"/>
                </a:contourClr>
              </a:sp3d>
            </c:spPr>
            <c:extLst>
              <c:ext xmlns:c16="http://schemas.microsoft.com/office/drawing/2014/chart" uri="{C3380CC4-5D6E-409C-BE32-E72D297353CC}">
                <c16:uniqueId val="{0000000B-0034-49E2-AFC5-F4C7744D0558}"/>
              </c:ext>
            </c:extLst>
          </c:dPt>
          <c:dPt>
            <c:idx val="6"/>
            <c:bubble3D val="0"/>
            <c:spPr>
              <a:pattFill prst="wdDnDiag">
                <a:fgClr>
                  <a:schemeClr val="tx2">
                    <a:lumMod val="60000"/>
                    <a:lumOff val="40000"/>
                  </a:schemeClr>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D-0034-49E2-AFC5-F4C7744D0558}"/>
              </c:ext>
            </c:extLst>
          </c:dPt>
          <c:dPt>
            <c:idx val="7"/>
            <c:bubble3D val="0"/>
            <c:spPr>
              <a:solidFill>
                <a:sysClr val="window" lastClr="FFFFFF">
                  <a:lumMod val="85000"/>
                </a:sysClr>
              </a:solidFill>
              <a:ln w="25400">
                <a:solidFill>
                  <a:sysClr val="window" lastClr="FFFFFF">
                    <a:lumMod val="75000"/>
                  </a:sysClr>
                </a:solidFill>
              </a:ln>
              <a:effectLst/>
              <a:sp3d contourW="25400">
                <a:contourClr>
                  <a:sysClr val="window" lastClr="FFFFFF">
                    <a:lumMod val="75000"/>
                  </a:sysClr>
                </a:contourClr>
              </a:sp3d>
            </c:spPr>
            <c:extLst>
              <c:ext xmlns:c16="http://schemas.microsoft.com/office/drawing/2014/chart" uri="{C3380CC4-5D6E-409C-BE32-E72D297353CC}">
                <c16:uniqueId val="{0000000F-0034-49E2-AFC5-F4C7744D0558}"/>
              </c:ext>
            </c:extLst>
          </c:dPt>
          <c:dLbls>
            <c:dLbl>
              <c:idx val="2"/>
              <c:layout>
                <c:manualLayout>
                  <c:x val="5.9442434742349032E-3"/>
                  <c:y val="0.12609554324757183"/>
                </c:manualLayout>
              </c:layout>
              <c:tx>
                <c:rich>
                  <a:bodyPr rot="0" spcFirstLastPara="1" vertOverflow="clip" horzOverflow="clip" vert="horz" wrap="square" lIns="38100" tIns="19050" rIns="38100" bIns="19050" anchor="ctr" anchorCtr="1">
                    <a:spAutoFit/>
                  </a:bodyPr>
                  <a:lstStyle/>
                  <a:p>
                    <a:pPr>
                      <a:lnSpc>
                        <a:spcPts val="1200"/>
                      </a:lnSpc>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fld id="{21D997A7-AE36-4673-BA45-17BBE7C8C797}" type="CATEGORYNAME">
                      <a:rPr lang="zh-TW" altLang="en-US" sz="1000" spc="-100" baseline="0">
                        <a:ln>
                          <a:noFill/>
                        </a:ln>
                      </a:rPr>
                      <a:pPr>
                        <a:lnSpc>
                          <a:spcPts val="1200"/>
                        </a:lnSpc>
                        <a:defRPr sz="1000">
                          <a:ln>
                            <a:noFill/>
                          </a:ln>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aseline="0">
                        <a:ln>
                          <a:noFill/>
                        </a:ln>
                      </a:rPr>
                      <a:t>
</a:t>
                    </a:r>
                    <a:r>
                      <a:rPr lang="en-US" altLang="zh-TW" sz="1000" baseline="0">
                        <a:ln>
                          <a:noFill/>
                        </a:ln>
                      </a:rPr>
                      <a:t>6.33</a:t>
                    </a:r>
                    <a:r>
                      <a:rPr lang="zh-TW" altLang="en-US" sz="1000" baseline="0">
                        <a:ln>
                          <a:noFill/>
                        </a:ln>
                      </a:rPr>
                      <a:t>％</a:t>
                    </a:r>
                  </a:p>
                </c:rich>
              </c:tx>
              <c:numFmt formatCode="0.00%" sourceLinked="0"/>
              <c:spPr>
                <a:solidFill>
                  <a:sysClr val="window" lastClr="FFFFFF"/>
                </a:solidFill>
                <a:ln>
                  <a:noFill/>
                </a:ln>
                <a:effectLst/>
              </c:spPr>
              <c:txPr>
                <a:bodyPr rot="0" spcFirstLastPara="1" vertOverflow="clip" horzOverflow="clip" vert="horz" wrap="square" lIns="38100" tIns="19050" rIns="38100" bIns="19050" anchor="ctr" anchorCtr="1">
                  <a:spAutoFit/>
                </a:bodyPr>
                <a:lstStyle/>
                <a:p>
                  <a:pPr>
                    <a:lnSpc>
                      <a:spcPts val="1200"/>
                    </a:lnSpc>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449205352398435"/>
                      <c:h val="0.21431292862585724"/>
                    </c:manualLayout>
                  </c15:layout>
                  <c15:dlblFieldTable/>
                  <c15:showDataLabelsRange val="0"/>
                </c:ext>
                <c:ext xmlns:c16="http://schemas.microsoft.com/office/drawing/2014/chart" uri="{C3380CC4-5D6E-409C-BE32-E72D297353CC}">
                  <c16:uniqueId val="{00000005-0034-49E2-AFC5-F4C7744D0558}"/>
                </c:ext>
              </c:extLst>
            </c:dLbl>
            <c:dLbl>
              <c:idx val="3"/>
              <c:layout>
                <c:manualLayout>
                  <c:x val="-0.19134301080463101"/>
                  <c:y val="-0.21773399796799595"/>
                </c:manualLayout>
              </c:layout>
              <c:tx>
                <c:rich>
                  <a:bodyPr rot="0" spcFirstLastPara="1" vertOverflow="clip" horzOverflow="clip" vert="horz" wrap="square" lIns="38100" tIns="19050" rIns="38100" bIns="19050" anchor="ctr" anchorCtr="1">
                    <a:sp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0F6E53A-CF92-47FF-ABCF-A11E4FB7050E}" type="CATEGORYNAME">
                      <a:rPr lang="zh-TW" altLang="en-US" sz="1000" spc="-100" baseline="0"/>
                      <a:pP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aseline="0"/>
                      <a:t>
</a:t>
                    </a:r>
                    <a:r>
                      <a:rPr lang="en-US" altLang="zh-TW" sz="1000" baseline="0"/>
                      <a:t>10.25</a:t>
                    </a:r>
                    <a:r>
                      <a:rPr lang="zh-TW" altLang="en-US" sz="1000" baseline="0"/>
                      <a:t>％</a:t>
                    </a:r>
                  </a:p>
                </c:rich>
              </c:tx>
              <c:numFmt formatCode="0.00%" sourceLinked="0"/>
              <c:spPr>
                <a:noFill/>
                <a:ln>
                  <a:noFill/>
                </a:ln>
                <a:effectLst/>
              </c:spPr>
              <c:txPr>
                <a:bodyPr rot="0" spcFirstLastPara="1" vertOverflow="clip" horzOverflow="clip" vert="horz" wrap="square" lIns="38100" tIns="19050" rIns="38100" bIns="19050" anchor="ctr" anchorCtr="1">
                  <a:sp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4670545424641763"/>
                      <c:h val="0.15716281432562865"/>
                    </c:manualLayout>
                  </c15:layout>
                  <c15:dlblFieldTable/>
                  <c15:showDataLabelsRange val="0"/>
                </c:ext>
                <c:ext xmlns:c16="http://schemas.microsoft.com/office/drawing/2014/chart" uri="{C3380CC4-5D6E-409C-BE32-E72D297353CC}">
                  <c16:uniqueId val="{00000007-0034-49E2-AFC5-F4C7744D0558}"/>
                </c:ext>
              </c:extLst>
            </c:dLbl>
            <c:dLbl>
              <c:idx val="4"/>
              <c:layout>
                <c:manualLayout>
                  <c:x val="0.1957822756817974"/>
                  <c:y val="0.11463955740411476"/>
                </c:manualLayout>
              </c:layout>
              <c:tx>
                <c:rich>
                  <a:bodyPr rot="0" spcFirstLastPara="1" vertOverflow="clip" horzOverflow="clip" vert="horz" wrap="square" lIns="38100" tIns="19050" rIns="38100" bIns="19050" anchor="ctr" anchorCtr="1">
                    <a:noAutofit/>
                  </a:bodyPr>
                  <a:lstStyle/>
                  <a:p>
                    <a:pPr>
                      <a:lnSpc>
                        <a:spcPts val="1200"/>
                      </a:lnSpc>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fld id="{225EFC53-F947-4B74-8FF4-9866FA972E29}" type="CATEGORYNAME">
                      <a:rPr lang="zh-TW" altLang="en-US" sz="1000">
                        <a:solidFill>
                          <a:schemeClr val="bg1"/>
                        </a:solidFill>
                      </a:rPr>
                      <a:pPr>
                        <a:lnSpc>
                          <a:spcPts val="1200"/>
                        </a:lnSpc>
                        <a:defRPr sz="1000">
                          <a:solidFill>
                            <a:schemeClr val="bg1"/>
                          </a:solidFill>
                          <a:latin typeface="標楷體" panose="03000509000000000000" pitchFamily="65" charset="-120"/>
                          <a:ea typeface="標楷體" panose="03000509000000000000" pitchFamily="65" charset="-120"/>
                        </a:defRPr>
                      </a:pPr>
                      <a:t>[類別名稱]</a:t>
                    </a:fld>
                    <a:r>
                      <a:rPr lang="zh-TW" altLang="en-US" sz="1000" baseline="0">
                        <a:solidFill>
                          <a:schemeClr val="bg1"/>
                        </a:solidFill>
                      </a:rPr>
                      <a:t>
</a:t>
                    </a:r>
                    <a:r>
                      <a:rPr lang="en-US" altLang="zh-TW" sz="1000" baseline="0">
                        <a:solidFill>
                          <a:schemeClr val="bg1"/>
                        </a:solidFill>
                      </a:rPr>
                      <a:t>68.75</a:t>
                    </a:r>
                    <a:r>
                      <a:rPr lang="zh-TW" altLang="en-US" sz="1000" baseline="0">
                        <a:solidFill>
                          <a:schemeClr val="bg1"/>
                        </a:solidFill>
                      </a:rPr>
                      <a:t>％</a:t>
                    </a:r>
                  </a:p>
                </c:rich>
              </c:tx>
              <c:numFmt formatCode="0.00%" sourceLinked="0"/>
              <c:spPr>
                <a:noFill/>
                <a:ln>
                  <a:noFill/>
                </a:ln>
                <a:effectLst/>
              </c:spPr>
              <c:txPr>
                <a:bodyPr rot="0" spcFirstLastPara="1" vertOverflow="clip" horzOverflow="clip" vert="horz" wrap="square" lIns="38100" tIns="19050" rIns="38100" bIns="19050" anchor="ctr" anchorCtr="1">
                  <a:noAutofit/>
                </a:bodyPr>
                <a:lstStyle/>
                <a:p>
                  <a:pPr>
                    <a:lnSpc>
                      <a:spcPts val="1200"/>
                    </a:lnSpc>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6644189058613105"/>
                      <c:h val="0.21431292862585724"/>
                    </c:manualLayout>
                  </c15:layout>
                  <c15:dlblFieldTable/>
                  <c15:showDataLabelsRange val="0"/>
                </c:ext>
                <c:ext xmlns:c16="http://schemas.microsoft.com/office/drawing/2014/chart" uri="{C3380CC4-5D6E-409C-BE32-E72D297353CC}">
                  <c16:uniqueId val="{00000009-0034-49E2-AFC5-F4C7744D0558}"/>
                </c:ext>
              </c:extLst>
            </c:dLbl>
            <c:dLbl>
              <c:idx val="5"/>
              <c:layout>
                <c:manualLayout>
                  <c:x val="3.2881395960474138E-2"/>
                  <c:y val="-1.6215154305308611E-2"/>
                </c:manualLayout>
              </c:layout>
              <c:tx>
                <c:rich>
                  <a:bodyPr rot="0" spcFirstLastPara="1" vertOverflow="clip" horzOverflow="clip" vert="horz" wrap="square" lIns="38100" tIns="19050" rIns="38100" bIns="19050" anchor="ctr" anchorCtr="1">
                    <a:sp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A8D95556-27B3-4478-9C1C-F4EEEFC3A19F}" type="CATEGORYNAME">
                      <a:rPr lang="zh-TW" altLang="en-US"/>
                      <a:pP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3.34</a:t>
                    </a:r>
                    <a:r>
                      <a:rPr lang="zh-TW" altLang="en-US" baseline="0"/>
                      <a:t>％</a:t>
                    </a:r>
                  </a:p>
                </c:rich>
              </c:tx>
              <c:numFmt formatCode="0.00%" sourceLinked="0"/>
              <c:spPr>
                <a:solidFill>
                  <a:sysClr val="window" lastClr="FFFFFF"/>
                </a:solidFill>
                <a:ln>
                  <a:noFill/>
                </a:ln>
                <a:effectLst/>
              </c:spPr>
              <c:txPr>
                <a:bodyPr rot="0" spcFirstLastPara="1" vertOverflow="clip" horzOverflow="clip" vert="horz" wrap="square" lIns="38100" tIns="19050" rIns="38100" bIns="19050" anchor="ctr" anchorCtr="1">
                  <a:sp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6424327327182262"/>
                      <c:h val="0.14287528575057151"/>
                    </c:manualLayout>
                  </c15:layout>
                  <c15:dlblFieldTable/>
                  <c15:showDataLabelsRange val="0"/>
                </c:ext>
                <c:ext xmlns:c16="http://schemas.microsoft.com/office/drawing/2014/chart" uri="{C3380CC4-5D6E-409C-BE32-E72D297353CC}">
                  <c16:uniqueId val="{0000000B-0034-49E2-AFC5-F4C7744D0558}"/>
                </c:ext>
              </c:extLst>
            </c:dLbl>
            <c:dLbl>
              <c:idx val="7"/>
              <c:layout>
                <c:manualLayout>
                  <c:x val="-0.17059857548481286"/>
                  <c:y val="7.393399161798324E-3"/>
                </c:manualLayout>
              </c:layout>
              <c:tx>
                <c:rich>
                  <a:bodyPr rot="0" spcFirstLastPara="1" vertOverflow="clip" horzOverflow="clip" vert="horz" wrap="square" lIns="38100" tIns="19050" rIns="38100" bIns="19050" anchor="ctr" anchorCtr="1">
                    <a:sp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7F45EF71-07CB-488E-A6A2-31A2EB8D0BF4}" type="CATEGORYNAME">
                      <a:rPr lang="zh-TW" altLang="en-US" sz="1000"/>
                      <a:pP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aseline="0"/>
                      <a:t>
</a:t>
                    </a:r>
                    <a:r>
                      <a:rPr lang="en-US" altLang="zh-TW" sz="1000" baseline="0"/>
                      <a:t>11.33</a:t>
                    </a:r>
                    <a:r>
                      <a:rPr lang="zh-TW" altLang="en-US" sz="1000" baseline="0"/>
                      <a:t>％</a:t>
                    </a:r>
                  </a:p>
                </c:rich>
              </c:tx>
              <c:numFmt formatCode="0.00%" sourceLinked="0"/>
              <c:spPr>
                <a:noFill/>
                <a:ln>
                  <a:noFill/>
                </a:ln>
                <a:effectLst/>
              </c:spPr>
              <c:txPr>
                <a:bodyPr rot="0" spcFirstLastPara="1" vertOverflow="clip" horzOverflow="clip" vert="horz" wrap="square" lIns="38100" tIns="19050" rIns="38100" bIns="19050" anchor="ctr" anchorCtr="1">
                  <a:sp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449205352398435"/>
                      <c:h val="0.14287528575057151"/>
                    </c:manualLayout>
                  </c15:layout>
                  <c15:dlblFieldTable/>
                  <c15:showDataLabelsRange val="0"/>
                </c:ext>
                <c:ext xmlns:c16="http://schemas.microsoft.com/office/drawing/2014/chart" uri="{C3380CC4-5D6E-409C-BE32-E72D297353CC}">
                  <c16:uniqueId val="{0000000F-0034-49E2-AFC5-F4C7744D0558}"/>
                </c:ext>
              </c:extLst>
            </c:dLbl>
            <c:numFmt formatCode="0.00%" sourceLinked="0"/>
            <c:spPr>
              <a:solidFill>
                <a:sysClr val="window" lastClr="FFFFFF"/>
              </a:solid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6350" cap="flat" cmpd="sng" algn="ctr">
                  <a:solidFill>
                    <a:sysClr val="windowText" lastClr="000000"/>
                  </a:solidFill>
                  <a:prstDash val="solid"/>
                  <a:miter lim="800000"/>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'106至113貿易資料-出口'!$B$26:$I$26</c:f>
              <c:strCache>
                <c:ptCount val="8"/>
                <c:pt idx="2">
                  <c:v>基本金屬及其製品</c:v>
                </c:pt>
                <c:pt idx="3">
                  <c:v>機械及電機產品</c:v>
                </c:pt>
                <c:pt idx="4">
                  <c:v>資通與視聽產品及電子零組件</c:v>
                </c:pt>
                <c:pt idx="5">
                  <c:v>運輸工具</c:v>
                </c:pt>
                <c:pt idx="7">
                  <c:v>其他</c:v>
                </c:pt>
              </c:strCache>
            </c:strRef>
          </c:cat>
          <c:val>
            <c:numRef>
              <c:f>'106至113貿易資料-出口'!$B$27:$I$27</c:f>
              <c:numCache>
                <c:formatCode>General</c:formatCode>
                <c:ptCount val="8"/>
                <c:pt idx="2">
                  <c:v>7049814</c:v>
                </c:pt>
                <c:pt idx="3">
                  <c:v>11412778</c:v>
                </c:pt>
                <c:pt idx="4">
                  <c:v>76564694</c:v>
                </c:pt>
                <c:pt idx="5">
                  <c:v>3714155</c:v>
                </c:pt>
                <c:pt idx="7" formatCode="#,##0">
                  <c:v>12620198</c:v>
                </c:pt>
              </c:numCache>
            </c:numRef>
          </c:val>
          <c:extLst>
            <c:ext xmlns:c16="http://schemas.microsoft.com/office/drawing/2014/chart" uri="{C3380CC4-5D6E-409C-BE32-E72D297353CC}">
              <c16:uniqueId val="{00000010-0034-49E2-AFC5-F4C7744D0558}"/>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5">
    <c:autoUpdate val="0"/>
  </c:externalData>
  <c:userShapes r:id="rId6"/>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latin typeface="標楷體" panose="03000509000000000000" pitchFamily="65" charset="-120"/>
                <a:ea typeface="標楷體" panose="03000509000000000000" pitchFamily="65" charset="-120"/>
              </a:rPr>
              <a:t>11</a:t>
            </a:r>
            <a:r>
              <a:rPr lang="zh-TW" altLang="zh-TW" sz="1200" b="0" i="0" u="none" strike="noStrike" baseline="0">
                <a:effectLst/>
              </a:rPr>
              <a:t>　</a:t>
            </a:r>
            <a:r>
              <a:rPr lang="zh-TW" altLang="en-US" sz="1200" b="1">
                <a:solidFill>
                  <a:sysClr val="windowText" lastClr="000000"/>
                </a:solidFill>
              </a:rPr>
              <a:t>夜間備用容量率</a:t>
            </a:r>
          </a:p>
        </c:rich>
      </c:tx>
      <c:layout>
        <c:manualLayout>
          <c:xMode val="edge"/>
          <c:yMode val="edge"/>
          <c:x val="0.28636042233114628"/>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7138888888888887E-2"/>
          <c:y val="0.1648148148148148"/>
          <c:w val="0.88755264524856781"/>
          <c:h val="0.56872444417435697"/>
        </c:manualLayout>
      </c:layout>
      <c:barChart>
        <c:barDir val="col"/>
        <c:grouping val="clustered"/>
        <c:varyColors val="0"/>
        <c:ser>
          <c:idx val="0"/>
          <c:order val="0"/>
          <c:tx>
            <c:strRef>
              <c:f>工作表1!$A$4</c:f>
              <c:strCache>
                <c:ptCount val="1"/>
                <c:pt idx="0">
                  <c:v>夜間備用容量率</c:v>
                </c:pt>
              </c:strCache>
            </c:strRef>
          </c:tx>
          <c:spPr>
            <a:solidFill>
              <a:schemeClr val="accent1"/>
            </a:solidFill>
            <a:ln>
              <a:noFill/>
            </a:ln>
            <a:effectLst/>
          </c:spPr>
          <c:invertIfNegative val="0"/>
          <c:dPt>
            <c:idx val="0"/>
            <c:invertIfNegative val="0"/>
            <c:bubble3D val="0"/>
            <c:spPr>
              <a:solidFill>
                <a:sysClr val="windowText" lastClr="000000">
                  <a:lumMod val="50000"/>
                  <a:lumOff val="50000"/>
                </a:sysClr>
              </a:solidFill>
              <a:ln>
                <a:noFill/>
              </a:ln>
              <a:effectLst/>
            </c:spPr>
            <c:extLst>
              <c:ext xmlns:c16="http://schemas.microsoft.com/office/drawing/2014/chart" uri="{C3380CC4-5D6E-409C-BE32-E72D297353CC}">
                <c16:uniqueId val="{00000001-14E2-4105-9517-607A3FFE990E}"/>
              </c:ext>
            </c:extLst>
          </c:dPt>
          <c:dPt>
            <c:idx val="1"/>
            <c:invertIfNegative val="0"/>
            <c:bubble3D val="0"/>
            <c:spPr>
              <a:solidFill>
                <a:sysClr val="windowText" lastClr="000000">
                  <a:lumMod val="50000"/>
                  <a:lumOff val="50000"/>
                </a:sysClr>
              </a:solidFill>
              <a:ln>
                <a:noFill/>
              </a:ln>
              <a:effectLst/>
            </c:spPr>
            <c:extLst>
              <c:ext xmlns:c16="http://schemas.microsoft.com/office/drawing/2014/chart" uri="{C3380CC4-5D6E-409C-BE32-E72D297353CC}">
                <c16:uniqueId val="{00000003-14E2-4105-9517-607A3FFE990E}"/>
              </c:ext>
            </c:extLst>
          </c:dPt>
          <c:dPt>
            <c:idx val="2"/>
            <c:invertIfNegative val="0"/>
            <c:bubble3D val="0"/>
            <c:spPr>
              <a:solidFill>
                <a:sysClr val="windowText" lastClr="000000">
                  <a:lumMod val="50000"/>
                  <a:lumOff val="50000"/>
                </a:sysClr>
              </a:solidFill>
              <a:ln>
                <a:noFill/>
              </a:ln>
              <a:effectLst/>
            </c:spPr>
            <c:extLst>
              <c:ext xmlns:c16="http://schemas.microsoft.com/office/drawing/2014/chart" uri="{C3380CC4-5D6E-409C-BE32-E72D297353CC}">
                <c16:uniqueId val="{00000005-14E2-4105-9517-607A3FFE990E}"/>
              </c:ext>
            </c:extLst>
          </c:dPt>
          <c:dPt>
            <c:idx val="3"/>
            <c:invertIfNegative val="0"/>
            <c:bubble3D val="0"/>
            <c:spPr>
              <a:noFill/>
              <a:ln w="15875">
                <a:solidFill>
                  <a:srgbClr val="44546A"/>
                </a:solidFill>
              </a:ln>
              <a:effectLst/>
            </c:spPr>
            <c:extLst>
              <c:ext xmlns:c16="http://schemas.microsoft.com/office/drawing/2014/chart" uri="{C3380CC4-5D6E-409C-BE32-E72D297353CC}">
                <c16:uniqueId val="{00000007-14E2-4105-9517-607A3FFE990E}"/>
              </c:ext>
            </c:extLst>
          </c:dPt>
          <c:dPt>
            <c:idx val="4"/>
            <c:invertIfNegative val="0"/>
            <c:bubble3D val="0"/>
            <c:spPr>
              <a:noFill/>
              <a:ln w="15875">
                <a:solidFill>
                  <a:srgbClr val="44546A"/>
                </a:solidFill>
              </a:ln>
              <a:effectLst/>
            </c:spPr>
            <c:extLst>
              <c:ext xmlns:c16="http://schemas.microsoft.com/office/drawing/2014/chart" uri="{C3380CC4-5D6E-409C-BE32-E72D297353CC}">
                <c16:uniqueId val="{00000009-14E2-4105-9517-607A3FFE990E}"/>
              </c:ext>
            </c:extLst>
          </c:dPt>
          <c:dPt>
            <c:idx val="5"/>
            <c:invertIfNegative val="0"/>
            <c:bubble3D val="0"/>
            <c:spPr>
              <a:noFill/>
              <a:ln w="15875">
                <a:solidFill>
                  <a:srgbClr val="44546A"/>
                </a:solidFill>
              </a:ln>
              <a:effectLst/>
            </c:spPr>
            <c:extLst>
              <c:ext xmlns:c16="http://schemas.microsoft.com/office/drawing/2014/chart" uri="{C3380CC4-5D6E-409C-BE32-E72D297353CC}">
                <c16:uniqueId val="{0000000B-14E2-4105-9517-607A3FFE990E}"/>
              </c:ext>
            </c:extLst>
          </c:dPt>
          <c:dLbls>
            <c:dLbl>
              <c:idx val="2"/>
              <c:tx>
                <c:rich>
                  <a:bodyPr/>
                  <a:lstStyle/>
                  <a:p>
                    <a:fld id="{C996ED59-2D05-4078-BD15-1E9BDEBC359B}"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layout>
                    <c:manualLayout>
                      <c:w val="8.8105726872246701E-2"/>
                      <c:h val="6.482910694597574E-2"/>
                    </c:manualLayout>
                  </c15:layout>
                  <c15:dlblFieldTable/>
                  <c15:showDataLabelsRange val="0"/>
                </c:ext>
                <c:ext xmlns:c16="http://schemas.microsoft.com/office/drawing/2014/chart" uri="{C3380CC4-5D6E-409C-BE32-E72D297353CC}">
                  <c16:uniqueId val="{00000005-14E2-4105-9517-607A3FFE990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工作表1!$B$3:$G$3</c:f>
              <c:strCache>
                <c:ptCount val="6"/>
                <c:pt idx="0">
                  <c:v>111</c:v>
                </c:pt>
                <c:pt idx="1">
                  <c:v>112</c:v>
                </c:pt>
                <c:pt idx="2">
                  <c:v>113</c:v>
                </c:pt>
                <c:pt idx="3">
                  <c:v>114
(預估)</c:v>
                </c:pt>
                <c:pt idx="4">
                  <c:v>115
(預估)</c:v>
                </c:pt>
                <c:pt idx="5">
                  <c:v>116
(預估)</c:v>
                </c:pt>
              </c:strCache>
            </c:strRef>
          </c:cat>
          <c:val>
            <c:numRef>
              <c:f>工作表1!$B$4:$G$4</c:f>
              <c:numCache>
                <c:formatCode>General</c:formatCode>
                <c:ptCount val="6"/>
                <c:pt idx="0">
                  <c:v>12.2</c:v>
                </c:pt>
                <c:pt idx="1">
                  <c:v>14.7</c:v>
                </c:pt>
                <c:pt idx="2">
                  <c:v>11</c:v>
                </c:pt>
                <c:pt idx="3">
                  <c:v>8.5</c:v>
                </c:pt>
                <c:pt idx="4">
                  <c:v>10.3</c:v>
                </c:pt>
                <c:pt idx="5">
                  <c:v>8.5</c:v>
                </c:pt>
              </c:numCache>
            </c:numRef>
          </c:val>
          <c:extLst>
            <c:ext xmlns:c16="http://schemas.microsoft.com/office/drawing/2014/chart" uri="{C3380CC4-5D6E-409C-BE32-E72D297353CC}">
              <c16:uniqueId val="{0000000C-14E2-4105-9517-607A3FFE990E}"/>
            </c:ext>
          </c:extLst>
        </c:ser>
        <c:dLbls>
          <c:showLegendKey val="0"/>
          <c:showVal val="0"/>
          <c:showCatName val="0"/>
          <c:showSerName val="0"/>
          <c:showPercent val="0"/>
          <c:showBubbleSize val="0"/>
        </c:dLbls>
        <c:gapWidth val="219"/>
        <c:overlap val="-27"/>
        <c:axId val="90800416"/>
        <c:axId val="90795840"/>
      </c:barChart>
      <c:catAx>
        <c:axId val="9080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0795840"/>
        <c:crosses val="autoZero"/>
        <c:auto val="1"/>
        <c:lblAlgn val="ctr"/>
        <c:lblOffset val="100"/>
        <c:noMultiLvlLbl val="0"/>
      </c:catAx>
      <c:valAx>
        <c:axId val="90795840"/>
        <c:scaling>
          <c:orientation val="minMax"/>
        </c:scaling>
        <c:delete val="0"/>
        <c:axPos val="l"/>
        <c:majorGridlines>
          <c:spPr>
            <a:ln w="9525" cap="flat" cmpd="sng" algn="ctr">
              <a:noFill/>
              <a:round/>
            </a:ln>
            <a:effectLst/>
          </c:spPr>
        </c:majorGridlines>
        <c:numFmt formatCode="General" sourceLinked="1"/>
        <c:majorTickMark val="out"/>
        <c:minorTickMark val="none"/>
        <c:tickLblPos val="nextTo"/>
        <c:spPr>
          <a:noFill/>
          <a:ln>
            <a:solidFill>
              <a:srgbClr val="E7E6E6">
                <a:lumMod val="90000"/>
              </a:srgb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0800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43951511854159"/>
          <c:y val="0.12067633368656859"/>
          <c:w val="0.67927121623781361"/>
          <c:h val="0.71343992988951344"/>
        </c:manualLayout>
      </c:layout>
      <c:barChart>
        <c:barDir val="col"/>
        <c:grouping val="clustered"/>
        <c:varyColors val="0"/>
        <c:ser>
          <c:idx val="1"/>
          <c:order val="1"/>
          <c:tx>
            <c:strRef>
              <c:f>工作表1!$E$2</c:f>
              <c:strCache>
                <c:ptCount val="1"/>
                <c:pt idx="0">
                  <c:v>面積</c:v>
                </c:pt>
              </c:strCache>
            </c:strRef>
          </c:tx>
          <c:spPr>
            <a:solidFill>
              <a:schemeClr val="bg1">
                <a:lumMod val="85000"/>
              </a:schemeClr>
            </a:solidFill>
            <a:ln>
              <a:noFill/>
            </a:ln>
            <a:effectLst/>
          </c:spPr>
          <c:invertIfNegative val="0"/>
          <c:dPt>
            <c:idx val="0"/>
            <c:invertIfNegative val="0"/>
            <c:bubble3D val="0"/>
            <c:spPr>
              <a:solidFill>
                <a:schemeClr val="bg1">
                  <a:lumMod val="85000"/>
                </a:schemeClr>
              </a:solidFill>
              <a:ln>
                <a:noFill/>
              </a:ln>
              <a:effectLst/>
            </c:spPr>
            <c:extLst>
              <c:ext xmlns:c16="http://schemas.microsoft.com/office/drawing/2014/chart" uri="{C3380CC4-5D6E-409C-BE32-E72D297353CC}">
                <c16:uniqueId val="{00000001-5A22-4578-AE54-445F7F90BDC5}"/>
              </c:ext>
            </c:extLst>
          </c:dPt>
          <c:dLbls>
            <c:dLbl>
              <c:idx val="0"/>
              <c:layout>
                <c:manualLayout>
                  <c:x val="-8.1393156021226949E-3"/>
                  <c:y val="0.1740314514537947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22-4578-AE54-445F7F90BDC5}"/>
                </c:ext>
              </c:extLst>
            </c:dLbl>
            <c:dLbl>
              <c:idx val="1"/>
              <c:layout>
                <c:manualLayout>
                  <c:x val="-8.1393156021226949E-3"/>
                  <c:y val="0.1645521843931477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22-4578-AE54-445F7F90BDC5}"/>
                </c:ext>
              </c:extLst>
            </c:dLbl>
            <c:dLbl>
              <c:idx val="2"/>
              <c:layout>
                <c:manualLayout>
                  <c:x val="-8.1393156021226949E-3"/>
                  <c:y val="0.1953309552844347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22-4578-AE54-445F7F90BDC5}"/>
                </c:ext>
              </c:extLst>
            </c:dLbl>
            <c:dLbl>
              <c:idx val="3"/>
              <c:layout>
                <c:manualLayout>
                  <c:x val="-8.1393156021227694E-3"/>
                  <c:y val="0.2274041772750503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22-4578-AE54-445F7F90BDC5}"/>
                </c:ext>
              </c:extLst>
            </c:dLbl>
            <c:dLbl>
              <c:idx val="4"/>
              <c:layout>
                <c:manualLayout>
                  <c:x val="-8.3481022969738236E-3"/>
                  <c:y val="0.3084617328439623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22-4578-AE54-445F7F90BDC5}"/>
                </c:ext>
              </c:extLst>
            </c:dLbl>
            <c:spPr>
              <a:noFill/>
              <a:ln>
                <a:noFill/>
              </a:ln>
              <a:effectLst/>
            </c:spPr>
            <c:txPr>
              <a:bodyPr rot="0" spcFirstLastPara="1" vertOverflow="ellipsis" vert="horz" wrap="square" anchor="ctr" anchorCtr="1"/>
              <a:lstStyle/>
              <a:p>
                <a:pPr algn="ctr">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工作表1!$C$3:$C$7</c:f>
              <c:numCache>
                <c:formatCode>General</c:formatCode>
                <c:ptCount val="5"/>
                <c:pt idx="0">
                  <c:v>109</c:v>
                </c:pt>
                <c:pt idx="1">
                  <c:v>110</c:v>
                </c:pt>
                <c:pt idx="2">
                  <c:v>111</c:v>
                </c:pt>
                <c:pt idx="3">
                  <c:v>112</c:v>
                </c:pt>
                <c:pt idx="4">
                  <c:v>113</c:v>
                </c:pt>
              </c:numCache>
            </c:numRef>
          </c:cat>
          <c:val>
            <c:numRef>
              <c:f>工作表1!$E$3:$E$7</c:f>
              <c:numCache>
                <c:formatCode>_-* #,##0_-;\-* #,##0_-;_-* "-"??_-;_-@_-</c:formatCode>
                <c:ptCount val="5"/>
                <c:pt idx="0">
                  <c:v>22527</c:v>
                </c:pt>
                <c:pt idx="1">
                  <c:v>22940</c:v>
                </c:pt>
                <c:pt idx="2">
                  <c:v>23864</c:v>
                </c:pt>
                <c:pt idx="3">
                  <c:v>24740</c:v>
                </c:pt>
                <c:pt idx="4">
                  <c:v>26394</c:v>
                </c:pt>
              </c:numCache>
            </c:numRef>
          </c:val>
          <c:extLst>
            <c:ext xmlns:c16="http://schemas.microsoft.com/office/drawing/2014/chart" uri="{C3380CC4-5D6E-409C-BE32-E72D297353CC}">
              <c16:uniqueId val="{00000006-5A22-4578-AE54-445F7F90BDC5}"/>
            </c:ext>
          </c:extLst>
        </c:ser>
        <c:dLbls>
          <c:showLegendKey val="0"/>
          <c:showVal val="0"/>
          <c:showCatName val="0"/>
          <c:showSerName val="0"/>
          <c:showPercent val="0"/>
          <c:showBubbleSize val="0"/>
        </c:dLbls>
        <c:gapWidth val="219"/>
        <c:axId val="1747267616"/>
        <c:axId val="1869851936"/>
      </c:barChart>
      <c:lineChart>
        <c:grouping val="standard"/>
        <c:varyColors val="0"/>
        <c:ser>
          <c:idx val="0"/>
          <c:order val="0"/>
          <c:tx>
            <c:strRef>
              <c:f>工作表1!$D$2</c:f>
              <c:strCache>
                <c:ptCount val="1"/>
                <c:pt idx="0">
                  <c:v>數量</c:v>
                </c:pt>
              </c:strCache>
            </c:strRef>
          </c:tx>
          <c:spPr>
            <a:ln w="28575" cap="rnd">
              <a:solidFill>
                <a:schemeClr val="tx1">
                  <a:lumMod val="65000"/>
                  <a:lumOff val="35000"/>
                </a:schemeClr>
              </a:solidFill>
              <a:round/>
            </a:ln>
            <a:effectLst/>
          </c:spPr>
          <c:marker>
            <c:symbol val="circle"/>
            <c:size val="5"/>
            <c:spPr>
              <a:solidFill>
                <a:schemeClr val="tx1">
                  <a:lumMod val="65000"/>
                  <a:lumOff val="35000"/>
                </a:schemeClr>
              </a:solidFill>
              <a:ln w="9525">
                <a:solidFill>
                  <a:schemeClr val="tx1">
                    <a:lumMod val="65000"/>
                    <a:lumOff val="35000"/>
                  </a:schemeClr>
                </a:solidFill>
              </a:ln>
              <a:effectLst/>
            </c:spPr>
          </c:marker>
          <c:dLbls>
            <c:spPr>
              <a:noFill/>
              <a:ln>
                <a:noFill/>
              </a:ln>
              <a:effectLst/>
            </c:spPr>
            <c:txPr>
              <a:bodyPr rot="0" spcFirstLastPara="1" vertOverflow="ellipsis" vert="horz" wrap="square" anchor="ctr" anchorCtr="1"/>
              <a:lstStyle/>
              <a:p>
                <a:pPr algn="ctr">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工作表1!$C$3:$C$7</c:f>
              <c:numCache>
                <c:formatCode>General</c:formatCode>
                <c:ptCount val="5"/>
                <c:pt idx="0">
                  <c:v>109</c:v>
                </c:pt>
                <c:pt idx="1">
                  <c:v>110</c:v>
                </c:pt>
                <c:pt idx="2">
                  <c:v>111</c:v>
                </c:pt>
                <c:pt idx="3">
                  <c:v>112</c:v>
                </c:pt>
                <c:pt idx="4">
                  <c:v>113</c:v>
                </c:pt>
              </c:numCache>
            </c:numRef>
          </c:cat>
          <c:val>
            <c:numRef>
              <c:f>工作表1!$D$3:$D$7</c:f>
              <c:numCache>
                <c:formatCode>#,##0_);[Red]\(#,##0\)</c:formatCode>
                <c:ptCount val="5"/>
                <c:pt idx="0">
                  <c:v>212589</c:v>
                </c:pt>
                <c:pt idx="1">
                  <c:v>213719</c:v>
                </c:pt>
                <c:pt idx="2" formatCode="#,##0">
                  <c:v>219693</c:v>
                </c:pt>
                <c:pt idx="3" formatCode="#,##0">
                  <c:v>227385</c:v>
                </c:pt>
                <c:pt idx="4" formatCode="#,##0">
                  <c:v>239781</c:v>
                </c:pt>
              </c:numCache>
            </c:numRef>
          </c:val>
          <c:smooth val="0"/>
          <c:extLst>
            <c:ext xmlns:c16="http://schemas.microsoft.com/office/drawing/2014/chart" uri="{C3380CC4-5D6E-409C-BE32-E72D297353CC}">
              <c16:uniqueId val="{00000007-5A22-4578-AE54-445F7F90BDC5}"/>
            </c:ext>
          </c:extLst>
        </c:ser>
        <c:dLbls>
          <c:showLegendKey val="0"/>
          <c:showVal val="0"/>
          <c:showCatName val="0"/>
          <c:showSerName val="0"/>
          <c:showPercent val="0"/>
          <c:showBubbleSize val="0"/>
        </c:dLbls>
        <c:marker val="1"/>
        <c:smooth val="0"/>
        <c:axId val="1860050160"/>
        <c:axId val="1663125360"/>
      </c:lineChart>
      <c:catAx>
        <c:axId val="1747267616"/>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lgn="ctr">
              <a:spcBef>
                <a:spcPts val="50"/>
              </a:spcBef>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9851936"/>
        <c:crosses val="autoZero"/>
        <c:auto val="1"/>
        <c:lblAlgn val="ctr"/>
        <c:lblOffset val="100"/>
        <c:noMultiLvlLbl val="0"/>
      </c:catAx>
      <c:valAx>
        <c:axId val="1869851936"/>
        <c:scaling>
          <c:orientation val="minMax"/>
          <c:max val="28000"/>
          <c:min val="20000"/>
        </c:scaling>
        <c:delete val="0"/>
        <c:axPos val="l"/>
        <c:majorGridlines>
          <c:spPr>
            <a:ln w="9525" cap="flat" cmpd="sng" algn="ctr">
              <a:noFill/>
              <a:round/>
            </a:ln>
            <a:effectLst/>
          </c:spPr>
        </c:majorGridlines>
        <c:numFmt formatCode="_(* #,##0_);_(* \(#,##0\);_(* &quot;-&quot;_);_(@_)" sourceLinked="0"/>
        <c:majorTickMark val="in"/>
        <c:minorTickMark val="none"/>
        <c:tickLblPos val="nextTo"/>
        <c:spPr>
          <a:noFill/>
          <a:ln w="6350">
            <a:solidFill>
              <a:schemeClr val="tx1"/>
            </a:solidFill>
          </a:ln>
          <a:effectLst/>
        </c:spPr>
        <c:txPr>
          <a:bodyPr rot="0" spcFirstLastPara="1" vertOverflow="ellipsis" wrap="square" anchor="ctr" anchorCtr="1"/>
          <a:lstStyle/>
          <a:p>
            <a:pPr algn="ctr" hangingPunct="0">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47267616"/>
        <c:crosses val="autoZero"/>
        <c:crossBetween val="between"/>
      </c:valAx>
      <c:valAx>
        <c:axId val="1663125360"/>
        <c:scaling>
          <c:orientation val="minMax"/>
          <c:max val="250000"/>
          <c:min val="180000"/>
        </c:scaling>
        <c:delete val="0"/>
        <c:axPos val="r"/>
        <c:numFmt formatCode="#,##0_);[Red]\(#,##0\)" sourceLinked="1"/>
        <c:majorTickMark val="in"/>
        <c:minorTickMark val="none"/>
        <c:tickLblPos val="nextTo"/>
        <c:spPr>
          <a:noFill/>
          <a:ln w="6350">
            <a:solidFill>
              <a:schemeClr val="tx1"/>
            </a:solidFill>
          </a:ln>
          <a:effectLst/>
        </c:spPr>
        <c:txPr>
          <a:bodyPr rot="-60000000" spcFirstLastPara="1" vertOverflow="ellipsis" vert="horz" wrap="square" anchor="ctr" anchorCtr="1"/>
          <a:lstStyle/>
          <a:p>
            <a:pPr algn="ctr">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0050160"/>
        <c:crosses val="max"/>
        <c:crossBetween val="between"/>
      </c:valAx>
      <c:catAx>
        <c:axId val="1860050160"/>
        <c:scaling>
          <c:orientation val="minMax"/>
        </c:scaling>
        <c:delete val="1"/>
        <c:axPos val="b"/>
        <c:numFmt formatCode="General" sourceLinked="1"/>
        <c:majorTickMark val="out"/>
        <c:minorTickMark val="none"/>
        <c:tickLblPos val="nextTo"/>
        <c:crossAx val="1663125360"/>
        <c:crosses val="autoZero"/>
        <c:auto val="1"/>
        <c:lblAlgn val="ctr"/>
        <c:lblOffset val="100"/>
        <c:noMultiLvlLbl val="0"/>
      </c:catAx>
      <c:spPr>
        <a:noFill/>
        <a:ln>
          <a:noFill/>
        </a:ln>
        <a:effectLst/>
      </c:spPr>
    </c:plotArea>
    <c:legend>
      <c:legendPos val="b"/>
      <c:layout>
        <c:manualLayout>
          <c:xMode val="edge"/>
          <c:yMode val="edge"/>
          <c:x val="0.33108655920627722"/>
          <c:y val="0.92767094902610858"/>
          <c:w val="0.3470239976547434"/>
          <c:h val="6.7470593171665261E-2"/>
        </c:manualLayout>
      </c:layout>
      <c:overlay val="0"/>
      <c:spPr>
        <a:noFill/>
        <a:ln>
          <a:noFill/>
        </a:ln>
        <a:effectLst/>
      </c:spPr>
      <c:txPr>
        <a:bodyPr rot="0" spcFirstLastPara="1" vertOverflow="ellipsis" vert="horz" wrap="square" anchor="ctr" anchorCtr="1"/>
        <a:lstStyle/>
        <a:p>
          <a:pPr algn="ctr">
            <a:def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lgn="ctr" hangingPunct="0">
        <a:defRPr lang="zh-TW" altLang="en-US"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87744660271863"/>
          <c:y val="0.21398148148148149"/>
          <c:w val="0.71590320471311042"/>
          <c:h val="0.69597914843977848"/>
        </c:manualLayout>
      </c:layout>
      <c:barChart>
        <c:barDir val="col"/>
        <c:grouping val="clustered"/>
        <c:varyColors val="0"/>
        <c:ser>
          <c:idx val="1"/>
          <c:order val="0"/>
          <c:tx>
            <c:strRef>
              <c:f>圖3!$B$2</c:f>
              <c:strCache>
                <c:ptCount val="1"/>
                <c:pt idx="0">
                  <c:v>平均預算員額</c:v>
                </c:pt>
              </c:strCache>
            </c:strRef>
          </c:tx>
          <c:spPr>
            <a:solidFill>
              <a:sysClr val="window" lastClr="FFFFFF">
                <a:lumMod val="50000"/>
              </a:sysClr>
            </a:solidFill>
            <a:ln>
              <a:noFill/>
            </a:ln>
            <a:effectLst/>
          </c:spPr>
          <c:invertIfNegative val="0"/>
          <c:dPt>
            <c:idx val="0"/>
            <c:invertIfNegative val="0"/>
            <c:bubble3D val="0"/>
            <c:spPr>
              <a:solidFill>
                <a:sysClr val="window" lastClr="FFFFFF">
                  <a:lumMod val="50000"/>
                </a:sysClr>
              </a:solidFill>
              <a:ln>
                <a:noFill/>
              </a:ln>
              <a:effectLst/>
            </c:spPr>
            <c:extLst>
              <c:ext xmlns:c16="http://schemas.microsoft.com/office/drawing/2014/chart" uri="{C3380CC4-5D6E-409C-BE32-E72D297353CC}">
                <c16:uniqueId val="{00000001-3429-43EE-B6E3-56A8FD0C2705}"/>
              </c:ext>
            </c:extLst>
          </c:dPt>
          <c:cat>
            <c:numRef>
              <c:f>圖3!$A$3:$A$7</c:f>
              <c:numCache>
                <c:formatCode>General</c:formatCode>
                <c:ptCount val="5"/>
                <c:pt idx="0">
                  <c:v>109</c:v>
                </c:pt>
                <c:pt idx="1">
                  <c:v>110</c:v>
                </c:pt>
                <c:pt idx="2">
                  <c:v>111</c:v>
                </c:pt>
                <c:pt idx="3">
                  <c:v>112</c:v>
                </c:pt>
                <c:pt idx="4">
                  <c:v>113</c:v>
                </c:pt>
              </c:numCache>
            </c:numRef>
          </c:cat>
          <c:val>
            <c:numRef>
              <c:f>圖3!$B$3:$B$7</c:f>
              <c:numCache>
                <c:formatCode>#,##0_ </c:formatCode>
                <c:ptCount val="5"/>
                <c:pt idx="0">
                  <c:v>204963.7261914151</c:v>
                </c:pt>
                <c:pt idx="1">
                  <c:v>207595.809524738</c:v>
                </c:pt>
                <c:pt idx="2">
                  <c:v>207042.08333269795</c:v>
                </c:pt>
                <c:pt idx="3">
                  <c:v>208036.14754634898</c:v>
                </c:pt>
                <c:pt idx="4">
                  <c:v>208155.16666813602</c:v>
                </c:pt>
              </c:numCache>
            </c:numRef>
          </c:val>
          <c:extLst>
            <c:ext xmlns:c16="http://schemas.microsoft.com/office/drawing/2014/chart" uri="{C3380CC4-5D6E-409C-BE32-E72D297353CC}">
              <c16:uniqueId val="{00000002-3429-43EE-B6E3-56A8FD0C2705}"/>
            </c:ext>
          </c:extLst>
        </c:ser>
        <c:ser>
          <c:idx val="2"/>
          <c:order val="1"/>
          <c:tx>
            <c:strRef>
              <c:f>圖3!$C$2</c:f>
              <c:strCache>
                <c:ptCount val="1"/>
                <c:pt idx="0">
                  <c:v>平均現有人數</c:v>
                </c:pt>
              </c:strCache>
            </c:strRef>
          </c:tx>
          <c:spPr>
            <a:solidFill>
              <a:srgbClr val="E7E6E6">
                <a:lumMod val="90000"/>
              </a:srgbClr>
            </a:solidFill>
            <a:ln>
              <a:noFill/>
            </a:ln>
            <a:effectLst/>
          </c:spPr>
          <c:invertIfNegative val="0"/>
          <c:cat>
            <c:numRef>
              <c:f>圖3!$A$3:$A$7</c:f>
              <c:numCache>
                <c:formatCode>General</c:formatCode>
                <c:ptCount val="5"/>
                <c:pt idx="0">
                  <c:v>109</c:v>
                </c:pt>
                <c:pt idx="1">
                  <c:v>110</c:v>
                </c:pt>
                <c:pt idx="2">
                  <c:v>111</c:v>
                </c:pt>
                <c:pt idx="3">
                  <c:v>112</c:v>
                </c:pt>
                <c:pt idx="4">
                  <c:v>113</c:v>
                </c:pt>
              </c:numCache>
            </c:numRef>
          </c:cat>
          <c:val>
            <c:numRef>
              <c:f>圖3!$C$3:$C$7</c:f>
              <c:numCache>
                <c:formatCode>#,##0_ </c:formatCode>
                <c:ptCount val="5"/>
                <c:pt idx="0">
                  <c:v>190835.06204519799</c:v>
                </c:pt>
                <c:pt idx="1">
                  <c:v>191813.85974073209</c:v>
                </c:pt>
                <c:pt idx="2">
                  <c:v>189683.79246037395</c:v>
                </c:pt>
                <c:pt idx="3">
                  <c:v>189471.10342675896</c:v>
                </c:pt>
                <c:pt idx="4">
                  <c:v>188167.98181743687</c:v>
                </c:pt>
              </c:numCache>
            </c:numRef>
          </c:val>
          <c:extLst>
            <c:ext xmlns:c16="http://schemas.microsoft.com/office/drawing/2014/chart" uri="{C3380CC4-5D6E-409C-BE32-E72D297353CC}">
              <c16:uniqueId val="{00000003-3429-43EE-B6E3-56A8FD0C2705}"/>
            </c:ext>
          </c:extLst>
        </c:ser>
        <c:dLbls>
          <c:showLegendKey val="0"/>
          <c:showVal val="0"/>
          <c:showCatName val="0"/>
          <c:showSerName val="0"/>
          <c:showPercent val="0"/>
          <c:showBubbleSize val="0"/>
        </c:dLbls>
        <c:gapWidth val="219"/>
        <c:axId val="721964096"/>
        <c:axId val="721969088"/>
      </c:barChart>
      <c:lineChart>
        <c:grouping val="standard"/>
        <c:varyColors val="0"/>
        <c:ser>
          <c:idx val="3"/>
          <c:order val="2"/>
          <c:tx>
            <c:strRef>
              <c:f>圖3!$D$2</c:f>
              <c:strCache>
                <c:ptCount val="1"/>
                <c:pt idx="0">
                  <c:v>平均缺額率</c:v>
                </c:pt>
              </c:strCache>
            </c:strRef>
          </c:tx>
          <c:spPr>
            <a:ln w="28575" cap="rnd">
              <a:solidFill>
                <a:sysClr val="windowText" lastClr="000000"/>
              </a:solidFill>
              <a:round/>
            </a:ln>
            <a:effectLst/>
          </c:spPr>
          <c:marker>
            <c:symbol val="circle"/>
            <c:size val="6"/>
            <c:spPr>
              <a:solidFill>
                <a:sysClr val="window" lastClr="FFFFFF"/>
              </a:solidFill>
              <a:ln w="12700">
                <a:solidFill>
                  <a:sysClr val="windowText" lastClr="000000">
                    <a:lumMod val="65000"/>
                    <a:lumOff val="35000"/>
                  </a:sysClr>
                </a:solidFill>
              </a:ln>
              <a:effectLst/>
            </c:spPr>
          </c:marker>
          <c:cat>
            <c:numRef>
              <c:f>圖3!$A$3:$A$7</c:f>
              <c:numCache>
                <c:formatCode>General</c:formatCode>
                <c:ptCount val="5"/>
                <c:pt idx="0">
                  <c:v>109</c:v>
                </c:pt>
                <c:pt idx="1">
                  <c:v>110</c:v>
                </c:pt>
                <c:pt idx="2">
                  <c:v>111</c:v>
                </c:pt>
                <c:pt idx="3">
                  <c:v>112</c:v>
                </c:pt>
                <c:pt idx="4">
                  <c:v>113</c:v>
                </c:pt>
              </c:numCache>
            </c:numRef>
          </c:cat>
          <c:val>
            <c:numRef>
              <c:f>圖3!$D$3:$D$7</c:f>
              <c:numCache>
                <c:formatCode>0.00_);[Red]\(0.00\)</c:formatCode>
                <c:ptCount val="5"/>
                <c:pt idx="0">
                  <c:v>6.8932510199499335</c:v>
                </c:pt>
                <c:pt idx="1">
                  <c:v>7.6022487256060245</c:v>
                </c:pt>
                <c:pt idx="2">
                  <c:v>8.3839432993102125</c:v>
                </c:pt>
                <c:pt idx="3">
                  <c:v>8.9239511202993498</c:v>
                </c:pt>
                <c:pt idx="4">
                  <c:v>9.6020604103307861</c:v>
                </c:pt>
              </c:numCache>
            </c:numRef>
          </c:val>
          <c:smooth val="0"/>
          <c:extLst>
            <c:ext xmlns:c16="http://schemas.microsoft.com/office/drawing/2014/chart" uri="{C3380CC4-5D6E-409C-BE32-E72D297353CC}">
              <c16:uniqueId val="{00000004-3429-43EE-B6E3-56A8FD0C2705}"/>
            </c:ext>
          </c:extLst>
        </c:ser>
        <c:ser>
          <c:idx val="4"/>
          <c:order val="3"/>
          <c:tx>
            <c:strRef>
              <c:f>圖3!$E$2</c:f>
              <c:strCache>
                <c:ptCount val="1"/>
                <c:pt idx="0">
                  <c:v>平均其他類缺額率</c:v>
                </c:pt>
              </c:strCache>
            </c:strRef>
          </c:tx>
          <c:spPr>
            <a:ln w="28575" cap="rnd">
              <a:solidFill>
                <a:srgbClr val="E7E6E6">
                  <a:lumMod val="75000"/>
                </a:srgbClr>
              </a:solidFill>
              <a:round/>
            </a:ln>
            <a:effectLst/>
          </c:spPr>
          <c:marker>
            <c:symbol val="triangle"/>
            <c:size val="6"/>
            <c:spPr>
              <a:solidFill>
                <a:sysClr val="window" lastClr="FFFFFF"/>
              </a:solidFill>
              <a:ln w="12700">
                <a:solidFill>
                  <a:sysClr val="windowText" lastClr="000000">
                    <a:lumMod val="75000"/>
                    <a:lumOff val="25000"/>
                  </a:sysClr>
                </a:solidFill>
              </a:ln>
              <a:effectLst/>
            </c:spPr>
          </c:marker>
          <c:cat>
            <c:numRef>
              <c:f>圖3!$A$3:$A$7</c:f>
              <c:numCache>
                <c:formatCode>General</c:formatCode>
                <c:ptCount val="5"/>
                <c:pt idx="0">
                  <c:v>109</c:v>
                </c:pt>
                <c:pt idx="1">
                  <c:v>110</c:v>
                </c:pt>
                <c:pt idx="2">
                  <c:v>111</c:v>
                </c:pt>
                <c:pt idx="3">
                  <c:v>112</c:v>
                </c:pt>
                <c:pt idx="4">
                  <c:v>113</c:v>
                </c:pt>
              </c:numCache>
            </c:numRef>
          </c:cat>
          <c:val>
            <c:numRef>
              <c:f>圖3!$E$3:$E$7</c:f>
              <c:numCache>
                <c:formatCode>#,##0.00_ </c:formatCode>
                <c:ptCount val="5"/>
                <c:pt idx="0">
                  <c:v>2.0224496169272053</c:v>
                </c:pt>
                <c:pt idx="1">
                  <c:v>2.434753435285836</c:v>
                </c:pt>
                <c:pt idx="2">
                  <c:v>2.6752014700922704</c:v>
                </c:pt>
                <c:pt idx="3">
                  <c:v>3.0407398761403455</c:v>
                </c:pt>
                <c:pt idx="4">
                  <c:v>3.4332699505815225</c:v>
                </c:pt>
              </c:numCache>
            </c:numRef>
          </c:val>
          <c:smooth val="0"/>
          <c:extLst>
            <c:ext xmlns:c16="http://schemas.microsoft.com/office/drawing/2014/chart" uri="{C3380CC4-5D6E-409C-BE32-E72D297353CC}">
              <c16:uniqueId val="{00000005-3429-43EE-B6E3-56A8FD0C2705}"/>
            </c:ext>
          </c:extLst>
        </c:ser>
        <c:dLbls>
          <c:showLegendKey val="0"/>
          <c:showVal val="0"/>
          <c:showCatName val="0"/>
          <c:showSerName val="0"/>
          <c:showPercent val="0"/>
          <c:showBubbleSize val="0"/>
        </c:dLbls>
        <c:marker val="1"/>
        <c:smooth val="0"/>
        <c:axId val="585517664"/>
        <c:axId val="585509344"/>
      </c:lineChart>
      <c:catAx>
        <c:axId val="721964096"/>
        <c:scaling>
          <c:orientation val="minMax"/>
        </c:scaling>
        <c:delete val="1"/>
        <c:axPos val="b"/>
        <c:numFmt formatCode="General" sourceLinked="1"/>
        <c:majorTickMark val="none"/>
        <c:minorTickMark val="none"/>
        <c:tickLblPos val="nextTo"/>
        <c:crossAx val="721969088"/>
        <c:crosses val="autoZero"/>
        <c:auto val="1"/>
        <c:lblAlgn val="ctr"/>
        <c:lblOffset val="100"/>
        <c:noMultiLvlLbl val="0"/>
      </c:catAx>
      <c:valAx>
        <c:axId val="721969088"/>
        <c:scaling>
          <c:orientation val="minMax"/>
          <c:min val="150000"/>
        </c:scaling>
        <c:delete val="0"/>
        <c:axPos val="l"/>
        <c:numFmt formatCode="#,##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21964096"/>
        <c:crosses val="autoZero"/>
        <c:crossBetween val="between"/>
      </c:valAx>
      <c:valAx>
        <c:axId val="585509344"/>
        <c:scaling>
          <c:orientation val="minMax"/>
          <c:max val="16"/>
          <c:min val="0"/>
        </c:scaling>
        <c:delete val="0"/>
        <c:axPos val="r"/>
        <c:numFmt formatCode="#,##0_ "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585517664"/>
        <c:crosses val="max"/>
        <c:crossBetween val="between"/>
        <c:majorUnit val="4"/>
      </c:valAx>
      <c:catAx>
        <c:axId val="585517664"/>
        <c:scaling>
          <c:orientation val="minMax"/>
        </c:scaling>
        <c:delete val="1"/>
        <c:axPos val="b"/>
        <c:numFmt formatCode="General" sourceLinked="1"/>
        <c:majorTickMark val="out"/>
        <c:minorTickMark val="none"/>
        <c:tickLblPos val="nextTo"/>
        <c:crossAx val="585509344"/>
        <c:crosses val="autoZero"/>
        <c:auto val="1"/>
        <c:lblAlgn val="ctr"/>
        <c:lblOffset val="100"/>
        <c:noMultiLvlLbl val="0"/>
      </c:catAx>
      <c:spPr>
        <a:noFill/>
        <a:ln>
          <a:noFill/>
        </a:ln>
        <a:effectLst/>
      </c:spPr>
    </c:plotArea>
    <c:legend>
      <c:legendPos val="b"/>
      <c:layout>
        <c:manualLayout>
          <c:xMode val="edge"/>
          <c:yMode val="edge"/>
          <c:x val="0.16620333892111705"/>
          <c:y val="1.8016511572417088E-2"/>
          <c:w val="0.71210003510270026"/>
          <c:h val="0.19439408255786206"/>
        </c:manualLayout>
      </c:layout>
      <c:overlay val="0"/>
      <c:spPr>
        <a:noFill/>
        <a:ln>
          <a:noFill/>
        </a:ln>
        <a:effectLst/>
      </c:spPr>
      <c:txPr>
        <a:bodyPr rot="0" spcFirstLastPara="1" vertOverflow="ellipsis" vert="horz" wrap="square" anchor="ctr" anchorCtr="1"/>
        <a:lstStyle/>
        <a:p>
          <a:pPr>
            <a:lnSpc>
              <a:spcPts val="1200"/>
            </a:lnSpc>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354838709677419"/>
          <c:y val="0.15336683766801876"/>
          <c:w val="0.72175205819338195"/>
          <c:h val="0.62530422333571956"/>
        </c:manualLayout>
      </c:layout>
      <c:barChart>
        <c:barDir val="col"/>
        <c:grouping val="clustered"/>
        <c:varyColors val="0"/>
        <c:ser>
          <c:idx val="0"/>
          <c:order val="0"/>
          <c:tx>
            <c:strRef>
              <c:f>工作表1!$B$5</c:f>
              <c:strCache>
                <c:ptCount val="1"/>
                <c:pt idx="0">
                  <c:v>執行率</c:v>
                </c:pt>
              </c:strCache>
            </c:strRef>
          </c:tx>
          <c:spPr>
            <a:solidFill>
              <a:schemeClr val="bg1">
                <a:lumMod val="65000"/>
              </a:schemeClr>
            </a:solidFill>
            <a:ln>
              <a:noFill/>
            </a:ln>
            <a:effectLst/>
          </c:spPr>
          <c:invertIfNegative val="0"/>
          <c:cat>
            <c:numRef>
              <c:f>工作表1!$C$4:$G$4</c:f>
              <c:numCache>
                <c:formatCode>General</c:formatCode>
                <c:ptCount val="5"/>
                <c:pt idx="0">
                  <c:v>109</c:v>
                </c:pt>
                <c:pt idx="1">
                  <c:v>110</c:v>
                </c:pt>
                <c:pt idx="2">
                  <c:v>111</c:v>
                </c:pt>
                <c:pt idx="3">
                  <c:v>112</c:v>
                </c:pt>
                <c:pt idx="4">
                  <c:v>113</c:v>
                </c:pt>
              </c:numCache>
            </c:numRef>
          </c:cat>
          <c:val>
            <c:numRef>
              <c:f>工作表1!$C$5:$G$5</c:f>
              <c:numCache>
                <c:formatCode>0.00_ </c:formatCode>
                <c:ptCount val="5"/>
                <c:pt idx="0">
                  <c:v>97.28</c:v>
                </c:pt>
                <c:pt idx="1">
                  <c:v>96.92</c:v>
                </c:pt>
                <c:pt idx="2">
                  <c:v>97.1</c:v>
                </c:pt>
                <c:pt idx="3">
                  <c:v>97.17</c:v>
                </c:pt>
                <c:pt idx="4">
                  <c:v>93.73</c:v>
                </c:pt>
              </c:numCache>
            </c:numRef>
          </c:val>
          <c:extLst>
            <c:ext xmlns:c16="http://schemas.microsoft.com/office/drawing/2014/chart" uri="{C3380CC4-5D6E-409C-BE32-E72D297353CC}">
              <c16:uniqueId val="{00000000-2722-4EAE-A84E-F0342541510D}"/>
            </c:ext>
          </c:extLst>
        </c:ser>
        <c:dLbls>
          <c:showLegendKey val="0"/>
          <c:showVal val="0"/>
          <c:showCatName val="0"/>
          <c:showSerName val="0"/>
          <c:showPercent val="0"/>
          <c:showBubbleSize val="0"/>
        </c:dLbls>
        <c:gapWidth val="219"/>
        <c:overlap val="-27"/>
        <c:axId val="519125392"/>
        <c:axId val="519123728"/>
      </c:barChart>
      <c:catAx>
        <c:axId val="51912539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年度</a:t>
                </a:r>
                <a:endParaRPr lang="en-US">
                  <a:solidFill>
                    <a:sysClr val="windowText" lastClr="000000"/>
                  </a:solidFill>
                </a:endParaRPr>
              </a:p>
              <a:p>
                <a:pPr>
                  <a:defRPr>
                    <a:solidFill>
                      <a:sysClr val="windowText" lastClr="000000"/>
                    </a:solidFill>
                  </a:defRPr>
                </a:pPr>
                <a:r>
                  <a:rPr lang="zh-TW">
                    <a:solidFill>
                      <a:sysClr val="windowText" lastClr="000000"/>
                    </a:solidFill>
                  </a:rPr>
                  <a:t>％</a:t>
                </a:r>
              </a:p>
            </c:rich>
          </c:tx>
          <c:layout>
            <c:manualLayout>
              <c:xMode val="edge"/>
              <c:yMode val="edge"/>
              <c:x val="0.90523054492436672"/>
              <c:y val="0.7629995824385588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519123728"/>
        <c:crosses val="autoZero"/>
        <c:auto val="0"/>
        <c:lblAlgn val="ctr"/>
        <c:lblOffset val="100"/>
        <c:tickLblSkip val="1"/>
        <c:noMultiLvlLbl val="0"/>
      </c:catAx>
      <c:valAx>
        <c:axId val="519123728"/>
        <c:scaling>
          <c:orientation val="minMax"/>
          <c:min val="90"/>
        </c:scaling>
        <c:delete val="0"/>
        <c:axPos val="l"/>
        <c:majorGridlines>
          <c:spPr>
            <a:ln w="9525" cap="flat" cmpd="sng" algn="ctr">
              <a:noFill/>
              <a:round/>
            </a:ln>
            <a:effectLst/>
          </c:spPr>
        </c:majorGridlines>
        <c:title>
          <c:tx>
            <c:rich>
              <a:bodyPr rot="0" spcFirstLastPara="1" vertOverflow="ellipsis" wrap="square" anchor="ctr" anchorCtr="1"/>
              <a:lstStyle/>
              <a:p>
                <a:pPr lvl="1" algn="ct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endParaRPr lang="zh-TW">
                  <a:solidFill>
                    <a:sysClr val="windowText" lastClr="000000"/>
                  </a:solidFill>
                </a:endParaRPr>
              </a:p>
            </c:rich>
          </c:tx>
          <c:layout>
            <c:manualLayout>
              <c:xMode val="edge"/>
              <c:yMode val="edge"/>
              <c:x val="0.10930402425776603"/>
              <c:y val="1.5763938598584271E-2"/>
            </c:manualLayout>
          </c:layout>
          <c:overlay val="0"/>
          <c:spPr>
            <a:noFill/>
            <a:ln>
              <a:noFill/>
            </a:ln>
            <a:effectLst/>
          </c:spPr>
          <c:txPr>
            <a:bodyPr rot="0" spcFirstLastPara="1" vertOverflow="ellipsis" wrap="square" anchor="ctr" anchorCtr="1"/>
            <a:lstStyle/>
            <a:p>
              <a:pPr lvl="1" algn="ct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519125392"/>
        <c:crosses val="autoZero"/>
        <c:crossBetween val="between"/>
        <c:majorUnit val="2"/>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0.88357</cdr:x>
      <cdr:y>0.78025</cdr:y>
    </cdr:from>
    <cdr:to>
      <cdr:x>1</cdr:x>
      <cdr:y>0.93714</cdr:y>
    </cdr:to>
    <cdr:sp macro="" textlink="">
      <cdr:nvSpPr>
        <cdr:cNvPr id="2" name="文字方塊 1"/>
        <cdr:cNvSpPr txBox="1"/>
      </cdr:nvSpPr>
      <cdr:spPr>
        <a:xfrm xmlns:a="http://schemas.openxmlformats.org/drawingml/2006/main">
          <a:off x="3749040" y="1986306"/>
          <a:ext cx="494030" cy="3993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0.19927</cdr:x>
      <cdr:y>0</cdr:y>
    </cdr:from>
    <cdr:to>
      <cdr:x>0.78793</cdr:x>
      <cdr:y>0.10477</cdr:y>
    </cdr:to>
    <cdr:sp macro="" textlink="">
      <cdr:nvSpPr>
        <cdr:cNvPr id="2" name="文字方塊 1">
          <a:extLst xmlns:a="http://schemas.openxmlformats.org/drawingml/2006/main">
            <a:ext uri="{FF2B5EF4-FFF2-40B4-BE49-F238E27FC236}">
              <a16:creationId xmlns:a16="http://schemas.microsoft.com/office/drawing/2014/main" id="{68BB1F25-545D-95C7-8389-FAFE824A7B9A}"/>
            </a:ext>
          </a:extLst>
        </cdr:cNvPr>
        <cdr:cNvSpPr txBox="1"/>
      </cdr:nvSpPr>
      <cdr:spPr>
        <a:xfrm xmlns:a="http://schemas.openxmlformats.org/drawingml/2006/main">
          <a:off x="1038225" y="0"/>
          <a:ext cx="3067050" cy="2762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kern="1200">
              <a:latin typeface="標楷體" panose="03000509000000000000" pitchFamily="65" charset="-120"/>
              <a:ea typeface="標楷體" panose="03000509000000000000" pitchFamily="65" charset="-120"/>
            </a:rPr>
            <a:t>圖</a:t>
          </a:r>
          <a:r>
            <a:rPr lang="en-US" altLang="zh-TW" sz="1200" b="1" kern="1200">
              <a:latin typeface="標楷體" panose="03000509000000000000" pitchFamily="65" charset="-120"/>
              <a:ea typeface="標楷體" panose="03000509000000000000" pitchFamily="65" charset="-120"/>
            </a:rPr>
            <a:t>5  </a:t>
          </a:r>
          <a:r>
            <a:rPr lang="zh-TW" altLang="en-US" sz="1200" b="1" kern="1200">
              <a:latin typeface="標楷體" panose="03000509000000000000" pitchFamily="65" charset="-120"/>
              <a:ea typeface="標楷體" panose="03000509000000000000" pitchFamily="65" charset="-120"/>
            </a:rPr>
            <a:t>我國對美國進出口情形</a:t>
          </a:r>
        </a:p>
      </cdr:txBody>
    </cdr:sp>
  </cdr:relSizeAnchor>
  <cdr:relSizeAnchor xmlns:cdr="http://schemas.openxmlformats.org/drawingml/2006/chartDrawing">
    <cdr:from>
      <cdr:x>0.04036</cdr:x>
      <cdr:y>0.06258</cdr:y>
    </cdr:from>
    <cdr:to>
      <cdr:x>0.16857</cdr:x>
      <cdr:y>0.15999</cdr:y>
    </cdr:to>
    <cdr:sp macro="" textlink="">
      <cdr:nvSpPr>
        <cdr:cNvPr id="3" name="文字方塊 2">
          <a:extLst xmlns:a="http://schemas.openxmlformats.org/drawingml/2006/main">
            <a:ext uri="{FF2B5EF4-FFF2-40B4-BE49-F238E27FC236}">
              <a16:creationId xmlns:a16="http://schemas.microsoft.com/office/drawing/2014/main" id="{61A71509-58C2-D29A-D69A-894CD021BFC8}"/>
            </a:ext>
          </a:extLst>
        </cdr:cNvPr>
        <cdr:cNvSpPr txBox="1"/>
      </cdr:nvSpPr>
      <cdr:spPr>
        <a:xfrm xmlns:a="http://schemas.openxmlformats.org/drawingml/2006/main">
          <a:off x="180983" y="162721"/>
          <a:ext cx="574941" cy="25329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kern="1200">
              <a:latin typeface="標楷體" panose="03000509000000000000" pitchFamily="65" charset="-120"/>
              <a:ea typeface="標楷體" panose="03000509000000000000" pitchFamily="65" charset="-120"/>
            </a:rPr>
            <a:t>美金億元</a:t>
          </a:r>
        </a:p>
      </cdr:txBody>
    </cdr:sp>
  </cdr:relSizeAnchor>
  <cdr:relSizeAnchor xmlns:cdr="http://schemas.openxmlformats.org/drawingml/2006/chartDrawing">
    <cdr:from>
      <cdr:x>0.05108</cdr:x>
      <cdr:y>0.58711</cdr:y>
    </cdr:from>
    <cdr:to>
      <cdr:x>0.12524</cdr:x>
      <cdr:y>0.66323</cdr:y>
    </cdr:to>
    <cdr:sp macro="" textlink="">
      <cdr:nvSpPr>
        <cdr:cNvPr id="4" name="文字方塊 1">
          <a:extLst xmlns:a="http://schemas.openxmlformats.org/drawingml/2006/main">
            <a:ext uri="{FF2B5EF4-FFF2-40B4-BE49-F238E27FC236}">
              <a16:creationId xmlns:a16="http://schemas.microsoft.com/office/drawing/2014/main" id="{892236F2-F9D6-61B1-CEC4-9D2B55A6D6B9}"/>
            </a:ext>
          </a:extLst>
        </cdr:cNvPr>
        <cdr:cNvSpPr txBox="1"/>
      </cdr:nvSpPr>
      <cdr:spPr>
        <a:xfrm xmlns:a="http://schemas.openxmlformats.org/drawingml/2006/main">
          <a:off x="229079" y="1526685"/>
          <a:ext cx="332561" cy="1979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kern="1200">
              <a:latin typeface="標楷體" panose="03000509000000000000" pitchFamily="65" charset="-120"/>
              <a:ea typeface="標楷體" panose="03000509000000000000" pitchFamily="65" charset="-120"/>
            </a:rPr>
            <a:t>年度</a:t>
          </a:r>
        </a:p>
      </cdr:txBody>
    </cdr:sp>
  </cdr:relSizeAnchor>
</c:userShapes>
</file>

<file path=word/drawings/drawing3.xml><?xml version="1.0" encoding="utf-8"?>
<c:userShapes xmlns:c="http://schemas.openxmlformats.org/drawingml/2006/chart">
  <cdr:relSizeAnchor xmlns:cdr="http://schemas.openxmlformats.org/drawingml/2006/chartDrawing">
    <cdr:from>
      <cdr:x>0.21702</cdr:x>
      <cdr:y>0.87593</cdr:y>
    </cdr:from>
    <cdr:to>
      <cdr:x>0.80911</cdr:x>
      <cdr:y>0.96166</cdr:y>
    </cdr:to>
    <cdr:sp macro="" textlink="">
      <cdr:nvSpPr>
        <cdr:cNvPr id="2" name="文字方塊 10"/>
        <cdr:cNvSpPr txBox="1"/>
      </cdr:nvSpPr>
      <cdr:spPr>
        <a:xfrm xmlns:a="http://schemas.openxmlformats.org/drawingml/2006/main">
          <a:off x="791690" y="2207070"/>
          <a:ext cx="2160000" cy="21600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000"/>
            </a:lnSpc>
            <a:spcAft>
              <a:spcPts val="0"/>
            </a:spcAft>
          </a:pPr>
          <a:r>
            <a:rPr lang="zh-TW" sz="900" kern="100">
              <a:effectLst/>
              <a:latin typeface="Aptos" panose="02110004020202020204"/>
              <a:ea typeface="標楷體" panose="03000509000000000000" pitchFamily="65" charset="-120"/>
              <a:cs typeface="Mangal"/>
            </a:rPr>
            <a:t>資料來源：整理自</a:t>
          </a:r>
          <a:r>
            <a:rPr lang="zh-TW" altLang="en-US" sz="900" kern="100">
              <a:effectLst/>
              <a:latin typeface="Aptos" panose="02110004020202020204"/>
              <a:ea typeface="標楷體" panose="03000509000000000000" pitchFamily="65" charset="-120"/>
              <a:cs typeface="Mangal"/>
            </a:rPr>
            <a:t>財政部網站公開</a:t>
          </a:r>
          <a:r>
            <a:rPr lang="zh-TW" sz="900" kern="100">
              <a:effectLst/>
              <a:latin typeface="Aptos" panose="02110004020202020204"/>
              <a:ea typeface="標楷體" panose="03000509000000000000" pitchFamily="65" charset="-120"/>
              <a:cs typeface="Mangal"/>
            </a:rPr>
            <a:t>資料。</a:t>
          </a:r>
          <a:endParaRPr lang="zh-TW" sz="900" kern="100">
            <a:effectLst/>
            <a:latin typeface="Aptos" panose="02110004020202020204"/>
            <a:ea typeface="新細明體" panose="02020500000000000000" pitchFamily="18" charset="-120"/>
            <a:cs typeface="Mangal"/>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0.08997</cdr:x>
      <cdr:y>0.19965</cdr:y>
    </cdr:from>
    <cdr:to>
      <cdr:x>0.93548</cdr:x>
      <cdr:y>0.19965</cdr:y>
    </cdr:to>
    <cdr:cxnSp macro="">
      <cdr:nvCxnSpPr>
        <cdr:cNvPr id="3" name="直線接點 2"/>
        <cdr:cNvCxnSpPr/>
      </cdr:nvCxnSpPr>
      <cdr:spPr>
        <a:xfrm xmlns:a="http://schemas.openxmlformats.org/drawingml/2006/main" flipV="1">
          <a:off x="385213" y="547688"/>
          <a:ext cx="3620049" cy="2"/>
        </a:xfrm>
        <a:prstGeom xmlns:a="http://schemas.openxmlformats.org/drawingml/2006/main" prst="line">
          <a:avLst/>
        </a:prstGeom>
        <a:ln xmlns:a="http://schemas.openxmlformats.org/drawingml/2006/main" w="285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cdr:x>
      <cdr:y>0.05729</cdr:y>
    </cdr:from>
    <cdr:to>
      <cdr:x>0.06369</cdr:x>
      <cdr:y>0.16146</cdr:y>
    </cdr:to>
    <cdr:sp macro="" textlink="">
      <cdr:nvSpPr>
        <cdr:cNvPr id="5" name="文字方塊 4"/>
        <cdr:cNvSpPr txBox="1"/>
      </cdr:nvSpPr>
      <cdr:spPr>
        <a:xfrm xmlns:a="http://schemas.openxmlformats.org/drawingml/2006/main">
          <a:off x="0" y="157163"/>
          <a:ext cx="280566" cy="285750"/>
        </a:xfrm>
        <a:prstGeom xmlns:a="http://schemas.openxmlformats.org/drawingml/2006/main" prst="rect">
          <a:avLst/>
        </a:prstGeom>
      </cdr:spPr>
      <cdr:txBody>
        <a:bodyPr xmlns:a="http://schemas.openxmlformats.org/drawingml/2006/main" vertOverflow="clip" wrap="none" lIns="36000"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0.03943</cdr:x>
      <cdr:y>0.89999</cdr:y>
    </cdr:from>
    <cdr:to>
      <cdr:x>0.97599</cdr:x>
      <cdr:y>1</cdr:y>
    </cdr:to>
    <cdr:sp macro="" textlink="">
      <cdr:nvSpPr>
        <cdr:cNvPr id="7" name="文字方塊 6"/>
        <cdr:cNvSpPr txBox="1"/>
      </cdr:nvSpPr>
      <cdr:spPr>
        <a:xfrm xmlns:a="http://schemas.openxmlformats.org/drawingml/2006/main">
          <a:off x="147770" y="2591725"/>
          <a:ext cx="3510000" cy="28800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marL="576000" indent="-594000" algn="just" hangingPunct="0">
            <a:lnSpc>
              <a:spcPts val="1100"/>
            </a:lnSpc>
          </a:pPr>
          <a:r>
            <a:rPr lang="zh-TW" altLang="en-US" sz="900">
              <a:latin typeface="標楷體" panose="03000509000000000000" pitchFamily="65" charset="-120"/>
              <a:ea typeface="標楷體" panose="03000509000000000000" pitchFamily="65" charset="-120"/>
            </a:rPr>
            <a:t>資料來源：整理自</a:t>
          </a:r>
          <a:r>
            <a:rPr lang="zh-TW" altLang="en-US" sz="900">
              <a:solidFill>
                <a:schemeClr val="tx1"/>
              </a:solidFill>
              <a:latin typeface="標楷體" panose="03000509000000000000" pitchFamily="65" charset="-120"/>
              <a:ea typeface="標楷體" panose="03000509000000000000" pitchFamily="65" charset="-120"/>
            </a:rPr>
            <a:t>經濟部</a:t>
          </a:r>
          <a:r>
            <a:rPr lang="en-US" altLang="zh-TW" sz="900">
              <a:solidFill>
                <a:schemeClr val="tx1"/>
              </a:solidFill>
              <a:latin typeface="標楷體" panose="03000509000000000000" pitchFamily="65" charset="-120"/>
              <a:ea typeface="標楷體" panose="03000509000000000000" pitchFamily="65" charset="-120"/>
            </a:rPr>
            <a:t>113</a:t>
          </a:r>
          <a:r>
            <a:rPr lang="zh-TW" altLang="en-US" sz="900">
              <a:solidFill>
                <a:schemeClr val="tx1"/>
              </a:solidFill>
              <a:latin typeface="標楷體" panose="03000509000000000000" pitchFamily="65" charset="-120"/>
              <a:ea typeface="標楷體" panose="03000509000000000000" pitchFamily="65" charset="-120"/>
            </a:rPr>
            <a:t>年</a:t>
          </a:r>
          <a:r>
            <a:rPr lang="en-US" altLang="zh-TW" sz="900">
              <a:solidFill>
                <a:schemeClr val="tx1"/>
              </a:solidFill>
              <a:latin typeface="標楷體" panose="03000509000000000000" pitchFamily="65" charset="-120"/>
              <a:ea typeface="標楷體" panose="03000509000000000000" pitchFamily="65" charset="-120"/>
            </a:rPr>
            <a:t>7</a:t>
          </a:r>
          <a:r>
            <a:rPr lang="zh-TW" altLang="en-US" sz="900">
              <a:solidFill>
                <a:schemeClr val="tx1"/>
              </a:solidFill>
              <a:latin typeface="標楷體" panose="03000509000000000000" pitchFamily="65" charset="-120"/>
              <a:ea typeface="標楷體" panose="03000509000000000000" pitchFamily="65" charset="-120"/>
            </a:rPr>
            <a:t>月</a:t>
          </a:r>
          <a:r>
            <a:rPr lang="en-US" altLang="zh-TW" sz="900">
              <a:solidFill>
                <a:schemeClr val="tx1"/>
              </a:solidFill>
              <a:latin typeface="標楷體" panose="03000509000000000000" pitchFamily="65" charset="-120"/>
              <a:ea typeface="標楷體" panose="03000509000000000000" pitchFamily="65" charset="-120"/>
            </a:rPr>
            <a:t>15</a:t>
          </a:r>
          <a:r>
            <a:rPr lang="zh-TW" altLang="en-US" sz="900">
              <a:solidFill>
                <a:schemeClr val="tx1"/>
              </a:solidFill>
              <a:latin typeface="標楷體" panose="03000509000000000000" pitchFamily="65" charset="-120"/>
              <a:ea typeface="標楷體" panose="03000509000000000000" pitchFamily="65" charset="-120"/>
            </a:rPr>
            <a:t>日更新公布之「</a:t>
          </a:r>
          <a:r>
            <a:rPr lang="en-US" altLang="zh-TW" sz="900">
              <a:solidFill>
                <a:schemeClr val="tx1"/>
              </a:solidFill>
              <a:latin typeface="標楷體" panose="03000509000000000000" pitchFamily="65" charset="-120"/>
              <a:ea typeface="標楷體" panose="03000509000000000000" pitchFamily="65" charset="-120"/>
            </a:rPr>
            <a:t>112</a:t>
          </a:r>
          <a:r>
            <a:rPr lang="zh-TW" altLang="en-US" sz="900">
              <a:solidFill>
                <a:schemeClr val="tx1"/>
              </a:solidFill>
              <a:latin typeface="標楷體" panose="03000509000000000000" pitchFamily="65" charset="-120"/>
              <a:ea typeface="標楷體" panose="03000509000000000000" pitchFamily="65" charset="-120"/>
            </a:rPr>
            <a:t>年度電力供需報告」及</a:t>
          </a:r>
          <a:r>
            <a:rPr lang="zh-TW" altLang="en-US" sz="900">
              <a:latin typeface="標楷體" panose="03000509000000000000" pitchFamily="65" charset="-120"/>
              <a:ea typeface="標楷體" panose="03000509000000000000" pitchFamily="65" charset="-120"/>
            </a:rPr>
            <a:t>台灣電力公司提供資料。</a:t>
          </a:r>
        </a:p>
      </cdr:txBody>
    </cdr:sp>
  </cdr:relSizeAnchor>
  <cdr:relSizeAnchor xmlns:cdr="http://schemas.openxmlformats.org/drawingml/2006/chartDrawing">
    <cdr:from>
      <cdr:x>0.67351</cdr:x>
      <cdr:y>0.11979</cdr:y>
    </cdr:from>
    <cdr:to>
      <cdr:x>0.91135</cdr:x>
      <cdr:y>0.18576</cdr:y>
    </cdr:to>
    <cdr:sp macro="" textlink="">
      <cdr:nvSpPr>
        <cdr:cNvPr id="8" name="文字方塊 7"/>
        <cdr:cNvSpPr txBox="1"/>
      </cdr:nvSpPr>
      <cdr:spPr>
        <a:xfrm xmlns:a="http://schemas.openxmlformats.org/drawingml/2006/main">
          <a:off x="2967037" y="328613"/>
          <a:ext cx="1047751" cy="180975"/>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法定目標值</a:t>
          </a:r>
          <a:r>
            <a:rPr lang="en-US" altLang="zh-TW" sz="1000">
              <a:latin typeface="標楷體" panose="03000509000000000000" pitchFamily="65" charset="-120"/>
              <a:ea typeface="標楷體" panose="03000509000000000000" pitchFamily="65" charset="-120"/>
            </a:rPr>
            <a:t>15</a:t>
          </a: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0.92329</cdr:x>
      <cdr:y>0.7504</cdr:y>
    </cdr:from>
    <cdr:to>
      <cdr:x>0.97775</cdr:x>
      <cdr:y>0.83027</cdr:y>
    </cdr:to>
    <cdr:sp macro="" textlink="">
      <cdr:nvSpPr>
        <cdr:cNvPr id="9" name="文字方塊 8"/>
        <cdr:cNvSpPr txBox="1"/>
      </cdr:nvSpPr>
      <cdr:spPr>
        <a:xfrm xmlns:a="http://schemas.openxmlformats.org/drawingml/2006/main">
          <a:off x="3460279" y="2160955"/>
          <a:ext cx="204103" cy="230003"/>
        </a:xfrm>
        <a:prstGeom xmlns:a="http://schemas.openxmlformats.org/drawingml/2006/main" prst="rect">
          <a:avLst/>
        </a:prstGeom>
      </cdr:spPr>
      <cdr:txBody>
        <a:bodyPr xmlns:a="http://schemas.openxmlformats.org/drawingml/2006/main" vertOverflow="clip" wrap="none" lIns="0" tIns="1800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5.xml><?xml version="1.0" encoding="utf-8"?>
<c:userShapes xmlns:c="http://schemas.openxmlformats.org/drawingml/2006/chart">
  <cdr:relSizeAnchor xmlns:cdr="http://schemas.openxmlformats.org/drawingml/2006/chartDrawing">
    <cdr:from>
      <cdr:x>0.13086</cdr:x>
      <cdr:y>0.72856</cdr:y>
    </cdr:from>
    <cdr:to>
      <cdr:x>0.16943</cdr:x>
      <cdr:y>0.82674</cdr:y>
    </cdr:to>
    <cdr:grpSp>
      <cdr:nvGrpSpPr>
        <cdr:cNvPr id="2" name="群組 1">
          <a:extLst xmlns:a="http://schemas.openxmlformats.org/drawingml/2006/main">
            <a:ext uri="{FF2B5EF4-FFF2-40B4-BE49-F238E27FC236}">
              <a16:creationId xmlns:a16="http://schemas.microsoft.com/office/drawing/2014/main" id="{00000000-0008-0000-0500-000004000000}"/>
            </a:ext>
          </a:extLst>
        </cdr:cNvPr>
        <cdr:cNvGrpSpPr/>
      </cdr:nvGrpSpPr>
      <cdr:grpSpPr>
        <a:xfrm xmlns:a="http://schemas.openxmlformats.org/drawingml/2006/main">
          <a:off x="816738" y="2643057"/>
          <a:ext cx="240727" cy="356175"/>
          <a:chOff x="0" y="-58639"/>
          <a:chExt cx="176232" cy="75023"/>
        </a:xfrm>
      </cdr:grpSpPr>
      <cdr:cxnSp macro="">
        <cdr:nvCxnSpPr>
          <cdr:cNvPr id="3" name="直線接點 2">
            <a:extLst xmlns:a="http://schemas.openxmlformats.org/drawingml/2006/main">
              <a:ext uri="{FF2B5EF4-FFF2-40B4-BE49-F238E27FC236}">
                <a16:creationId xmlns:a16="http://schemas.microsoft.com/office/drawing/2014/main" id="{00000000-0008-0000-0500-000005000000}"/>
              </a:ext>
            </a:extLst>
          </cdr:cNvPr>
          <cdr:cNvCxnSpPr/>
        </cdr:nvCxnSpPr>
        <cdr:spPr>
          <a:xfrm xmlns:a="http://schemas.openxmlformats.org/drawingml/2006/main">
            <a:off x="86545" y="-19901"/>
            <a:ext cx="0" cy="15678"/>
          </a:xfrm>
          <a:prstGeom xmlns:a="http://schemas.openxmlformats.org/drawingml/2006/main" prst="line">
            <a:avLst/>
          </a:prstGeom>
          <a:ln xmlns:a="http://schemas.openxmlformats.org/drawingml/2006/main" w="190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4" name="文字方塊 3">
            <a:extLst xmlns:a="http://schemas.openxmlformats.org/drawingml/2006/main">
              <a:ext uri="{FF2B5EF4-FFF2-40B4-BE49-F238E27FC236}">
                <a16:creationId xmlns:a16="http://schemas.microsoft.com/office/drawing/2014/main" id="{00000000-0008-0000-0500-000006000000}"/>
              </a:ext>
            </a:extLst>
          </cdr:cNvPr>
          <cdr:cNvSpPr txBox="1"/>
        </cdr:nvSpPr>
        <cdr:spPr>
          <a:xfrm xmlns:a="http://schemas.openxmlformats.org/drawingml/2006/main">
            <a:off x="0" y="-58639"/>
            <a:ext cx="175680" cy="7502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2800" b="0">
                <a:solidFill>
                  <a:schemeClr val="bg1">
                    <a:lumMod val="75000"/>
                  </a:schemeClr>
                </a:solidFill>
                <a:effectLst/>
                <a:latin typeface="標楷體" panose="03000509000000000000" pitchFamily="65" charset="-120"/>
                <a:ea typeface="標楷體" panose="03000509000000000000" pitchFamily="65" charset="-120"/>
                <a:cs typeface="+mn-cs"/>
              </a:rPr>
              <a:t>~</a:t>
            </a:r>
            <a:endParaRPr lang="zh-TW" altLang="zh-TW" sz="2800" b="0">
              <a:solidFill>
                <a:schemeClr val="bg1">
                  <a:lumMod val="75000"/>
                </a:schemeClr>
              </a:solidFill>
              <a:effectLst/>
              <a:latin typeface="標楷體" panose="03000509000000000000" pitchFamily="65" charset="-120"/>
              <a:ea typeface="標楷體" panose="03000509000000000000" pitchFamily="65" charset="-120"/>
            </a:endParaRPr>
          </a:p>
        </cdr:txBody>
      </cdr:sp>
      <cdr:sp macro="" textlink="">
        <cdr:nvSpPr>
          <cdr:cNvPr id="5" name="文字方塊 4">
            <a:extLst xmlns:a="http://schemas.openxmlformats.org/drawingml/2006/main">
              <a:ext uri="{FF2B5EF4-FFF2-40B4-BE49-F238E27FC236}">
                <a16:creationId xmlns:a16="http://schemas.microsoft.com/office/drawing/2014/main" id="{00000000-0008-0000-0500-000007000000}"/>
              </a:ext>
            </a:extLst>
          </cdr:cNvPr>
          <cdr:cNvSpPr txBox="1"/>
        </cdr:nvSpPr>
        <cdr:spPr>
          <a:xfrm xmlns:a="http://schemas.openxmlformats.org/drawingml/2006/main">
            <a:off x="623" y="-19325"/>
            <a:ext cx="175609" cy="28586"/>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2800" b="0">
                <a:solidFill>
                  <a:schemeClr val="bg1">
                    <a:lumMod val="75000"/>
                  </a:schemeClr>
                </a:solidFill>
                <a:effectLst/>
                <a:latin typeface="標楷體" panose="03000509000000000000" pitchFamily="65" charset="-120"/>
                <a:ea typeface="標楷體" panose="03000509000000000000" pitchFamily="65" charset="-120"/>
                <a:cs typeface="+mn-cs"/>
              </a:rPr>
              <a:t>~</a:t>
            </a:r>
            <a:endParaRPr lang="zh-TW" altLang="zh-TW" sz="2800" b="0">
              <a:solidFill>
                <a:schemeClr val="bg1">
                  <a:lumMod val="75000"/>
                </a:schemeClr>
              </a:solidFill>
              <a:effectLst/>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0.0171</cdr:x>
      <cdr:y>0.80944</cdr:y>
    </cdr:from>
    <cdr:to>
      <cdr:x>0.10134</cdr:x>
      <cdr:y>0.86754</cdr:y>
    </cdr:to>
    <cdr:sp macro="" textlink="">
      <cdr:nvSpPr>
        <cdr:cNvPr id="12" name="矩形 11">
          <a:extLst xmlns:a="http://schemas.openxmlformats.org/drawingml/2006/main">
            <a:ext uri="{FF2B5EF4-FFF2-40B4-BE49-F238E27FC236}">
              <a16:creationId xmlns:a16="http://schemas.microsoft.com/office/drawing/2014/main" id="{C3D2A449-0855-414B-80ED-30990AF323B5}"/>
            </a:ext>
          </a:extLst>
        </cdr:cNvPr>
        <cdr:cNvSpPr/>
      </cdr:nvSpPr>
      <cdr:spPr>
        <a:xfrm xmlns:a="http://schemas.openxmlformats.org/drawingml/2006/main">
          <a:off x="67927" y="1810294"/>
          <a:ext cx="334697" cy="12993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0.00828</cdr:x>
      <cdr:y>0</cdr:y>
    </cdr:from>
    <cdr:to>
      <cdr:x>0.10126</cdr:x>
      <cdr:y>0.10046</cdr:y>
    </cdr:to>
    <cdr:sp macro="" textlink="">
      <cdr:nvSpPr>
        <cdr:cNvPr id="16" name="文字方塊 15">
          <a:extLst xmlns:a="http://schemas.openxmlformats.org/drawingml/2006/main">
            <a:ext uri="{FF2B5EF4-FFF2-40B4-BE49-F238E27FC236}">
              <a16:creationId xmlns:a16="http://schemas.microsoft.com/office/drawing/2014/main" id="{CCCFC4D5-0405-4FD1-A58A-39F3C59FF2BA}"/>
            </a:ext>
          </a:extLst>
        </cdr:cNvPr>
        <cdr:cNvSpPr txBox="1"/>
      </cdr:nvSpPr>
      <cdr:spPr>
        <a:xfrm xmlns:a="http://schemas.openxmlformats.org/drawingml/2006/main">
          <a:off x="32892" y="-4828032"/>
          <a:ext cx="369444" cy="2246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公頃</a:t>
          </a:r>
        </a:p>
      </cdr:txBody>
    </cdr:sp>
  </cdr:relSizeAnchor>
  <cdr:relSizeAnchor xmlns:cdr="http://schemas.openxmlformats.org/drawingml/2006/chartDrawing">
    <cdr:from>
      <cdr:x>0.88274</cdr:x>
      <cdr:y>0</cdr:y>
    </cdr:from>
    <cdr:to>
      <cdr:x>0.9542</cdr:x>
      <cdr:y>0.10747</cdr:y>
    </cdr:to>
    <cdr:sp macro="" textlink="">
      <cdr:nvSpPr>
        <cdr:cNvPr id="17" name="文字方塊 16">
          <a:extLst xmlns:a="http://schemas.openxmlformats.org/drawingml/2006/main">
            <a:ext uri="{FF2B5EF4-FFF2-40B4-BE49-F238E27FC236}">
              <a16:creationId xmlns:a16="http://schemas.microsoft.com/office/drawing/2014/main" id="{DCC1807A-E8A5-4636-A9AE-7A3AE6BDC7AF}"/>
            </a:ext>
          </a:extLst>
        </cdr:cNvPr>
        <cdr:cNvSpPr txBox="1"/>
      </cdr:nvSpPr>
      <cdr:spPr>
        <a:xfrm xmlns:a="http://schemas.openxmlformats.org/drawingml/2006/main">
          <a:off x="3507318" y="-4828032"/>
          <a:ext cx="283885" cy="24035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筆錄</a:t>
          </a:r>
        </a:p>
      </cdr:txBody>
    </cdr:sp>
  </cdr:relSizeAnchor>
  <cdr:relSizeAnchor xmlns:cdr="http://schemas.openxmlformats.org/drawingml/2006/chartDrawing">
    <cdr:from>
      <cdr:x>0.83005</cdr:x>
      <cdr:y>0.72662</cdr:y>
    </cdr:from>
    <cdr:to>
      <cdr:x>0.86862</cdr:x>
      <cdr:y>0.8248</cdr:y>
    </cdr:to>
    <cdr:grpSp>
      <cdr:nvGrpSpPr>
        <cdr:cNvPr id="19" name="群組 18">
          <a:extLst xmlns:a="http://schemas.openxmlformats.org/drawingml/2006/main">
            <a:ext uri="{FF2B5EF4-FFF2-40B4-BE49-F238E27FC236}">
              <a16:creationId xmlns:a16="http://schemas.microsoft.com/office/drawing/2014/main" id="{8E1B1113-A1A4-4302-BE97-CD99A8E8EEEB}"/>
            </a:ext>
          </a:extLst>
        </cdr:cNvPr>
        <cdr:cNvGrpSpPr/>
      </cdr:nvGrpSpPr>
      <cdr:grpSpPr>
        <a:xfrm xmlns:a="http://schemas.openxmlformats.org/drawingml/2006/main">
          <a:off x="5180600" y="2636019"/>
          <a:ext cx="240728" cy="356176"/>
          <a:chOff x="0" y="-58639"/>
          <a:chExt cx="176232" cy="75023"/>
        </a:xfrm>
      </cdr:grpSpPr>
      <cdr:cxnSp macro="">
        <cdr:nvCxnSpPr>
          <cdr:cNvPr id="20" name="直線接點 19">
            <a:extLst xmlns:a="http://schemas.openxmlformats.org/drawingml/2006/main">
              <a:ext uri="{FF2B5EF4-FFF2-40B4-BE49-F238E27FC236}">
                <a16:creationId xmlns:a16="http://schemas.microsoft.com/office/drawing/2014/main" id="{A1527EC6-9BA7-45C5-B8E7-4AF420DCBDC6}"/>
              </a:ext>
            </a:extLst>
          </cdr:cNvPr>
          <cdr:cNvCxnSpPr/>
        </cdr:nvCxnSpPr>
        <cdr:spPr>
          <a:xfrm xmlns:a="http://schemas.openxmlformats.org/drawingml/2006/main">
            <a:off x="86545" y="-19901"/>
            <a:ext cx="0" cy="15678"/>
          </a:xfrm>
          <a:prstGeom xmlns:a="http://schemas.openxmlformats.org/drawingml/2006/main" prst="line">
            <a:avLst/>
          </a:prstGeom>
          <a:ln xmlns:a="http://schemas.openxmlformats.org/drawingml/2006/main" w="190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1" name="文字方塊 20">
            <a:extLst xmlns:a="http://schemas.openxmlformats.org/drawingml/2006/main">
              <a:ext uri="{FF2B5EF4-FFF2-40B4-BE49-F238E27FC236}">
                <a16:creationId xmlns:a16="http://schemas.microsoft.com/office/drawing/2014/main" id="{8A345EB0-B981-4F8D-BFD0-51260AEAFE0F}"/>
              </a:ext>
            </a:extLst>
          </cdr:cNvPr>
          <cdr:cNvSpPr txBox="1"/>
        </cdr:nvSpPr>
        <cdr:spPr>
          <a:xfrm xmlns:a="http://schemas.openxmlformats.org/drawingml/2006/main">
            <a:off x="0" y="-58639"/>
            <a:ext cx="175680" cy="75023"/>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2800" b="0">
                <a:solidFill>
                  <a:schemeClr val="bg1">
                    <a:lumMod val="75000"/>
                  </a:schemeClr>
                </a:solidFill>
                <a:effectLst/>
                <a:latin typeface="標楷體" panose="03000509000000000000" pitchFamily="65" charset="-120"/>
                <a:ea typeface="標楷體" panose="03000509000000000000" pitchFamily="65" charset="-120"/>
                <a:cs typeface="+mn-cs"/>
              </a:rPr>
              <a:t>~</a:t>
            </a:r>
            <a:endParaRPr lang="zh-TW" altLang="zh-TW" sz="2800" b="0">
              <a:solidFill>
                <a:schemeClr val="bg1">
                  <a:lumMod val="75000"/>
                </a:schemeClr>
              </a:solidFill>
              <a:effectLst/>
              <a:latin typeface="標楷體" panose="03000509000000000000" pitchFamily="65" charset="-120"/>
              <a:ea typeface="標楷體" panose="03000509000000000000" pitchFamily="65" charset="-120"/>
            </a:endParaRPr>
          </a:p>
        </cdr:txBody>
      </cdr:sp>
      <cdr:sp macro="" textlink="">
        <cdr:nvSpPr>
          <cdr:cNvPr id="22" name="文字方塊 21">
            <a:extLst xmlns:a="http://schemas.openxmlformats.org/drawingml/2006/main">
              <a:ext uri="{FF2B5EF4-FFF2-40B4-BE49-F238E27FC236}">
                <a16:creationId xmlns:a16="http://schemas.microsoft.com/office/drawing/2014/main" id="{C9E4D3FD-9E02-4520-A147-5A1C2DCA25D5}"/>
              </a:ext>
            </a:extLst>
          </cdr:cNvPr>
          <cdr:cNvSpPr txBox="1"/>
        </cdr:nvSpPr>
        <cdr:spPr>
          <a:xfrm xmlns:a="http://schemas.openxmlformats.org/drawingml/2006/main">
            <a:off x="623" y="-19325"/>
            <a:ext cx="175609" cy="28586"/>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2800" b="0">
                <a:solidFill>
                  <a:schemeClr val="bg1">
                    <a:lumMod val="75000"/>
                  </a:schemeClr>
                </a:solidFill>
                <a:effectLst/>
                <a:latin typeface="標楷體" panose="03000509000000000000" pitchFamily="65" charset="-120"/>
                <a:ea typeface="標楷體" panose="03000509000000000000" pitchFamily="65" charset="-120"/>
                <a:cs typeface="+mn-cs"/>
              </a:rPr>
              <a:t>~</a:t>
            </a:r>
            <a:endParaRPr lang="zh-TW" altLang="zh-TW" sz="2800" b="0">
              <a:solidFill>
                <a:schemeClr val="bg1">
                  <a:lumMod val="75000"/>
                </a:schemeClr>
              </a:solidFill>
              <a:effectLst/>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0.86207</cdr:x>
      <cdr:y>0.78092</cdr:y>
    </cdr:from>
    <cdr:to>
      <cdr:x>0.97153</cdr:x>
      <cdr:y>0.87181</cdr:y>
    </cdr:to>
    <cdr:sp macro="" textlink="">
      <cdr:nvSpPr>
        <cdr:cNvPr id="23" name="矩形 22">
          <a:extLst xmlns:a="http://schemas.openxmlformats.org/drawingml/2006/main">
            <a:ext uri="{FF2B5EF4-FFF2-40B4-BE49-F238E27FC236}">
              <a16:creationId xmlns:a16="http://schemas.microsoft.com/office/drawing/2014/main" id="{4DD9CE4A-6DC5-4A97-A246-589C6F48A5AC}"/>
            </a:ext>
          </a:extLst>
        </cdr:cNvPr>
        <cdr:cNvSpPr/>
      </cdr:nvSpPr>
      <cdr:spPr>
        <a:xfrm xmlns:a="http://schemas.openxmlformats.org/drawingml/2006/main">
          <a:off x="3425171" y="1746496"/>
          <a:ext cx="434903" cy="20328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a:lstStyle xmlns:a="http://schemas.openxmlformats.org/drawingml/2006/main"/>
        <a:p xmlns:a="http://schemas.openxmlformats.org/drawingml/2006/main">
          <a:r>
            <a:rPr lang="en-US" altLang="zh-TW" sz="1000">
              <a:solidFill>
                <a:sysClr val="windowText" lastClr="000000"/>
              </a:solidFill>
              <a:latin typeface="標楷體" panose="03000509000000000000" pitchFamily="65" charset="-120"/>
              <a:ea typeface="標楷體" panose="03000509000000000000" pitchFamily="65" charset="-120"/>
            </a:rPr>
            <a:t>0</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0.85191</cdr:x>
      <cdr:y>0.85418</cdr:y>
    </cdr:from>
    <cdr:to>
      <cdr:x>0.94253</cdr:x>
      <cdr:y>0.95733</cdr:y>
    </cdr:to>
    <cdr:sp macro="" textlink="">
      <cdr:nvSpPr>
        <cdr:cNvPr id="24" name="矩形 23">
          <a:extLst xmlns:a="http://schemas.openxmlformats.org/drawingml/2006/main">
            <a:ext uri="{FF2B5EF4-FFF2-40B4-BE49-F238E27FC236}">
              <a16:creationId xmlns:a16="http://schemas.microsoft.com/office/drawing/2014/main" id="{4DA31D27-8DEF-4B11-A4AA-EBBDF8DC7BF2}"/>
            </a:ext>
          </a:extLst>
        </cdr:cNvPr>
        <cdr:cNvSpPr/>
      </cdr:nvSpPr>
      <cdr:spPr>
        <a:xfrm xmlns:a="http://schemas.openxmlformats.org/drawingml/2006/main">
          <a:off x="3384802" y="1910348"/>
          <a:ext cx="360050" cy="23069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a:lstStyle xmlns:a="http://schemas.openxmlformats.org/drawingml/2006/main"/>
        <a:p xmlns:a="http://schemas.openxmlformats.org/drawingml/2006/main">
          <a:pPr algn="ctr"/>
          <a:r>
            <a:rPr lang="zh-TW" altLang="en-US" sz="1000">
              <a:solidFill>
                <a:sysClr val="windowText" lastClr="000000"/>
              </a:solidFill>
              <a:latin typeface="標楷體" panose="03000509000000000000" pitchFamily="65" charset="-120"/>
              <a:ea typeface="標楷體" panose="03000509000000000000" pitchFamily="65" charset="-120"/>
            </a:rPr>
            <a:t>年底</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0.16447</cdr:x>
      <cdr:y>0.86004</cdr:y>
    </cdr:from>
    <cdr:to>
      <cdr:x>0.16482</cdr:x>
      <cdr:y>0.87644</cdr:y>
    </cdr:to>
    <cdr:grpSp>
      <cdr:nvGrpSpPr>
        <cdr:cNvPr id="40" name="群組 39"/>
        <cdr:cNvGrpSpPr/>
      </cdr:nvGrpSpPr>
      <cdr:grpSpPr>
        <a:xfrm xmlns:a="http://schemas.openxmlformats.org/drawingml/2006/main">
          <a:off x="653466" y="1887959"/>
          <a:ext cx="1415" cy="35998"/>
          <a:chOff x="73761" y="26313"/>
          <a:chExt cx="1464" cy="1996"/>
        </a:xfrm>
      </cdr:grpSpPr>
      <cdr:cxnSp macro="">
        <cdr:nvCxnSpPr>
          <cdr:cNvPr id="41" name="直線接點 40"/>
          <cdr:cNvCxnSpPr/>
        </cdr:nvCxnSpPr>
        <cdr:spPr>
          <a:xfrm xmlns:a="http://schemas.openxmlformats.org/drawingml/2006/main">
            <a:off x="73761" y="26313"/>
            <a:ext cx="1464" cy="1996"/>
          </a:xfrm>
          <a:prstGeom xmlns:a="http://schemas.openxmlformats.org/drawingml/2006/main" prst="line">
            <a:avLst/>
          </a:prstGeom>
          <a:ln xmlns:a="http://schemas.openxmlformats.org/drawingml/2006/main" w="28575">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dr:relSizeAnchor xmlns:cdr="http://schemas.openxmlformats.org/drawingml/2006/chartDrawing">
    <cdr:from>
      <cdr:x>0.81821</cdr:x>
      <cdr:y>0.76899</cdr:y>
    </cdr:from>
    <cdr:to>
      <cdr:x>0.85718</cdr:x>
      <cdr:y>0.7984</cdr:y>
    </cdr:to>
    <cdr:grpSp>
      <cdr:nvGrpSpPr>
        <cdr:cNvPr id="32" name="群組 31"/>
        <cdr:cNvGrpSpPr/>
      </cdr:nvGrpSpPr>
      <cdr:grpSpPr>
        <a:xfrm xmlns:a="http://schemas.openxmlformats.org/drawingml/2006/main">
          <a:off x="3250899" y="1775986"/>
          <a:ext cx="154837" cy="67921"/>
          <a:chOff x="-10927" y="25250"/>
          <a:chExt cx="176014" cy="4063"/>
        </a:xfrm>
      </cdr:grpSpPr>
      <cdr:cxnSp macro="">
        <cdr:nvCxnSpPr>
          <cdr:cNvPr id="33" name="直線接點 32"/>
          <cdr:cNvCxnSpPr/>
        </cdr:nvCxnSpPr>
        <cdr:spPr>
          <a:xfrm xmlns:a="http://schemas.openxmlformats.org/drawingml/2006/main">
            <a:off x="73761" y="26313"/>
            <a:ext cx="1464" cy="1996"/>
          </a:xfrm>
          <a:prstGeom xmlns:a="http://schemas.openxmlformats.org/drawingml/2006/main" prst="line">
            <a:avLst/>
          </a:prstGeom>
          <a:ln xmlns:a="http://schemas.openxmlformats.org/drawingml/2006/main" w="28575">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34" name="文字方塊 3"/>
          <cdr:cNvSpPr txBox="1"/>
        </cdr:nvSpPr>
        <cdr:spPr>
          <a:xfrm xmlns:a="http://schemas.openxmlformats.org/drawingml/2006/main">
            <a:off x="-10927" y="25250"/>
            <a:ext cx="175680" cy="1996"/>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1400" b="0">
                <a:solidFill>
                  <a:sysClr val="windowText" lastClr="000000"/>
                </a:solidFill>
                <a:effectLst/>
                <a:latin typeface="標楷體" panose="03000509000000000000" pitchFamily="65" charset="-120"/>
                <a:ea typeface="標楷體" panose="03000509000000000000" pitchFamily="65" charset="-120"/>
                <a:cs typeface="+mn-cs"/>
              </a:rPr>
              <a:t>~</a:t>
            </a:r>
            <a:endParaRPr lang="zh-TW" altLang="zh-TW" sz="1400" b="0">
              <a:solidFill>
                <a:sysClr val="windowText" lastClr="000000"/>
              </a:solidFill>
              <a:effectLst/>
              <a:latin typeface="標楷體" panose="03000509000000000000" pitchFamily="65" charset="-120"/>
              <a:ea typeface="標楷體" panose="03000509000000000000" pitchFamily="65" charset="-120"/>
            </a:endParaRPr>
          </a:p>
        </cdr:txBody>
      </cdr:sp>
      <cdr:sp macro="" textlink="">
        <cdr:nvSpPr>
          <cdr:cNvPr id="35" name="文字方塊 4"/>
          <cdr:cNvSpPr txBox="1"/>
        </cdr:nvSpPr>
        <cdr:spPr>
          <a:xfrm xmlns:a="http://schemas.openxmlformats.org/drawingml/2006/main">
            <a:off x="-10523" y="27317"/>
            <a:ext cx="175610" cy="1996"/>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1400" b="0">
                <a:solidFill>
                  <a:sysClr val="windowText" lastClr="000000"/>
                </a:solidFill>
                <a:effectLst/>
                <a:latin typeface="標楷體" panose="03000509000000000000" pitchFamily="65" charset="-120"/>
                <a:ea typeface="標楷體" panose="03000509000000000000" pitchFamily="65" charset="-120"/>
                <a:cs typeface="+mn-cs"/>
              </a:rPr>
              <a:t>~</a:t>
            </a:r>
            <a:endParaRPr lang="zh-TW" altLang="zh-TW" sz="1400" b="0">
              <a:solidFill>
                <a:sysClr val="windowText" lastClr="000000"/>
              </a:solidFill>
              <a:effectLst/>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0.08548</cdr:x>
      <cdr:y>0.77367</cdr:y>
    </cdr:from>
    <cdr:to>
      <cdr:x>0.22887</cdr:x>
      <cdr:y>0.80608</cdr:y>
    </cdr:to>
    <cdr:grpSp>
      <cdr:nvGrpSpPr>
        <cdr:cNvPr id="47" name="群組 46"/>
        <cdr:cNvGrpSpPr/>
      </cdr:nvGrpSpPr>
      <cdr:grpSpPr>
        <a:xfrm xmlns:a="http://schemas.openxmlformats.org/drawingml/2006/main">
          <a:off x="339629" y="1786777"/>
          <a:ext cx="569716" cy="74850"/>
          <a:chOff x="-3742222" y="-76453"/>
          <a:chExt cx="200064" cy="248"/>
        </a:xfrm>
      </cdr:grpSpPr>
      <cdr:cxnSp macro="">
        <cdr:nvCxnSpPr>
          <cdr:cNvPr id="48" name="直線接點 47"/>
          <cdr:cNvCxnSpPr/>
        </cdr:nvCxnSpPr>
        <cdr:spPr>
          <a:xfrm xmlns:a="http://schemas.openxmlformats.org/drawingml/2006/main">
            <a:off x="-3645962" y="-76388"/>
            <a:ext cx="1664" cy="122"/>
          </a:xfrm>
          <a:prstGeom xmlns:a="http://schemas.openxmlformats.org/drawingml/2006/main" prst="line">
            <a:avLst/>
          </a:prstGeom>
          <a:ln xmlns:a="http://schemas.openxmlformats.org/drawingml/2006/main" w="28575">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49" name="文字方塊 3"/>
          <cdr:cNvSpPr txBox="1"/>
        </cdr:nvSpPr>
        <cdr:spPr>
          <a:xfrm xmlns:a="http://schemas.openxmlformats.org/drawingml/2006/main">
            <a:off x="-3742222" y="-76453"/>
            <a:ext cx="199686" cy="122"/>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1400" b="0">
                <a:solidFill>
                  <a:sysClr val="windowText" lastClr="000000"/>
                </a:solidFill>
                <a:effectLst/>
                <a:latin typeface="標楷體" panose="03000509000000000000" pitchFamily="65" charset="-120"/>
                <a:ea typeface="標楷體" panose="03000509000000000000" pitchFamily="65" charset="-120"/>
                <a:cs typeface="+mn-cs"/>
              </a:rPr>
              <a:t>~</a:t>
            </a:r>
            <a:endParaRPr lang="zh-TW" altLang="zh-TW" sz="1400" b="0">
              <a:solidFill>
                <a:sysClr val="windowText" lastClr="000000"/>
              </a:solidFill>
              <a:effectLst/>
              <a:latin typeface="標楷體" panose="03000509000000000000" pitchFamily="65" charset="-120"/>
              <a:ea typeface="標楷體" panose="03000509000000000000" pitchFamily="65" charset="-120"/>
            </a:endParaRPr>
          </a:p>
        </cdr:txBody>
      </cdr:sp>
      <cdr:sp macro="" textlink="">
        <cdr:nvSpPr>
          <cdr:cNvPr id="50" name="文字方塊 4"/>
          <cdr:cNvSpPr txBox="1"/>
        </cdr:nvSpPr>
        <cdr:spPr>
          <a:xfrm xmlns:a="http://schemas.openxmlformats.org/drawingml/2006/main">
            <a:off x="-3741763" y="-76327"/>
            <a:ext cx="199605" cy="122"/>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algn="ctr" defTabSz="914400" eaLnBrk="1" fontAlgn="auto" latinLnBrk="0" hangingPunct="1">
              <a:lnSpc>
                <a:spcPct val="100000"/>
              </a:lnSpc>
              <a:spcBef>
                <a:spcPts val="0"/>
              </a:spcBef>
              <a:spcAft>
                <a:spcPts val="0"/>
              </a:spcAft>
              <a:buClrTx/>
              <a:buSzTx/>
              <a:buFontTx/>
              <a:buNone/>
              <a:tabLst/>
              <a:defRPr/>
            </a:pPr>
            <a:r>
              <a:rPr lang="en-US" altLang="zh-TW" sz="1400" b="0">
                <a:solidFill>
                  <a:sysClr val="windowText" lastClr="000000"/>
                </a:solidFill>
                <a:effectLst/>
                <a:latin typeface="標楷體" panose="03000509000000000000" pitchFamily="65" charset="-120"/>
                <a:ea typeface="標楷體" panose="03000509000000000000" pitchFamily="65" charset="-120"/>
                <a:cs typeface="+mn-cs"/>
              </a:rPr>
              <a:t>~</a:t>
            </a:r>
            <a:endParaRPr lang="zh-TW" altLang="zh-TW" sz="1400" b="0">
              <a:solidFill>
                <a:sysClr val="windowText" lastClr="000000"/>
              </a:solidFill>
              <a:effectLst/>
              <a:latin typeface="標楷體" panose="03000509000000000000" pitchFamily="65" charset="-120"/>
              <a:ea typeface="標楷體" panose="03000509000000000000" pitchFamily="65" charset="-120"/>
            </a:endParaRP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1B54C3-6270-4586-9CBA-4C573AAA1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8687</TotalTime>
  <Pages>137</Pages>
  <Words>23350</Words>
  <Characters>133101</Characters>
  <Application>Microsoft Office Word</Application>
  <DocSecurity>0</DocSecurity>
  <Lines>1109</Lines>
  <Paragraphs>312</Paragraphs>
  <ScaleCrop>false</ScaleCrop>
  <Company>Microsoft</Company>
  <LinksUpToDate>false</LinksUpToDate>
  <CharactersWithSpaces>156139</CharactersWithSpaces>
  <SharedDoc>false</SharedDoc>
  <HLinks>
    <vt:vector size="6" baseType="variant">
      <vt:variant>
        <vt:i4>1769542</vt:i4>
      </vt:variant>
      <vt:variant>
        <vt:i4>0</vt:i4>
      </vt:variant>
      <vt:variant>
        <vt:i4>0</vt:i4>
      </vt:variant>
      <vt:variant>
        <vt:i4>5</vt:i4>
      </vt:variant>
      <vt:variant>
        <vt:lpwstr>http://www.rootlaw.com.tw/LawContent.aspx?LawID=A040040101012000-0951124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貳、行政院主管</dc:title>
  <dc:creator>林思廷</dc:creator>
  <cp:lastModifiedBy>林于媺</cp:lastModifiedBy>
  <cp:revision>881</cp:revision>
  <cp:lastPrinted>2025-07-08T02:45:00Z</cp:lastPrinted>
  <dcterms:created xsi:type="dcterms:W3CDTF">2022-07-11T00:36:00Z</dcterms:created>
  <dcterms:modified xsi:type="dcterms:W3CDTF">2025-07-10T05:38:00Z</dcterms:modified>
</cp:coreProperties>
</file>